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Vivid Seats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440" w:type="dxa"/>
        <w:tblCellMar>
          <w:top w:w="0" w:type="dxa"/>
          <w:left w:w="0" w:type="dxa"/>
          <w:bottom w:w="0" w:type="dxa"/>
          <w:right w:w="0" w:type="dxa"/>
        </w:tblCellMar>
      </w:tblPr>
      <w:tr>
        <w:trPr>
          <w:trHeight w:val="225"/>
        </w:trPr>
        <w:tc>
          <w:tcPr>
            <w:tcW w:w="37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001-40926</w:t>
            </w:r>
          </w:p>
        </w:tc>
        <w:tc>
          <w:tcPr>
            <w:tcW w:w="3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86-3355184</w:t>
            </w:r>
          </w:p>
        </w:tc>
      </w:tr>
      <w:tr>
        <w:trPr>
          <w:trHeight w:val="216"/>
        </w:trPr>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3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3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24 E. Washington St., Ste. 900</w:t>
            </w:r>
          </w:p>
        </w:tc>
        <w:tc>
          <w:tcPr>
            <w:tcW w:w="28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16"/>
        </w:trPr>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Suite 900</w:t>
            </w:r>
          </w:p>
        </w:tc>
        <w:tc>
          <w:tcPr>
            <w:tcW w:w="28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20"/>
        </w:trPr>
        <w:tc>
          <w:tcPr>
            <w:tcW w:w="37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800" w:type="dxa"/>
            <w:vAlign w:val="bottom"/>
          </w:tcPr>
          <w:p>
            <w:pPr>
              <w:spacing w:after="0"/>
              <w:rPr>
                <w:sz w:val="19"/>
                <w:szCs w:val="19"/>
                <w:color w:val="auto"/>
              </w:rPr>
            </w:pP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60602</w:t>
            </w:r>
          </w:p>
        </w:tc>
      </w:tr>
      <w:tr>
        <w:trPr>
          <w:trHeight w:val="234"/>
        </w:trPr>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3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312 291-9966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SEAT</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SEATW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3"/>
          <w:szCs w:val="13"/>
          <w:color w:val="auto"/>
        </w:rPr>
        <w:t>☒</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2026, Vivid Seats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providing financial results for the first quarter ended March 31, 2026, a copy of which is attached as Exhibit 99.1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hereto,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maximize flexibility with respect to its capital structure and growth prospects, the Company previously designated certain of its subsidiaries, including Vegas.com, LLC, as “Unrestricted Subsidiaries” under the Company’s first lien credit facility, dated June 17, 2017 (as amended from time to time, the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pursuant to the terms thereof.</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has recently been engaged in confidential discussions with an ad hoc group comprised of term loan lenders under the Credit Facility regarding a potential refinancing transaction with respect to the Company’s first lien term loan. In connection therewith, certain members of the ad hoc group entered into confidentiality agreements with the Company. Pursuant to such agreements, the Company agreed, as and when provided therein, to publicly disclose certain information provided by the Company and its representatives to such members in connection with such a transaction (the “</w:t>
      </w:r>
      <w:r>
        <w:rPr>
          <w:rFonts w:ascii="Times New Roman" w:cs="Times New Roman" w:eastAsia="Times New Roman" w:hAnsi="Times New Roman"/>
          <w:sz w:val="18"/>
          <w:szCs w:val="18"/>
          <w:u w:val="single" w:color="auto"/>
          <w:color w:val="auto"/>
        </w:rPr>
        <w:t>Cleansing Material</w:t>
      </w:r>
      <w:r>
        <w:rPr>
          <w:rFonts w:ascii="Times New Roman" w:cs="Times New Roman" w:eastAsia="Times New Roman" w:hAnsi="Times New Roman"/>
          <w:sz w:val="18"/>
          <w:szCs w:val="18"/>
          <w:color w:val="auto"/>
        </w:rPr>
        <w:t>”). The Company is now satisfying its obligations under such agreements by disclosing the Cleansing Material with this report. The Cleansing Material, which is set forth on Exhibit 99.2 hereto and incorporated by reference herein, includes the material terms of (i) the Company’s most recent bona fide proposal to the ad hoc group and (ii) the ad hoc group’s most recent bona fide proposal to the Company, in each case with respect to a transaction. As of the date of this report, the Company is no longer continuing its discussions with the ad hoc group. The Company remains actively engaged in negotiations with its other lenders under the Credit Facility.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Cleansing Material was prepared by the Company using then-available information solely to facilitate a discussion with the ad hoc group, was not prepared with a view toward public disclosure, and should not be relied upon to make an investment decision with respect to the Company. The Cleansing Material should neither be regarded nor relied upon as an indication that the Company or any third party considers the Cleansing Material to be a reliable prediction of future events. The Cleansing Material includes certain values that were prepared for illustrative purposes only and are not the result of, and do not necessarily represent, actual valuations, estimates, forecasts, or projections of the Company or any third party and should not be relied upon as such. Neither the Company nor any third party has made or makes any representation to any person regarding the accuracy of the Cleansing Material or undertakes any obligation to publicly update or revise the Cleansing Material to reflect circumstances existing after the date on which it was prepared or conveyed or to reflect the occurrence of future events, even in the event that any or all of the assumptions underlying the Cleansing Material are shown to be incorrect. No assurance can be given that any transaction with the ad hoc group, the Company’s other lenders under the Credit Facility, or any other person will occur.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99.2 hereto, shall not be deemed “filed” for purposes of Section 18 of the Exchange Act, or incorporated by reference in any filing under the Securities Act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and Section 21E of the Exchange Act regarding future events and trends and the future results of the Company and its subsidiaries. Words such as “anticipate,” “believe,” “can,” “continue,” “could,” “design,” “estimate,” “expect,” “forecast,” “future,” “goal,” “intend,” “likely,” “may,” “plan,” “project,” “propose,” “seek,” “should,” “target,” “will” and “would,” as well as similar expressions that predict or indicate future events and trends or do not relate to historical matters, are intended to identify such forward-looking statements. The Company has based these forward-looking statements largely on its current expectations, estimates, forecasts, and projections about future events and financial trends that it believes may affect its business, financial condition, and results of operations. While the Company believes such information forms a reasonable basis for such statements, such information may be limited or incomplete, and the Company’s statements should not be read to indicate that it has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the Company’s control. Therefore, actual results may differ materially from those contemplated by any forward-looking statements. Important factors that could cause or contribute to such differences include, but are not limited to, those discussed in the “Risk Factors” and “Management’s Discussion and Analysis of Financial Condition and Results of Operations” sections of the Company’s most recent Annual Report on Form 10-K and subsequent Quarterly Reports on Form 10-Q, as well as in the Company’s press releases and other filings with the Securities and Exchange Commission. You should not place undue reliance on forward-looking statements, which speak only as of the date of this report (or, in the case of statements incorporated by reference herein, as of the date of the incorporated statement). Except as required by applicable law, the Company undertakes no obligation to update or revise any forward-looking statements contained in this report,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report does not constitute an offer to sell or a solicitation of an offer to purchase any securities, nor shall there be any such offer or solicitation in any jurisdiction in which such an offer or solicitation is not authorized or would be unlawful.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200" w:type="dxa"/>
            <w:vAlign w:val="bottom"/>
          </w:tcPr>
          <w:p>
            <w:pPr>
              <w:spacing w:after="0"/>
              <w:rPr>
                <w:sz w:val="20"/>
                <w:szCs w:val="20"/>
                <w:color w:val="auto"/>
              </w:rPr>
            </w:pP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20" w:type="dxa"/>
            <w:vAlign w:val="bottom"/>
          </w:tcPr>
          <w:p>
            <w:pPr>
              <w:spacing w:after="0"/>
              <w:rPr>
                <w:sz w:val="24"/>
                <w:szCs w:val="24"/>
                <w:color w:val="auto"/>
              </w:rPr>
            </w:pP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Press release issued by Vivid Seats Inc., dated May 5, 2026</w:t>
            </w: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720" w:type="dxa"/>
            <w:vAlign w:val="bottom"/>
          </w:tcPr>
          <w:p>
            <w:pPr>
              <w:spacing w:after="0"/>
              <w:rPr>
                <w:sz w:val="24"/>
                <w:szCs w:val="24"/>
                <w:color w:val="auto"/>
              </w:rPr>
            </w:pP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Cleansing Material</w:t>
            </w: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Vivid Seats Inc.</w:t>
      </w:r>
    </w:p>
    <w:p>
      <w:pPr>
        <w:spacing w:after="0" w:line="229"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 /s/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Joseph Thomas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Vivid Seats Reports First Quarter 2026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CHICAGO, IL – May 5, 2026 </w:t>
      </w:r>
      <w:r>
        <w:rPr>
          <w:rFonts w:ascii="Times New Roman" w:cs="Times New Roman" w:eastAsia="Times New Roman" w:hAnsi="Times New Roman"/>
          <w:sz w:val="18"/>
          <w:szCs w:val="18"/>
          <w:color w:val="auto"/>
        </w:rPr>
        <w:t>– Vivid Seats Inc. (NASDAQ: SEAT) (“Vivid Seats” or “we”), a leading marketplace that utilizes its technology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connect millions of buyers with thousands of ticket sellers across hundreds of thousands of events each year, today provided financial results for the first quarter ended March 31, 2026.</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quarter performance reflects strong execution and meaningful progress against our Fiscal 2026 priorities with results at or above the high end of our guidance,” said Lawrence Fey, Chief Executive Officer of Vivid Seats. “We delivered sequential growth in GOV and Adjusted EBITDA along with substantial cash generation in the quarter. The improvements we are seeing are important steps as we pursue a return to growth over the course of 2026 and beyond.”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Key Financial Highlights</w:t>
      </w:r>
    </w:p>
    <w:p>
      <w:pPr>
        <w:spacing w:after="0" w:line="229" w:lineRule="exact"/>
        <w:rPr>
          <w:sz w:val="20"/>
          <w:szCs w:val="20"/>
          <w:color w:val="auto"/>
        </w:rPr>
      </w:pPr>
    </w:p>
    <w:p>
      <w:pPr>
        <w:ind w:left="520" w:hanging="256"/>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GOV of $612.4 million</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$125.8 million</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$14.6 million</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&amp; Non-U.S. GAAP Financial Measure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following key business metrics and non-U.S. GAAP financial measure to evaluate our performance, identify trends, formulate financial projections, and make strategic decisions. We believe this information is useful to investors and others in understanding and evaluating our results of operations in the same manner as management.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business metrics and non-U.S. GAAP financial measure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Marketplace GOV</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Marketplace orders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Resale orders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39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21,721</w:t>
            </w:r>
          </w:p>
        </w:tc>
      </w:tr>
    </w:tbl>
    <w:p>
      <w:pPr>
        <w:spacing w:after="0" w:line="20" w:lineRule="exact"/>
        <w:rPr>
          <w:sz w:val="20"/>
          <w:szCs w:val="20"/>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Gross Order Value (“Marketplace GOV”) represents the total transactional amount of Marketplace orders processed on our online platform during a period, inclusive of fees, exclusive of taxes, and net of event cancellations. During the three months ended March 31, 2026 and 2025, event cancellations negatively impacted Marketplace GOV by $9.0 million and $15.5 million, respectively.</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orders represent the total volume of Marketplace segment transactions processed on our online platform during a period, net of event cancellations. During the three months ended March 31, 2026 and 2025, our Marketplace segment experienced 29,434 and 42,353 event cancellations, respectively.</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orders represent the total volume of Resale segment transactions processed on a given platform (including our own) during a period, net of event cancellations. During the three months ended March 31, 2026 and 2025, our Resale segment experienced 467 and 885 event cancellations, respectively.</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financial measure not defined under accounting principles generally accepted in the United States of America (“U.S. GAAP”). We believe adjusted EBITDA provides useful information to investors and others in understanding and evaluating our results of operations and serves as a useful measure for making period-to-period comparisons of our business performance. See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below for more information, including a reconciliation of adjusted EBITDA to net loss, the most directly comparable U.S. GAAP financial measure.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ending December 31, 2026, Vivid Seats anticipates:</w:t>
      </w:r>
    </w:p>
    <w:p>
      <w:pPr>
        <w:spacing w:after="0" w:line="225" w:lineRule="exact"/>
        <w:rPr>
          <w:sz w:val="20"/>
          <w:szCs w:val="20"/>
          <w:color w:val="auto"/>
        </w:rPr>
      </w:pPr>
    </w:p>
    <w:p>
      <w:pPr>
        <w:ind w:left="520" w:hanging="256"/>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GOV in the range of $2.2 billion to $2.6 billion</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 the range of $30.0 million to $40.0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left="180" w:hanging="172"/>
        <w:spacing w:after="0" w:line="258"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forward-looking adjusted EBITDA based on internal forecasts that omit certain information that would be included in forward-looking net loss, the most directly comparable U.S. GAAP financial measure. We do not attempt to provide a reconciliation of forward-looking adjusted EBITDA to forward-looking net loss because the timing and/or probable significance of certain excluded items that have not yet occurred and are outside of our control is inherently uncertain and unavailable without unreasonable efforts. Such items could have a significant and unpredictable impact on our future U.S. GAAP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Vivid Seats will host a webcast at 8:30 a.m. Eastern Time today to discuss the first quarter 2026 financial results, business updates, and financial outlook. Participants may access the live webcast and supplemental earnings presentation on the events page of the Vivid Seats Investor Relations website at </w:t>
      </w:r>
      <w:r>
        <w:rPr>
          <w:rFonts w:ascii="Times New Roman" w:cs="Times New Roman" w:eastAsia="Times New Roman" w:hAnsi="Times New Roman"/>
          <w:sz w:val="18"/>
          <w:szCs w:val="18"/>
          <w:i w:val="1"/>
          <w:iCs w:val="1"/>
          <w:color w:val="auto"/>
        </w:rPr>
        <w:t>investors.vividseats.com/events-and-presentations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Vivid Seats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Founded in 2001, Vivid Seats (NASDAQ: SEAT) is a leading online ticket marketplace connecting fans to the live events, artists, and teams they love. Vivid Seats is committed to delivering the most rewarding ticket-buying experience for fans through competitive everyday pricing backed by its Lowest Price Guarantee, an industry-leading rewards program, and award-winning customer service. The Chicago-based company offers one of the widest selections of live events across North America, powered by proprietary technology that makes discovering and buying tickets simple, affordable, and reliable. Learn more by downloading the Vivid Seats app or visiting </w:t>
      </w:r>
      <w:r>
        <w:rPr>
          <w:rFonts w:ascii="Times New Roman" w:cs="Times New Roman" w:eastAsia="Times New Roman" w:hAnsi="Times New Roman"/>
          <w:sz w:val="18"/>
          <w:szCs w:val="18"/>
          <w:i w:val="1"/>
          <w:iCs w:val="1"/>
          <w:color w:val="auto"/>
        </w:rPr>
        <w:t>vividseats.com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Words such as “anticipate,” “believe,” “can,” “continue,” “could,” “design,” “estimate,” “expect,” “forecast,” “future,” “goal,” “intend,” “likely,” “may,” “plan,” “project,” “propose,” “seek,” “should,” “target,” “will,” and “would,” as well as similar expressions that predict or indicate future events and trends or do not relate to historical matters, are intended to identify such forward-looking statements. The forward-looking statements contained in this press release relate to, without limitation: our future operating results and financial performance, including our expectations with respect to our return to growth and our fiscal year 2026 Marketplace GOV and adjusted EBITDA; our expectations with respect to live event industry growth, the supply of and demand for live events, and our competitive positioning; and our business strategy and objectives. Forward-looking statements are not guarantees of future performance, conditions, or results, and are subject to risks, uncertainties, and assumptions that can be difficult to predict and/or are outside of our control. Therefore, actual results may differ materially from those contemplated by any forward-looking statements. Important factors that could cause or contribute to such differences include, but are not limited to: the supply of and demand for live events; the impact of adverse economic conditions and other factors affecting discretionary consumer and corporate spending; our ability to develop and maintain relationships with ticket buyers, sellers, and partners; the impact of changes to internet search engine algorithms and mobile app marketplace rules; the impact of artificial intelligence on how consumers search for live event tickets; our ability to attract ticket sellers and buyers to our platform in the increasingly competitive ticketing industry; our ability to continue to maintain and improve our platform; the impact of extraordinary events, including disease epidemics; our ability to identify suitable acquisition targets and to complete and realize the expected benefits of acquisitions and other strategic investments; our ability to attract, hire, motivate, and retain our senior management team and other highly skilled personnel; our ability to comply with applicable laws and regulations; the ability of ticket holders to sell their tickets on the secondary market unencumbered; the impact of unfavorable outcomes in legislation and legal proceedings; our ability to maintain the integrity of our information systems and infrastructure, and to identify, assess, and manage relevant cybersecurity risks; our ability to generate sufficient cash flows and/or obtain additional financing when necessary or desirable; and other factors discussed in the “Risk Factors” and “Management’s Discussion and Analysis of Financial Condition and Results of Operations” sections of our most recent Annual Report on Form 10-K and subsequent Quarterly Reports on Form 10-Q, as well as in our press releases and other filings with the Securities and Exchange Commission. You should not place undue reliance on forward-looking statements, which speak only as of the date of this press release. Except as required by applicable law, we undertake no obligation to update or revise any forward-looking statements contained in this press release, whether as a result of new information, future events,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investors@vividseats.com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press@vividseats.com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VIVID SEATS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18,166</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141,528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283,915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691,735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636,866</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153,418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18,834</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787,127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500,000,000 shares authorized, 11,937,076 and 11,712,157 shares issued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1,368,067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949,665 shares at March 31, 2026 and December 31, 2025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(93,920)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(1,374,103)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(1,359,472)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691,735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636,866</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VIVID SEATS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164,023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48,082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11,625</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(14,631)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(9,788)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(3,846)</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(14,631)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(5,942)</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VIVID SEATS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leases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asset disposals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loss (gain) –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Intermediate Warrants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(8,367)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 – net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personal seat licenses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developed technology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seat images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toward Acquired Domain Name Obligation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(7,571)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taxes related to net settlement of equity incentive awards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2025 First Lien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toward Acquired Domain Name Obligation</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liabilities under TRA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2024 First Lien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2025 First Lien Loan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financing costs and other debt-related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40,853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(43,955)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period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144,159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200,693</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adjusted EBITDA, which is a non-U.S. GAAP financial measure, because it is a key measure used by analysts,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adjusted EBITDA is useful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(benefit); interest expense – net; depreciation and amortization; sales tax liabilities; transaction costs; equity-based compensation; litigation, settlements, and related costs; loss on asset disposals; change in fair value of derivative asset; foreign currency loss (gain) – net; severance compensation; change in fair value of the Intermediate Warrants (as defined below); and loss on extinguishment of debt. In addition, other companies may calculate adjusted EBITDA differently than we do, thereby limiting its usefulness as a comparative tool. We compensate for these limitations by providing specific information regarding the U.S. GAAP amounts that are excluded from our presentation of adjusted EBITDA.</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loss, the most directly comparable U.S. GAAP financial measure,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adjusted EBITDA: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11,625</w:t>
            </w:r>
          </w:p>
        </w:tc>
      </w:tr>
      <w:tr>
        <w:trPr>
          <w:trHeight w:val="216"/>
        </w:trPr>
        <w:tc>
          <w:tcPr>
            <w:tcW w:w="8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Sales tax liability</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86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w:t>
            </w:r>
          </w:p>
        </w:tc>
      </w:tr>
      <w:tr>
        <w:trPr>
          <w:trHeight w:val="216"/>
        </w:trPr>
        <w:tc>
          <w:tcPr>
            <w:tcW w:w="8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10,751</w:t>
            </w:r>
          </w:p>
        </w:tc>
      </w:tr>
      <w:tr>
        <w:trPr>
          <w:trHeight w:val="216"/>
        </w:trPr>
        <w:tc>
          <w:tcPr>
            <w:tcW w:w="86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Litigation, settlements, and related costs</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8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Loss on asset disposals</w:t>
            </w:r>
            <w:r>
              <w:rPr>
                <w:rFonts w:ascii="Times New Roman" w:cs="Times New Roman" w:eastAsia="Times New Roman" w:hAnsi="Times New Roman"/>
                <w:sz w:val="25"/>
                <w:szCs w:val="25"/>
                <w:color w:val="auto"/>
                <w:vertAlign w:val="superscript"/>
              </w:rPr>
              <w:t>(5)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Change in fair value of derivative asset</w:t>
            </w:r>
            <w:r>
              <w:rPr>
                <w:rFonts w:ascii="Times New Roman" w:cs="Times New Roman" w:eastAsia="Times New Roman" w:hAnsi="Times New Roman"/>
                <w:sz w:val="25"/>
                <w:szCs w:val="25"/>
                <w:color w:val="auto"/>
                <w:vertAlign w:val="superscript"/>
              </w:rPr>
              <w:t>(6)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Foreign currency loss (gain) – net</w:t>
            </w:r>
            <w:r>
              <w:rPr>
                <w:rFonts w:ascii="Times New Roman" w:cs="Times New Roman" w:eastAsia="Times New Roman" w:hAnsi="Times New Roman"/>
                <w:sz w:val="25"/>
                <w:szCs w:val="25"/>
                <w:color w:val="auto"/>
                <w:vertAlign w:val="superscript"/>
              </w:rPr>
              <w:t>(7)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86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Severance compensation</w:t>
            </w:r>
            <w:r>
              <w:rPr>
                <w:rFonts w:ascii="Times New Roman" w:cs="Times New Roman" w:eastAsia="Times New Roman" w:hAnsi="Times New Roman"/>
                <w:sz w:val="25"/>
                <w:szCs w:val="25"/>
                <w:color w:val="auto"/>
                <w:vertAlign w:val="superscript"/>
              </w:rPr>
              <w:t>(8)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Change in fair value of Intermediate Warrants</w:t>
            </w:r>
            <w:r>
              <w:rPr>
                <w:rFonts w:ascii="Times New Roman" w:cs="Times New Roman" w:eastAsia="Times New Roman" w:hAnsi="Times New Roman"/>
                <w:sz w:val="25"/>
                <w:szCs w:val="25"/>
                <w:color w:val="auto"/>
                <w:vertAlign w:val="superscript"/>
              </w:rPr>
              <w:t>(9)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(3,115)</w:t>
            </w:r>
          </w:p>
        </w:tc>
      </w:tr>
      <w:tr>
        <w:trPr>
          <w:trHeight w:val="223"/>
        </w:trPr>
        <w:tc>
          <w:tcPr>
            <w:tcW w:w="86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5"/>
                <w:szCs w:val="25"/>
                <w:color w:val="auto"/>
                <w:vertAlign w:val="superscript"/>
              </w:rPr>
              <w:t>(10)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21,721</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and 2025, we accrued for additional uncollected indirect tax liabilities in jurisdictions where we believed it was probable we should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accounting, tax, and other professional fees, integration costs, and other transaction-related expenses, none of which are considered indicative of our core operating performance. Costs in the three months ended March 31, 2026 primarily related to various strategic transactions and investments. Costs in three months ended March 31, 2025 primarily related to potential strategic transactions that were explored during the period, the February 2025 refinancing of our first lien term loan, repurchases of Class A common stock, and various strategic transactions and investments.</w:t>
      </w:r>
    </w:p>
    <w:p>
      <w:pPr>
        <w:spacing w:after="0" w:line="1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equity granted by us pursuant to our 2021 Incentive Award Plan, as amended, which is not considered indicative of our core operating performance.</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external legal costs, settlement costs, and insurance recoveries, none of which are considered indicative of our core operating performance.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disposals of fixed assets, which are not considered indicative of our core operating performance.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revaluation of derivatives recorded at fair value, which revaluations are not considered indicative of our core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372" w:hanging="372"/>
        <w:spacing w:after="0" w:line="282" w:lineRule="auto"/>
        <w:tabs>
          <w:tab w:leader="none" w:pos="3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net realized and unrealized losses (gains) resulting from the impact of exchange rate changes on transactions denominated in non-functional currencies, which are not considered indicative of our core operating performance.</w:t>
      </w:r>
    </w:p>
    <w:p>
      <w:pPr>
        <w:spacing w:after="0" w:line="161" w:lineRule="exact"/>
        <w:rPr>
          <w:rFonts w:ascii="Times New Roman" w:cs="Times New Roman" w:eastAsia="Times New Roman" w:hAnsi="Times New Roman"/>
          <w:sz w:val="18"/>
          <w:szCs w:val="18"/>
          <w:color w:val="auto"/>
        </w:rPr>
      </w:pPr>
    </w:p>
    <w:p>
      <w:pPr>
        <w:ind w:left="372" w:right="20" w:hanging="372"/>
        <w:spacing w:after="0" w:line="282" w:lineRule="auto"/>
        <w:tabs>
          <w:tab w:leader="none" w:pos="3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severance-related payments made to terminated employees as a result of a reduction in employee headcount and the departure of certain members of our leadership team, which are not considered indicative of our core operating performance.</w:t>
      </w:r>
    </w:p>
    <w:p>
      <w:pPr>
        <w:spacing w:after="0" w:line="161"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revaluation of warrants (the “Intermediate Warrants”), issued in connection with the 2021 transaction pursuant to which Horizon Acquisition Corporation merged with and into us, which entitled Hoya Topco, LLC to purchase common units of Hoya Intermediate, LLC, which revaluations are not considered indicative of our core operating performance.</w:t>
      </w:r>
    </w:p>
    <w:p>
      <w:pPr>
        <w:spacing w:after="0" w:line="175"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losses incurred in connection with the extinguishment of our former first lien term loan, which are not considered indicative of our core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Cleansing Material</w:t>
      </w:r>
    </w:p>
    <w:p>
      <w:pPr>
        <w:spacing w:after="0" w:line="22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Guidance</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GOV of ~$2.65 billion</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~$575 million</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~$45 million</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of ~$35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2026 Guidance</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~$535 million</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of ~$20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Actioned $70 million of annualized savings ($45 million cash) through cost reduction program</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material terms of (i) the Company’s most recent bona fide proposal to the ad hoc group and (ii) the ad hoc group’s most recent bona fide proposal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426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426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2026-05-05T05:41:20Z</dcterms:created>
  <dcterms:modified xsi:type="dcterms:W3CDTF">2026-05-05T05:41:20Z</dcterms:modified>
</cp:coreProperties>
</file>