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jc w:val="center"/>
        <w:spacing w:after="0" w:line="237" w:lineRule="auto"/>
        <w:rPr>
          <w:sz w:val="20"/>
          <w:szCs w:val="20"/>
          <w:color w:val="auto"/>
        </w:rPr>
      </w:pPr>
      <w:r>
        <w:rPr>
          <w:rFonts w:ascii="Calibri" w:cs="Calibri" w:eastAsia="Calibri" w:hAnsi="Calibri"/>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Calibri" w:cs="Calibri" w:eastAsia="Calibri" w:hAnsi="Calibri"/>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5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QUARTERLY REPORT PURSUANT TO SECTION 13 OR 15(d) OF THE SECURITIES EXCHANGE ACT OF 1934</w:t>
      </w:r>
    </w:p>
    <w:p>
      <w:pPr>
        <w:spacing w:after="0" w:line="315"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or</w:t>
      </w:r>
    </w:p>
    <w:p>
      <w:pPr>
        <w:spacing w:after="0" w:line="5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TRANSITION REPORT PURSUANT TO SECTION 13 OR 15(d) OF THE SECURITIES EXCHANGE ACT OF 1934</w:t>
      </w:r>
    </w:p>
    <w:p>
      <w:pPr>
        <w:spacing w:after="0" w:line="86" w:lineRule="exact"/>
        <w:rPr>
          <w:sz w:val="24"/>
          <w:szCs w:val="24"/>
          <w:color w:val="auto"/>
        </w:rPr>
      </w:pPr>
    </w:p>
    <w:p>
      <w:pPr>
        <w:ind w:left="3900"/>
        <w:spacing w:after="0"/>
        <w:rPr>
          <w:sz w:val="20"/>
          <w:szCs w:val="20"/>
          <w:color w:val="auto"/>
        </w:rPr>
      </w:pPr>
      <w:r>
        <w:rPr>
          <w:rFonts w:ascii="Calibri" w:cs="Calibri" w:eastAsia="Calibri" w:hAnsi="Calibri"/>
          <w:sz w:val="14"/>
          <w:szCs w:val="14"/>
          <w:b w:val="1"/>
          <w:bCs w:val="1"/>
          <w:color w:val="auto"/>
        </w:rPr>
        <w:t>For the transiton period from __________ to __________</w:t>
      </w:r>
    </w:p>
    <w:p>
      <w:pPr>
        <w:spacing w:after="0" w:line="113"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Calibri" w:cs="Calibri" w:eastAsia="Calibri" w:hAnsi="Calibri"/>
          <w:sz w:val="36"/>
          <w:szCs w:val="36"/>
          <w:b w:val="1"/>
          <w:bCs w:val="1"/>
          <w:color w:val="auto"/>
        </w:rPr>
        <w:t>Vivid Seats Inc.</w:t>
      </w:r>
    </w:p>
    <w:p>
      <w:pPr>
        <w:spacing w:after="0" w:line="32"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Delaware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r>
      <w:tr>
        <w:trPr>
          <w:trHeight w:val="189"/>
        </w:trPr>
        <w:tc>
          <w:tcPr>
            <w:tcW w:w="7300" w:type="dxa"/>
            <w:vAlign w:val="bottom"/>
            <w:gridSpan w:val="6"/>
          </w:tcPr>
          <w:p>
            <w:pPr>
              <w:jc w:val="center"/>
              <w:ind w:right="1660"/>
              <w:spacing w:after="0"/>
              <w:rPr>
                <w:sz w:val="20"/>
                <w:szCs w:val="20"/>
                <w:color w:val="auto"/>
              </w:rPr>
            </w:pPr>
            <w:r>
              <w:rPr>
                <w:rFonts w:ascii="Calibri" w:cs="Calibri" w:eastAsia="Calibri" w:hAnsi="Calibri"/>
                <w:sz w:val="14"/>
                <w:szCs w:val="14"/>
                <w:color w:val="auto"/>
              </w:rPr>
              <w:t>(State or other jurisdicton of incorporaton or organizaton)</w:t>
            </w:r>
          </w:p>
        </w:tc>
        <w:tc>
          <w:tcPr>
            <w:tcW w:w="3940" w:type="dxa"/>
            <w:vAlign w:val="bottom"/>
          </w:tcPr>
          <w:p>
            <w:pPr>
              <w:jc w:val="center"/>
              <w:ind w:right="1608"/>
              <w:spacing w:after="0"/>
              <w:rPr>
                <w:sz w:val="20"/>
                <w:szCs w:val="20"/>
                <w:color w:val="auto"/>
              </w:rPr>
            </w:pPr>
            <w:r>
              <w:rPr>
                <w:rFonts w:ascii="Calibri" w:cs="Calibri" w:eastAsia="Calibri" w:hAnsi="Calibri"/>
                <w:sz w:val="14"/>
                <w:szCs w:val="14"/>
                <w:color w:val="auto"/>
              </w:rPr>
              <w:t>(I.R.S. Employer Identfcaton No.)</w:t>
            </w:r>
          </w:p>
        </w:tc>
      </w:tr>
      <w:tr>
        <w:trPr>
          <w:trHeight w:val="297"/>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24 E. Washington Street, Suite 900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5"/>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Chicago, Illinois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60602</w:t>
            </w:r>
          </w:p>
        </w:tc>
      </w:tr>
      <w:tr>
        <w:trPr>
          <w:trHeight w:val="189"/>
        </w:trPr>
        <w:tc>
          <w:tcPr>
            <w:tcW w:w="4020" w:type="dxa"/>
            <w:vAlign w:val="bottom"/>
          </w:tcPr>
          <w:p>
            <w:pPr>
              <w:jc w:val="center"/>
              <w:ind w:left="1548"/>
              <w:spacing w:after="0"/>
              <w:rPr>
                <w:sz w:val="20"/>
                <w:szCs w:val="20"/>
                <w:color w:val="auto"/>
              </w:rPr>
            </w:pPr>
            <w:r>
              <w:rPr>
                <w:rFonts w:ascii="Calibri" w:cs="Calibri" w:eastAsia="Calibri" w:hAnsi="Calibri"/>
                <w:sz w:val="14"/>
                <w:szCs w:val="14"/>
                <w:color w:val="auto"/>
              </w:rPr>
              <w:t>(Address of principal executve ofces)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jc w:val="center"/>
              <w:ind w:right="1588"/>
              <w:spacing w:after="0"/>
              <w:rPr>
                <w:sz w:val="20"/>
                <w:szCs w:val="20"/>
                <w:color w:val="auto"/>
              </w:rPr>
            </w:pPr>
            <w:r>
              <w:rPr>
                <w:rFonts w:ascii="Calibri" w:cs="Calibri" w:eastAsia="Calibri" w:hAnsi="Calibri"/>
                <w:sz w:val="14"/>
                <w:szCs w:val="14"/>
                <w:color w:val="auto"/>
              </w:rPr>
              <w:t>(Zip Code)</w:t>
            </w:r>
          </w:p>
        </w:tc>
      </w:tr>
      <w:tr>
        <w:trPr>
          <w:trHeight w:val="297"/>
        </w:trPr>
        <w:tc>
          <w:tcPr>
            <w:tcW w:w="40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5"/>
        </w:trPr>
        <w:tc>
          <w:tcPr>
            <w:tcW w:w="4020" w:type="dxa"/>
            <w:vAlign w:val="bottom"/>
          </w:tcPr>
          <w:p>
            <w:pPr>
              <w:spacing w:after="0"/>
              <w:rPr>
                <w:sz w:val="15"/>
                <w:szCs w:val="15"/>
                <w:color w:val="auto"/>
              </w:rPr>
            </w:pPr>
          </w:p>
        </w:tc>
        <w:tc>
          <w:tcPr>
            <w:tcW w:w="3280" w:type="dxa"/>
            <w:vAlign w:val="bottom"/>
            <w:gridSpan w:val="5"/>
          </w:tcPr>
          <w:p>
            <w:pPr>
              <w:jc w:val="center"/>
              <w:ind w:right="80"/>
              <w:spacing w:after="0"/>
              <w:rPr>
                <w:sz w:val="20"/>
                <w:szCs w:val="20"/>
                <w:color w:val="auto"/>
              </w:rPr>
            </w:pPr>
            <w:r>
              <w:rPr>
                <w:rFonts w:ascii="Calibri" w:cs="Calibri" w:eastAsia="Calibri" w:hAnsi="Calibri"/>
                <w:sz w:val="14"/>
                <w:szCs w:val="14"/>
                <w:color w:val="auto"/>
              </w:rPr>
              <w:t>(Registrant’s telephone number, including area code)</w:t>
            </w:r>
          </w:p>
        </w:tc>
        <w:tc>
          <w:tcPr>
            <w:tcW w:w="3940" w:type="dxa"/>
            <w:vAlign w:val="bottom"/>
          </w:tcPr>
          <w:p>
            <w:pPr>
              <w:spacing w:after="0"/>
              <w:rPr>
                <w:sz w:val="15"/>
                <w:szCs w:val="15"/>
                <w:color w:val="auto"/>
              </w:rPr>
            </w:pPr>
          </w:p>
        </w:tc>
      </w:tr>
      <w:tr>
        <w:trPr>
          <w:trHeight w:val="168"/>
        </w:trPr>
        <w:tc>
          <w:tcPr>
            <w:tcW w:w="4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r>
        <w:trPr>
          <w:trHeight w:val="257"/>
        </w:trPr>
        <w:tc>
          <w:tcPr>
            <w:tcW w:w="4020" w:type="dxa"/>
            <w:vAlign w:val="bottom"/>
          </w:tcPr>
          <w:p>
            <w:pPr>
              <w:spacing w:after="0"/>
              <w:rPr>
                <w:sz w:val="20"/>
                <w:szCs w:val="20"/>
                <w:color w:val="auto"/>
              </w:rPr>
            </w:pPr>
            <w:r>
              <w:rPr>
                <w:rFonts w:ascii="Calibri" w:cs="Calibri" w:eastAsia="Calibri" w:hAnsi="Calibri"/>
                <w:sz w:val="14"/>
                <w:szCs w:val="14"/>
                <w:color w:val="auto"/>
              </w:rPr>
              <w:t>Securites registered pursuant to Secton 12(b) of the Act: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84"/>
        </w:trPr>
        <w:tc>
          <w:tcPr>
            <w:tcW w:w="4020" w:type="dxa"/>
            <w:vAlign w:val="bottom"/>
          </w:tcPr>
          <w:p>
            <w:pPr>
              <w:jc w:val="center"/>
              <w:ind w:left="208"/>
              <w:spacing w:after="0"/>
              <w:rPr>
                <w:sz w:val="20"/>
                <w:szCs w:val="20"/>
                <w:color w:val="auto"/>
              </w:rPr>
            </w:pPr>
            <w:r>
              <w:rPr>
                <w:rFonts w:ascii="Calibri" w:cs="Calibri" w:eastAsia="Calibri" w:hAnsi="Calibri"/>
                <w:sz w:val="14"/>
                <w:szCs w:val="14"/>
                <w:color w:val="auto"/>
              </w:rPr>
              <w:t>Title of each class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color w:val="auto"/>
              </w:rPr>
              <w:t>Trading Symbol(s)</w:t>
            </w:r>
          </w:p>
        </w:tc>
        <w:tc>
          <w:tcPr>
            <w:tcW w:w="3940" w:type="dxa"/>
            <w:vAlign w:val="bottom"/>
          </w:tcPr>
          <w:p>
            <w:pPr>
              <w:jc w:val="center"/>
              <w:ind w:right="1048"/>
              <w:spacing w:after="0"/>
              <w:rPr>
                <w:sz w:val="20"/>
                <w:szCs w:val="20"/>
                <w:color w:val="auto"/>
              </w:rPr>
            </w:pPr>
            <w:r>
              <w:rPr>
                <w:rFonts w:ascii="Calibri" w:cs="Calibri" w:eastAsia="Calibri" w:hAnsi="Calibri"/>
                <w:sz w:val="14"/>
                <w:szCs w:val="14"/>
                <w:color w:val="auto"/>
              </w:rPr>
              <w:t>Name of each exchange on which registered</w:t>
            </w:r>
          </w:p>
        </w:tc>
      </w:tr>
      <w:tr>
        <w:trPr>
          <w:trHeight w:val="33"/>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03"/>
        </w:trPr>
        <w:tc>
          <w:tcPr>
            <w:tcW w:w="4020" w:type="dxa"/>
            <w:vAlign w:val="bottom"/>
          </w:tcPr>
          <w:p>
            <w:pPr>
              <w:jc w:val="center"/>
              <w:ind w:left="188"/>
              <w:spacing w:after="0"/>
              <w:rPr>
                <w:sz w:val="20"/>
                <w:szCs w:val="20"/>
                <w:color w:val="auto"/>
              </w:rPr>
            </w:pPr>
            <w:r>
              <w:rPr>
                <w:rFonts w:ascii="Calibri" w:cs="Calibri" w:eastAsia="Calibri" w:hAnsi="Calibri"/>
                <w:sz w:val="14"/>
                <w:szCs w:val="14"/>
                <w:b w:val="1"/>
                <w:bCs w:val="1"/>
                <w:color w:val="auto"/>
              </w:rPr>
              <w:t>Class A common stock, par value $0.0001 per share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
          </w:tcPr>
          <w:p>
            <w:pPr>
              <w:jc w:val="center"/>
              <w:ind w:right="1240"/>
              <w:spacing w:after="0"/>
              <w:rPr>
                <w:sz w:val="20"/>
                <w:szCs w:val="20"/>
                <w:color w:val="auto"/>
              </w:rPr>
            </w:pPr>
            <w:r>
              <w:rPr>
                <w:rFonts w:ascii="Calibri" w:cs="Calibri" w:eastAsia="Calibri" w:hAnsi="Calibri"/>
                <w:sz w:val="14"/>
                <w:szCs w:val="14"/>
                <w:b w:val="1"/>
                <w:bCs w:val="1"/>
                <w:color w:val="auto"/>
              </w:rPr>
              <w:t>SEAT</w:t>
            </w:r>
          </w:p>
        </w:tc>
        <w:tc>
          <w:tcPr>
            <w:tcW w:w="3940" w:type="dxa"/>
            <w:vAlign w:val="bottom"/>
          </w:tcPr>
          <w:p>
            <w:pPr>
              <w:jc w:val="center"/>
              <w:ind w:right="1068"/>
              <w:spacing w:after="0"/>
              <w:rPr>
                <w:sz w:val="20"/>
                <w:szCs w:val="20"/>
                <w:color w:val="auto"/>
              </w:rPr>
            </w:pPr>
            <w:r>
              <w:rPr>
                <w:rFonts w:ascii="Calibri" w:cs="Calibri" w:eastAsia="Calibri" w:hAnsi="Calibri"/>
                <w:sz w:val="14"/>
                <w:szCs w:val="14"/>
                <w:b w:val="1"/>
                <w:bCs w:val="1"/>
                <w:color w:val="auto"/>
              </w:rPr>
              <w:t>The Nasdaq Stock Market LLC</w:t>
            </w:r>
          </w:p>
        </w:tc>
      </w:tr>
      <w:tr>
        <w:trPr>
          <w:trHeight w:val="243"/>
        </w:trPr>
        <w:tc>
          <w:tcPr>
            <w:tcW w:w="4020" w:type="dxa"/>
            <w:vAlign w:val="bottom"/>
          </w:tcPr>
          <w:p>
            <w:pPr>
              <w:jc w:val="center"/>
              <w:ind w:left="208"/>
              <w:spacing w:after="0"/>
              <w:rPr>
                <w:sz w:val="20"/>
                <w:szCs w:val="20"/>
                <w:color w:val="auto"/>
              </w:rPr>
            </w:pPr>
            <w:r>
              <w:rPr>
                <w:rFonts w:ascii="Calibri" w:cs="Calibri" w:eastAsia="Calibri" w:hAnsi="Calibri"/>
                <w:sz w:val="14"/>
                <w:szCs w:val="14"/>
                <w:b w:val="1"/>
                <w:bCs w:val="1"/>
                <w:color w:val="auto"/>
              </w:rPr>
              <w:t>Warrants to purchase one share of Class A common stock</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b w:val="1"/>
                <w:bCs w:val="1"/>
                <w:color w:val="auto"/>
              </w:rPr>
              <w:t>SEATW</w:t>
            </w:r>
          </w:p>
        </w:tc>
        <w:tc>
          <w:tcPr>
            <w:tcW w:w="3940" w:type="dxa"/>
            <w:vAlign w:val="bottom"/>
          </w:tcPr>
          <w:p>
            <w:pPr>
              <w:jc w:val="center"/>
              <w:ind w:right="1068"/>
              <w:spacing w:after="0"/>
              <w:rPr>
                <w:sz w:val="20"/>
                <w:szCs w:val="20"/>
                <w:color w:val="auto"/>
              </w:rPr>
            </w:pPr>
            <w:r>
              <w:rPr>
                <w:rFonts w:ascii="Calibri" w:cs="Calibri" w:eastAsia="Calibri" w:hAnsi="Calibri"/>
                <w:sz w:val="14"/>
                <w:szCs w:val="14"/>
                <w:b w:val="1"/>
                <w:bCs w:val="1"/>
                <w:color w:val="auto"/>
              </w:rPr>
              <w:t>The Nasdaq Stock Market LLC</w:t>
            </w:r>
          </w:p>
        </w:tc>
      </w:tr>
    </w:tbl>
    <w:p>
      <w:pPr>
        <w:spacing w:after="0" w:line="127" w:lineRule="exact"/>
        <w:rPr>
          <w:sz w:val="24"/>
          <w:szCs w:val="24"/>
          <w:color w:val="auto"/>
        </w:rPr>
      </w:pPr>
    </w:p>
    <w:p>
      <w:pPr>
        <w:jc w:val="both"/>
        <w:spacing w:after="0" w:line="196"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245"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Accelerated fler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96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Smaller reportng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00" w:type="dxa"/>
            <w:vAlign w:val="bottom"/>
          </w:tcPr>
          <w:p>
            <w:pPr>
              <w:ind w:left="2600"/>
              <w:spacing w:after="0"/>
              <w:rPr>
                <w:sz w:val="20"/>
                <w:szCs w:val="20"/>
                <w:color w:val="auto"/>
              </w:rPr>
            </w:pPr>
            <w:r>
              <w:rPr>
                <w:rFonts w:ascii="Calibri" w:cs="Calibri" w:eastAsia="Calibri" w:hAnsi="Calibri"/>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5" w:lineRule="exact"/>
        <w:rPr>
          <w:sz w:val="24"/>
          <w:szCs w:val="24"/>
          <w:color w:val="auto"/>
        </w:rPr>
      </w:pPr>
    </w:p>
    <w:p>
      <w:pPr>
        <w:spacing w:after="0" w:line="196"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71" w:lineRule="exact"/>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 Yes </w:t>
      </w:r>
      <w:r>
        <w:rPr>
          <w:rFonts w:ascii="MS PGothic" w:cs="MS PGothic" w:eastAsia="MS PGothic" w:hAnsi="MS PGothic"/>
          <w:sz w:val="14"/>
          <w:szCs w:val="14"/>
          <w:color w:val="auto"/>
        </w:rPr>
        <w:t>☐</w:t>
      </w:r>
      <w:r>
        <w:rPr>
          <w:rFonts w:ascii="Calibri" w:cs="Calibri" w:eastAsia="Calibri" w:hAnsi="Calibri"/>
          <w:sz w:val="14"/>
          <w:szCs w:val="14"/>
          <w:color w:val="auto"/>
        </w:rPr>
        <w:t> No </w:t>
      </w:r>
      <w:r>
        <w:rPr>
          <w:rFonts w:ascii="MS PGothic" w:cs="MS PGothic" w:eastAsia="MS PGothic" w:hAnsi="MS PGothic"/>
          <w:sz w:val="14"/>
          <w:szCs w:val="14"/>
          <w:color w:val="auto"/>
        </w:rPr>
        <w:t>☒</w:t>
      </w:r>
    </w:p>
    <w:p>
      <w:pPr>
        <w:spacing w:after="0" w:line="152" w:lineRule="exact"/>
        <w:rPr>
          <w:sz w:val="24"/>
          <w:szCs w:val="24"/>
          <w:color w:val="auto"/>
        </w:rPr>
      </w:pPr>
    </w:p>
    <w:p>
      <w:pPr>
        <w:spacing w:after="0" w:line="245" w:lineRule="auto"/>
        <w:rPr>
          <w:sz w:val="20"/>
          <w:szCs w:val="20"/>
          <w:color w:val="auto"/>
        </w:rPr>
      </w:pPr>
      <w:r>
        <w:rPr>
          <w:rFonts w:ascii="Calibri" w:cs="Calibri" w:eastAsia="Calibri" w:hAnsi="Calibri"/>
          <w:sz w:val="14"/>
          <w:szCs w:val="14"/>
          <w:color w:val="auto"/>
        </w:rPr>
        <w:t>As of October 31, 2024, the registrant had outstanding 131,520,349 shares of Class A common stock, $0.0001 par value per share, net of treasury shares, and 76,225,000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80" w:type="dxa"/>
            <w:vAlign w:val="bottom"/>
            <w:gridSpan w:val="7"/>
          </w:tcPr>
          <w:p>
            <w:pPr>
              <w:ind w:left="80"/>
              <w:spacing w:after="0"/>
              <w:rPr>
                <w:sz w:val="20"/>
                <w:szCs w:val="20"/>
                <w:color w:val="auto"/>
              </w:rPr>
            </w:pPr>
            <w:r>
              <w:rPr>
                <w:rFonts w:ascii="Calibri" w:cs="Calibri" w:eastAsia="Calibri" w:hAnsi="Calibri"/>
                <w:sz w:val="18"/>
                <w:szCs w:val="18"/>
                <w:b w:val="1"/>
                <w:bCs w:val="1"/>
                <w:color w:val="auto"/>
              </w:rPr>
              <w:t>TABLE OF CONTENTS</w:t>
            </w:r>
          </w:p>
        </w:tc>
        <w:tc>
          <w:tcPr>
            <w:tcW w:w="560" w:type="dxa"/>
            <w:vAlign w:val="bottom"/>
          </w:tcPr>
          <w:p>
            <w:pPr>
              <w:spacing w:after="0"/>
              <w:rPr>
                <w:sz w:val="19"/>
                <w:szCs w:val="19"/>
                <w:color w:val="auto"/>
              </w:rPr>
            </w:pPr>
          </w:p>
        </w:tc>
      </w:tr>
      <w:tr>
        <w:trPr>
          <w:trHeight w:val="662"/>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Page</w:t>
            </w:r>
          </w:p>
        </w:tc>
      </w:tr>
      <w:tr>
        <w:trPr>
          <w:trHeight w:val="37"/>
        </w:trPr>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304"/>
        </w:trPr>
        <w:tc>
          <w:tcPr>
            <w:tcW w:w="10680" w:type="dxa"/>
            <w:vAlign w:val="bottom"/>
            <w:gridSpan w:val="21"/>
          </w:tcPr>
          <w:p>
            <w:pPr>
              <w:ind w:left="20"/>
              <w:spacing w:after="0"/>
              <w:rPr>
                <w:sz w:val="20"/>
                <w:szCs w:val="20"/>
                <w:color w:val="auto"/>
              </w:rPr>
            </w:pPr>
            <w:r>
              <w:rPr>
                <w:rFonts w:ascii="Calibri" w:cs="Calibri" w:eastAsia="Calibri" w:hAnsi="Calibri"/>
                <w:sz w:val="18"/>
                <w:szCs w:val="18"/>
                <w:color w:val="0000FF"/>
              </w:rPr>
              <w:t>Forward-Looking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PART 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Statements (Unaudited)</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Balance Sheets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Operatons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Comprehensive Income</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Equity (Defcit)</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Cash Flows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Notes to Condensed Consolidated Financial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9</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29</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Controls and Procedures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41</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PART II.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1A.</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Risk Factors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Defaults Upon Senior Securites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Mine Safety Disclosures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5.</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6.</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Exhibits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43</w:t>
            </w: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color w:val="0000FF"/>
              </w:rPr>
              <w:t>Signatures</w:t>
            </w:r>
          </w:p>
        </w:tc>
        <w:tc>
          <w:tcPr>
            <w:tcW w:w="5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45</w:t>
            </w:r>
          </w:p>
        </w:tc>
      </w:tr>
      <w:tr>
        <w:trPr>
          <w:trHeight w:val="1675"/>
        </w:trPr>
        <w:tc>
          <w:tcPr>
            <w:tcW w:w="7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FORWARD-LOOKING STATEMENTS</w:t>
      </w:r>
    </w:p>
    <w:p>
      <w:pPr>
        <w:spacing w:after="0" w:line="200" w:lineRule="exact"/>
        <w:rPr>
          <w:sz w:val="20"/>
          <w:szCs w:val="20"/>
          <w:color w:val="auto"/>
        </w:rPr>
      </w:pP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Quarterly Report on Form 10-Q (this “Report”) contains “forward-looking statements” (within the meaning of Secton 27A of the Securites Act of 1933, as amended, and Secton 21E of the Securites Exchange Act of 1934, as amended (the “Exchange Act”)) regarding future events and the future results of Vivid Seats Inc. and its subsidiaries, including Hoya Intermediate, LLC (“Hoya Intermediate”), Hoya Midco, LLC and Vivid Seats LLC (collectvely, “we,” “us” and “our”). Words such as “antcipate,” “believe,” “can,” “contnue,” “could,” “designed,” “estmate,” “expect,” “forecast,” “future,” “goal,” “intend,” “likely,” “may,” “plan,” “project,” “propose,” “seek,” “should,” “target,” “will” and “would,” as well as similar expressions which predict or indicate future events and trends or which do not relate to historical maters, are intended to identfy such forward-looking statements.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example, we may use forward-looking statements when addressing topics such as our future fnancial performance, including our ability to generate sufcient cash fows or to raise additonal capital when necessary or desirable, our success in atractng, hiring, motvatng and retaining our senior management team, key technical employees and other highly skilled personnel, our ability to declare and pay dividends on our Class A common stock and other topics relatng to our business, operatons and fnancial performance such as:</w:t>
      </w:r>
    </w:p>
    <w:p>
      <w:pPr>
        <w:spacing w:after="0" w:line="120" w:lineRule="exact"/>
        <w:rPr>
          <w:sz w:val="20"/>
          <w:szCs w:val="20"/>
          <w:color w:val="auto"/>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supply and demand of live concert, sportng and theater events;</w:t>
      </w:r>
    </w:p>
    <w:p>
      <w:pPr>
        <w:spacing w:after="0" w:line="117"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adverse economic conditons afectng discretonary consumer and corporate spending;</w:t>
      </w:r>
    </w:p>
    <w:p>
      <w:pPr>
        <w:spacing w:after="0" w:line="117"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maintain and develop our relatonships with tcket buyers, sellers and partners;</w:t>
      </w:r>
    </w:p>
    <w:p>
      <w:pPr>
        <w:spacing w:after="0" w:line="117"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compete in the tcketng industry;</w:t>
      </w:r>
    </w:p>
    <w:p>
      <w:pPr>
        <w:spacing w:after="0" w:line="117"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contnue to maintain and improve our platorm and develop successful new solutons and enhancements or improve existng ones;</w:t>
      </w:r>
    </w:p>
    <w:p>
      <w:pPr>
        <w:spacing w:after="0" w:line="117"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extraordinary events, including disease epidemics and pandemics;</w:t>
      </w:r>
    </w:p>
    <w:p>
      <w:pPr>
        <w:spacing w:after="0" w:line="122"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7"/>
          <w:szCs w:val="17"/>
          <w:color w:val="231F20"/>
        </w:rPr>
      </w:pPr>
      <w:r>
        <w:rPr>
          <w:rFonts w:ascii="Calibri" w:cs="Calibri" w:eastAsia="Calibri" w:hAnsi="Calibri"/>
          <w:sz w:val="17"/>
          <w:szCs w:val="17"/>
          <w:color w:val="231F20"/>
        </w:rPr>
        <w:t>our ability to identfy suitable acquisiton targets, to complete planned acquisitons and to realize the expected benefts of completed acquisitons;</w:t>
      </w:r>
    </w:p>
    <w:p>
      <w:pPr>
        <w:spacing w:after="0" w:line="125" w:lineRule="exact"/>
        <w:rPr>
          <w:rFonts w:ascii="Times New Roman" w:cs="Times New Roman" w:eastAsia="Times New Roman" w:hAnsi="Times New Roman"/>
          <w:sz w:val="17"/>
          <w:szCs w:val="17"/>
          <w:color w:val="231F20"/>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comply with applicable regulatory regimes;</w:t>
      </w:r>
    </w:p>
    <w:p>
      <w:pPr>
        <w:spacing w:after="0" w:line="117"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unfavorable legislatve outcomes, or unfavorable outcomes in legal proceedings; and</w:t>
      </w:r>
    </w:p>
    <w:p>
      <w:pPr>
        <w:spacing w:after="0" w:line="122" w:lineRule="exact"/>
        <w:rPr>
          <w:rFonts w:ascii="Times New Roman" w:cs="Times New Roman" w:eastAsia="Times New Roman" w:hAnsi="Times New Roman"/>
          <w:sz w:val="18"/>
          <w:szCs w:val="18"/>
          <w:color w:val="231F20"/>
        </w:rPr>
      </w:pPr>
    </w:p>
    <w:p>
      <w:pPr>
        <w:ind w:left="760" w:hanging="303"/>
        <w:spacing w:after="0"/>
        <w:tabs>
          <w:tab w:leader="none" w:pos="760" w:val="left"/>
        </w:tabs>
        <w:numPr>
          <w:ilvl w:val="0"/>
          <w:numId w:val="3"/>
        </w:numPr>
        <w:rPr>
          <w:rFonts w:ascii="Times New Roman" w:cs="Times New Roman" w:eastAsia="Times New Roman" w:hAnsi="Times New Roman"/>
          <w:sz w:val="17"/>
          <w:szCs w:val="17"/>
          <w:color w:val="231F20"/>
        </w:rPr>
      </w:pPr>
      <w:r>
        <w:rPr>
          <w:rFonts w:ascii="Calibri" w:cs="Calibri" w:eastAsia="Calibri" w:hAnsi="Calibri"/>
          <w:sz w:val="17"/>
          <w:szCs w:val="17"/>
          <w:color w:val="231F20"/>
        </w:rPr>
        <w:t>our ability to maintain the integrity of our informaton systems and infrastructure, and to identfy, assess and manage relevant cybersecurity risks.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based these forward-looking statements largely on our current expectatons, estmates, forecasts and projectons about future events and fnancial trends that we believe may afect our business, fnancial conditon and results of operatons.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Forward-looking statements are not guarantees of future performance, conditons or results, and are subject to risks, uncertaintes and assumptons that can be difcult to predict and/or are outside of our control. Therefore, actual results may difer materially from those contemplated by any forward-looking statements. You are cautoned not to place undue reliance on these forward-looking statements, which speak only as of the date of this Report or, in the case of statements incorporated by reference herein, as of the date of the incorporated document.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Important factors that could cause or contribute to such diferences include, but are not limited to, those discussed in the “Risk Factors” and “Management’s Discussion and Analysis of Financial Conditon and Results of Operatons” sectons of this Report and our Annual Report on Form 10-K for the fscal year ended December 31, 2023, which was fled with the U.S. Securites and Exchange Commission (the “SEC”) on March 8, 2024 (our “2023 Form 10-K”), as well as in our press releases and other flings with the SEC. Except as required by applicable law, we undertake no obligaton to update or revise any forward-looking statements, whether as a result of new informaton, future events or otherwise.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per share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600"/>
              <w:spacing w:after="0"/>
              <w:rPr>
                <w:sz w:val="20"/>
                <w:szCs w:val="20"/>
                <w:color w:val="auto"/>
              </w:rPr>
            </w:pPr>
            <w:r>
              <w:rPr>
                <w:rFonts w:ascii="Calibri" w:cs="Calibri" w:eastAsia="Calibri" w:hAnsi="Calibri"/>
                <w:sz w:val="18"/>
                <w:szCs w:val="18"/>
                <w:b w:val="1"/>
                <w:bCs w:val="1"/>
                <w:color w:val="auto"/>
              </w:rPr>
              <w:t>September 30,</w:t>
            </w:r>
          </w:p>
        </w:tc>
        <w:tc>
          <w:tcPr>
            <w:tcW w:w="1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59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7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7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b w:val="1"/>
                <w:bCs w:val="1"/>
                <w:color w:val="auto"/>
              </w:rPr>
              <w:t>Current 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202,274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125,484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Restricted cash</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6,187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6,950</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receivable – net</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65,306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58,481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Inventory – net</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22,254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21,018</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29,899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34,061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80" w:type="dxa"/>
            <w:vAlign w:val="bottom"/>
            <w:tcBorders>
              <w:top w:val="single" w:sz="8" w:color="CFF0FC"/>
            </w:tcBorders>
          </w:tcPr>
          <w:p>
            <w:pPr>
              <w:ind w:left="120"/>
              <w:spacing w:after="0" w:line="208" w:lineRule="exact"/>
              <w:rPr>
                <w:sz w:val="20"/>
                <w:szCs w:val="20"/>
                <w:color w:val="auto"/>
              </w:rPr>
            </w:pPr>
            <w:r>
              <w:rPr>
                <w:rFonts w:ascii="Calibri" w:cs="Calibri" w:eastAsia="Calibri" w:hAnsi="Calibri"/>
                <w:sz w:val="18"/>
                <w:szCs w:val="18"/>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325,920</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245,994</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Property and equipment – net</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9,589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Right-of-use assets – net</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9,344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9,826</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Intangible assets – net</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225,128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241,155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Goodwill</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946,857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947,359</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tax assets</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81,245</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85,564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Investments</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7,152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6,993</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Other non-current assets</w:t>
            </w:r>
          </w:p>
        </w:tc>
        <w:tc>
          <w:tcPr>
            <w:tcW w:w="2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5,356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78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assets</w:t>
            </w:r>
          </w:p>
        </w:tc>
        <w:tc>
          <w:tcPr>
            <w:tcW w:w="20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1,610,591</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Borders>
              <w:top w:val="single" w:sz="8" w:color="CFF0FC"/>
            </w:tcBorders>
          </w:tcPr>
          <w:p>
            <w:pPr>
              <w:spacing w:after="0"/>
              <w:rPr>
                <w:sz w:val="18"/>
                <w:szCs w:val="18"/>
                <w:color w:val="auto"/>
              </w:rPr>
            </w:pPr>
          </w:p>
        </w:tc>
      </w:tr>
      <w:tr>
        <w:trPr>
          <w:trHeight w:val="2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78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redeemable noncontrolling interests, and shareholders' equity</w:t>
            </w:r>
          </w:p>
        </w:tc>
        <w:tc>
          <w:tcPr>
            <w:tcW w:w="2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b w:val="1"/>
                <w:bCs w:val="1"/>
                <w:color w:val="auto"/>
              </w:rPr>
              <w:t>Current liabilites: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payable</w:t>
            </w: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224,328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257,514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159,781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191,642</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Deferred revenue</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24,632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Current maturites of long-term debt</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3,950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3,933</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80" w:type="dxa"/>
            <w:vAlign w:val="bottom"/>
            <w:tcBorders>
              <w:bottom w:val="single" w:sz="8" w:color="CFF0FC"/>
            </w:tcBorders>
            <w:shd w:val="clear" w:color="auto" w:fill="CFF0FC"/>
          </w:tcPr>
          <w:p>
            <w:pPr>
              <w:ind w:left="120"/>
              <w:spacing w:after="0" w:line="208" w:lineRule="exact"/>
              <w:rPr>
                <w:sz w:val="20"/>
                <w:szCs w:val="20"/>
                <w:color w:val="auto"/>
              </w:rPr>
            </w:pPr>
            <w:r>
              <w:rPr>
                <w:rFonts w:ascii="Calibri" w:cs="Calibri" w:eastAsia="Calibri" w:hAnsi="Calibri"/>
                <w:sz w:val="18"/>
                <w:szCs w:val="18"/>
                <w:b w:val="1"/>
                <w:bCs w:val="1"/>
                <w:color w:val="auto"/>
              </w:rPr>
              <w:t>Total current liabilites</w:t>
            </w:r>
          </w:p>
        </w:tc>
        <w:tc>
          <w:tcPr>
            <w:tcW w:w="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412,691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487,763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Long-term debt – net</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385,730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264,632</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Long-term lease liabilites</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15,803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16,215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TRA liability</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162,233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165,699</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Other liabilites</w:t>
            </w:r>
          </w:p>
        </w:tc>
        <w:tc>
          <w:tcPr>
            <w:tcW w:w="2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22,659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29,031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80" w:type="dxa"/>
            <w:vAlign w:val="bottom"/>
            <w:tcBorders>
              <w:top w:val="single" w:sz="8" w:color="CFF0FC"/>
            </w:tcBorders>
          </w:tcPr>
          <w:p>
            <w:pPr>
              <w:ind w:left="120"/>
              <w:spacing w:after="0" w:line="208" w:lineRule="exact"/>
              <w:rPr>
                <w:sz w:val="20"/>
                <w:szCs w:val="20"/>
                <w:color w:val="auto"/>
              </w:rPr>
            </w:pPr>
            <w:r>
              <w:rPr>
                <w:rFonts w:ascii="Calibri" w:cs="Calibri" w:eastAsia="Calibri" w:hAnsi="Calibri"/>
                <w:sz w:val="18"/>
                <w:szCs w:val="18"/>
                <w:b w:val="1"/>
                <w:bCs w:val="1"/>
                <w:color w:val="auto"/>
              </w:rPr>
              <w:t>Total long-term liabilites</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586,425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475,577</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80" w:type="dxa"/>
            <w:vAlign w:val="bottom"/>
            <w:tcBorders>
              <w:bottom w:val="single" w:sz="8" w:color="CFF0FC"/>
            </w:tcBorders>
            <w:shd w:val="clear" w:color="auto" w:fill="CFF0FC"/>
          </w:tcPr>
          <w:p>
            <w:pPr>
              <w:ind w:left="120"/>
              <w:spacing w:after="0" w:line="208" w:lineRule="exact"/>
              <w:rPr>
                <w:sz w:val="20"/>
                <w:szCs w:val="20"/>
                <w:color w:val="auto"/>
              </w:rPr>
            </w:pPr>
            <w:r>
              <w:rPr>
                <w:rFonts w:ascii="Calibri" w:cs="Calibri" w:eastAsia="Calibri" w:hAnsi="Calibri"/>
                <w:sz w:val="18"/>
                <w:szCs w:val="18"/>
                <w:b w:val="1"/>
                <w:bCs w:val="1"/>
                <w:color w:val="auto"/>
              </w:rPr>
              <w:t>Commitments and contngencies (Note 15)</w:t>
            </w:r>
          </w:p>
        </w:tc>
        <w:tc>
          <w:tcPr>
            <w:tcW w:w="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282,033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481,742</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b w:val="1"/>
                <w:bCs w:val="1"/>
                <w:color w:val="auto"/>
              </w:rPr>
              <w:t>Shareholders' equity</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7"/>
        </w:trPr>
        <w:tc>
          <w:tcPr>
            <w:tcW w:w="7780" w:type="dxa"/>
            <w:vAlign w:val="bottom"/>
          </w:tcPr>
          <w:p>
            <w:pPr>
              <w:ind w:left="120"/>
              <w:spacing w:after="0" w:line="207" w:lineRule="exact"/>
              <w:rPr>
                <w:sz w:val="20"/>
                <w:szCs w:val="20"/>
                <w:color w:val="auto"/>
              </w:rPr>
            </w:pPr>
            <w:r>
              <w:rPr>
                <w:rFonts w:ascii="Calibri" w:cs="Calibri" w:eastAsia="Calibri" w:hAnsi="Calibri"/>
                <w:sz w:val="18"/>
                <w:szCs w:val="18"/>
                <w:color w:val="auto"/>
              </w:rPr>
              <w:t>Class A common stock, $0.0001 par value; 500,000,000 shares authorized, 142,866,611 and</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141,167,311 shares issued and outstanding at September 30, 2024 and December 31, 2023, respectvely</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r>
      <w:tr>
        <w:trPr>
          <w:trHeight w:val="37"/>
        </w:trPr>
        <w:tc>
          <w:tcPr>
            <w:tcW w:w="7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778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Class B common stock, $0.0001 par value; 250,000,000 shares authorized, 76,225,000 shares issued and</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outstanding at September 30, 2024 and December 31, 2023</w:t>
            </w: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Additonal paid-in capital</w:t>
            </w:r>
          </w:p>
        </w:tc>
        <w:tc>
          <w:tcPr>
            <w:tcW w:w="20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1,333,518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1,096,430</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78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w w:val="99"/>
              </w:rPr>
              <w:t>Treasury stock, at cost, 11,433,749 and 7,291,497 shares at September 30, 2024 and December 31, 2023,</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respectvely</w:t>
            </w:r>
          </w:p>
        </w:tc>
        <w:tc>
          <w:tcPr>
            <w:tcW w:w="20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(75,584 )</w:t>
            </w: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(52,586 )</w:t>
            </w:r>
          </w:p>
        </w:tc>
      </w:tr>
      <w:tr>
        <w:trPr>
          <w:trHeight w:val="215"/>
        </w:trPr>
        <w:tc>
          <w:tcPr>
            <w:tcW w:w="778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defcit</w:t>
            </w:r>
          </w:p>
        </w:tc>
        <w:tc>
          <w:tcPr>
            <w:tcW w:w="200" w:type="dxa"/>
            <w:vAlign w:val="bottom"/>
          </w:tcPr>
          <w:p>
            <w:pPr>
              <w:spacing w:after="0"/>
              <w:rPr>
                <w:sz w:val="18"/>
                <w:szCs w:val="18"/>
                <w:color w:val="auto"/>
              </w:rPr>
            </w:pPr>
          </w:p>
        </w:tc>
        <w:tc>
          <w:tcPr>
            <w:tcW w:w="17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(929,284 )</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(939,596 )</w:t>
            </w:r>
          </w:p>
        </w:tc>
      </w:tr>
      <w:tr>
        <w:trPr>
          <w:trHeight w:val="28"/>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Accumulated other comprehensive income</w:t>
            </w:r>
          </w:p>
        </w:tc>
        <w:tc>
          <w:tcPr>
            <w:tcW w:w="2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80" w:type="dxa"/>
            <w:vAlign w:val="bottom"/>
            <w:tcBorders>
              <w:top w:val="single" w:sz="8" w:color="CFF0FC"/>
            </w:tcBorders>
          </w:tcPr>
          <w:p>
            <w:pPr>
              <w:ind w:left="120"/>
              <w:spacing w:after="0" w:line="208" w:lineRule="exact"/>
              <w:rPr>
                <w:sz w:val="20"/>
                <w:szCs w:val="20"/>
                <w:color w:val="auto"/>
              </w:rPr>
            </w:pPr>
            <w:r>
              <w:rPr>
                <w:rFonts w:ascii="Calibri" w:cs="Calibri" w:eastAsia="Calibri" w:hAnsi="Calibri"/>
                <w:sz w:val="18"/>
                <w:szCs w:val="18"/>
                <w:b w:val="1"/>
                <w:bCs w:val="1"/>
                <w:color w:val="auto"/>
              </w:rPr>
              <w:t>Total shareholders' equity</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329,442</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105,017</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778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Total liabilites, redeemable noncontrolling interests, and shareholders' equity</w:t>
            </w:r>
          </w:p>
        </w:tc>
        <w:tc>
          <w:tcPr>
            <w:tcW w:w="20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1,610,591</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-5459730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-5459730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-4217035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-2322195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t>VIVID SEATS INC.</w:t>
      </w:r>
    </w:p>
    <w:p>
      <w:pPr>
        <w:ind w:left="3480"/>
        <w:spacing w:after="0" w:line="235" w:lineRule="auto"/>
        <w:rPr>
          <w:sz w:val="20"/>
          <w:szCs w:val="20"/>
          <w:color w:val="auto"/>
        </w:rPr>
      </w:pPr>
      <w:r>
        <w:rPr>
          <w:rFonts w:ascii="Calibri" w:cs="Calibri" w:eastAsia="Calibri" w:hAnsi="Calibri"/>
          <w:sz w:val="18"/>
          <w:szCs w:val="18"/>
          <w:b w:val="1"/>
          <w:bCs w:val="1"/>
          <w:color w:val="auto"/>
        </w:rPr>
        <w:t>CONDENSED CONSOLIDATED STATEMENTS OF OPERATIONS</w:t>
      </w:r>
    </w:p>
    <w:p>
      <w:pPr>
        <w:ind w:left="3440"/>
        <w:spacing w:after="0" w:line="236" w:lineRule="auto"/>
        <w:rPr>
          <w:sz w:val="20"/>
          <w:szCs w:val="20"/>
          <w:color w:val="auto"/>
        </w:rPr>
      </w:pPr>
      <w:r>
        <w:rPr>
          <w:rFonts w:ascii="Calibri" w:cs="Calibri" w:eastAsia="Calibri" w:hAnsi="Calibri"/>
          <w:sz w:val="18"/>
          <w:szCs w:val="18"/>
          <w:b w:val="1"/>
          <w:bCs w:val="1"/>
          <w:color w:val="auto"/>
        </w:rPr>
        <w:t>(in thousands, except share and per share data)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jc w:val="right"/>
              <w:ind w:right="420"/>
              <w:spacing w:after="0"/>
              <w:rPr>
                <w:sz w:val="20"/>
                <w:szCs w:val="20"/>
                <w:color w:val="auto"/>
              </w:rPr>
            </w:pPr>
            <w:r>
              <w:rPr>
                <w:rFonts w:ascii="Calibri" w:cs="Calibri" w:eastAsia="Calibri" w:hAnsi="Calibri"/>
                <w:sz w:val="14"/>
                <w:szCs w:val="14"/>
                <w:b w:val="1"/>
                <w:bCs w:val="1"/>
                <w:color w:val="auto"/>
              </w:rPr>
              <w:t>Three Months Ended September 30,</w:t>
            </w:r>
          </w:p>
        </w:tc>
        <w:tc>
          <w:tcPr>
            <w:tcW w:w="120" w:type="dxa"/>
            <w:vAlign w:val="bottom"/>
          </w:tcPr>
          <w:p>
            <w:pPr>
              <w:spacing w:after="0"/>
              <w:rPr>
                <w:sz w:val="14"/>
                <w:szCs w:val="14"/>
                <w:color w:val="auto"/>
              </w:rPr>
            </w:pPr>
          </w:p>
        </w:tc>
        <w:tc>
          <w:tcPr>
            <w:tcW w:w="2400" w:type="dxa"/>
            <w:vAlign w:val="bottom"/>
            <w:gridSpan w:val="5"/>
          </w:tcPr>
          <w:p>
            <w:pPr>
              <w:jc w:val="right"/>
              <w:ind w:right="280"/>
              <w:spacing w:after="0"/>
              <w:rPr>
                <w:sz w:val="20"/>
                <w:szCs w:val="20"/>
                <w:color w:val="auto"/>
              </w:rPr>
            </w:pPr>
            <w:r>
              <w:rPr>
                <w:rFonts w:ascii="Calibri" w:cs="Calibri" w:eastAsia="Calibri" w:hAnsi="Calibri"/>
                <w:sz w:val="14"/>
                <w:szCs w:val="14"/>
                <w:b w:val="1"/>
                <w:bCs w:val="1"/>
                <w:color w:val="auto"/>
              </w:rPr>
              <w:t>Nine Months Ended September 30,</w:t>
            </w:r>
          </w:p>
        </w:tc>
      </w:tr>
      <w:tr>
        <w:trPr>
          <w:trHeight w:val="3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28"/>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8"/>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28"/>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2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60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2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9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186,605</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b w:val="1"/>
                <w:bCs w:val="1"/>
                <w:color w:val="auto"/>
                <w:w w:val="83"/>
              </w:rPr>
              <w:t>$</w:t>
            </w:r>
          </w:p>
        </w:tc>
        <w:tc>
          <w:tcPr>
            <w:tcW w:w="82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188,133</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9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575,773</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b w:val="1"/>
                <w:bCs w:val="1"/>
                <w:color w:val="auto"/>
                <w:w w:val="83"/>
              </w:rPr>
              <w:t>$</w:t>
            </w:r>
          </w:p>
        </w:tc>
        <w:tc>
          <w:tcPr>
            <w:tcW w:w="8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514,576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Cost of revenues (exclusive of depreciaton and amortzaton shown separately below)</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51,029</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50,462</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149,377</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130,838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100"/>
              <w:spacing w:after="0"/>
              <w:rPr>
                <w:sz w:val="20"/>
                <w:szCs w:val="20"/>
                <w:color w:val="auto"/>
              </w:rPr>
            </w:pPr>
            <w:r>
              <w:rPr>
                <w:rFonts w:ascii="Calibri" w:cs="Calibri" w:eastAsia="Calibri" w:hAnsi="Calibri"/>
                <w:sz w:val="14"/>
                <w:szCs w:val="14"/>
                <w:color w:val="auto"/>
              </w:rPr>
              <w:t>Marketng and selling</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67,835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77,006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205,695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196,970</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General and administratve</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46,306</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37,225</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149,725</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107,921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100"/>
              <w:spacing w:after="0"/>
              <w:rPr>
                <w:sz w:val="20"/>
                <w:szCs w:val="20"/>
                <w:color w:val="auto"/>
              </w:rPr>
            </w:pPr>
            <w:r>
              <w:rPr>
                <w:rFonts w:ascii="Calibri" w:cs="Calibri" w:eastAsia="Calibri" w:hAnsi="Calibri"/>
                <w:sz w:val="14"/>
                <w:szCs w:val="14"/>
                <w:color w:val="auto"/>
              </w:rPr>
              <w:t>Depreciaton and amortzaton</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10,669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3,301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31,654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8,603</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00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Change in fair value of contngent consideraton</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80"/>
              <w:spacing w:after="0"/>
              <w:rPr>
                <w:sz w:val="20"/>
                <w:szCs w:val="20"/>
                <w:color w:val="auto"/>
              </w:rPr>
            </w:pPr>
            <w:r>
              <w:rPr>
                <w:rFonts w:ascii="Calibri" w:cs="Calibri" w:eastAsia="Calibri" w:hAnsi="Calibri"/>
                <w:sz w:val="14"/>
                <w:szCs w:val="14"/>
                <w:color w:val="auto"/>
              </w:rPr>
              <w:t>—</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(998 )</w:t>
            </w:r>
          </w:p>
        </w:tc>
      </w:tr>
      <w:tr>
        <w:trPr>
          <w:trHeight w:val="170"/>
        </w:trPr>
        <w:tc>
          <w:tcPr>
            <w:tcW w:w="600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10,766</w:t>
            </w:r>
          </w:p>
        </w:tc>
        <w:tc>
          <w:tcPr>
            <w:tcW w:w="3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20,119</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39,322</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71,242</w:t>
            </w:r>
          </w:p>
        </w:tc>
        <w:tc>
          <w:tcPr>
            <w:tcW w:w="100" w:type="dxa"/>
            <w:vAlign w:val="bottom"/>
            <w:tcBorders>
              <w:top w:val="single" w:sz="8" w:color="CFF0FC"/>
            </w:tcBorders>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Other expense (income):</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100"/>
              <w:spacing w:after="0"/>
              <w:rPr>
                <w:sz w:val="20"/>
                <w:szCs w:val="20"/>
                <w:color w:val="auto"/>
              </w:rPr>
            </w:pPr>
            <w:r>
              <w:rPr>
                <w:rFonts w:ascii="Calibri" w:cs="Calibri" w:eastAsia="Calibri" w:hAnsi="Calibri"/>
                <w:sz w:val="14"/>
                <w:szCs w:val="14"/>
                <w:color w:val="auto"/>
              </w:rPr>
              <w:t>Interest expense – net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6,300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2,544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16,706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8,596</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00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Other income</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(9,020 )</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(1,038 )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(3,236 )</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(365 )</w:t>
            </w:r>
          </w:p>
        </w:tc>
      </w:tr>
      <w:tr>
        <w:trPr>
          <w:trHeight w:val="170"/>
        </w:trPr>
        <w:tc>
          <w:tcPr>
            <w:tcW w:w="600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Income before income taxes</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13,486</w:t>
            </w:r>
          </w:p>
        </w:tc>
        <w:tc>
          <w:tcPr>
            <w:tcW w:w="3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18,613</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25,852</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63,011</w:t>
            </w:r>
          </w:p>
        </w:tc>
        <w:tc>
          <w:tcPr>
            <w:tcW w:w="100" w:type="dxa"/>
            <w:vAlign w:val="bottom"/>
            <w:tcBorders>
              <w:top w:val="single" w:sz="8" w:color="CFF0FC"/>
            </w:tcBorders>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0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Income tax expense (beneft)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4,290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2,595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7,136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(21,605 )</w:t>
            </w:r>
          </w:p>
        </w:tc>
      </w:tr>
      <w:tr>
        <w:trPr>
          <w:trHeight w:val="170"/>
        </w:trPr>
        <w:tc>
          <w:tcPr>
            <w:tcW w:w="600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Net income</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9,196</w:t>
            </w:r>
          </w:p>
        </w:tc>
        <w:tc>
          <w:tcPr>
            <w:tcW w:w="3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16,018</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18,716</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84,616</w:t>
            </w:r>
          </w:p>
        </w:tc>
        <w:tc>
          <w:tcPr>
            <w:tcW w:w="100" w:type="dxa"/>
            <w:vAlign w:val="bottom"/>
            <w:tcBorders>
              <w:top w:val="single" w:sz="8" w:color="CFF0FC"/>
            </w:tcBorders>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Net income atributable to redeemable noncontrolling interests</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3,900</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9,341</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8,405</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35,045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3"/>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Net income atributable to Class A common stockholders</w:t>
            </w:r>
          </w:p>
        </w:tc>
        <w:tc>
          <w:tcPr>
            <w:tcW w:w="1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5,296</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6,677</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10,311</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Calibri" w:cs="Calibri" w:eastAsia="Calibri" w:hAnsi="Calibri"/>
                <w:sz w:val="14"/>
                <w:szCs w:val="14"/>
                <w:b w:val="1"/>
                <w:bCs w:val="1"/>
                <w:color w:val="auto"/>
                <w:w w:val="83"/>
              </w:rPr>
              <w:t>$</w:t>
            </w: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49,571</w:t>
            </w:r>
          </w:p>
        </w:tc>
        <w:tc>
          <w:tcPr>
            <w:tcW w:w="10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b w:val="1"/>
                <w:bCs w:val="1"/>
                <w:color w:val="auto"/>
              </w:rPr>
              <w:t>Net income per Class A common stock:</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Basic</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0.04</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0.07</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0.08</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w w:val="83"/>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0.57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color w:val="auto"/>
              </w:rPr>
              <w:t>Diluted</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0.04</w:t>
            </w:r>
          </w:p>
        </w:tc>
        <w:tc>
          <w:tcPr>
            <w:tcW w:w="3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color w:val="auto"/>
                <w:w w:val="83"/>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0.07</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0.08</w:t>
            </w:r>
          </w:p>
        </w:tc>
        <w:tc>
          <w:tcPr>
            <w:tcW w:w="2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alibri" w:cs="Calibri" w:eastAsia="Calibri" w:hAnsi="Calibri"/>
                <w:sz w:val="14"/>
                <w:szCs w:val="14"/>
                <w:color w:val="auto"/>
                <w:w w:val="83"/>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0.43</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Weighted average Class A common stock outstanding:</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000" w:type="dxa"/>
            <w:vAlign w:val="bottom"/>
          </w:tcPr>
          <w:p>
            <w:pPr>
              <w:ind w:left="20"/>
              <w:spacing w:after="0"/>
              <w:rPr>
                <w:sz w:val="20"/>
                <w:szCs w:val="20"/>
                <w:color w:val="auto"/>
              </w:rPr>
            </w:pPr>
            <w:r>
              <w:rPr>
                <w:rFonts w:ascii="Calibri" w:cs="Calibri" w:eastAsia="Calibri" w:hAnsi="Calibri"/>
                <w:sz w:val="14"/>
                <w:szCs w:val="14"/>
                <w:color w:val="auto"/>
              </w:rPr>
              <w:t>Basic</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131,521,578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96,407,327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132,460,381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86,403,617</w:t>
            </w:r>
          </w:p>
        </w:tc>
        <w:tc>
          <w:tcPr>
            <w:tcW w:w="100" w:type="dxa"/>
            <w:vAlign w:val="bottom"/>
          </w:tcPr>
          <w:p>
            <w:pPr>
              <w:spacing w:after="0"/>
              <w:rPr>
                <w:sz w:val="14"/>
                <w:szCs w:val="14"/>
                <w:color w:val="auto"/>
              </w:rPr>
            </w:pPr>
          </w:p>
        </w:tc>
      </w:tr>
      <w:tr>
        <w:trPr>
          <w:trHeight w:val="3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0"/>
        </w:trPr>
        <w:tc>
          <w:tcPr>
            <w:tcW w:w="60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Diluted</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131,954,681</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96,862,899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133,140,140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196,307,731</w:t>
            </w:r>
          </w:p>
        </w:tc>
        <w:tc>
          <w:tcPr>
            <w:tcW w:w="100" w:type="dxa"/>
            <w:vAlign w:val="bottom"/>
            <w:shd w:val="clear" w:color="auto" w:fill="CFF0FC"/>
          </w:tcPr>
          <w:p>
            <w:pPr>
              <w:spacing w:after="0"/>
              <w:rPr>
                <w:sz w:val="14"/>
                <w:szCs w:val="14"/>
                <w:color w:val="auto"/>
              </w:rPr>
            </w:pPr>
          </w:p>
        </w:tc>
      </w:tr>
      <w:tr>
        <w:trPr>
          <w:trHeight w:val="33"/>
        </w:trPr>
        <w:tc>
          <w:tcPr>
            <w:tcW w:w="6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-2116455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-2116455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-2116455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-1593850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-1328420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-1328420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-1328420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-1062355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-1062355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-1062355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STATEMENTS OF COMPREHENSIVE INCOME</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5"/>
          </w:tcPr>
          <w:p>
            <w:pPr>
              <w:jc w:val="right"/>
              <w:ind w:right="680"/>
              <w:spacing w:after="0"/>
              <w:rPr>
                <w:sz w:val="20"/>
                <w:szCs w:val="20"/>
                <w:color w:val="auto"/>
              </w:rPr>
            </w:pPr>
            <w:r>
              <w:rPr>
                <w:rFonts w:ascii="Calibri" w:cs="Calibri" w:eastAsia="Calibri" w:hAnsi="Calibri"/>
                <w:sz w:val="18"/>
                <w:szCs w:val="18"/>
                <w:b w:val="1"/>
                <w:bCs w:val="1"/>
                <w:color w:val="auto"/>
              </w:rPr>
              <w:t>Three Months Ended</w:t>
            </w:r>
          </w:p>
        </w:tc>
        <w:tc>
          <w:tcPr>
            <w:tcW w:w="200" w:type="dxa"/>
            <w:vAlign w:val="bottom"/>
          </w:tcPr>
          <w:p>
            <w:pPr>
              <w:spacing w:after="0"/>
              <w:rPr>
                <w:sz w:val="19"/>
                <w:szCs w:val="19"/>
                <w:color w:val="auto"/>
              </w:rPr>
            </w:pPr>
          </w:p>
        </w:tc>
        <w:tc>
          <w:tcPr>
            <w:tcW w:w="2100" w:type="dxa"/>
            <w:vAlign w:val="bottom"/>
            <w:gridSpan w:val="5"/>
          </w:tcPr>
          <w:p>
            <w:pPr>
              <w:jc w:val="right"/>
              <w:ind w:right="500"/>
              <w:spacing w:after="0"/>
              <w:rPr>
                <w:sz w:val="20"/>
                <w:szCs w:val="20"/>
                <w:color w:val="auto"/>
              </w:rPr>
            </w:pPr>
            <w:r>
              <w:rPr>
                <w:rFonts w:ascii="Calibri" w:cs="Calibri" w:eastAsia="Calibri" w:hAnsi="Calibri"/>
                <w:sz w:val="18"/>
                <w:szCs w:val="18"/>
                <w:b w:val="1"/>
                <w:bCs w:val="1"/>
                <w:color w:val="auto"/>
              </w:rPr>
              <w:t>Nine Months Ended</w:t>
            </w:r>
          </w:p>
        </w:tc>
      </w:tr>
      <w:tr>
        <w:trPr>
          <w:trHeight w:val="216"/>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900"/>
              <w:spacing w:after="0" w:line="216" w:lineRule="exact"/>
              <w:rPr>
                <w:sz w:val="20"/>
                <w:szCs w:val="20"/>
                <w:color w:val="auto"/>
              </w:rPr>
            </w:pPr>
            <w:r>
              <w:rPr>
                <w:rFonts w:ascii="Calibri" w:cs="Calibri" w:eastAsia="Calibri" w:hAnsi="Calibri"/>
                <w:sz w:val="18"/>
                <w:szCs w:val="18"/>
                <w:b w:val="1"/>
                <w:bCs w:val="1"/>
                <w:color w:val="auto"/>
              </w:rPr>
              <w:t>September 30,</w:t>
            </w:r>
          </w:p>
        </w:tc>
        <w:tc>
          <w:tcPr>
            <w:tcW w:w="200" w:type="dxa"/>
            <w:vAlign w:val="bottom"/>
          </w:tcPr>
          <w:p>
            <w:pPr>
              <w:spacing w:after="0"/>
              <w:rPr>
                <w:sz w:val="18"/>
                <w:szCs w:val="18"/>
                <w:color w:val="auto"/>
              </w:rPr>
            </w:pPr>
          </w:p>
        </w:tc>
        <w:tc>
          <w:tcPr>
            <w:tcW w:w="2100" w:type="dxa"/>
            <w:vAlign w:val="bottom"/>
            <w:gridSpan w:val="5"/>
          </w:tcPr>
          <w:p>
            <w:pPr>
              <w:jc w:val="right"/>
              <w:ind w:right="680"/>
              <w:spacing w:after="0" w:line="216" w:lineRule="exact"/>
              <w:rPr>
                <w:sz w:val="20"/>
                <w:szCs w:val="20"/>
                <w:color w:val="auto"/>
              </w:rPr>
            </w:pPr>
            <w:r>
              <w:rPr>
                <w:rFonts w:ascii="Calibri" w:cs="Calibri" w:eastAsia="Calibri" w:hAnsi="Calibri"/>
                <w:sz w:val="18"/>
                <w:szCs w:val="18"/>
                <w:b w:val="1"/>
                <w:bCs w:val="1"/>
                <w:color w:val="auto"/>
              </w:rPr>
              <w:t>September 30,</w:t>
            </w:r>
          </w:p>
        </w:tc>
      </w:tr>
      <w:tr>
        <w:trPr>
          <w:trHeight w:val="37"/>
        </w:trPr>
        <w:tc>
          <w:tcPr>
            <w:tcW w:w="6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0"/>
              <w:spacing w:after="0" w:line="208"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3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income</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9,196</w:t>
            </w:r>
          </w:p>
        </w:tc>
        <w:tc>
          <w:tcPr>
            <w:tcW w:w="500" w:type="dxa"/>
            <w:vAlign w:val="bottom"/>
            <w:tcBorders>
              <w:bottom w:val="single" w:sz="8" w:color="CFF0FC"/>
            </w:tcBorders>
            <w:gridSpan w:val="2"/>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16,018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w w:val="87"/>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18,716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w w:val="87"/>
              </w:rPr>
              <w:t>$</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84,616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3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comprehensive income (loss):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3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2,936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(374 )</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(210 )</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(374 )</w:t>
            </w:r>
          </w:p>
        </w:tc>
      </w:tr>
      <w:tr>
        <w:trPr>
          <w:trHeight w:val="220"/>
        </w:trPr>
        <w:tc>
          <w:tcPr>
            <w:tcW w:w="6360" w:type="dxa"/>
            <w:vAlign w:val="bottom"/>
          </w:tcPr>
          <w:p>
            <w:pPr>
              <w:ind w:left="120"/>
              <w:spacing w:after="0"/>
              <w:rPr>
                <w:sz w:val="20"/>
                <w:szCs w:val="20"/>
                <w:color w:val="auto"/>
              </w:rPr>
            </w:pPr>
            <w:r>
              <w:rPr>
                <w:rFonts w:ascii="Calibri" w:cs="Calibri" w:eastAsia="Calibri" w:hAnsi="Calibri"/>
                <w:sz w:val="18"/>
                <w:szCs w:val="18"/>
                <w:color w:val="auto"/>
              </w:rPr>
              <w:t>Unrealized gain on investments</w:t>
            </w:r>
          </w:p>
        </w:tc>
        <w:tc>
          <w:tcPr>
            <w:tcW w:w="22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3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Comprehensive income</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12,337</w:t>
            </w:r>
          </w:p>
        </w:tc>
        <w:tc>
          <w:tcPr>
            <w:tcW w:w="500" w:type="dxa"/>
            <w:vAlign w:val="bottom"/>
            <w:tcBorders>
              <w:bottom w:val="single" w:sz="8" w:color="CFF0FC"/>
            </w:tcBorders>
            <w:gridSpan w:val="2"/>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15,644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w w:val="87"/>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18,753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w w:val="87"/>
              </w:rPr>
              <w:t>$</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84,242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36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atributable to redeemable noncontrolling interests</w:t>
            </w: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3,900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9,341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8,405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35,045</w:t>
            </w:r>
          </w:p>
        </w:tc>
        <w:tc>
          <w:tcPr>
            <w:tcW w:w="100" w:type="dxa"/>
            <w:vAlign w:val="bottom"/>
          </w:tcPr>
          <w:p>
            <w:pPr>
              <w:spacing w:after="0"/>
              <w:rPr>
                <w:sz w:val="18"/>
                <w:szCs w:val="18"/>
                <w:color w:val="auto"/>
              </w:rPr>
            </w:pPr>
          </w:p>
        </w:tc>
      </w:tr>
      <w:tr>
        <w:trPr>
          <w:trHeight w:val="28"/>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636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Foreign currency translaton adjustment atributable to redeemable noncontrolling</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63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interests</w:t>
            </w: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1,079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(208 )</w:t>
            </w: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(78 )</w:t>
            </w:r>
          </w:p>
        </w:tc>
        <w:tc>
          <w:tcPr>
            <w:tcW w:w="2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(208 )</w:t>
            </w:r>
          </w:p>
        </w:tc>
      </w:tr>
      <w:tr>
        <w:trPr>
          <w:trHeight w:val="220"/>
        </w:trPr>
        <w:tc>
          <w:tcPr>
            <w:tcW w:w="6360" w:type="dxa"/>
            <w:vAlign w:val="bottom"/>
          </w:tcPr>
          <w:p>
            <w:pPr>
              <w:ind w:left="120"/>
              <w:spacing w:after="0"/>
              <w:rPr>
                <w:sz w:val="20"/>
                <w:szCs w:val="20"/>
                <w:color w:val="auto"/>
              </w:rPr>
            </w:pPr>
            <w:r>
              <w:rPr>
                <w:rFonts w:ascii="Calibri" w:cs="Calibri" w:eastAsia="Calibri" w:hAnsi="Calibri"/>
                <w:sz w:val="18"/>
                <w:szCs w:val="18"/>
                <w:color w:val="auto"/>
              </w:rPr>
              <w:t>Unrealized gain on investments atributable to redeemable noncontrolling interests</w:t>
            </w:r>
          </w:p>
        </w:tc>
        <w:tc>
          <w:tcPr>
            <w:tcW w:w="22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63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Comprehensive income atributable to Class A common stockholders</w:t>
            </w:r>
          </w:p>
        </w:tc>
        <w:tc>
          <w:tcPr>
            <w:tcW w:w="220" w:type="dxa"/>
            <w:vAlign w:val="bottom"/>
            <w:tcBorders>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7,282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6,511</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b w:val="1"/>
                <w:bCs w:val="1"/>
                <w:color w:val="auto"/>
                <w:w w:val="87"/>
              </w:rPr>
              <w:t>$</w:t>
            </w:r>
          </w:p>
        </w:tc>
        <w:tc>
          <w:tcPr>
            <w:tcW w:w="7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10,335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b w:val="1"/>
                <w:bCs w:val="1"/>
                <w:color w:val="auto"/>
                <w:w w:val="87"/>
              </w:rPr>
              <w:t>$</w:t>
            </w:r>
          </w:p>
        </w:tc>
        <w:tc>
          <w:tcPr>
            <w:tcW w:w="7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49,405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EQUITY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data)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4"/>
          </w:tcPr>
          <w:p>
            <w:pPr>
              <w:jc w:val="right"/>
              <w:ind w:right="37"/>
              <w:spacing w:after="0"/>
              <w:rPr>
                <w:sz w:val="20"/>
                <w:szCs w:val="20"/>
                <w:color w:val="auto"/>
              </w:rPr>
            </w:pPr>
            <w:r>
              <w:rPr>
                <w:rFonts w:ascii="Calibri" w:cs="Calibri" w:eastAsia="Calibri" w:hAnsi="Calibri"/>
                <w:sz w:val="13"/>
                <w:szCs w:val="13"/>
                <w:b w:val="1"/>
                <w:bCs w:val="1"/>
                <w:color w:val="auto"/>
              </w:rPr>
              <w:t>Class A common stock</w:t>
            </w:r>
          </w:p>
        </w:tc>
        <w:tc>
          <w:tcPr>
            <w:tcW w:w="260" w:type="dxa"/>
            <w:vAlign w:val="bottom"/>
          </w:tcPr>
          <w:p>
            <w:pPr>
              <w:spacing w:after="0"/>
              <w:rPr>
                <w:sz w:val="13"/>
                <w:szCs w:val="13"/>
                <w:color w:val="auto"/>
              </w:rPr>
            </w:pPr>
          </w:p>
        </w:tc>
        <w:tc>
          <w:tcPr>
            <w:tcW w:w="1580" w:type="dxa"/>
            <w:vAlign w:val="bottom"/>
            <w:gridSpan w:val="5"/>
          </w:tcPr>
          <w:p>
            <w:pPr>
              <w:jc w:val="right"/>
              <w:ind w:right="340"/>
              <w:spacing w:after="0"/>
              <w:rPr>
                <w:sz w:val="20"/>
                <w:szCs w:val="20"/>
                <w:color w:val="auto"/>
              </w:rPr>
            </w:pPr>
            <w:r>
              <w:rPr>
                <w:rFonts w:ascii="Calibri" w:cs="Calibri" w:eastAsia="Calibri" w:hAnsi="Calibri"/>
                <w:sz w:val="13"/>
                <w:szCs w:val="13"/>
                <w:b w:val="1"/>
                <w:bCs w:val="1"/>
                <w:color w:val="auto"/>
              </w:rPr>
              <w:t>Class B common stock</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5"/>
          </w:tcPr>
          <w:p>
            <w:pPr>
              <w:jc w:val="right"/>
              <w:ind w:right="540"/>
              <w:spacing w:after="0"/>
              <w:rPr>
                <w:sz w:val="20"/>
                <w:szCs w:val="20"/>
                <w:color w:val="auto"/>
              </w:rPr>
            </w:pPr>
            <w:r>
              <w:rPr>
                <w:rFonts w:ascii="Calibri" w:cs="Calibri" w:eastAsia="Calibri" w:hAnsi="Calibri"/>
                <w:sz w:val="13"/>
                <w:szCs w:val="13"/>
                <w:b w:val="1"/>
                <w:bCs w:val="1"/>
                <w:color w:val="auto"/>
              </w:rPr>
              <w:t>Treasury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3"/>
            <w:vMerge w:val="restart"/>
          </w:tcPr>
          <w:p>
            <w:pPr>
              <w:ind w:left="40"/>
              <w:spacing w:after="0"/>
              <w:rPr>
                <w:sz w:val="20"/>
                <w:szCs w:val="20"/>
                <w:color w:val="auto"/>
              </w:rPr>
            </w:pPr>
            <w:r>
              <w:rPr>
                <w:rFonts w:ascii="Calibri" w:cs="Calibri" w:eastAsia="Calibri" w:hAnsi="Calibri"/>
                <w:sz w:val="13"/>
                <w:szCs w:val="13"/>
                <w:b w:val="1"/>
                <w:bCs w:val="1"/>
                <w:color w:val="auto"/>
              </w:rPr>
              <w:t>Accumulated</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Redeemable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rPr>
              <w:t>Additona</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Calibri" w:cs="Calibri" w:eastAsia="Calibri" w:hAnsi="Calibri"/>
                <w:sz w:val="13"/>
                <w:szCs w:val="13"/>
                <w:b w:val="1"/>
                <w:bCs w:val="1"/>
                <w:color w:val="auto"/>
              </w:rPr>
              <w:t>other</w:t>
            </w: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noncontrolli</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Amoun</w:t>
            </w:r>
          </w:p>
        </w:tc>
        <w:tc>
          <w:tcPr>
            <w:tcW w:w="760" w:type="dxa"/>
            <w:vAlign w:val="bottom"/>
            <w:gridSpan w:val="2"/>
          </w:tcPr>
          <w:p>
            <w:pPr>
              <w:jc w:val="center"/>
              <w:ind w:right="260"/>
              <w:spacing w:after="0" w:line="149" w:lineRule="exact"/>
              <w:rPr>
                <w:sz w:val="20"/>
                <w:szCs w:val="20"/>
                <w:color w:val="auto"/>
              </w:rPr>
            </w:pPr>
            <w:r>
              <w:rPr>
                <w:rFonts w:ascii="Calibri" w:cs="Calibri" w:eastAsia="Calibri" w:hAnsi="Calibri"/>
                <w:sz w:val="13"/>
                <w:szCs w:val="13"/>
                <w:b w:val="1"/>
                <w:bCs w:val="1"/>
                <w:color w:val="auto"/>
                <w:w w:val="95"/>
              </w:rPr>
              <w:t>l paid-in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Accumulate</w:t>
            </w:r>
          </w:p>
        </w:tc>
        <w:tc>
          <w:tcPr>
            <w:tcW w:w="100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comprehensiv</w:t>
            </w:r>
          </w:p>
        </w:tc>
        <w:tc>
          <w:tcPr>
            <w:tcW w:w="76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shareholder</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ng interests</w:t>
            </w:r>
          </w:p>
        </w:tc>
        <w:tc>
          <w:tcPr>
            <w:tcW w:w="68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Shares</w:t>
            </w:r>
          </w:p>
        </w:tc>
        <w:tc>
          <w:tcPr>
            <w:tcW w:w="24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w w:val="95"/>
              </w:rPr>
              <w:t>Amount</w:t>
            </w:r>
          </w:p>
        </w:tc>
        <w:tc>
          <w:tcPr>
            <w:tcW w:w="2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b w:val="1"/>
                <w:bCs w:val="1"/>
                <w:color w:val="auto"/>
              </w:rPr>
              <w:t>t</w:t>
            </w:r>
          </w:p>
        </w:tc>
        <w:tc>
          <w:tcPr>
            <w:tcW w:w="76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3"/>
              </w:rPr>
              <w:t>capital</w:t>
            </w:r>
          </w:p>
        </w:tc>
        <w:tc>
          <w:tcPr>
            <w:tcW w:w="880" w:type="dxa"/>
            <w:vAlign w:val="bottom"/>
            <w:gridSpan w:val="2"/>
          </w:tcPr>
          <w:p>
            <w:pPr>
              <w:jc w:val="right"/>
              <w:ind w:right="380"/>
              <w:spacing w:after="0" w:line="149" w:lineRule="exact"/>
              <w:rPr>
                <w:sz w:val="20"/>
                <w:szCs w:val="20"/>
                <w:color w:val="auto"/>
              </w:rPr>
            </w:pPr>
            <w:r>
              <w:rPr>
                <w:rFonts w:ascii="Calibri" w:cs="Calibri" w:eastAsia="Calibri" w:hAnsi="Calibri"/>
                <w:sz w:val="13"/>
                <w:szCs w:val="13"/>
                <w:b w:val="1"/>
                <w:bCs w:val="1"/>
                <w:color w:val="auto"/>
              </w:rPr>
              <w:t>Shares</w:t>
            </w:r>
          </w:p>
        </w:tc>
        <w:tc>
          <w:tcPr>
            <w:tcW w:w="760" w:type="dxa"/>
            <w:vAlign w:val="bottom"/>
            <w:gridSpan w:val="3"/>
          </w:tcPr>
          <w:p>
            <w:pPr>
              <w:jc w:val="right"/>
              <w:ind w:right="280"/>
              <w:spacing w:after="0" w:line="149" w:lineRule="exact"/>
              <w:rPr>
                <w:sz w:val="20"/>
                <w:szCs w:val="20"/>
                <w:color w:val="auto"/>
              </w:rPr>
            </w:pPr>
            <w:r>
              <w:rPr>
                <w:rFonts w:ascii="Calibri" w:cs="Calibri" w:eastAsia="Calibri" w:hAnsi="Calibri"/>
                <w:sz w:val="13"/>
                <w:szCs w:val="13"/>
                <w:b w:val="1"/>
                <w:bCs w:val="1"/>
                <w:color w:val="auto"/>
              </w:rPr>
              <w:t>Amount</w:t>
            </w: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b w:val="1"/>
                <w:bCs w:val="1"/>
                <w:color w:val="auto"/>
              </w:rPr>
              <w:t>d defcit</w:t>
            </w:r>
          </w:p>
        </w:tc>
        <w:tc>
          <w:tcPr>
            <w:tcW w:w="16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b w:val="1"/>
                <w:bCs w:val="1"/>
                <w:color w:val="auto"/>
              </w:rPr>
              <w:t>e loss</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b w:val="1"/>
                <w:bCs w:val="1"/>
                <w:color w:val="auto"/>
              </w:rPr>
              <w:t>s' defcit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82,410,77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118,200,0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(4,342,47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(1,014,13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Balances at January 1, 2023</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862,860</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w:t>
            </w:r>
          </w:p>
        </w:tc>
        <w:tc>
          <w:tcPr>
            <w:tcW w:w="440" w:type="dxa"/>
            <w:vAlign w:val="bottom"/>
            <w:tcBorders>
              <w:bottom w:val="single" w:sz="8" w:color="CFF0FC"/>
            </w:tcBorders>
            <w:gridSpan w:val="2"/>
            <w:shd w:val="clear" w:color="auto" w:fill="CFF0FC"/>
          </w:tcPr>
          <w:p>
            <w:pPr>
              <w:ind w:left="26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00</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3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12</w:t>
            </w:r>
          </w:p>
        </w:tc>
        <w:tc>
          <w:tcPr>
            <w:tcW w:w="2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9"/>
              </w:rPr>
              <w:t>$ 663,908</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w w:val="97"/>
              </w:rPr>
              <w:t>(32,494 )</w:t>
            </w:r>
          </w:p>
        </w:tc>
        <w:tc>
          <w:tcPr>
            <w:tcW w:w="1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w w:val="90"/>
              </w:rPr>
              <w:t>$</w:t>
            </w:r>
          </w:p>
        </w:tc>
        <w:tc>
          <w:tcPr>
            <w:tcW w:w="7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2 )</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84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b w:val="1"/>
                <w:bCs w:val="1"/>
                <w:color w:val="auto"/>
              </w:rPr>
              <w:t>—</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68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(382,698 )</w:t>
            </w:r>
          </w:p>
        </w:tc>
        <w:tc>
          <w:tcPr>
            <w:tcW w:w="0" w:type="dxa"/>
            <w:vAlign w:val="bottom"/>
          </w:tcPr>
          <w:p>
            <w:pPr>
              <w:spacing w:after="0"/>
              <w:rPr>
                <w:sz w:val="1"/>
                <w:szCs w:val="1"/>
                <w:color w:val="auto"/>
              </w:rPr>
            </w:pPr>
          </w:p>
        </w:tc>
      </w:tr>
      <w:tr>
        <w:trPr>
          <w:trHeight w:val="151"/>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Net income</w:t>
            </w:r>
          </w:p>
        </w:tc>
        <w:tc>
          <w:tcPr>
            <w:tcW w:w="16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Calibri" w:cs="Calibri" w:eastAsia="Calibri" w:hAnsi="Calibri"/>
                <w:sz w:val="13"/>
                <w:szCs w:val="13"/>
                <w:color w:val="auto"/>
              </w:rPr>
              <w:t>18,090</w:t>
            </w:r>
          </w:p>
        </w:tc>
        <w:tc>
          <w:tcPr>
            <w:tcW w:w="24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3"/>
                <w:szCs w:val="13"/>
                <w:color w:val="auto"/>
              </w:rPr>
            </w:pP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76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line="152" w:lineRule="exact"/>
              <w:rPr>
                <w:sz w:val="20"/>
                <w:szCs w:val="20"/>
                <w:color w:val="auto"/>
              </w:rPr>
            </w:pPr>
            <w:r>
              <w:rPr>
                <w:rFonts w:ascii="Calibri" w:cs="Calibri" w:eastAsia="Calibri" w:hAnsi="Calibri"/>
                <w:sz w:val="13"/>
                <w:szCs w:val="13"/>
                <w:color w:val="auto"/>
              </w:rPr>
              <w:t>12,182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Calibri" w:cs="Calibri" w:eastAsia="Calibri" w:hAnsi="Calibri"/>
                <w:sz w:val="13"/>
                <w:szCs w:val="13"/>
                <w:color w:val="auto"/>
              </w:rPr>
              <w:t>12,182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491,502</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2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Deemed contributon from former</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parent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577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391</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Calibri" w:cs="Calibri" w:eastAsia="Calibri" w:hAnsi="Calibri"/>
                <w:sz w:val="13"/>
                <w:szCs w:val="13"/>
                <w:color w:val="auto"/>
              </w:rPr>
              <w:t>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4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54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4,615</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4,615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Repurchases of common stock as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treasury stock</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(949,020 )</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(7,612 )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(7,612 )</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4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Distributons to redeemable</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noncontrolling interests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(3,816 )</w:t>
            </w: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1"/>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Subsequent remeasurement of</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redeemable noncontrolling interests,</w:t>
            </w: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Calibri" w:cs="Calibri" w:eastAsia="Calibri" w:hAnsi="Calibri"/>
                <w:sz w:val="13"/>
                <w:szCs w:val="13"/>
                <w:color w:val="auto"/>
              </w:rPr>
              <w:t>24,155</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vMerge w:val="restart"/>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Calibri" w:cs="Calibri" w:eastAsia="Calibri" w:hAnsi="Calibri"/>
                <w:sz w:val="13"/>
                <w:szCs w:val="13"/>
                <w:color w:val="auto"/>
              </w:rPr>
              <w:t>(24,155 )</w:t>
            </w:r>
          </w:p>
        </w:tc>
        <w:tc>
          <w:tcPr>
            <w:tcW w:w="88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Calibri" w:cs="Calibri" w:eastAsia="Calibri" w:hAnsi="Calibri"/>
                <w:sz w:val="13"/>
                <w:szCs w:val="13"/>
                <w:color w:val="auto"/>
              </w:rPr>
              <w:t>(24,155 )</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net of tax impacts</w:t>
            </w: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82,902,27</w:t>
            </w: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118,200,0</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(5,291,49</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(1,001,95</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b w:val="1"/>
                <w:bCs w:val="1"/>
                <w:color w:val="auto"/>
              </w:rPr>
              <w:t>Balances at March 31, 2023</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901,866</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6</w:t>
            </w:r>
          </w:p>
        </w:tc>
        <w:tc>
          <w:tcPr>
            <w:tcW w:w="440" w:type="dxa"/>
            <w:vAlign w:val="bottom"/>
            <w:tcBorders>
              <w:bottom w:val="single" w:sz="8" w:color="CFF0FC"/>
            </w:tcBorders>
            <w:gridSpan w:val="2"/>
            <w:shd w:val="clear" w:color="auto" w:fill="CFF0FC"/>
          </w:tcPr>
          <w:p>
            <w:pPr>
              <w:ind w:left="26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9</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3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12</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9"/>
              </w:rPr>
              <w:t>$ 644,759</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w w:val="97"/>
              </w:rPr>
              <w:t>(40,106 )</w:t>
            </w:r>
          </w:p>
        </w:tc>
        <w:tc>
          <w:tcPr>
            <w:tcW w:w="1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w w:val="90"/>
              </w:rPr>
              <w:t>$</w:t>
            </w:r>
          </w:p>
        </w:tc>
        <w:tc>
          <w:tcPr>
            <w:tcW w:w="7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0 )</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84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b w:val="1"/>
                <w:bCs w:val="1"/>
                <w:color w:val="auto"/>
              </w:rPr>
              <w:t>—</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68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(397,276 )</w:t>
            </w:r>
          </w:p>
        </w:tc>
        <w:tc>
          <w:tcPr>
            <w:tcW w:w="0" w:type="dxa"/>
            <w:vAlign w:val="bottom"/>
          </w:tcPr>
          <w:p>
            <w:pPr>
              <w:spacing w:after="0"/>
              <w:rPr>
                <w:sz w:val="1"/>
                <w:szCs w:val="1"/>
                <w:color w:val="auto"/>
              </w:rPr>
            </w:pPr>
          </w:p>
        </w:tc>
      </w:tr>
      <w:tr>
        <w:trPr>
          <w:trHeight w:val="132"/>
        </w:trPr>
        <w:tc>
          <w:tcPr>
            <w:tcW w:w="2040" w:type="dxa"/>
            <w:vAlign w:val="bottom"/>
            <w:tcBorders>
              <w:top w:val="single" w:sz="8" w:color="CFF0FC"/>
            </w:tcBorders>
          </w:tcPr>
          <w:p>
            <w:pPr>
              <w:ind w:left="20"/>
              <w:spacing w:after="0" w:line="132" w:lineRule="exact"/>
              <w:rPr>
                <w:sz w:val="20"/>
                <w:szCs w:val="20"/>
                <w:color w:val="auto"/>
              </w:rPr>
            </w:pPr>
            <w:r>
              <w:rPr>
                <w:rFonts w:ascii="Calibri" w:cs="Calibri" w:eastAsia="Calibri" w:hAnsi="Calibri"/>
                <w:sz w:val="13"/>
                <w:szCs w:val="13"/>
                <w:color w:val="auto"/>
              </w:rPr>
              <w:t>Net income</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7,614</w:t>
            </w:r>
          </w:p>
        </w:tc>
        <w:tc>
          <w:tcPr>
            <w:tcW w:w="24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6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30,712</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30,712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4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309,529</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Deemed contributon from former</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parent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544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431</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Calibri" w:cs="Calibri" w:eastAsia="Calibri" w:hAnsi="Calibri"/>
                <w:sz w:val="13"/>
                <w:szCs w:val="13"/>
                <w:color w:val="auto"/>
              </w:rPr>
              <w:t>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4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Secondary ofering of Class A</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18,400,00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(18,400,0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common stock</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(145,064 )</w:t>
            </w: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1180" w:type="dxa"/>
            <w:vAlign w:val="bottom"/>
            <w:tcBorders>
              <w:bottom w:val="single" w:sz="8" w:color="CFF0FC"/>
            </w:tcBorders>
            <w:gridSpan w:val="3"/>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rPr>
              <w:t>00 )</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rPr>
              <w:t>(2 )</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145,064</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145,064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Pr>
          <w:p>
            <w:pPr>
              <w:spacing w:after="0"/>
              <w:rPr>
                <w:sz w:val="13"/>
                <w:szCs w:val="13"/>
                <w:color w:val="auto"/>
              </w:rPr>
            </w:pPr>
          </w:p>
        </w:tc>
        <w:tc>
          <w:tcPr>
            <w:tcW w:w="78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3"/>
                <w:szCs w:val="13"/>
                <w:color w:val="auto"/>
              </w:rPr>
            </w:pP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540" w:type="dxa"/>
            <w:vAlign w:val="bottom"/>
          </w:tcPr>
          <w:p>
            <w:pPr>
              <w:jc w:val="right"/>
              <w:spacing w:after="0" w:line="152" w:lineRule="exact"/>
              <w:rPr>
                <w:sz w:val="20"/>
                <w:szCs w:val="20"/>
                <w:color w:val="auto"/>
              </w:rPr>
            </w:pPr>
            <w:r>
              <w:rPr>
                <w:rFonts w:ascii="Calibri" w:cs="Calibri" w:eastAsia="Calibri" w:hAnsi="Calibri"/>
                <w:sz w:val="13"/>
                <w:szCs w:val="13"/>
                <w:color w:val="auto"/>
              </w:rPr>
              <w:t>6,524</w:t>
            </w:r>
          </w:p>
        </w:tc>
        <w:tc>
          <w:tcPr>
            <w:tcW w:w="220" w:type="dxa"/>
            <w:vAlign w:val="bottom"/>
          </w:tcPr>
          <w:p>
            <w:pPr>
              <w:spacing w:after="0"/>
              <w:rPr>
                <w:sz w:val="13"/>
                <w:szCs w:val="13"/>
                <w:color w:val="auto"/>
              </w:rPr>
            </w:pP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Calibri" w:cs="Calibri" w:eastAsia="Calibri" w:hAnsi="Calibri"/>
                <w:sz w:val="13"/>
                <w:szCs w:val="13"/>
                <w:color w:val="auto"/>
              </w:rPr>
              <w:t>6,524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4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Distributons to redeemable</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noncontrolling interests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(7,200 )</w:t>
            </w: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Subsequent remeasurement of</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redeemable noncontrolling interests,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net of tax impacts</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32,656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(32,656 )</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(32,656 )</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4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Establishment of liabilites under Tax</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Receivable Agreement, net of tax</w:t>
            </w:r>
          </w:p>
        </w:tc>
        <w:tc>
          <w:tcPr>
            <w:tcW w:w="1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60"/>
              <w:spacing w:after="0"/>
              <w:rPr>
                <w:sz w:val="20"/>
                <w:szCs w:val="20"/>
                <w:color w:val="auto"/>
              </w:rPr>
            </w:pPr>
            <w:r>
              <w:rPr>
                <w:rFonts w:ascii="Calibri" w:cs="Calibri" w:eastAsia="Calibri" w:hAnsi="Calibri"/>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60"/>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2"/>
                <w:szCs w:val="12"/>
                <w:color w:val="auto"/>
              </w:rPr>
            </w:pPr>
          </w:p>
        </w:tc>
        <w:tc>
          <w:tcPr>
            <w:tcW w:w="52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3"/>
                <w:szCs w:val="13"/>
                <w:color w:val="auto"/>
              </w:rPr>
              <w:t>(46,132 )</w:t>
            </w:r>
          </w:p>
        </w:tc>
        <w:tc>
          <w:tcPr>
            <w:tcW w:w="88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3"/>
                <w:szCs w:val="13"/>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(46,132 )</w:t>
            </w:r>
          </w:p>
        </w:tc>
        <w:tc>
          <w:tcPr>
            <w:tcW w:w="0" w:type="dxa"/>
            <w:vAlign w:val="bottom"/>
          </w:tcPr>
          <w:p>
            <w:pPr>
              <w:spacing w:after="0"/>
              <w:rPr>
                <w:sz w:val="1"/>
                <w:szCs w:val="1"/>
                <w:color w:val="auto"/>
              </w:rPr>
            </w:pPr>
          </w:p>
        </w:tc>
      </w:tr>
      <w:tr>
        <w:trPr>
          <w:trHeight w:val="68"/>
        </w:trPr>
        <w:tc>
          <w:tcPr>
            <w:tcW w:w="2040" w:type="dxa"/>
            <w:vAlign w:val="bottom"/>
            <w:vMerge w:val="restart"/>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and other tax impact of secondary</w:t>
            </w:r>
          </w:p>
        </w:tc>
        <w:tc>
          <w:tcPr>
            <w:tcW w:w="160" w:type="dxa"/>
            <w:vAlign w:val="bottom"/>
            <w:shd w:val="clear" w:color="auto" w:fill="CFF0FC"/>
          </w:tcPr>
          <w:p>
            <w:pPr>
              <w:spacing w:after="0"/>
              <w:rPr>
                <w:sz w:val="5"/>
                <w:szCs w:val="5"/>
                <w:color w:val="auto"/>
              </w:rPr>
            </w:pPr>
          </w:p>
        </w:tc>
        <w:tc>
          <w:tcPr>
            <w:tcW w:w="780" w:type="dxa"/>
            <w:vAlign w:val="bottom"/>
            <w:gridSpan w:val="2"/>
            <w:vMerge w:val="continue"/>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60" w:type="dxa"/>
            <w:vAlign w:val="bottom"/>
            <w:vMerge w:val="continue"/>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920" w:type="dxa"/>
            <w:vAlign w:val="bottom"/>
            <w:gridSpan w:val="2"/>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20" w:type="dxa"/>
            <w:vAlign w:val="bottom"/>
            <w:gridSpan w:val="2"/>
            <w:vMerge w:val="continue"/>
            <w:shd w:val="clear" w:color="auto" w:fill="CFF0FC"/>
          </w:tcPr>
          <w:p>
            <w:pPr>
              <w:spacing w:after="0"/>
              <w:rPr>
                <w:sz w:val="5"/>
                <w:szCs w:val="5"/>
                <w:color w:val="auto"/>
              </w:rPr>
            </w:pPr>
          </w:p>
        </w:tc>
        <w:tc>
          <w:tcPr>
            <w:tcW w:w="760" w:type="dxa"/>
            <w:vAlign w:val="bottom"/>
            <w:gridSpan w:val="2"/>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4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8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4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ofering (Note 17)</w:t>
            </w: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101,611,8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spacing w:after="0" w:line="151" w:lineRule="exact"/>
              <w:rPr>
                <w:sz w:val="20"/>
                <w:szCs w:val="20"/>
                <w:color w:val="auto"/>
              </w:rPr>
            </w:pPr>
            <w:r>
              <w:rPr>
                <w:rFonts w:ascii="Calibri" w:cs="Calibri" w:eastAsia="Calibri" w:hAnsi="Calibri"/>
                <w:sz w:val="13"/>
                <w:szCs w:val="13"/>
                <w:b w:val="1"/>
                <w:bCs w:val="1"/>
                <w:color w:val="auto"/>
              </w:rPr>
              <w:t>99,800,00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(5,291,49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vMerge w:val="restart"/>
          </w:tcPr>
          <w:p>
            <w:pPr>
              <w:ind w:left="20"/>
              <w:spacing w:after="0"/>
              <w:rPr>
                <w:sz w:val="20"/>
                <w:szCs w:val="20"/>
                <w:color w:val="auto"/>
              </w:rPr>
            </w:pPr>
            <w:r>
              <w:rPr>
                <w:rFonts w:ascii="Calibri" w:cs="Calibri" w:eastAsia="Calibri" w:hAnsi="Calibri"/>
                <w:sz w:val="13"/>
                <w:szCs w:val="13"/>
                <w:b w:val="1"/>
                <w:bCs w:val="1"/>
                <w:color w:val="auto"/>
              </w:rPr>
              <w:t>Balances at June 30, 2023</w:t>
            </w:r>
          </w:p>
        </w:tc>
        <w:tc>
          <w:tcPr>
            <w:tcW w:w="1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790,416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05</w:t>
            </w:r>
          </w:p>
        </w:tc>
        <w:tc>
          <w:tcPr>
            <w:tcW w:w="440" w:type="dxa"/>
            <w:vAlign w:val="bottom"/>
            <w:gridSpan w:val="2"/>
          </w:tcPr>
          <w:p>
            <w:pPr>
              <w:ind w:left="26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11</w:t>
            </w:r>
          </w:p>
        </w:tc>
        <w:tc>
          <w:tcPr>
            <w:tcW w:w="94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40" w:type="dxa"/>
            <w:vAlign w:val="bottom"/>
          </w:tcPr>
          <w:p>
            <w:pPr>
              <w:spacing w:after="0"/>
              <w:rPr>
                <w:sz w:val="12"/>
                <w:szCs w:val="12"/>
                <w:color w:val="auto"/>
              </w:rPr>
            </w:pPr>
          </w:p>
        </w:tc>
        <w:tc>
          <w:tcPr>
            <w:tcW w:w="14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30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10</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9"/>
              </w:rPr>
              <w:t>$ 717,990</w:t>
            </w: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2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4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w w:val="97"/>
              </w:rPr>
              <w:t>(40,106 )</w:t>
            </w:r>
          </w:p>
        </w:tc>
        <w:tc>
          <w:tcPr>
            <w:tcW w:w="10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w w:val="90"/>
              </w:rPr>
              <w:t>$</w:t>
            </w: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(971,238 )</w:t>
            </w:r>
          </w:p>
        </w:tc>
        <w:tc>
          <w:tcPr>
            <w:tcW w:w="1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84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6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b w:val="1"/>
                <w:bCs w:val="1"/>
                <w:color w:val="auto"/>
              </w:rPr>
              <w:t>(293,333 )</w:t>
            </w:r>
          </w:p>
        </w:tc>
        <w:tc>
          <w:tcPr>
            <w:tcW w:w="0" w:type="dxa"/>
            <w:vAlign w:val="bottom"/>
          </w:tcPr>
          <w:p>
            <w:pPr>
              <w:spacing w:after="0"/>
              <w:rPr>
                <w:sz w:val="1"/>
                <w:szCs w:val="1"/>
                <w:color w:val="auto"/>
              </w:rPr>
            </w:pPr>
          </w:p>
        </w:tc>
      </w:tr>
      <w:tr>
        <w:trPr>
          <w:trHeight w:val="24"/>
        </w:trPr>
        <w:tc>
          <w:tcPr>
            <w:tcW w:w="204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40" w:type="dxa"/>
            <w:vAlign w:val="bottom"/>
            <w:tcBorders>
              <w:bottom w:val="single" w:sz="8" w:color="CFF0FC"/>
            </w:tcBorders>
            <w:shd w:val="clear" w:color="auto" w:fill="CFF0FC"/>
          </w:tcPr>
          <w:p>
            <w:pPr>
              <w:ind w:left="20"/>
              <w:spacing w:after="0" w:line="132" w:lineRule="exact"/>
              <w:rPr>
                <w:sz w:val="20"/>
                <w:szCs w:val="20"/>
                <w:color w:val="auto"/>
              </w:rPr>
            </w:pPr>
            <w:r>
              <w:rPr>
                <w:rFonts w:ascii="Calibri" w:cs="Calibri" w:eastAsia="Calibri" w:hAnsi="Calibri"/>
                <w:sz w:val="13"/>
                <w:szCs w:val="13"/>
                <w:color w:val="auto"/>
              </w:rPr>
              <w:t>Net income</w:t>
            </w:r>
          </w:p>
        </w:tc>
        <w:tc>
          <w:tcPr>
            <w:tcW w:w="16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line="132" w:lineRule="exact"/>
              <w:rPr>
                <w:sz w:val="20"/>
                <w:szCs w:val="20"/>
                <w:color w:val="auto"/>
              </w:rPr>
            </w:pPr>
            <w:r>
              <w:rPr>
                <w:rFonts w:ascii="Calibri" w:cs="Calibri" w:eastAsia="Calibri" w:hAnsi="Calibri"/>
                <w:sz w:val="13"/>
                <w:szCs w:val="13"/>
                <w:color w:val="auto"/>
              </w:rPr>
              <w:t>9,341</w:t>
            </w:r>
          </w:p>
        </w:tc>
        <w:tc>
          <w:tcPr>
            <w:tcW w:w="2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right"/>
              <w:spacing w:after="0" w:line="13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jc w:val="right"/>
              <w:spacing w:after="0" w:line="132"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gridSpan w:val="2"/>
            <w:shd w:val="clear" w:color="auto" w:fill="CFF0FC"/>
          </w:tcPr>
          <w:p>
            <w:pPr>
              <w:jc w:val="right"/>
              <w:ind w:right="260"/>
              <w:spacing w:after="0" w:line="132"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gridSpan w:val="2"/>
            <w:shd w:val="clear" w:color="auto" w:fill="CFF0FC"/>
          </w:tcPr>
          <w:p>
            <w:pPr>
              <w:jc w:val="right"/>
              <w:ind w:right="240"/>
              <w:spacing w:after="0" w:line="132"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gridSpan w:val="2"/>
            <w:shd w:val="clear" w:color="auto" w:fill="CFF0FC"/>
          </w:tcPr>
          <w:p>
            <w:pPr>
              <w:jc w:val="right"/>
              <w:ind w:right="220"/>
              <w:spacing w:after="0" w:line="13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gridSpan w:val="2"/>
            <w:shd w:val="clear" w:color="auto" w:fill="CFF0FC"/>
          </w:tcPr>
          <w:p>
            <w:pPr>
              <w:jc w:val="right"/>
              <w:ind w:right="220"/>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jc w:val="right"/>
              <w:spacing w:after="0" w:line="132" w:lineRule="exact"/>
              <w:rPr>
                <w:sz w:val="20"/>
                <w:szCs w:val="20"/>
                <w:color w:val="auto"/>
              </w:rPr>
            </w:pPr>
            <w:r>
              <w:rPr>
                <w:rFonts w:ascii="Calibri" w:cs="Calibri" w:eastAsia="Calibri" w:hAnsi="Calibri"/>
                <w:sz w:val="13"/>
                <w:szCs w:val="13"/>
                <w:color w:val="auto"/>
              </w:rPr>
              <w:t>6,677</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gridSpan w:val="2"/>
            <w:shd w:val="clear" w:color="auto" w:fill="CFF0FC"/>
          </w:tcPr>
          <w:p>
            <w:pPr>
              <w:jc w:val="right"/>
              <w:ind w:right="240"/>
              <w:spacing w:after="0" w:line="13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jc w:val="right"/>
              <w:spacing w:after="0" w:line="132" w:lineRule="exact"/>
              <w:rPr>
                <w:sz w:val="20"/>
                <w:szCs w:val="20"/>
                <w:color w:val="auto"/>
              </w:rPr>
            </w:pPr>
            <w:r>
              <w:rPr>
                <w:rFonts w:ascii="Calibri" w:cs="Calibri" w:eastAsia="Calibri" w:hAnsi="Calibri"/>
                <w:sz w:val="13"/>
                <w:szCs w:val="13"/>
                <w:color w:val="auto"/>
              </w:rPr>
              <w:t>6,677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Pr>
          <w:p>
            <w:pPr>
              <w:spacing w:after="0"/>
              <w:rPr>
                <w:sz w:val="13"/>
                <w:szCs w:val="13"/>
                <w:color w:val="auto"/>
              </w:rPr>
            </w:pPr>
          </w:p>
        </w:tc>
        <w:tc>
          <w:tcPr>
            <w:tcW w:w="78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191,587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3"/>
                <w:szCs w:val="13"/>
                <w:color w:val="auto"/>
              </w:rPr>
            </w:pP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76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4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Deemed contributon from former</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parent</w:t>
            </w:r>
          </w:p>
        </w:tc>
        <w:tc>
          <w:tcPr>
            <w:tcW w:w="1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498</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481</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481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Pr>
          <w:p>
            <w:pPr>
              <w:spacing w:after="0"/>
              <w:rPr>
                <w:sz w:val="13"/>
                <w:szCs w:val="13"/>
                <w:color w:val="auto"/>
              </w:rPr>
            </w:pPr>
          </w:p>
        </w:tc>
        <w:tc>
          <w:tcPr>
            <w:tcW w:w="78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3"/>
                <w:szCs w:val="13"/>
                <w:color w:val="auto"/>
              </w:rPr>
            </w:pP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540" w:type="dxa"/>
            <w:vAlign w:val="bottom"/>
          </w:tcPr>
          <w:p>
            <w:pPr>
              <w:jc w:val="right"/>
              <w:spacing w:after="0" w:line="152" w:lineRule="exact"/>
              <w:rPr>
                <w:sz w:val="20"/>
                <w:szCs w:val="20"/>
                <w:color w:val="auto"/>
              </w:rPr>
            </w:pPr>
            <w:r>
              <w:rPr>
                <w:rFonts w:ascii="Calibri" w:cs="Calibri" w:eastAsia="Calibri" w:hAnsi="Calibri"/>
                <w:sz w:val="13"/>
                <w:szCs w:val="13"/>
                <w:color w:val="auto"/>
              </w:rPr>
              <w:t>6,722</w:t>
            </w:r>
          </w:p>
        </w:tc>
        <w:tc>
          <w:tcPr>
            <w:tcW w:w="220" w:type="dxa"/>
            <w:vAlign w:val="bottom"/>
          </w:tcPr>
          <w:p>
            <w:pPr>
              <w:spacing w:after="0"/>
              <w:rPr>
                <w:sz w:val="13"/>
                <w:szCs w:val="13"/>
                <w:color w:val="auto"/>
              </w:rPr>
            </w:pP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Calibri" w:cs="Calibri" w:eastAsia="Calibri" w:hAnsi="Calibri"/>
                <w:sz w:val="13"/>
                <w:szCs w:val="13"/>
                <w:color w:val="auto"/>
              </w:rPr>
              <w:t>6,722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4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Other comprehensive loss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00"/>
              <w:spacing w:after="0" w:line="152" w:lineRule="exact"/>
              <w:rPr>
                <w:sz w:val="20"/>
                <w:szCs w:val="20"/>
                <w:color w:val="auto"/>
              </w:rPr>
            </w:pPr>
            <w:r>
              <w:rPr>
                <w:rFonts w:ascii="Calibri" w:cs="Calibri" w:eastAsia="Calibri" w:hAnsi="Calibri"/>
                <w:sz w:val="13"/>
                <w:szCs w:val="13"/>
                <w:color w:val="auto"/>
              </w:rPr>
              <w:t>(208 )</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(166 )</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(166 )</w:t>
            </w:r>
          </w:p>
        </w:tc>
        <w:tc>
          <w:tcPr>
            <w:tcW w:w="0" w:type="dxa"/>
            <w:vAlign w:val="bottom"/>
          </w:tcPr>
          <w:p>
            <w:pPr>
              <w:spacing w:after="0"/>
              <w:rPr>
                <w:sz w:val="1"/>
                <w:szCs w:val="1"/>
                <w:color w:val="auto"/>
              </w:rPr>
            </w:pPr>
          </w:p>
        </w:tc>
      </w:tr>
      <w:tr>
        <w:trPr>
          <w:trHeight w:val="152"/>
        </w:trPr>
        <w:tc>
          <w:tcPr>
            <w:tcW w:w="2040" w:type="dxa"/>
            <w:vAlign w:val="bottom"/>
          </w:tcPr>
          <w:p>
            <w:pPr>
              <w:ind w:left="20"/>
              <w:spacing w:after="0" w:line="152" w:lineRule="exact"/>
              <w:rPr>
                <w:sz w:val="20"/>
                <w:szCs w:val="20"/>
                <w:color w:val="auto"/>
              </w:rPr>
            </w:pPr>
            <w:r>
              <w:rPr>
                <w:rFonts w:ascii="Calibri" w:cs="Calibri" w:eastAsia="Calibri" w:hAnsi="Calibri"/>
                <w:sz w:val="13"/>
                <w:szCs w:val="13"/>
                <w:color w:val="auto"/>
              </w:rPr>
              <w:t>Subsequent remeasurement of</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redeemable noncontrolling interests,</w:t>
            </w:r>
          </w:p>
        </w:tc>
        <w:tc>
          <w:tcPr>
            <w:tcW w:w="1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Calibri" w:cs="Calibri" w:eastAsia="Calibri" w:hAnsi="Calibri"/>
                <w:sz w:val="13"/>
                <w:szCs w:val="13"/>
                <w:color w:val="auto"/>
              </w:rPr>
              <w:t>(159,330 )</w:t>
            </w: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540" w:type="dxa"/>
            <w:vAlign w:val="bottom"/>
            <w:vMerge w:val="restart"/>
          </w:tcPr>
          <w:p>
            <w:pPr>
              <w:jc w:val="right"/>
              <w:spacing w:after="0"/>
              <w:rPr>
                <w:sz w:val="20"/>
                <w:szCs w:val="20"/>
                <w:color w:val="auto"/>
              </w:rPr>
            </w:pPr>
            <w:r>
              <w:rPr>
                <w:rFonts w:ascii="Calibri" w:cs="Calibri" w:eastAsia="Calibri" w:hAnsi="Calibri"/>
                <w:sz w:val="13"/>
                <w:szCs w:val="13"/>
                <w:color w:val="auto"/>
              </w:rPr>
              <w:t>159,330</w:t>
            </w:r>
          </w:p>
        </w:tc>
        <w:tc>
          <w:tcPr>
            <w:tcW w:w="22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Calibri" w:cs="Calibri" w:eastAsia="Calibri" w:hAnsi="Calibri"/>
                <w:sz w:val="13"/>
                <w:szCs w:val="13"/>
                <w:color w:val="auto"/>
              </w:rPr>
              <w:t>159,330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line="149" w:lineRule="exact"/>
              <w:rPr>
                <w:sz w:val="20"/>
                <w:szCs w:val="20"/>
                <w:color w:val="auto"/>
              </w:rPr>
            </w:pPr>
            <w:r>
              <w:rPr>
                <w:rFonts w:ascii="Calibri" w:cs="Calibri" w:eastAsia="Calibri" w:hAnsi="Calibri"/>
                <w:sz w:val="13"/>
                <w:szCs w:val="13"/>
                <w:color w:val="auto"/>
              </w:rPr>
              <w:t>net of tax impacts</w:t>
            </w: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101,803,3</w:t>
            </w: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99,800,00</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(5,291,49</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b w:val="1"/>
                <w:bCs w:val="1"/>
                <w:color w:val="auto"/>
              </w:rPr>
              <w:t>Balances at September 30, 2023</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640,717</w:t>
            </w:r>
          </w:p>
        </w:tc>
        <w:tc>
          <w:tcPr>
            <w:tcW w:w="2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92</w:t>
            </w:r>
          </w:p>
        </w:tc>
        <w:tc>
          <w:tcPr>
            <w:tcW w:w="440" w:type="dxa"/>
            <w:vAlign w:val="bottom"/>
            <w:tcBorders>
              <w:bottom w:val="single" w:sz="8" w:color="CFF0FC"/>
            </w:tcBorders>
            <w:gridSpan w:val="2"/>
            <w:shd w:val="clear" w:color="auto" w:fill="CFF0FC"/>
          </w:tcPr>
          <w:p>
            <w:pPr>
              <w:ind w:left="26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11</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3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10</w:t>
            </w:r>
          </w:p>
        </w:tc>
        <w:tc>
          <w:tcPr>
            <w:tcW w:w="2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9"/>
              </w:rPr>
              <w:t>$ 884,523</w:t>
            </w:r>
          </w:p>
        </w:tc>
        <w:tc>
          <w:tcPr>
            <w:tcW w:w="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w w:val="97"/>
              </w:rPr>
              <w:t>(40,106 )</w:t>
            </w:r>
          </w:p>
        </w:tc>
        <w:tc>
          <w:tcPr>
            <w:tcW w:w="1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w w:val="90"/>
              </w:rPr>
              <w:t>$</w:t>
            </w:r>
          </w:p>
        </w:tc>
        <w:tc>
          <w:tcPr>
            <w:tcW w:w="7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(964,561 )</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84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rPr>
              <w:t>(166 )</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68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(120,289 )</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-3085465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-3068320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-3085465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-3068320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-3085465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-3068320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-3085465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-3068320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-3085465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-3068320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-3085465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-3068320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-3085465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-3068320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-3085465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-3068320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-3085465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-3068320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-3085465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-3068320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-1422400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-1422400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-1422400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-1422400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-1422400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-1422400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-1422400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-1422400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-1422400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-1422400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p>
      <w:pPr>
        <w:jc w:val="center"/>
        <w:ind w:right="2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CONDENSED CONSOLIDATED STATEMENTS OF EQUITY (DEFICIT)</w:t>
      </w:r>
    </w:p>
    <w:p>
      <w:pPr>
        <w:jc w:val="center"/>
        <w:ind w:right="20"/>
        <w:spacing w:after="0" w:line="236" w:lineRule="auto"/>
        <w:rPr>
          <w:sz w:val="20"/>
          <w:szCs w:val="20"/>
          <w:color w:val="auto"/>
        </w:rPr>
      </w:pPr>
      <w:r>
        <w:rPr>
          <w:rFonts w:ascii="Calibri" w:cs="Calibri" w:eastAsia="Calibri" w:hAnsi="Calibri"/>
          <w:sz w:val="18"/>
          <w:szCs w:val="18"/>
          <w:b w:val="1"/>
          <w:bCs w:val="1"/>
          <w:color w:val="auto"/>
        </w:rPr>
        <w:t>(in thousands, except share data)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4"/>
          </w:tcPr>
          <w:p>
            <w:pPr>
              <w:jc w:val="right"/>
              <w:ind w:right="57"/>
              <w:spacing w:after="0"/>
              <w:rPr>
                <w:sz w:val="20"/>
                <w:szCs w:val="20"/>
                <w:color w:val="auto"/>
              </w:rPr>
            </w:pPr>
            <w:r>
              <w:rPr>
                <w:rFonts w:ascii="Calibri" w:cs="Calibri" w:eastAsia="Calibri" w:hAnsi="Calibri"/>
                <w:sz w:val="13"/>
                <w:szCs w:val="13"/>
                <w:b w:val="1"/>
                <w:bCs w:val="1"/>
                <w:color w:val="auto"/>
              </w:rPr>
              <w:t>Class A common stock</w:t>
            </w:r>
          </w:p>
        </w:tc>
        <w:tc>
          <w:tcPr>
            <w:tcW w:w="240" w:type="dxa"/>
            <w:vAlign w:val="bottom"/>
          </w:tcPr>
          <w:p>
            <w:pPr>
              <w:spacing w:after="0"/>
              <w:rPr>
                <w:sz w:val="13"/>
                <w:szCs w:val="13"/>
                <w:color w:val="auto"/>
              </w:rPr>
            </w:pPr>
          </w:p>
        </w:tc>
        <w:tc>
          <w:tcPr>
            <w:tcW w:w="1340" w:type="dxa"/>
            <w:vAlign w:val="bottom"/>
            <w:gridSpan w:val="4"/>
          </w:tcPr>
          <w:p>
            <w:pPr>
              <w:jc w:val="right"/>
              <w:ind w:right="37"/>
              <w:spacing w:after="0"/>
              <w:rPr>
                <w:sz w:val="20"/>
                <w:szCs w:val="20"/>
                <w:color w:val="auto"/>
              </w:rPr>
            </w:pPr>
            <w:r>
              <w:rPr>
                <w:rFonts w:ascii="Calibri" w:cs="Calibri" w:eastAsia="Calibri" w:hAnsi="Calibri"/>
                <w:sz w:val="13"/>
                <w:szCs w:val="13"/>
                <w:b w:val="1"/>
                <w:bCs w:val="1"/>
                <w:color w:val="auto"/>
              </w:rPr>
              <w:t>Class B 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5"/>
          </w:tcPr>
          <w:p>
            <w:pPr>
              <w:jc w:val="right"/>
              <w:ind w:right="560"/>
              <w:spacing w:after="0"/>
              <w:rPr>
                <w:sz w:val="20"/>
                <w:szCs w:val="20"/>
                <w:color w:val="auto"/>
              </w:rPr>
            </w:pPr>
            <w:r>
              <w:rPr>
                <w:rFonts w:ascii="Calibri" w:cs="Calibri" w:eastAsia="Calibri" w:hAnsi="Calibri"/>
                <w:sz w:val="13"/>
                <w:szCs w:val="13"/>
                <w:b w:val="1"/>
                <w:bCs w:val="1"/>
                <w:color w:val="auto"/>
              </w:rPr>
              <w:t>Treasury stock</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3"/>
            <w:vMerge w:val="restart"/>
          </w:tcPr>
          <w:p>
            <w:pPr>
              <w:ind w:left="20"/>
              <w:spacing w:after="0"/>
              <w:rPr>
                <w:sz w:val="20"/>
                <w:szCs w:val="20"/>
                <w:color w:val="auto"/>
              </w:rPr>
            </w:pPr>
            <w:r>
              <w:rPr>
                <w:rFonts w:ascii="Calibri" w:cs="Calibri" w:eastAsia="Calibri" w:hAnsi="Calibri"/>
                <w:sz w:val="13"/>
                <w:szCs w:val="13"/>
                <w:b w:val="1"/>
                <w:bCs w:val="1"/>
                <w:color w:val="auto"/>
              </w:rPr>
              <w:t>Accumulated</w:t>
            </w: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Calibri" w:cs="Calibri" w:eastAsia="Calibri" w:hAnsi="Calibri"/>
                <w:sz w:val="13"/>
                <w:szCs w:val="13"/>
                <w:b w:val="1"/>
                <w:bCs w:val="1"/>
                <w:color w:val="auto"/>
                <w:w w:val="94"/>
              </w:rPr>
              <w:t>other</w:t>
            </w:r>
          </w:p>
        </w:tc>
        <w:tc>
          <w:tcPr>
            <w:tcW w:w="80" w:type="dxa"/>
            <w:vAlign w:val="bottom"/>
          </w:tcPr>
          <w:p>
            <w:pPr>
              <w:spacing w:after="0"/>
              <w:rPr>
                <w:sz w:val="12"/>
                <w:szCs w:val="12"/>
                <w:color w:val="auto"/>
              </w:rPr>
            </w:pPr>
          </w:p>
        </w:tc>
        <w:tc>
          <w:tcPr>
            <w:tcW w:w="580" w:type="dxa"/>
            <w:vAlign w:val="bottom"/>
            <w:gridSpan w:val="2"/>
          </w:tcPr>
          <w:p>
            <w:pPr>
              <w:jc w:val="center"/>
              <w:ind w:right="240"/>
              <w:spacing w:after="0" w:line="149" w:lineRule="exact"/>
              <w:rPr>
                <w:sz w:val="20"/>
                <w:szCs w:val="20"/>
                <w:color w:val="auto"/>
              </w:rPr>
            </w:pPr>
            <w:r>
              <w:rPr>
                <w:rFonts w:ascii="Calibri" w:cs="Calibri" w:eastAsia="Calibri" w:hAnsi="Calibri"/>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Redeemable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Additona</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comprehensiv</w:t>
            </w:r>
          </w:p>
        </w:tc>
        <w:tc>
          <w:tcPr>
            <w:tcW w:w="660" w:type="dxa"/>
            <w:vAlign w:val="bottom"/>
            <w:gridSpan w:val="3"/>
          </w:tcPr>
          <w:p>
            <w:pPr>
              <w:spacing w:after="0" w:line="149" w:lineRule="exact"/>
              <w:rPr>
                <w:sz w:val="20"/>
                <w:szCs w:val="20"/>
                <w:color w:val="auto"/>
              </w:rPr>
            </w:pPr>
            <w:r>
              <w:rPr>
                <w:rFonts w:ascii="Calibri" w:cs="Calibri" w:eastAsia="Calibri" w:hAnsi="Calibri"/>
                <w:sz w:val="13"/>
                <w:szCs w:val="13"/>
                <w:b w:val="1"/>
                <w:bCs w:val="1"/>
                <w:color w:val="auto"/>
              </w:rPr>
              <w:t>sharehold</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noncontrolli</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rPr>
              <w:t>Amoun</w:t>
            </w:r>
          </w:p>
        </w:tc>
        <w:tc>
          <w:tcPr>
            <w:tcW w:w="220" w:type="dxa"/>
            <w:vAlign w:val="bottom"/>
          </w:tcPr>
          <w:p>
            <w:pPr>
              <w:spacing w:after="0"/>
              <w:rPr>
                <w:sz w:val="12"/>
                <w:szCs w:val="12"/>
                <w:color w:val="auto"/>
              </w:rPr>
            </w:pPr>
          </w:p>
        </w:tc>
        <w:tc>
          <w:tcPr>
            <w:tcW w:w="760" w:type="dxa"/>
            <w:vAlign w:val="bottom"/>
            <w:gridSpan w:val="3"/>
          </w:tcPr>
          <w:p>
            <w:pPr>
              <w:jc w:val="right"/>
              <w:ind w:right="300"/>
              <w:spacing w:after="0" w:line="149" w:lineRule="exact"/>
              <w:rPr>
                <w:sz w:val="20"/>
                <w:szCs w:val="20"/>
                <w:color w:val="auto"/>
              </w:rPr>
            </w:pPr>
            <w:r>
              <w:rPr>
                <w:rFonts w:ascii="Calibri" w:cs="Calibri" w:eastAsia="Calibri" w:hAnsi="Calibri"/>
                <w:sz w:val="13"/>
                <w:szCs w:val="13"/>
                <w:b w:val="1"/>
                <w:bCs w:val="1"/>
                <w:color w:val="auto"/>
              </w:rPr>
              <w:t>l paid-in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Calibri" w:cs="Calibri" w:eastAsia="Calibri" w:hAnsi="Calibri"/>
                <w:sz w:val="13"/>
                <w:szCs w:val="13"/>
                <w:b w:val="1"/>
                <w:bCs w:val="1"/>
                <w:color w:val="auto"/>
              </w:rPr>
              <w:t>Accumulate</w:t>
            </w: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Calibri" w:cs="Calibri" w:eastAsia="Calibri" w:hAnsi="Calibri"/>
                <w:sz w:val="13"/>
                <w:szCs w:val="13"/>
                <w:b w:val="1"/>
                <w:bCs w:val="1"/>
                <w:color w:val="auto"/>
                <w:w w:val="97"/>
              </w:rPr>
              <w:t>e income</w:t>
            </w:r>
          </w:p>
        </w:tc>
        <w:tc>
          <w:tcPr>
            <w:tcW w:w="80" w:type="dxa"/>
            <w:vAlign w:val="bottom"/>
          </w:tcPr>
          <w:p>
            <w:pPr>
              <w:spacing w:after="0"/>
              <w:rPr>
                <w:sz w:val="12"/>
                <w:szCs w:val="12"/>
                <w:color w:val="auto"/>
              </w:rPr>
            </w:pPr>
          </w:p>
        </w:tc>
        <w:tc>
          <w:tcPr>
            <w:tcW w:w="580" w:type="dxa"/>
            <w:vAlign w:val="bottom"/>
            <w:gridSpan w:val="2"/>
          </w:tcPr>
          <w:p>
            <w:pPr>
              <w:jc w:val="center"/>
              <w:ind w:right="240"/>
              <w:spacing w:after="0" w:line="149" w:lineRule="exact"/>
              <w:rPr>
                <w:sz w:val="20"/>
                <w:szCs w:val="20"/>
                <w:color w:val="auto"/>
              </w:rPr>
            </w:pPr>
            <w:r>
              <w:rPr>
                <w:rFonts w:ascii="Calibri" w:cs="Calibri" w:eastAsia="Calibri" w:hAnsi="Calibri"/>
                <w:sz w:val="13"/>
                <w:szCs w:val="13"/>
                <w:b w:val="1"/>
                <w:bCs w:val="1"/>
                <w:color w:val="auto"/>
                <w:w w:val="92"/>
              </w:rPr>
              <w:t>ers'</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ng interests</w:t>
            </w:r>
          </w:p>
        </w:tc>
        <w:tc>
          <w:tcPr>
            <w:tcW w:w="92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b w:val="1"/>
                <w:bCs w:val="1"/>
                <w:color w:val="auto"/>
              </w:rPr>
              <w:t>Shares</w:t>
            </w:r>
          </w:p>
        </w:tc>
        <w:tc>
          <w:tcPr>
            <w:tcW w:w="48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rPr>
              <w:t>Amount</w:t>
            </w:r>
          </w:p>
        </w:tc>
        <w:tc>
          <w:tcPr>
            <w:tcW w:w="240" w:type="dxa"/>
            <w:vAlign w:val="bottom"/>
          </w:tcPr>
          <w:p>
            <w:pPr>
              <w:spacing w:after="0"/>
              <w:rPr>
                <w:sz w:val="12"/>
                <w:szCs w:val="12"/>
                <w:color w:val="auto"/>
              </w:rPr>
            </w:pPr>
          </w:p>
        </w:tc>
        <w:tc>
          <w:tcPr>
            <w:tcW w:w="680" w:type="dxa"/>
            <w:vAlign w:val="bottom"/>
          </w:tcPr>
          <w:p>
            <w:pPr>
              <w:jc w:val="right"/>
              <w:ind w:right="117"/>
              <w:spacing w:after="0" w:line="149" w:lineRule="exact"/>
              <w:rPr>
                <w:sz w:val="20"/>
                <w:szCs w:val="20"/>
                <w:color w:val="auto"/>
              </w:rPr>
            </w:pPr>
            <w:r>
              <w:rPr>
                <w:rFonts w:ascii="Calibri" w:cs="Calibri" w:eastAsia="Calibri" w:hAnsi="Calibri"/>
                <w:sz w:val="13"/>
                <w:szCs w:val="13"/>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ind w:right="137"/>
              <w:spacing w:after="0" w:line="149" w:lineRule="exact"/>
              <w:rPr>
                <w:sz w:val="20"/>
                <w:szCs w:val="20"/>
                <w:color w:val="auto"/>
              </w:rPr>
            </w:pPr>
            <w:r>
              <w:rPr>
                <w:rFonts w:ascii="Calibri" w:cs="Calibri" w:eastAsia="Calibri" w:hAnsi="Calibri"/>
                <w:sz w:val="13"/>
                <w:szCs w:val="13"/>
                <w:b w:val="1"/>
                <w:bCs w:val="1"/>
                <w:color w:val="auto"/>
              </w:rPr>
              <w:t>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b w:val="1"/>
                <w:bCs w:val="1"/>
                <w:color w:val="auto"/>
                <w:w w:val="93"/>
              </w:rPr>
              <w:t>capital</w:t>
            </w:r>
          </w:p>
        </w:tc>
        <w:tc>
          <w:tcPr>
            <w:tcW w:w="880" w:type="dxa"/>
            <w:vAlign w:val="bottom"/>
            <w:gridSpan w:val="2"/>
          </w:tcPr>
          <w:p>
            <w:pPr>
              <w:jc w:val="right"/>
              <w:ind w:right="380"/>
              <w:spacing w:after="0" w:line="149" w:lineRule="exact"/>
              <w:rPr>
                <w:sz w:val="20"/>
                <w:szCs w:val="20"/>
                <w:color w:val="auto"/>
              </w:rPr>
            </w:pPr>
            <w:r>
              <w:rPr>
                <w:rFonts w:ascii="Calibri" w:cs="Calibri" w:eastAsia="Calibri" w:hAnsi="Calibri"/>
                <w:sz w:val="13"/>
                <w:szCs w:val="13"/>
                <w:b w:val="1"/>
                <w:bCs w:val="1"/>
                <w:color w:val="auto"/>
              </w:rPr>
              <w:t>Shares</w:t>
            </w:r>
          </w:p>
        </w:tc>
        <w:tc>
          <w:tcPr>
            <w:tcW w:w="780" w:type="dxa"/>
            <w:vAlign w:val="bottom"/>
            <w:gridSpan w:val="3"/>
          </w:tcPr>
          <w:p>
            <w:pPr>
              <w:jc w:val="right"/>
              <w:ind w:right="300"/>
              <w:spacing w:after="0" w:line="149" w:lineRule="exact"/>
              <w:rPr>
                <w:sz w:val="20"/>
                <w:szCs w:val="20"/>
                <w:color w:val="auto"/>
              </w:rPr>
            </w:pPr>
            <w:r>
              <w:rPr>
                <w:rFonts w:ascii="Calibri" w:cs="Calibri" w:eastAsia="Calibri" w:hAnsi="Calibri"/>
                <w:sz w:val="13"/>
                <w:szCs w:val="13"/>
                <w:b w:val="1"/>
                <w:bCs w:val="1"/>
                <w:color w:val="auto"/>
              </w:rPr>
              <w:t>Amount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b w:val="1"/>
                <w:bCs w:val="1"/>
                <w:color w:val="auto"/>
              </w:rPr>
              <w:t>d defcit</w:t>
            </w: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Calibri" w:cs="Calibri" w:eastAsia="Calibri" w:hAnsi="Calibri"/>
                <w:sz w:val="13"/>
                <w:szCs w:val="13"/>
                <w:b w:val="1"/>
                <w:bCs w:val="1"/>
                <w:color w:val="auto"/>
                <w:w w:val="97"/>
              </w:rPr>
              <w:t>(loss)</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Calibri" w:cs="Calibri" w:eastAsia="Calibri" w:hAnsi="Calibri"/>
                <w:sz w:val="13"/>
                <w:szCs w:val="13"/>
                <w:b w:val="1"/>
                <w:bCs w:val="1"/>
                <w:color w:val="auto"/>
                <w:w w:val="98"/>
              </w:rPr>
              <w:t>equity</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141,167,3</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76,225,00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1,096,4</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(7,291,49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Balances at January 1, 2024</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481,742</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11</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9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34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rPr>
              <w:t>$</w:t>
            </w: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30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30</w:t>
            </w: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w w:val="97"/>
              </w:rPr>
              <w:t>(52,586 )</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80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rPr>
              <w:t>(939,596 )</w:t>
            </w: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747</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105,017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Net income</w:t>
            </w:r>
          </w:p>
        </w:tc>
        <w:tc>
          <w:tcPr>
            <w:tcW w:w="16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Calibri" w:cs="Calibri" w:eastAsia="Calibri" w:hAnsi="Calibri"/>
                <w:sz w:val="13"/>
                <w:szCs w:val="13"/>
                <w:color w:val="auto"/>
              </w:rPr>
              <w:t>4,665</w:t>
            </w:r>
          </w:p>
        </w:tc>
        <w:tc>
          <w:tcPr>
            <w:tcW w:w="240" w:type="dxa"/>
            <w:vAlign w:val="bottom"/>
          </w:tcPr>
          <w:p>
            <w:pPr>
              <w:spacing w:after="0"/>
              <w:rPr>
                <w:sz w:val="13"/>
                <w:szCs w:val="13"/>
                <w:color w:val="auto"/>
              </w:rPr>
            </w:pP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Calibri" w:cs="Calibri" w:eastAsia="Calibri" w:hAnsi="Calibri"/>
                <w:sz w:val="13"/>
                <w:szCs w:val="13"/>
                <w:color w:val="auto"/>
              </w:rPr>
              <w:t>6,077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Calibri" w:cs="Calibri" w:eastAsia="Calibri" w:hAnsi="Calibri"/>
                <w:sz w:val="13"/>
                <w:szCs w:val="13"/>
                <w:color w:val="auto"/>
              </w:rPr>
              <w:t>6,077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961,573</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Net setlement of equity incentve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awards</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(79,905 )</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(462 )</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(462 )</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00" w:type="dxa"/>
            <w:vAlign w:val="bottom"/>
            <w:shd w:val="clear" w:color="auto" w:fill="CFF0FC"/>
          </w:tcPr>
          <w:p>
            <w:pPr>
              <w:spacing w:after="0" w:line="152" w:lineRule="exact"/>
              <w:rPr>
                <w:sz w:val="20"/>
                <w:szCs w:val="20"/>
                <w:color w:val="auto"/>
              </w:rPr>
            </w:pPr>
            <w:r>
              <w:rPr>
                <w:rFonts w:ascii="Calibri" w:cs="Calibri" w:eastAsia="Calibri" w:hAnsi="Calibri"/>
                <w:sz w:val="13"/>
                <w:szCs w:val="13"/>
                <w:color w:val="auto"/>
              </w:rPr>
              <w:t>Deemed contributon from former</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color w:val="auto"/>
              </w:rPr>
              <w:t>parent</w:t>
            </w:r>
          </w:p>
        </w:tc>
        <w:tc>
          <w:tcPr>
            <w:tcW w:w="1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75</w:t>
            </w:r>
          </w:p>
        </w:tc>
        <w:tc>
          <w:tcPr>
            <w:tcW w:w="2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133</w:t>
            </w: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133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Pr>
          <w:p>
            <w:pPr>
              <w:spacing w:after="0"/>
              <w:rPr>
                <w:sz w:val="13"/>
                <w:szCs w:val="13"/>
                <w:color w:val="auto"/>
              </w:rPr>
            </w:pPr>
          </w:p>
        </w:tc>
        <w:tc>
          <w:tcPr>
            <w:tcW w:w="78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Calibri" w:cs="Calibri" w:eastAsia="Calibri" w:hAnsi="Calibri"/>
                <w:sz w:val="13"/>
                <w:szCs w:val="13"/>
                <w:color w:val="auto"/>
              </w:rPr>
              <w:t>8,439</w:t>
            </w:r>
          </w:p>
        </w:tc>
        <w:tc>
          <w:tcPr>
            <w:tcW w:w="200" w:type="dxa"/>
            <w:vAlign w:val="bottom"/>
          </w:tcPr>
          <w:p>
            <w:pPr>
              <w:spacing w:after="0"/>
              <w:rPr>
                <w:sz w:val="13"/>
                <w:szCs w:val="13"/>
                <w:color w:val="auto"/>
              </w:rPr>
            </w:pP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Calibri" w:cs="Calibri" w:eastAsia="Calibri" w:hAnsi="Calibri"/>
                <w:sz w:val="13"/>
                <w:szCs w:val="13"/>
                <w:color w:val="auto"/>
              </w:rPr>
              <w:t>8,439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00" w:type="dxa"/>
            <w:vAlign w:val="bottom"/>
            <w:shd w:val="clear" w:color="auto" w:fill="CFF0FC"/>
          </w:tcPr>
          <w:p>
            <w:pPr>
              <w:spacing w:after="0" w:line="152" w:lineRule="exact"/>
              <w:rPr>
                <w:sz w:val="20"/>
                <w:szCs w:val="20"/>
                <w:color w:val="auto"/>
              </w:rPr>
            </w:pPr>
            <w:r>
              <w:rPr>
                <w:rFonts w:ascii="Calibri" w:cs="Calibri" w:eastAsia="Calibri" w:hAnsi="Calibri"/>
                <w:sz w:val="13"/>
                <w:szCs w:val="13"/>
                <w:color w:val="auto"/>
              </w:rPr>
              <w:t>Repurchases of common stock as</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color w:val="auto"/>
              </w:rPr>
              <w:t>treasury stock</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(715,000 )</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rPr>
              <w:t>(4,120 )</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(4,120 )</w:t>
            </w: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Distributons to redeemable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noncontrolling interests</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Calibri" w:cs="Calibri" w:eastAsia="Calibri" w:hAnsi="Calibri"/>
                <w:sz w:val="13"/>
                <w:szCs w:val="13"/>
                <w:color w:val="auto"/>
              </w:rPr>
              <w:t>(3,654 )</w:t>
            </w:r>
          </w:p>
        </w:tc>
        <w:tc>
          <w:tcPr>
            <w:tcW w:w="92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Other comprehensive loss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00"/>
              <w:spacing w:after="0" w:line="152" w:lineRule="exact"/>
              <w:rPr>
                <w:sz w:val="20"/>
                <w:szCs w:val="20"/>
                <w:color w:val="auto"/>
              </w:rPr>
            </w:pPr>
            <w:r>
              <w:rPr>
                <w:rFonts w:ascii="Calibri" w:cs="Calibri" w:eastAsia="Calibri" w:hAnsi="Calibri"/>
                <w:sz w:val="13"/>
                <w:szCs w:val="13"/>
                <w:color w:val="auto"/>
              </w:rPr>
              <w:t>(643 )</w:t>
            </w:r>
          </w:p>
        </w:tc>
        <w:tc>
          <w:tcPr>
            <w:tcW w:w="92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(1,130 )</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(1,130 )</w:t>
            </w: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Subsequent remeasurement of</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redeemable noncontrolling</w:t>
            </w:r>
          </w:p>
        </w:tc>
        <w:tc>
          <w:tcPr>
            <w:tcW w:w="1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Calibri" w:cs="Calibri" w:eastAsia="Calibri" w:hAnsi="Calibri"/>
                <w:sz w:val="13"/>
                <w:szCs w:val="13"/>
                <w:color w:val="auto"/>
              </w:rPr>
              <w:t>(25,597 )</w:t>
            </w:r>
          </w:p>
        </w:tc>
        <w:tc>
          <w:tcPr>
            <w:tcW w:w="920" w:type="dxa"/>
            <w:vAlign w:val="bottom"/>
            <w:gridSpan w:val="2"/>
            <w:vMerge w:val="restart"/>
          </w:tcPr>
          <w:p>
            <w:pPr>
              <w:jc w:val="right"/>
              <w:ind w:right="260"/>
              <w:spacing w:after="0"/>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3"/>
                <w:szCs w:val="13"/>
                <w:color w:val="auto"/>
              </w:rPr>
              <w:t>25,597</w:t>
            </w:r>
          </w:p>
        </w:tc>
        <w:tc>
          <w:tcPr>
            <w:tcW w:w="2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3"/>
                <w:szCs w:val="13"/>
                <w:color w:val="auto"/>
              </w:rPr>
              <w:t>25,597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interests, net of tax impacts</w:t>
            </w: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142,048,9</w:t>
            </w: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76,225,00</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1,130,1</w:t>
            </w:r>
          </w:p>
        </w:tc>
        <w:tc>
          <w:tcPr>
            <w:tcW w:w="20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(8,006,49</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3"/>
                <w:szCs w:val="13"/>
                <w:b w:val="1"/>
                <w:bCs w:val="1"/>
                <w:color w:val="auto"/>
              </w:rPr>
              <w:t>Balances at March 31, 2024</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456,588</w:t>
            </w:r>
          </w:p>
        </w:tc>
        <w:tc>
          <w:tcPr>
            <w:tcW w:w="2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79</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9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34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rPr>
              <w:t>$</w:t>
            </w: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30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37</w:t>
            </w:r>
          </w:p>
        </w:tc>
        <w:tc>
          <w:tcPr>
            <w:tcW w:w="2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w w:val="97"/>
              </w:rPr>
              <w:t>(56,706 )</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80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rPr>
              <w:t>(933,519 )</w:t>
            </w: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90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rPr>
              <w:t>(383 )</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139,551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00" w:type="dxa"/>
            <w:vAlign w:val="bottom"/>
          </w:tcPr>
          <w:p>
            <w:pPr>
              <w:spacing w:after="0" w:line="132" w:lineRule="exact"/>
              <w:rPr>
                <w:sz w:val="20"/>
                <w:szCs w:val="20"/>
                <w:color w:val="auto"/>
              </w:rPr>
            </w:pPr>
            <w:r>
              <w:rPr>
                <w:rFonts w:ascii="Calibri" w:cs="Calibri" w:eastAsia="Calibri" w:hAnsi="Calibri"/>
                <w:sz w:val="13"/>
                <w:szCs w:val="13"/>
                <w:color w:val="auto"/>
              </w:rPr>
              <w:t>Net loss</w:t>
            </w:r>
          </w:p>
        </w:tc>
        <w:tc>
          <w:tcPr>
            <w:tcW w:w="160" w:type="dxa"/>
            <w:vAlign w:val="bottom"/>
          </w:tcPr>
          <w:p>
            <w:pPr>
              <w:spacing w:after="0"/>
              <w:rPr>
                <w:sz w:val="11"/>
                <w:szCs w:val="11"/>
                <w:color w:val="auto"/>
              </w:rPr>
            </w:pPr>
          </w:p>
        </w:tc>
        <w:tc>
          <w:tcPr>
            <w:tcW w:w="780" w:type="dxa"/>
            <w:vAlign w:val="bottom"/>
            <w:gridSpan w:val="2"/>
          </w:tcPr>
          <w:p>
            <w:pPr>
              <w:jc w:val="right"/>
              <w:ind w:right="200"/>
              <w:spacing w:after="0" w:line="132" w:lineRule="exact"/>
              <w:rPr>
                <w:sz w:val="20"/>
                <w:szCs w:val="20"/>
                <w:color w:val="auto"/>
              </w:rPr>
            </w:pPr>
            <w:r>
              <w:rPr>
                <w:rFonts w:ascii="Calibri" w:cs="Calibri" w:eastAsia="Calibri" w:hAnsi="Calibri"/>
                <w:sz w:val="13"/>
                <w:szCs w:val="13"/>
                <w:color w:val="auto"/>
              </w:rPr>
              <w:t>(160 )</w:t>
            </w:r>
          </w:p>
        </w:tc>
        <w:tc>
          <w:tcPr>
            <w:tcW w:w="920" w:type="dxa"/>
            <w:vAlign w:val="bottom"/>
            <w:gridSpan w:val="2"/>
          </w:tcPr>
          <w:p>
            <w:pPr>
              <w:jc w:val="right"/>
              <w:ind w:right="260"/>
              <w:spacing w:after="0" w:line="13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1"/>
                <w:szCs w:val="11"/>
                <w:color w:val="auto"/>
              </w:rPr>
            </w:pPr>
          </w:p>
        </w:tc>
        <w:tc>
          <w:tcPr>
            <w:tcW w:w="28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2"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3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40"/>
              <w:spacing w:after="0" w:line="13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2" w:lineRule="exact"/>
              <w:rPr>
                <w:sz w:val="20"/>
                <w:szCs w:val="20"/>
                <w:color w:val="auto"/>
              </w:rPr>
            </w:pPr>
            <w:r>
              <w:rPr>
                <w:rFonts w:ascii="Calibri" w:cs="Calibri" w:eastAsia="Calibri" w:hAnsi="Calibri"/>
                <w:sz w:val="13"/>
                <w:szCs w:val="13"/>
                <w:color w:val="auto"/>
              </w:rPr>
              <w:t>(1,061 )</w:t>
            </w:r>
          </w:p>
        </w:tc>
        <w:tc>
          <w:tcPr>
            <w:tcW w:w="100" w:type="dxa"/>
            <w:vAlign w:val="bottom"/>
          </w:tcPr>
          <w:p>
            <w:pPr>
              <w:spacing w:after="0"/>
              <w:rPr>
                <w:sz w:val="11"/>
                <w:szCs w:val="11"/>
                <w:color w:val="auto"/>
              </w:rPr>
            </w:pPr>
          </w:p>
        </w:tc>
        <w:tc>
          <w:tcPr>
            <w:tcW w:w="900" w:type="dxa"/>
            <w:vAlign w:val="bottom"/>
            <w:gridSpan w:val="2"/>
          </w:tcPr>
          <w:p>
            <w:pPr>
              <w:jc w:val="right"/>
              <w:ind w:right="240"/>
              <w:spacing w:after="0" w:line="13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32" w:lineRule="exact"/>
              <w:rPr>
                <w:sz w:val="20"/>
                <w:szCs w:val="20"/>
                <w:color w:val="auto"/>
              </w:rPr>
            </w:pPr>
            <w:r>
              <w:rPr>
                <w:rFonts w:ascii="Calibri" w:cs="Calibri" w:eastAsia="Calibri" w:hAnsi="Calibri"/>
                <w:sz w:val="13"/>
                <w:szCs w:val="13"/>
                <w:color w:val="auto"/>
              </w:rPr>
              <w:t>(1,061 )</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524,906</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Net setlement of equity incentve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awards</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(19,182 )</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(104 )</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(104 )</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00" w:type="dxa"/>
            <w:vAlign w:val="bottom"/>
            <w:shd w:val="clear" w:color="auto" w:fill="CFF0FC"/>
          </w:tcPr>
          <w:p>
            <w:pPr>
              <w:spacing w:after="0" w:line="152" w:lineRule="exact"/>
              <w:rPr>
                <w:sz w:val="20"/>
                <w:szCs w:val="20"/>
                <w:color w:val="auto"/>
              </w:rPr>
            </w:pPr>
            <w:r>
              <w:rPr>
                <w:rFonts w:ascii="Calibri" w:cs="Calibri" w:eastAsia="Calibri" w:hAnsi="Calibri"/>
                <w:sz w:val="13"/>
                <w:szCs w:val="13"/>
                <w:color w:val="auto"/>
              </w:rPr>
              <w:t>Deemed contributon from former</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color w:val="auto"/>
              </w:rPr>
              <w:t>parent</w:t>
            </w:r>
          </w:p>
        </w:tc>
        <w:tc>
          <w:tcPr>
            <w:tcW w:w="1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2,959</w:t>
            </w:r>
          </w:p>
        </w:tc>
        <w:tc>
          <w:tcPr>
            <w:tcW w:w="2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5,113</w:t>
            </w: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5,113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Pr>
          <w:p>
            <w:pPr>
              <w:spacing w:after="0"/>
              <w:rPr>
                <w:sz w:val="13"/>
                <w:szCs w:val="13"/>
                <w:color w:val="auto"/>
              </w:rPr>
            </w:pPr>
          </w:p>
        </w:tc>
        <w:tc>
          <w:tcPr>
            <w:tcW w:w="78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Calibri" w:cs="Calibri" w:eastAsia="Calibri" w:hAnsi="Calibri"/>
                <w:sz w:val="13"/>
                <w:szCs w:val="13"/>
                <w:color w:val="auto"/>
              </w:rPr>
              <w:t>11,237</w:t>
            </w:r>
          </w:p>
        </w:tc>
        <w:tc>
          <w:tcPr>
            <w:tcW w:w="200" w:type="dxa"/>
            <w:vAlign w:val="bottom"/>
          </w:tcPr>
          <w:p>
            <w:pPr>
              <w:spacing w:after="0"/>
              <w:rPr>
                <w:sz w:val="13"/>
                <w:szCs w:val="13"/>
                <w:color w:val="auto"/>
              </w:rPr>
            </w:pP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Calibri" w:cs="Calibri" w:eastAsia="Calibri" w:hAnsi="Calibri"/>
                <w:sz w:val="13"/>
                <w:szCs w:val="13"/>
                <w:color w:val="auto"/>
              </w:rPr>
              <w:t>11,237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00" w:type="dxa"/>
            <w:vAlign w:val="bottom"/>
            <w:shd w:val="clear" w:color="auto" w:fill="CFF0FC"/>
          </w:tcPr>
          <w:p>
            <w:pPr>
              <w:spacing w:after="0" w:line="152" w:lineRule="exact"/>
              <w:rPr>
                <w:sz w:val="20"/>
                <w:szCs w:val="20"/>
                <w:color w:val="auto"/>
              </w:rPr>
            </w:pPr>
            <w:r>
              <w:rPr>
                <w:rFonts w:ascii="Calibri" w:cs="Calibri" w:eastAsia="Calibri" w:hAnsi="Calibri"/>
                <w:sz w:val="13"/>
                <w:szCs w:val="13"/>
                <w:color w:val="auto"/>
              </w:rPr>
              <w:t>Repurchases of common stock as</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(2,743,65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(15,949 )</w:t>
            </w:r>
          </w:p>
        </w:tc>
        <w:tc>
          <w:tcPr>
            <w:tcW w:w="0" w:type="dxa"/>
            <w:vAlign w:val="bottom"/>
          </w:tcPr>
          <w:p>
            <w:pPr>
              <w:spacing w:after="0"/>
              <w:rPr>
                <w:sz w:val="1"/>
                <w:szCs w:val="1"/>
                <w:color w:val="auto"/>
              </w:rPr>
            </w:pPr>
          </w:p>
        </w:tc>
      </w:tr>
      <w:tr>
        <w:trPr>
          <w:trHeight w:val="68"/>
        </w:trPr>
        <w:tc>
          <w:tcPr>
            <w:tcW w:w="2000" w:type="dxa"/>
            <w:vAlign w:val="bottom"/>
            <w:vMerge w:val="restart"/>
            <w:shd w:val="clear" w:color="auto" w:fill="CFF0FC"/>
          </w:tcPr>
          <w:p>
            <w:pPr>
              <w:spacing w:after="0" w:line="149" w:lineRule="exact"/>
              <w:rPr>
                <w:sz w:val="20"/>
                <w:szCs w:val="20"/>
                <w:color w:val="auto"/>
              </w:rPr>
            </w:pPr>
            <w:r>
              <w:rPr>
                <w:rFonts w:ascii="Calibri" w:cs="Calibri" w:eastAsia="Calibri" w:hAnsi="Calibri"/>
                <w:sz w:val="13"/>
                <w:szCs w:val="13"/>
                <w:color w:val="auto"/>
              </w:rPr>
              <w:t>treasury stock</w:t>
            </w:r>
          </w:p>
        </w:tc>
        <w:tc>
          <w:tcPr>
            <w:tcW w:w="160" w:type="dxa"/>
            <w:vAlign w:val="bottom"/>
            <w:shd w:val="clear" w:color="auto" w:fill="CFF0FC"/>
          </w:tcPr>
          <w:p>
            <w:pPr>
              <w:spacing w:after="0"/>
              <w:rPr>
                <w:sz w:val="5"/>
                <w:szCs w:val="5"/>
                <w:color w:val="auto"/>
              </w:rPr>
            </w:pPr>
          </w:p>
        </w:tc>
        <w:tc>
          <w:tcPr>
            <w:tcW w:w="780" w:type="dxa"/>
            <w:vAlign w:val="bottom"/>
            <w:gridSpan w:val="2"/>
            <w:vMerge w:val="restart"/>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gridSpan w:val="2"/>
            <w:vMerge w:val="restart"/>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shd w:val="clear" w:color="auto" w:fill="CFF0FC"/>
          </w:tcPr>
          <w:p>
            <w:pPr>
              <w:spacing w:after="0"/>
              <w:rPr>
                <w:sz w:val="5"/>
                <w:szCs w:val="5"/>
                <w:color w:val="auto"/>
              </w:rPr>
            </w:pPr>
          </w:p>
        </w:tc>
        <w:tc>
          <w:tcPr>
            <w:tcW w:w="28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5"/>
                <w:szCs w:val="5"/>
                <w:color w:val="auto"/>
              </w:rPr>
            </w:pPr>
          </w:p>
        </w:tc>
        <w:tc>
          <w:tcPr>
            <w:tcW w:w="68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80" w:type="dxa"/>
            <w:vAlign w:val="bottom"/>
            <w:gridSpan w:val="2"/>
            <w:vMerge w:val="restart"/>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vMerge w:val="restart"/>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6 )</w:t>
            </w:r>
          </w:p>
        </w:tc>
        <w:tc>
          <w:tcPr>
            <w:tcW w:w="120" w:type="dxa"/>
            <w:vAlign w:val="bottom"/>
            <w:shd w:val="clear" w:color="auto" w:fill="CFF0FC"/>
          </w:tcPr>
          <w:p>
            <w:pPr>
              <w:spacing w:after="0"/>
              <w:rPr>
                <w:sz w:val="5"/>
                <w:szCs w:val="5"/>
                <w:color w:val="auto"/>
              </w:rPr>
            </w:pPr>
          </w:p>
        </w:tc>
        <w:tc>
          <w:tcPr>
            <w:tcW w:w="660" w:type="dxa"/>
            <w:vAlign w:val="bottom"/>
            <w:gridSpan w:val="2"/>
            <w:vMerge w:val="restart"/>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w w:val="97"/>
              </w:rPr>
              <w:t>(15,949 )</w:t>
            </w:r>
          </w:p>
        </w:tc>
        <w:tc>
          <w:tcPr>
            <w:tcW w:w="80" w:type="dxa"/>
            <w:vAlign w:val="bottom"/>
            <w:shd w:val="clear" w:color="auto" w:fill="CFF0FC"/>
          </w:tcPr>
          <w:p>
            <w:pPr>
              <w:spacing w:after="0"/>
              <w:rPr>
                <w:sz w:val="5"/>
                <w:szCs w:val="5"/>
                <w:color w:val="auto"/>
              </w:rPr>
            </w:pPr>
          </w:p>
        </w:tc>
        <w:tc>
          <w:tcPr>
            <w:tcW w:w="800" w:type="dxa"/>
            <w:vAlign w:val="bottom"/>
            <w:gridSpan w:val="2"/>
            <w:vMerge w:val="restart"/>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5"/>
                <w:szCs w:val="5"/>
                <w:color w:val="auto"/>
              </w:rPr>
            </w:pPr>
          </w:p>
        </w:tc>
        <w:tc>
          <w:tcPr>
            <w:tcW w:w="900" w:type="dxa"/>
            <w:vAlign w:val="bottom"/>
            <w:gridSpan w:val="2"/>
            <w:vMerge w:val="restart"/>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5"/>
                <w:szCs w:val="5"/>
                <w:color w:val="auto"/>
              </w:rPr>
            </w:pPr>
          </w:p>
        </w:tc>
        <w:tc>
          <w:tcPr>
            <w:tcW w:w="58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00" w:type="dxa"/>
            <w:vAlign w:val="bottom"/>
            <w:tcBorders>
              <w:bottom w:val="single" w:sz="8" w:color="CFF0FC"/>
            </w:tcBorders>
            <w:vMerge w:val="continue"/>
            <w:shd w:val="clear" w:color="auto" w:fill="CFF0FC"/>
          </w:tcPr>
          <w:p>
            <w:pPr>
              <w:spacing w:after="0"/>
              <w:rPr>
                <w:sz w:val="7"/>
                <w:szCs w:val="7"/>
                <w:color w:val="auto"/>
              </w:rPr>
            </w:pPr>
          </w:p>
        </w:tc>
        <w:tc>
          <w:tcPr>
            <w:tcW w:w="160" w:type="dxa"/>
            <w:vAlign w:val="bottom"/>
            <w:tcBorders>
              <w:bottom w:val="single" w:sz="8" w:color="CFF0FC"/>
            </w:tcBorders>
            <w:shd w:val="clear" w:color="auto" w:fill="CFF0FC"/>
          </w:tcPr>
          <w:p>
            <w:pPr>
              <w:spacing w:after="0"/>
              <w:rPr>
                <w:sz w:val="7"/>
                <w:szCs w:val="7"/>
                <w:color w:val="auto"/>
              </w:rPr>
            </w:pPr>
          </w:p>
        </w:tc>
        <w:tc>
          <w:tcPr>
            <w:tcW w:w="780" w:type="dxa"/>
            <w:vAlign w:val="bottom"/>
            <w:tcBorders>
              <w:bottom w:val="single" w:sz="8" w:color="CFF0FC"/>
            </w:tcBorders>
            <w:gridSpan w:val="2"/>
            <w:vMerge w:val="continue"/>
            <w:shd w:val="clear" w:color="auto" w:fill="CFF0FC"/>
          </w:tcPr>
          <w:p>
            <w:pPr>
              <w:spacing w:after="0"/>
              <w:rPr>
                <w:sz w:val="7"/>
                <w:szCs w:val="7"/>
                <w:color w:val="auto"/>
              </w:rPr>
            </w:pPr>
          </w:p>
        </w:tc>
        <w:tc>
          <w:tcPr>
            <w:tcW w:w="920" w:type="dxa"/>
            <w:vAlign w:val="bottom"/>
            <w:tcBorders>
              <w:bottom w:val="single" w:sz="8" w:color="CFF0FC"/>
            </w:tcBorders>
            <w:gridSpan w:val="2"/>
            <w:vMerge w:val="continue"/>
            <w:shd w:val="clear" w:color="auto" w:fill="CFF0FC"/>
          </w:tcPr>
          <w:p>
            <w:pPr>
              <w:spacing w:after="0"/>
              <w:rPr>
                <w:sz w:val="7"/>
                <w:szCs w:val="7"/>
                <w:color w:val="auto"/>
              </w:rPr>
            </w:pPr>
          </w:p>
        </w:tc>
        <w:tc>
          <w:tcPr>
            <w:tcW w:w="200" w:type="dxa"/>
            <w:vAlign w:val="bottom"/>
            <w:tcBorders>
              <w:bottom w:val="single" w:sz="8" w:color="CFF0FC"/>
            </w:tcBorders>
            <w:shd w:val="clear" w:color="auto" w:fill="CFF0FC"/>
          </w:tcPr>
          <w:p>
            <w:pPr>
              <w:spacing w:after="0"/>
              <w:rPr>
                <w:sz w:val="7"/>
                <w:szCs w:val="7"/>
                <w:color w:val="auto"/>
              </w:rPr>
            </w:pPr>
          </w:p>
        </w:tc>
        <w:tc>
          <w:tcPr>
            <w:tcW w:w="280" w:type="dxa"/>
            <w:vAlign w:val="bottom"/>
            <w:tcBorders>
              <w:bottom w:val="single" w:sz="8" w:color="CFF0FC"/>
            </w:tcBorders>
            <w:vMerge w:val="continue"/>
            <w:shd w:val="clear" w:color="auto" w:fill="CFF0FC"/>
          </w:tcPr>
          <w:p>
            <w:pPr>
              <w:spacing w:after="0"/>
              <w:rPr>
                <w:sz w:val="7"/>
                <w:szCs w:val="7"/>
                <w:color w:val="auto"/>
              </w:rPr>
            </w:pPr>
          </w:p>
        </w:tc>
        <w:tc>
          <w:tcPr>
            <w:tcW w:w="24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CFF0FC"/>
            </w:tcBorders>
            <w:vMerge w:val="continue"/>
            <w:shd w:val="clear" w:color="auto" w:fill="CFF0FC"/>
          </w:tcPr>
          <w:p>
            <w:pPr>
              <w:spacing w:after="0"/>
              <w:rPr>
                <w:sz w:val="7"/>
                <w:szCs w:val="7"/>
                <w:color w:val="auto"/>
              </w:rPr>
            </w:pPr>
          </w:p>
        </w:tc>
        <w:tc>
          <w:tcPr>
            <w:tcW w:w="22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320" w:type="dxa"/>
            <w:vAlign w:val="bottom"/>
            <w:tcBorders>
              <w:bottom w:val="single" w:sz="8" w:color="CFF0FC"/>
            </w:tcBorders>
            <w:vMerge w:val="continue"/>
            <w:shd w:val="clear" w:color="auto" w:fill="CFF0FC"/>
          </w:tcPr>
          <w:p>
            <w:pPr>
              <w:spacing w:after="0"/>
              <w:rPr>
                <w:sz w:val="7"/>
                <w:szCs w:val="7"/>
                <w:color w:val="auto"/>
              </w:rPr>
            </w:pPr>
          </w:p>
        </w:tc>
        <w:tc>
          <w:tcPr>
            <w:tcW w:w="22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CFF0FC"/>
            </w:tcBorders>
            <w:gridSpan w:val="2"/>
            <w:vMerge w:val="continue"/>
            <w:shd w:val="clear" w:color="auto" w:fill="CFF0FC"/>
          </w:tcPr>
          <w:p>
            <w:pPr>
              <w:spacing w:after="0"/>
              <w:rPr>
                <w:sz w:val="7"/>
                <w:szCs w:val="7"/>
                <w:color w:val="auto"/>
              </w:rPr>
            </w:pPr>
          </w:p>
        </w:tc>
        <w:tc>
          <w:tcPr>
            <w:tcW w:w="880" w:type="dxa"/>
            <w:vAlign w:val="bottom"/>
            <w:tcBorders>
              <w:bottom w:val="single" w:sz="8" w:color="CFF0FC"/>
            </w:tcBorders>
            <w:gridSpan w:val="2"/>
            <w:vMerge w:val="continue"/>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660" w:type="dxa"/>
            <w:vAlign w:val="bottom"/>
            <w:tcBorders>
              <w:bottom w:val="single" w:sz="8" w:color="CFF0FC"/>
            </w:tcBorders>
            <w:gridSpan w:val="2"/>
            <w:vMerge w:val="continue"/>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800" w:type="dxa"/>
            <w:vAlign w:val="bottom"/>
            <w:tcBorders>
              <w:bottom w:val="single" w:sz="8" w:color="CFF0FC"/>
            </w:tcBorders>
            <w:gridSpan w:val="2"/>
            <w:vMerge w:val="continue"/>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900" w:type="dxa"/>
            <w:vAlign w:val="bottom"/>
            <w:tcBorders>
              <w:bottom w:val="single" w:sz="8" w:color="CFF0FC"/>
            </w:tcBorders>
            <w:gridSpan w:val="2"/>
            <w:vMerge w:val="continue"/>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48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Distributons to redeemable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noncontrolling interests</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Calibri" w:cs="Calibri" w:eastAsia="Calibri" w:hAnsi="Calibri"/>
                <w:sz w:val="13"/>
                <w:szCs w:val="13"/>
                <w:color w:val="auto"/>
              </w:rPr>
              <w:t>(2,760 )</w:t>
            </w:r>
          </w:p>
        </w:tc>
        <w:tc>
          <w:tcPr>
            <w:tcW w:w="92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Other comprehensive loss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00"/>
              <w:spacing w:after="0" w:line="152" w:lineRule="exact"/>
              <w:rPr>
                <w:sz w:val="20"/>
                <w:szCs w:val="20"/>
                <w:color w:val="auto"/>
              </w:rPr>
            </w:pPr>
            <w:r>
              <w:rPr>
                <w:rFonts w:ascii="Calibri" w:cs="Calibri" w:eastAsia="Calibri" w:hAnsi="Calibri"/>
                <w:sz w:val="13"/>
                <w:szCs w:val="13"/>
                <w:color w:val="auto"/>
              </w:rPr>
              <w:t>(476 )</w:t>
            </w:r>
          </w:p>
        </w:tc>
        <w:tc>
          <w:tcPr>
            <w:tcW w:w="92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(833 )</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(833 )</w:t>
            </w: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Subsequent remeasurement of</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redeemable noncontrolling</w:t>
            </w:r>
          </w:p>
        </w:tc>
        <w:tc>
          <w:tcPr>
            <w:tcW w:w="1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Calibri" w:cs="Calibri" w:eastAsia="Calibri" w:hAnsi="Calibri"/>
                <w:sz w:val="13"/>
                <w:szCs w:val="13"/>
                <w:color w:val="auto"/>
              </w:rPr>
              <w:t>(17,857 )</w:t>
            </w:r>
          </w:p>
        </w:tc>
        <w:tc>
          <w:tcPr>
            <w:tcW w:w="920" w:type="dxa"/>
            <w:vAlign w:val="bottom"/>
            <w:gridSpan w:val="2"/>
            <w:vMerge w:val="restart"/>
          </w:tcPr>
          <w:p>
            <w:pPr>
              <w:jc w:val="right"/>
              <w:ind w:right="260"/>
              <w:spacing w:after="0"/>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3"/>
                <w:szCs w:val="13"/>
                <w:color w:val="auto"/>
              </w:rPr>
              <w:t>17,857</w:t>
            </w:r>
          </w:p>
        </w:tc>
        <w:tc>
          <w:tcPr>
            <w:tcW w:w="2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3"/>
                <w:szCs w:val="13"/>
                <w:color w:val="auto"/>
              </w:rPr>
              <w:t>17,857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interests, net of tax impacts</w:t>
            </w: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142,554,7</w:t>
            </w: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76,225,00</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1,164,2</w:t>
            </w:r>
          </w:p>
        </w:tc>
        <w:tc>
          <w:tcPr>
            <w:tcW w:w="20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1" w:lineRule="exact"/>
              <w:rPr>
                <w:sz w:val="20"/>
                <w:szCs w:val="20"/>
                <w:color w:val="auto"/>
              </w:rPr>
            </w:pPr>
            <w:r>
              <w:rPr>
                <w:rFonts w:ascii="Calibri" w:cs="Calibri" w:eastAsia="Calibri" w:hAnsi="Calibri"/>
                <w:sz w:val="13"/>
                <w:szCs w:val="13"/>
                <w:b w:val="1"/>
                <w:bCs w:val="1"/>
                <w:color w:val="auto"/>
              </w:rPr>
              <w:t>(10,750,1</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3"/>
                <w:szCs w:val="13"/>
                <w:b w:val="1"/>
                <w:bCs w:val="1"/>
                <w:color w:val="auto"/>
              </w:rPr>
              <w:t>Balances at June 30, 2024</w:t>
            </w:r>
          </w:p>
        </w:tc>
        <w:tc>
          <w:tcPr>
            <w:tcW w:w="1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438,294</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9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34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rPr>
              <w:t>$</w:t>
            </w: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30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40</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53 )</w:t>
            </w:r>
          </w:p>
        </w:tc>
        <w:tc>
          <w:tcPr>
            <w:tcW w:w="1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w w:val="97"/>
              </w:rPr>
              <w:t>(72,655 )</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80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rPr>
              <w:t>(934,580 )</w:t>
            </w:r>
          </w:p>
        </w:tc>
        <w:tc>
          <w:tcPr>
            <w:tcW w:w="10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90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b w:val="1"/>
                <w:bCs w:val="1"/>
                <w:color w:val="auto"/>
              </w:rPr>
              <w:t>(1,216 )</w:t>
            </w:r>
          </w:p>
        </w:tc>
        <w:tc>
          <w:tcPr>
            <w:tcW w:w="80" w:type="dxa"/>
            <w:vAlign w:val="bottom"/>
            <w:tcBorders>
              <w:bottom w:val="single" w:sz="8" w:color="CFF0FC"/>
            </w:tcBorders>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155,811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00" w:type="dxa"/>
            <w:vAlign w:val="bottom"/>
            <w:tcBorders>
              <w:top w:val="single" w:sz="8" w:color="CFF0FC"/>
            </w:tcBorders>
          </w:tcPr>
          <w:p>
            <w:pPr>
              <w:spacing w:after="0" w:line="132" w:lineRule="exact"/>
              <w:rPr>
                <w:sz w:val="20"/>
                <w:szCs w:val="20"/>
                <w:color w:val="auto"/>
              </w:rPr>
            </w:pPr>
            <w:r>
              <w:rPr>
                <w:rFonts w:ascii="Calibri" w:cs="Calibri" w:eastAsia="Calibri" w:hAnsi="Calibri"/>
                <w:sz w:val="13"/>
                <w:szCs w:val="13"/>
                <w:color w:val="auto"/>
              </w:rPr>
              <w:t>Net income</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3,900</w:t>
            </w:r>
          </w:p>
        </w:tc>
        <w:tc>
          <w:tcPr>
            <w:tcW w:w="24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0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5,296</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2" w:lineRule="exact"/>
              <w:rPr>
                <w:sz w:val="20"/>
                <w:szCs w:val="20"/>
                <w:color w:val="auto"/>
              </w:rPr>
            </w:pPr>
            <w:r>
              <w:rPr>
                <w:rFonts w:ascii="Calibri" w:cs="Calibri" w:eastAsia="Calibri" w:hAnsi="Calibri"/>
                <w:sz w:val="13"/>
                <w:szCs w:val="13"/>
                <w:color w:val="auto"/>
              </w:rPr>
              <w:t>5,296</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Issuance of shares</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331,255</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Net setlement of equity incentve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awards</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(19,347 )</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(79 )</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(79 )</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tcBorders>
              <w:bottom w:val="single" w:sz="8" w:color="CFF0FC"/>
            </w:tcBorders>
            <w:shd w:val="clear" w:color="auto" w:fill="CFF0FC"/>
          </w:tcPr>
          <w:p>
            <w:pPr>
              <w:spacing w:after="0" w:line="152" w:lineRule="exact"/>
              <w:rPr>
                <w:sz w:val="20"/>
                <w:szCs w:val="20"/>
                <w:color w:val="auto"/>
              </w:rPr>
            </w:pPr>
            <w:r>
              <w:rPr>
                <w:rFonts w:ascii="Calibri" w:cs="Calibri" w:eastAsia="Calibri" w:hAnsi="Calibri"/>
                <w:sz w:val="13"/>
                <w:szCs w:val="13"/>
                <w:color w:val="auto"/>
              </w:rPr>
              <w:t>Equity-based compensaton</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92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10,880</w:t>
            </w: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10,880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Repurchases of common stock as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Calibri" w:cs="Calibri" w:eastAsia="Calibri" w:hAnsi="Calibri"/>
                <w:sz w:val="13"/>
                <w:szCs w:val="13"/>
                <w:color w:val="auto"/>
              </w:rPr>
              <w:t>treasury stock</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(683,596 )</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(2,929 )</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(2,929 )</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00" w:type="dxa"/>
            <w:vAlign w:val="bottom"/>
            <w:shd w:val="clear" w:color="auto" w:fill="CFF0FC"/>
          </w:tcPr>
          <w:p>
            <w:pPr>
              <w:spacing w:after="0" w:line="152" w:lineRule="exact"/>
              <w:rPr>
                <w:sz w:val="20"/>
                <w:szCs w:val="20"/>
                <w:color w:val="auto"/>
              </w:rPr>
            </w:pPr>
            <w:r>
              <w:rPr>
                <w:rFonts w:ascii="Calibri" w:cs="Calibri" w:eastAsia="Calibri" w:hAnsi="Calibri"/>
                <w:sz w:val="13"/>
                <w:szCs w:val="13"/>
                <w:color w:val="auto"/>
              </w:rPr>
              <w:t>Distributons to redeemable</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68"/>
        </w:trPr>
        <w:tc>
          <w:tcPr>
            <w:tcW w:w="2000" w:type="dxa"/>
            <w:vAlign w:val="bottom"/>
            <w:vMerge w:val="restart"/>
            <w:shd w:val="clear" w:color="auto" w:fill="CFF0FC"/>
          </w:tcPr>
          <w:p>
            <w:pPr>
              <w:spacing w:after="0" w:line="149" w:lineRule="exact"/>
              <w:rPr>
                <w:sz w:val="20"/>
                <w:szCs w:val="20"/>
                <w:color w:val="auto"/>
              </w:rPr>
            </w:pPr>
            <w:r>
              <w:rPr>
                <w:rFonts w:ascii="Calibri" w:cs="Calibri" w:eastAsia="Calibri" w:hAnsi="Calibri"/>
                <w:sz w:val="13"/>
                <w:szCs w:val="13"/>
                <w:color w:val="auto"/>
              </w:rPr>
              <w:t>noncontrolling interests</w:t>
            </w:r>
          </w:p>
        </w:tc>
        <w:tc>
          <w:tcPr>
            <w:tcW w:w="160" w:type="dxa"/>
            <w:vAlign w:val="bottom"/>
            <w:shd w:val="clear" w:color="auto" w:fill="CFF0FC"/>
          </w:tcPr>
          <w:p>
            <w:pPr>
              <w:spacing w:after="0"/>
              <w:rPr>
                <w:sz w:val="5"/>
                <w:szCs w:val="5"/>
                <w:color w:val="auto"/>
              </w:rPr>
            </w:pPr>
          </w:p>
        </w:tc>
        <w:tc>
          <w:tcPr>
            <w:tcW w:w="780" w:type="dxa"/>
            <w:vAlign w:val="bottom"/>
            <w:gridSpan w:val="2"/>
            <w:vMerge w:val="restart"/>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(2,839 )</w:t>
            </w:r>
          </w:p>
        </w:tc>
        <w:tc>
          <w:tcPr>
            <w:tcW w:w="920" w:type="dxa"/>
            <w:vAlign w:val="bottom"/>
            <w:gridSpan w:val="2"/>
            <w:vMerge w:val="restart"/>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200" w:type="dxa"/>
            <w:vAlign w:val="bottom"/>
            <w:shd w:val="clear" w:color="auto" w:fill="CFF0FC"/>
          </w:tcPr>
          <w:p>
            <w:pPr>
              <w:spacing w:after="0"/>
              <w:rPr>
                <w:sz w:val="5"/>
                <w:szCs w:val="5"/>
                <w:color w:val="auto"/>
              </w:rPr>
            </w:pPr>
          </w:p>
        </w:tc>
        <w:tc>
          <w:tcPr>
            <w:tcW w:w="28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5"/>
                <w:szCs w:val="5"/>
                <w:color w:val="auto"/>
              </w:rPr>
            </w:pPr>
          </w:p>
        </w:tc>
        <w:tc>
          <w:tcPr>
            <w:tcW w:w="68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80" w:type="dxa"/>
            <w:vAlign w:val="bottom"/>
            <w:gridSpan w:val="2"/>
            <w:vMerge w:val="restart"/>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vMerge w:val="restart"/>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5"/>
                <w:szCs w:val="5"/>
                <w:color w:val="auto"/>
              </w:rPr>
            </w:pPr>
          </w:p>
        </w:tc>
        <w:tc>
          <w:tcPr>
            <w:tcW w:w="660" w:type="dxa"/>
            <w:vAlign w:val="bottom"/>
            <w:gridSpan w:val="2"/>
            <w:vMerge w:val="restart"/>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5"/>
                <w:szCs w:val="5"/>
                <w:color w:val="auto"/>
              </w:rPr>
            </w:pPr>
          </w:p>
        </w:tc>
        <w:tc>
          <w:tcPr>
            <w:tcW w:w="800" w:type="dxa"/>
            <w:vAlign w:val="bottom"/>
            <w:gridSpan w:val="2"/>
            <w:vMerge w:val="restart"/>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5"/>
                <w:szCs w:val="5"/>
                <w:color w:val="auto"/>
              </w:rPr>
            </w:pPr>
          </w:p>
        </w:tc>
        <w:tc>
          <w:tcPr>
            <w:tcW w:w="900" w:type="dxa"/>
            <w:vAlign w:val="bottom"/>
            <w:gridSpan w:val="2"/>
            <w:vMerge w:val="restart"/>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5"/>
                <w:szCs w:val="5"/>
                <w:color w:val="auto"/>
              </w:rPr>
            </w:pPr>
          </w:p>
        </w:tc>
        <w:tc>
          <w:tcPr>
            <w:tcW w:w="58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00" w:type="dxa"/>
            <w:vAlign w:val="bottom"/>
            <w:tcBorders>
              <w:bottom w:val="single" w:sz="8" w:color="CFF0FC"/>
            </w:tcBorders>
            <w:vMerge w:val="continue"/>
            <w:shd w:val="clear" w:color="auto" w:fill="CFF0FC"/>
          </w:tcPr>
          <w:p>
            <w:pPr>
              <w:spacing w:after="0"/>
              <w:rPr>
                <w:sz w:val="7"/>
                <w:szCs w:val="7"/>
                <w:color w:val="auto"/>
              </w:rPr>
            </w:pPr>
          </w:p>
        </w:tc>
        <w:tc>
          <w:tcPr>
            <w:tcW w:w="160" w:type="dxa"/>
            <w:vAlign w:val="bottom"/>
            <w:tcBorders>
              <w:bottom w:val="single" w:sz="8" w:color="CFF0FC"/>
            </w:tcBorders>
            <w:shd w:val="clear" w:color="auto" w:fill="CFF0FC"/>
          </w:tcPr>
          <w:p>
            <w:pPr>
              <w:spacing w:after="0"/>
              <w:rPr>
                <w:sz w:val="7"/>
                <w:szCs w:val="7"/>
                <w:color w:val="auto"/>
              </w:rPr>
            </w:pPr>
          </w:p>
        </w:tc>
        <w:tc>
          <w:tcPr>
            <w:tcW w:w="780" w:type="dxa"/>
            <w:vAlign w:val="bottom"/>
            <w:tcBorders>
              <w:bottom w:val="single" w:sz="8" w:color="CFF0FC"/>
            </w:tcBorders>
            <w:gridSpan w:val="2"/>
            <w:vMerge w:val="continue"/>
            <w:shd w:val="clear" w:color="auto" w:fill="CFF0FC"/>
          </w:tcPr>
          <w:p>
            <w:pPr>
              <w:spacing w:after="0"/>
              <w:rPr>
                <w:sz w:val="7"/>
                <w:szCs w:val="7"/>
                <w:color w:val="auto"/>
              </w:rPr>
            </w:pPr>
          </w:p>
        </w:tc>
        <w:tc>
          <w:tcPr>
            <w:tcW w:w="920" w:type="dxa"/>
            <w:vAlign w:val="bottom"/>
            <w:tcBorders>
              <w:bottom w:val="single" w:sz="8" w:color="CFF0FC"/>
            </w:tcBorders>
            <w:gridSpan w:val="2"/>
            <w:vMerge w:val="continue"/>
            <w:shd w:val="clear" w:color="auto" w:fill="CFF0FC"/>
          </w:tcPr>
          <w:p>
            <w:pPr>
              <w:spacing w:after="0"/>
              <w:rPr>
                <w:sz w:val="7"/>
                <w:szCs w:val="7"/>
                <w:color w:val="auto"/>
              </w:rPr>
            </w:pPr>
          </w:p>
        </w:tc>
        <w:tc>
          <w:tcPr>
            <w:tcW w:w="200" w:type="dxa"/>
            <w:vAlign w:val="bottom"/>
            <w:tcBorders>
              <w:bottom w:val="single" w:sz="8" w:color="CFF0FC"/>
            </w:tcBorders>
            <w:shd w:val="clear" w:color="auto" w:fill="CFF0FC"/>
          </w:tcPr>
          <w:p>
            <w:pPr>
              <w:spacing w:after="0"/>
              <w:rPr>
                <w:sz w:val="7"/>
                <w:szCs w:val="7"/>
                <w:color w:val="auto"/>
              </w:rPr>
            </w:pPr>
          </w:p>
        </w:tc>
        <w:tc>
          <w:tcPr>
            <w:tcW w:w="280" w:type="dxa"/>
            <w:vAlign w:val="bottom"/>
            <w:tcBorders>
              <w:bottom w:val="single" w:sz="8" w:color="CFF0FC"/>
            </w:tcBorders>
            <w:vMerge w:val="continue"/>
            <w:shd w:val="clear" w:color="auto" w:fill="CFF0FC"/>
          </w:tcPr>
          <w:p>
            <w:pPr>
              <w:spacing w:after="0"/>
              <w:rPr>
                <w:sz w:val="7"/>
                <w:szCs w:val="7"/>
                <w:color w:val="auto"/>
              </w:rPr>
            </w:pPr>
          </w:p>
        </w:tc>
        <w:tc>
          <w:tcPr>
            <w:tcW w:w="24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CFF0FC"/>
            </w:tcBorders>
            <w:vMerge w:val="continue"/>
            <w:shd w:val="clear" w:color="auto" w:fill="CFF0FC"/>
          </w:tcPr>
          <w:p>
            <w:pPr>
              <w:spacing w:after="0"/>
              <w:rPr>
                <w:sz w:val="7"/>
                <w:szCs w:val="7"/>
                <w:color w:val="auto"/>
              </w:rPr>
            </w:pPr>
          </w:p>
        </w:tc>
        <w:tc>
          <w:tcPr>
            <w:tcW w:w="22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320" w:type="dxa"/>
            <w:vAlign w:val="bottom"/>
            <w:tcBorders>
              <w:bottom w:val="single" w:sz="8" w:color="CFF0FC"/>
            </w:tcBorders>
            <w:vMerge w:val="continue"/>
            <w:shd w:val="clear" w:color="auto" w:fill="CFF0FC"/>
          </w:tcPr>
          <w:p>
            <w:pPr>
              <w:spacing w:after="0"/>
              <w:rPr>
                <w:sz w:val="7"/>
                <w:szCs w:val="7"/>
                <w:color w:val="auto"/>
              </w:rPr>
            </w:pPr>
          </w:p>
        </w:tc>
        <w:tc>
          <w:tcPr>
            <w:tcW w:w="22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CFF0FC"/>
            </w:tcBorders>
            <w:gridSpan w:val="2"/>
            <w:vMerge w:val="continue"/>
            <w:shd w:val="clear" w:color="auto" w:fill="CFF0FC"/>
          </w:tcPr>
          <w:p>
            <w:pPr>
              <w:spacing w:after="0"/>
              <w:rPr>
                <w:sz w:val="7"/>
                <w:szCs w:val="7"/>
                <w:color w:val="auto"/>
              </w:rPr>
            </w:pPr>
          </w:p>
        </w:tc>
        <w:tc>
          <w:tcPr>
            <w:tcW w:w="880" w:type="dxa"/>
            <w:vAlign w:val="bottom"/>
            <w:tcBorders>
              <w:bottom w:val="single" w:sz="8" w:color="CFF0FC"/>
            </w:tcBorders>
            <w:gridSpan w:val="2"/>
            <w:vMerge w:val="continue"/>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660" w:type="dxa"/>
            <w:vAlign w:val="bottom"/>
            <w:tcBorders>
              <w:bottom w:val="single" w:sz="8" w:color="CFF0FC"/>
            </w:tcBorders>
            <w:gridSpan w:val="2"/>
            <w:vMerge w:val="continue"/>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800" w:type="dxa"/>
            <w:vAlign w:val="bottom"/>
            <w:tcBorders>
              <w:bottom w:val="single" w:sz="8" w:color="CFF0FC"/>
            </w:tcBorders>
            <w:gridSpan w:val="2"/>
            <w:vMerge w:val="continue"/>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900" w:type="dxa"/>
            <w:vAlign w:val="bottom"/>
            <w:tcBorders>
              <w:bottom w:val="single" w:sz="8" w:color="CFF0FC"/>
            </w:tcBorders>
            <w:gridSpan w:val="2"/>
            <w:vMerge w:val="continue"/>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48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line="152" w:lineRule="exact"/>
              <w:rPr>
                <w:sz w:val="20"/>
                <w:szCs w:val="20"/>
                <w:color w:val="auto"/>
              </w:rPr>
            </w:pPr>
            <w:r>
              <w:rPr>
                <w:rFonts w:ascii="Calibri" w:cs="Calibri" w:eastAsia="Calibri" w:hAnsi="Calibri"/>
                <w:sz w:val="13"/>
                <w:szCs w:val="13"/>
                <w:color w:val="auto"/>
              </w:rPr>
              <w:t>Other comprehensive income</w:t>
            </w:r>
          </w:p>
        </w:tc>
        <w:tc>
          <w:tcPr>
            <w:tcW w:w="16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Calibri" w:cs="Calibri" w:eastAsia="Calibri" w:hAnsi="Calibri"/>
                <w:sz w:val="13"/>
                <w:szCs w:val="13"/>
                <w:color w:val="auto"/>
              </w:rPr>
              <w:t>1,155</w:t>
            </w:r>
          </w:p>
        </w:tc>
        <w:tc>
          <w:tcPr>
            <w:tcW w:w="240" w:type="dxa"/>
            <w:vAlign w:val="bottom"/>
          </w:tcPr>
          <w:p>
            <w:pPr>
              <w:spacing w:after="0"/>
              <w:rPr>
                <w:sz w:val="13"/>
                <w:szCs w:val="13"/>
                <w:color w:val="auto"/>
              </w:rPr>
            </w:pPr>
          </w:p>
        </w:tc>
        <w:tc>
          <w:tcPr>
            <w:tcW w:w="92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Pr>
          <w:p>
            <w:pPr>
              <w:spacing w:after="0"/>
              <w:rPr>
                <w:sz w:val="13"/>
                <w:szCs w:val="13"/>
                <w:color w:val="auto"/>
              </w:rPr>
            </w:pPr>
          </w:p>
        </w:tc>
        <w:tc>
          <w:tcPr>
            <w:tcW w:w="2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1,986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Calibri" w:cs="Calibri" w:eastAsia="Calibri" w:hAnsi="Calibri"/>
                <w:sz w:val="13"/>
                <w:szCs w:val="13"/>
                <w:color w:val="auto"/>
              </w:rPr>
              <w:t>1,986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00" w:type="dxa"/>
            <w:vAlign w:val="bottom"/>
            <w:shd w:val="clear" w:color="auto" w:fill="CFF0FC"/>
          </w:tcPr>
          <w:p>
            <w:pPr>
              <w:spacing w:after="0" w:line="152" w:lineRule="exact"/>
              <w:rPr>
                <w:sz w:val="20"/>
                <w:szCs w:val="20"/>
                <w:color w:val="auto"/>
              </w:rPr>
            </w:pPr>
            <w:r>
              <w:rPr>
                <w:rFonts w:ascii="Calibri" w:cs="Calibri" w:eastAsia="Calibri" w:hAnsi="Calibri"/>
                <w:sz w:val="13"/>
                <w:szCs w:val="13"/>
                <w:color w:val="auto"/>
              </w:rPr>
              <w:t>Subsequent remeasurement of</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line="149" w:lineRule="exact"/>
              <w:rPr>
                <w:sz w:val="20"/>
                <w:szCs w:val="20"/>
                <w:color w:val="auto"/>
              </w:rPr>
            </w:pPr>
            <w:r>
              <w:rPr>
                <w:rFonts w:ascii="Calibri" w:cs="Calibri" w:eastAsia="Calibri" w:hAnsi="Calibri"/>
                <w:sz w:val="13"/>
                <w:szCs w:val="13"/>
                <w:color w:val="auto"/>
              </w:rPr>
              <w:t>redeemable noncontrolling</w:t>
            </w:r>
          </w:p>
        </w:tc>
        <w:tc>
          <w:tcPr>
            <w:tcW w:w="1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3"/>
                <w:szCs w:val="13"/>
                <w:color w:val="auto"/>
              </w:rPr>
              <w:t>(158,477 )</w:t>
            </w:r>
          </w:p>
        </w:tc>
        <w:tc>
          <w:tcPr>
            <w:tcW w:w="920" w:type="dxa"/>
            <w:vAlign w:val="bottom"/>
            <w:gridSpan w:val="2"/>
            <w:vMerge w:val="restart"/>
            <w:shd w:val="clear" w:color="auto" w:fill="CFF0FC"/>
          </w:tcPr>
          <w:p>
            <w:pPr>
              <w:jc w:val="right"/>
              <w:ind w:right="260"/>
              <w:spacing w:after="0"/>
              <w:rPr>
                <w:sz w:val="20"/>
                <w:szCs w:val="20"/>
                <w:color w:val="auto"/>
              </w:rPr>
            </w:pPr>
            <w:r>
              <w:rPr>
                <w:rFonts w:ascii="Calibri" w:cs="Calibri" w:eastAsia="Calibri" w:hAnsi="Calibri"/>
                <w:sz w:val="13"/>
                <w:szCs w:val="13"/>
                <w:color w:val="auto"/>
              </w:rPr>
              <w:t>—</w:t>
            </w:r>
          </w:p>
        </w:tc>
        <w:tc>
          <w:tcPr>
            <w:tcW w:w="20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158,477</w:t>
            </w:r>
          </w:p>
        </w:tc>
        <w:tc>
          <w:tcPr>
            <w:tcW w:w="2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158,477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00" w:type="dxa"/>
            <w:vAlign w:val="bottom"/>
            <w:shd w:val="clear" w:color="auto" w:fill="CFF0FC"/>
          </w:tcPr>
          <w:p>
            <w:pPr>
              <w:spacing w:after="0" w:line="149" w:lineRule="exact"/>
              <w:rPr>
                <w:sz w:val="20"/>
                <w:szCs w:val="20"/>
                <w:color w:val="auto"/>
              </w:rPr>
            </w:pPr>
            <w:r>
              <w:rPr>
                <w:rFonts w:ascii="Calibri" w:cs="Calibri" w:eastAsia="Calibri" w:hAnsi="Calibri"/>
                <w:sz w:val="13"/>
                <w:szCs w:val="13"/>
                <w:color w:val="auto"/>
              </w:rPr>
              <w:t>interests, net of tax impacts</w:t>
            </w:r>
          </w:p>
        </w:tc>
        <w:tc>
          <w:tcPr>
            <w:tcW w:w="160" w:type="dxa"/>
            <w:vAlign w:val="bottom"/>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80" w:type="dxa"/>
            <w:vAlign w:val="bottom"/>
            <w:tcBorders>
              <w:top w:val="single" w:sz="8" w:color="auto"/>
            </w:tcBorders>
          </w:tcPr>
          <w:p>
            <w:pPr>
              <w:jc w:val="right"/>
              <w:spacing w:after="0" w:line="151" w:lineRule="exact"/>
              <w:rPr>
                <w:sz w:val="20"/>
                <w:szCs w:val="20"/>
                <w:color w:val="auto"/>
              </w:rPr>
            </w:pPr>
            <w:r>
              <w:rPr>
                <w:rFonts w:ascii="Calibri" w:cs="Calibri" w:eastAsia="Calibri" w:hAnsi="Calibri"/>
                <w:sz w:val="13"/>
                <w:szCs w:val="13"/>
                <w:b w:val="1"/>
                <w:bCs w:val="1"/>
                <w:color w:val="auto"/>
              </w:rPr>
              <w:t>142,866,6</w:t>
            </w: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80" w:type="dxa"/>
            <w:vAlign w:val="bottom"/>
            <w:tcBorders>
              <w:top w:val="single" w:sz="8" w:color="auto"/>
            </w:tcBorders>
          </w:tcPr>
          <w:p>
            <w:pPr>
              <w:jc w:val="right"/>
              <w:spacing w:after="0" w:line="151" w:lineRule="exact"/>
              <w:rPr>
                <w:sz w:val="20"/>
                <w:szCs w:val="20"/>
                <w:color w:val="auto"/>
              </w:rPr>
            </w:pPr>
            <w:r>
              <w:rPr>
                <w:rFonts w:ascii="Calibri" w:cs="Calibri" w:eastAsia="Calibri" w:hAnsi="Calibri"/>
                <w:sz w:val="13"/>
                <w:szCs w:val="13"/>
                <w:b w:val="1"/>
                <w:bCs w:val="1"/>
                <w:color w:val="auto"/>
              </w:rPr>
              <w:t>76,225,00</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1" w:lineRule="exact"/>
              <w:rPr>
                <w:sz w:val="20"/>
                <w:szCs w:val="20"/>
                <w:color w:val="auto"/>
              </w:rPr>
            </w:pPr>
            <w:r>
              <w:rPr>
                <w:rFonts w:ascii="Calibri" w:cs="Calibri" w:eastAsia="Calibri" w:hAnsi="Calibri"/>
                <w:sz w:val="13"/>
                <w:szCs w:val="13"/>
                <w:b w:val="1"/>
                <w:bCs w:val="1"/>
                <w:color w:val="auto"/>
              </w:rPr>
              <w:t>1,333,5</w:t>
            </w:r>
          </w:p>
        </w:tc>
        <w:tc>
          <w:tcPr>
            <w:tcW w:w="20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Calibri" w:cs="Calibri" w:eastAsia="Calibri" w:hAnsi="Calibri"/>
                <w:sz w:val="13"/>
                <w:szCs w:val="13"/>
                <w:b w:val="1"/>
                <w:bCs w:val="1"/>
                <w:color w:val="auto"/>
              </w:rPr>
              <w:t>(11,433,7</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Calibri" w:cs="Calibri" w:eastAsia="Calibri" w:hAnsi="Calibri"/>
                <w:sz w:val="13"/>
                <w:szCs w:val="13"/>
                <w:b w:val="1"/>
                <w:bCs w:val="1"/>
                <w:color w:val="auto"/>
              </w:rPr>
              <w:t>Balances at September 30, 2024</w:t>
            </w:r>
          </w:p>
        </w:tc>
        <w:tc>
          <w:tcPr>
            <w:tcW w:w="1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282,033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11</w:t>
            </w:r>
          </w:p>
        </w:tc>
        <w:tc>
          <w:tcPr>
            <w:tcW w:w="240" w:type="dxa"/>
            <w:vAlign w:val="bottom"/>
          </w:tcPr>
          <w:p>
            <w:pPr>
              <w:spacing w:after="0"/>
              <w:rPr>
                <w:sz w:val="12"/>
                <w:szCs w:val="12"/>
                <w:color w:val="auto"/>
              </w:rPr>
            </w:pPr>
          </w:p>
        </w:tc>
        <w:tc>
          <w:tcPr>
            <w:tcW w:w="20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92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340" w:type="dxa"/>
            <w:vAlign w:val="bottom"/>
            <w:gridSpan w:val="2"/>
          </w:tcPr>
          <w:p>
            <w:pPr>
              <w:ind w:left="220"/>
              <w:spacing w:after="0" w:line="149" w:lineRule="exact"/>
              <w:rPr>
                <w:sz w:val="20"/>
                <w:szCs w:val="20"/>
                <w:color w:val="auto"/>
              </w:rPr>
            </w:pPr>
            <w:r>
              <w:rPr>
                <w:rFonts w:ascii="Calibri" w:cs="Calibri" w:eastAsia="Calibri" w:hAnsi="Calibri"/>
                <w:sz w:val="13"/>
                <w:szCs w:val="13"/>
                <w:b w:val="1"/>
                <w:bCs w:val="1"/>
                <w:color w:val="auto"/>
              </w:rPr>
              <w:t>$</w:t>
            </w:r>
          </w:p>
        </w:tc>
        <w:tc>
          <w:tcPr>
            <w:tcW w:w="32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300" w:type="dxa"/>
            <w:vAlign w:val="bottom"/>
            <w:gridSpan w:val="2"/>
          </w:tcPr>
          <w:p>
            <w:pPr>
              <w:ind w:left="220"/>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18</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49 )</w:t>
            </w:r>
          </w:p>
        </w:tc>
        <w:tc>
          <w:tcPr>
            <w:tcW w:w="12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b w:val="1"/>
                <w:bCs w:val="1"/>
                <w:color w:val="auto"/>
                <w:w w:val="97"/>
              </w:rPr>
              <w:t>(75,584 )</w:t>
            </w:r>
          </w:p>
        </w:tc>
        <w:tc>
          <w:tcPr>
            <w:tcW w:w="80" w:type="dxa"/>
            <w:vAlign w:val="bottom"/>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80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b w:val="1"/>
                <w:bCs w:val="1"/>
                <w:color w:val="auto"/>
              </w:rPr>
              <w:t>(929,284 )</w:t>
            </w:r>
          </w:p>
        </w:tc>
        <w:tc>
          <w:tcPr>
            <w:tcW w:w="100" w:type="dxa"/>
            <w:vAlign w:val="bottom"/>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6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770</w:t>
            </w:r>
          </w:p>
        </w:tc>
        <w:tc>
          <w:tcPr>
            <w:tcW w:w="2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329,442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0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-3419475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-3402965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-3419475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-3402965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-3419475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-3402965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-3419475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-3402965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-3419475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-3402965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-3419475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-3402965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-3419475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-3402965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-3419475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-3402965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-3419475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-3402965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-3419475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-3402965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-3419475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-3402965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-1619885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-1602740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-1619885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-1602740</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-1619885</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-1602740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-1619885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-1602740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-1619885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-1602740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-1619885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-1602740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-1619885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-1602740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-1619885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-1602740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-1619885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-1602740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-1619885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-1602740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-1619885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-1602740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-239395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-239395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-239395</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-239395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-239395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-239395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-239395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-239395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-239395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-239395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-239395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481965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760" w:right="39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5"/>
          </w:tcPr>
          <w:p>
            <w:pPr>
              <w:jc w:val="right"/>
              <w:ind w:right="260"/>
              <w:spacing w:after="0"/>
              <w:rPr>
                <w:sz w:val="20"/>
                <w:szCs w:val="20"/>
                <w:color w:val="auto"/>
              </w:rPr>
            </w:pPr>
            <w:r>
              <w:rPr>
                <w:rFonts w:ascii="Calibri" w:cs="Calibri" w:eastAsia="Calibri" w:hAnsi="Calibri"/>
                <w:sz w:val="18"/>
                <w:szCs w:val="18"/>
                <w:b w:val="1"/>
                <w:bCs w:val="1"/>
                <w:color w:val="auto"/>
                <w:w w:val="97"/>
              </w:rPr>
              <w:t>Nine Months Ended September 30,</w:t>
            </w:r>
          </w:p>
        </w:tc>
      </w:tr>
      <w:tr>
        <w:trPr>
          <w:trHeight w:val="37"/>
        </w:trPr>
        <w:tc>
          <w:tcPr>
            <w:tcW w:w="8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8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Cash fows from operatng actvites</w:t>
            </w: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18,716</w:t>
            </w:r>
          </w:p>
        </w:tc>
        <w:tc>
          <w:tcPr>
            <w:tcW w:w="260" w:type="dxa"/>
            <w:vAlign w:val="bottom"/>
          </w:tcPr>
          <w:p>
            <w:pPr>
              <w:spacing w:after="0"/>
              <w:rPr>
                <w:sz w:val="18"/>
                <w:szCs w:val="18"/>
                <w:color w:val="auto"/>
              </w:rPr>
            </w:pP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84,616</w:t>
            </w: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Adjustments to reconcile net income to net cash provided by operatng actvites</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31,654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8,603</w:t>
            </w: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Amortzaton of leases</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1,379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deferred fnancing costs</w:t>
            </w:r>
          </w:p>
        </w:tc>
        <w:tc>
          <w:tcPr>
            <w:tcW w:w="1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718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688</w:t>
            </w: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Equity-based compensaton</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38,284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warrants</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(5,713 )</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(991 )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Loss on asset disposals</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taxes</w:t>
            </w:r>
          </w:p>
        </w:tc>
        <w:tc>
          <w:tcPr>
            <w:tcW w:w="1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3,378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(22,678 )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Change in fair value of derivatve asset</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Non-cash interest income</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(442 )</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(125 )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Foreign currency revaluaton loss</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contngent consideraton</w:t>
            </w:r>
          </w:p>
        </w:tc>
        <w:tc>
          <w:tcPr>
            <w:tcW w:w="140" w:type="dxa"/>
            <w:vAlign w:val="bottom"/>
          </w:tcPr>
          <w:p>
            <w:pPr>
              <w:spacing w:after="0"/>
              <w:rPr>
                <w:sz w:val="18"/>
                <w:szCs w:val="18"/>
                <w:color w:val="auto"/>
              </w:rPr>
            </w:pPr>
          </w:p>
        </w:tc>
        <w:tc>
          <w:tcPr>
            <w:tcW w:w="14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(998 )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Change in assets and liabilites:</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Accounts receivable – net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(6,879 )</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(26,147 )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(1,234 )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(8,702 )</w:t>
            </w: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4,164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(19,239 )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payable</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(33,113 )</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50,484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(35,140 )</w:t>
            </w: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18,415</w:t>
            </w: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revenue</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(10,042 )</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8280" w:type="dxa"/>
            <w:vAlign w:val="bottom"/>
          </w:tcPr>
          <w:p>
            <w:pPr>
              <w:ind w:left="120"/>
              <w:spacing w:after="0"/>
              <w:rPr>
                <w:sz w:val="20"/>
                <w:szCs w:val="20"/>
                <w:color w:val="auto"/>
              </w:rPr>
            </w:pPr>
            <w:r>
              <w:rPr>
                <w:rFonts w:ascii="Calibri" w:cs="Calibri" w:eastAsia="Calibri" w:hAnsi="Calibri"/>
                <w:sz w:val="18"/>
                <w:szCs w:val="18"/>
                <w:color w:val="auto"/>
              </w:rPr>
              <w:t>Other non-current assets and liabilites</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(558 )</w:t>
            </w:r>
          </w:p>
        </w:tc>
        <w:tc>
          <w:tcPr>
            <w:tcW w:w="3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6,365</w:t>
            </w:r>
          </w:p>
        </w:tc>
        <w:tc>
          <w:tcPr>
            <w:tcW w:w="100" w:type="dxa"/>
            <w:vAlign w:val="bottom"/>
          </w:tcPr>
          <w:p>
            <w:pPr>
              <w:spacing w:after="0"/>
              <w:rPr>
                <w:sz w:val="19"/>
                <w:szCs w:val="19"/>
                <w:color w:val="auto"/>
              </w:rPr>
            </w:pPr>
          </w:p>
        </w:tc>
      </w:tr>
      <w:tr>
        <w:trPr>
          <w:trHeight w:val="23"/>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provided by operatng actvites</w:t>
            </w: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6,135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114,386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2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Purchases of property and equipment</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(767 )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(785 )</w:t>
            </w: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Purchases of personal seat licenses</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(737 )</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(542 )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Investments in developed technology</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(14,334 )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(7,770 )</w:t>
            </w: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Disbursement of 2024 Sponsorship Loan</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(2,000 )</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Acquisiton of business, net of cash acquired</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(55,935 )</w:t>
            </w:r>
          </w:p>
        </w:tc>
      </w:tr>
      <w:tr>
        <w:trPr>
          <w:trHeight w:val="220"/>
        </w:trPr>
        <w:tc>
          <w:tcPr>
            <w:tcW w:w="8280" w:type="dxa"/>
            <w:vAlign w:val="bottom"/>
          </w:tcPr>
          <w:p>
            <w:pPr>
              <w:ind w:left="120"/>
              <w:spacing w:after="0"/>
              <w:rPr>
                <w:sz w:val="20"/>
                <w:szCs w:val="20"/>
                <w:color w:val="auto"/>
              </w:rPr>
            </w:pPr>
            <w:r>
              <w:rPr>
                <w:rFonts w:ascii="Calibri" w:cs="Calibri" w:eastAsia="Calibri" w:hAnsi="Calibri"/>
                <w:sz w:val="18"/>
                <w:szCs w:val="18"/>
                <w:color w:val="auto"/>
              </w:rPr>
              <w:t>Investments in convertble promissory note and warrant</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(6,000 )</w:t>
            </w:r>
          </w:p>
        </w:tc>
      </w:tr>
      <w:tr>
        <w:trPr>
          <w:trHeight w:val="23"/>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used in investng actvites</w:t>
            </w: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200"/>
              <w:spacing w:after="0" w:line="208" w:lineRule="exact"/>
              <w:rPr>
                <w:sz w:val="20"/>
                <w:szCs w:val="20"/>
                <w:color w:val="auto"/>
              </w:rPr>
            </w:pPr>
            <w:r>
              <w:rPr>
                <w:rFonts w:ascii="Calibri" w:cs="Calibri" w:eastAsia="Calibri" w:hAnsi="Calibri"/>
                <w:sz w:val="18"/>
                <w:szCs w:val="18"/>
                <w:b w:val="1"/>
                <w:bCs w:val="1"/>
                <w:color w:val="auto"/>
              </w:rPr>
              <w:t>(17,838 )</w:t>
            </w:r>
          </w:p>
        </w:tc>
        <w:tc>
          <w:tcPr>
            <w:tcW w:w="3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40"/>
              <w:spacing w:after="0" w:line="208" w:lineRule="exact"/>
              <w:rPr>
                <w:sz w:val="20"/>
                <w:szCs w:val="20"/>
                <w:color w:val="auto"/>
              </w:rPr>
            </w:pPr>
            <w:r>
              <w:rPr>
                <w:rFonts w:ascii="Calibri" w:cs="Calibri" w:eastAsia="Calibri" w:hAnsi="Calibri"/>
                <w:sz w:val="18"/>
                <w:szCs w:val="18"/>
                <w:b w:val="1"/>
                <w:bCs w:val="1"/>
                <w:color w:val="auto"/>
              </w:rPr>
              <w:t>(71,032 )</w:t>
            </w:r>
          </w:p>
        </w:tc>
      </w:tr>
      <w:tr>
        <w:trPr>
          <w:trHeight w:val="215"/>
        </w:trPr>
        <w:tc>
          <w:tcPr>
            <w:tcW w:w="82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February 2022 First Lien Loan</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(689 )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(2,063 )</w:t>
            </w: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Repurchases of common stock as treasury stock</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(22,998 )</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(7,612 )</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Tax distributons</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(9,253 )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(11,016 )</w:t>
            </w: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Shoko Chukin Bank Loan</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(2,655 )</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taxes related to net setlement of equity incentve awards</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(645 )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Proceeds from June 2024 First Lien Loan</w:t>
            </w:r>
          </w:p>
        </w:tc>
        <w:tc>
          <w:tcPr>
            <w:tcW w:w="1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125,500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deferred fnancing costs and other debt-related costs</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(315 )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 of liabilites under Tax Receivable Agreement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(77 )</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June 2024 First Lien Loan</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(987 )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9"/>
        </w:trPr>
        <w:tc>
          <w:tcPr>
            <w:tcW w:w="8280" w:type="dxa"/>
            <w:vAlign w:val="bottom"/>
          </w:tcPr>
          <w:p>
            <w:pPr>
              <w:ind w:left="120"/>
              <w:spacing w:after="0"/>
              <w:rPr>
                <w:sz w:val="20"/>
                <w:szCs w:val="20"/>
                <w:color w:val="auto"/>
              </w:rPr>
            </w:pPr>
            <w:r>
              <w:rPr>
                <w:rFonts w:ascii="Calibri" w:cs="Calibri" w:eastAsia="Calibri" w:hAnsi="Calibri"/>
                <w:sz w:val="18"/>
                <w:szCs w:val="18"/>
                <w:color w:val="auto"/>
              </w:rPr>
              <w:t>Cash paid for milestone payments</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(6,005 )</w:t>
            </w:r>
          </w:p>
        </w:tc>
      </w:tr>
      <w:tr>
        <w:trPr>
          <w:trHeight w:val="24"/>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provided by (used in) fnancing actvites</w:t>
            </w: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87,881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40"/>
              <w:spacing w:after="0" w:line="208" w:lineRule="exact"/>
              <w:rPr>
                <w:sz w:val="20"/>
                <w:szCs w:val="20"/>
                <w:color w:val="auto"/>
              </w:rPr>
            </w:pPr>
            <w:r>
              <w:rPr>
                <w:rFonts w:ascii="Calibri" w:cs="Calibri" w:eastAsia="Calibri" w:hAnsi="Calibri"/>
                <w:sz w:val="18"/>
                <w:szCs w:val="18"/>
                <w:b w:val="1"/>
                <w:bCs w:val="1"/>
                <w:color w:val="auto"/>
              </w:rPr>
              <w:t>(26,696 )</w:t>
            </w:r>
          </w:p>
        </w:tc>
      </w:tr>
      <w:tr>
        <w:trPr>
          <w:trHeight w:val="219"/>
        </w:trPr>
        <w:tc>
          <w:tcPr>
            <w:tcW w:w="8280" w:type="dxa"/>
            <w:vAlign w:val="bottom"/>
          </w:tcPr>
          <w:p>
            <w:pPr>
              <w:ind w:left="120"/>
              <w:spacing w:after="0"/>
              <w:rPr>
                <w:sz w:val="20"/>
                <w:szCs w:val="20"/>
                <w:color w:val="auto"/>
              </w:rPr>
            </w:pPr>
            <w:r>
              <w:rPr>
                <w:rFonts w:ascii="Calibri" w:cs="Calibri" w:eastAsia="Calibri" w:hAnsi="Calibri"/>
                <w:sz w:val="18"/>
                <w:szCs w:val="18"/>
                <w:color w:val="auto"/>
              </w:rPr>
              <w:t>Impact of foreign exchange on cash, cash equivalents, and restricted cash</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(151 )</w:t>
            </w:r>
          </w:p>
        </w:tc>
        <w:tc>
          <w:tcPr>
            <w:tcW w:w="3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786</w:t>
            </w:r>
          </w:p>
        </w:tc>
        <w:tc>
          <w:tcPr>
            <w:tcW w:w="100" w:type="dxa"/>
            <w:vAlign w:val="bottom"/>
          </w:tcPr>
          <w:p>
            <w:pPr>
              <w:spacing w:after="0"/>
              <w:rPr>
                <w:sz w:val="19"/>
                <w:szCs w:val="19"/>
                <w:color w:val="auto"/>
              </w:rPr>
            </w:pPr>
          </w:p>
        </w:tc>
      </w:tr>
      <w:tr>
        <w:trPr>
          <w:trHeight w:val="24"/>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828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increase in cash, cash equivalents, and restricted cash</w:t>
            </w:r>
          </w:p>
        </w:tc>
        <w:tc>
          <w:tcPr>
            <w:tcW w:w="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76,027</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17,444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3"/>
        </w:trPr>
        <w:tc>
          <w:tcPr>
            <w:tcW w:w="828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Cash, cash equivalents, and restricted cash – beginning of period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132,434</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252,290</w:t>
            </w:r>
          </w:p>
        </w:tc>
        <w:tc>
          <w:tcPr>
            <w:tcW w:w="100" w:type="dxa"/>
            <w:vAlign w:val="bottom"/>
            <w:tcBorders>
              <w:top w:val="single" w:sz="8" w:color="CFF0FC"/>
            </w:tcBorders>
          </w:tcPr>
          <w:p>
            <w:pPr>
              <w:spacing w:after="0"/>
              <w:rPr>
                <w:sz w:val="18"/>
                <w:szCs w:val="18"/>
                <w:color w:val="auto"/>
              </w:rPr>
            </w:pPr>
          </w:p>
        </w:tc>
      </w:tr>
      <w:tr>
        <w:trPr>
          <w:trHeight w:val="24"/>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8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Cash, cash equivalents, and restricted cash – end of period</w:t>
            </w:r>
          </w:p>
        </w:tc>
        <w:tc>
          <w:tcPr>
            <w:tcW w:w="1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208,461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269,734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5"/>
        </w:trPr>
        <w:tc>
          <w:tcPr>
            <w:tcW w:w="8280" w:type="dxa"/>
            <w:vAlign w:val="bottom"/>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paid for interest</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16,728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Cash paid for income tax</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5,144</w:t>
            </w:r>
          </w:p>
        </w:tc>
        <w:tc>
          <w:tcPr>
            <w:tcW w:w="260" w:type="dxa"/>
            <w:vAlign w:val="bottom"/>
          </w:tcPr>
          <w:p>
            <w:pPr>
              <w:spacing w:after="0"/>
              <w:rPr>
                <w:sz w:val="18"/>
                <w:szCs w:val="18"/>
                <w:color w:val="auto"/>
              </w:rPr>
            </w:pP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401</w:t>
            </w:r>
          </w:p>
        </w:tc>
        <w:tc>
          <w:tcPr>
            <w:tcW w:w="100" w:type="dxa"/>
            <w:vAlign w:val="bottom"/>
          </w:tcPr>
          <w:p>
            <w:pPr>
              <w:spacing w:after="0"/>
              <w:rPr>
                <w:sz w:val="18"/>
                <w:szCs w:val="18"/>
                <w:color w:val="auto"/>
              </w:rPr>
            </w:pPr>
          </w:p>
        </w:tc>
      </w:tr>
      <w:tr>
        <w:trPr>
          <w:trHeight w:val="28"/>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2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paid for operatng lease liabilites</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2,325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280" w:type="dxa"/>
            <w:vAlign w:val="bottom"/>
          </w:tcPr>
          <w:p>
            <w:pPr>
              <w:ind w:left="120"/>
              <w:spacing w:after="0" w:line="215" w:lineRule="exact"/>
              <w:rPr>
                <w:sz w:val="20"/>
                <w:szCs w:val="20"/>
                <w:color w:val="auto"/>
              </w:rPr>
            </w:pPr>
            <w:r>
              <w:rPr>
                <w:rFonts w:ascii="Calibri" w:cs="Calibri" w:eastAsia="Calibri" w:hAnsi="Calibri"/>
                <w:sz w:val="18"/>
                <w:szCs w:val="18"/>
                <w:color w:val="auto"/>
              </w:rPr>
              <w:t>Right-of-use assets obtained in exchange for lease obligatons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935</w:t>
            </w:r>
          </w:p>
        </w:tc>
        <w:tc>
          <w:tcPr>
            <w:tcW w:w="260" w:type="dxa"/>
            <w:vAlign w:val="bottom"/>
          </w:tcPr>
          <w:p>
            <w:pPr>
              <w:spacing w:after="0"/>
              <w:rPr>
                <w:sz w:val="18"/>
                <w:szCs w:val="18"/>
                <w:color w:val="auto"/>
              </w:rPr>
            </w:pP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-1104265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-1104265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-778510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-761365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p>
      <w:pPr>
        <w:spacing w:after="0" w:line="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80" w:type="dxa"/>
            <w:vAlign w:val="bottom"/>
            <w:shd w:val="clear" w:color="auto" w:fill="CFF0FC"/>
          </w:tcPr>
          <w:p>
            <w:pPr>
              <w:ind w:left="120"/>
              <w:spacing w:after="0"/>
              <w:rPr>
                <w:sz w:val="20"/>
                <w:szCs w:val="20"/>
                <w:color w:val="auto"/>
              </w:rPr>
            </w:pPr>
            <w:r>
              <w:rPr>
                <w:rFonts w:ascii="Calibri" w:cs="Calibri" w:eastAsia="Calibri" w:hAnsi="Calibri"/>
                <w:sz w:val="18"/>
                <w:szCs w:val="18"/>
                <w:color w:val="auto"/>
              </w:rPr>
              <w:t>Establishment of liabilites under Tax Receivable Agreement</w:t>
            </w:r>
          </w:p>
        </w:tc>
        <w:tc>
          <w:tcPr>
            <w:tcW w:w="620" w:type="dxa"/>
            <w:vAlign w:val="bottom"/>
            <w:shd w:val="clear" w:color="auto" w:fill="CFF0FC"/>
          </w:tcPr>
          <w:p>
            <w:pPr>
              <w:jc w:val="right"/>
              <w:ind w:right="430"/>
              <w:spacing w:after="0"/>
              <w:rPr>
                <w:sz w:val="20"/>
                <w:szCs w:val="20"/>
                <w:color w:val="auto"/>
              </w:rPr>
            </w:pPr>
            <w:r>
              <w:rPr>
                <w:rFonts w:ascii="Calibri" w:cs="Calibri" w:eastAsia="Calibri" w:hAnsi="Calibri"/>
                <w:sz w:val="18"/>
                <w:szCs w:val="18"/>
                <w:color w:val="auto"/>
                <w:w w:val="87"/>
              </w:rPr>
              <w:t>$</w:t>
            </w:r>
          </w:p>
        </w:tc>
        <w:tc>
          <w:tcPr>
            <w:tcW w:w="680" w:type="dxa"/>
            <w:vAlign w:val="bottom"/>
            <w:shd w:val="clear" w:color="auto" w:fill="CFF0FC"/>
          </w:tcPr>
          <w:p>
            <w:pPr>
              <w:ind w:left="500"/>
              <w:spacing w:after="0"/>
              <w:rPr>
                <w:sz w:val="20"/>
                <w:szCs w:val="20"/>
                <w:color w:val="auto"/>
              </w:rPr>
            </w:pPr>
            <w:r>
              <w:rPr>
                <w:rFonts w:ascii="Calibri" w:cs="Calibri" w:eastAsia="Calibri" w:hAnsi="Calibri"/>
                <w:sz w:val="18"/>
                <w:szCs w:val="18"/>
                <w:color w:val="auto"/>
                <w:w w:val="97"/>
              </w:rPr>
              <w:t>—</w:t>
            </w:r>
          </w:p>
        </w:tc>
        <w:tc>
          <w:tcPr>
            <w:tcW w:w="720" w:type="dxa"/>
            <w:vAlign w:val="bottom"/>
            <w:gridSpan w:val="2"/>
            <w:shd w:val="clear" w:color="auto" w:fill="CFF0FC"/>
          </w:tcPr>
          <w:p>
            <w:pPr>
              <w:jc w:val="right"/>
              <w:ind w:right="34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98,977</w:t>
            </w:r>
          </w:p>
        </w:tc>
        <w:tc>
          <w:tcPr>
            <w:tcW w:w="100" w:type="dxa"/>
            <w:vAlign w:val="bottom"/>
            <w:shd w:val="clear" w:color="auto" w:fill="CFF0FC"/>
          </w:tcPr>
          <w:p>
            <w:pPr>
              <w:spacing w:after="0"/>
              <w:rPr>
                <w:sz w:val="21"/>
                <w:szCs w:val="21"/>
                <w:color w:val="auto"/>
              </w:rPr>
            </w:pPr>
          </w:p>
        </w:tc>
      </w:tr>
      <w:tr>
        <w:trPr>
          <w:trHeight w:val="219"/>
        </w:trPr>
        <w:tc>
          <w:tcPr>
            <w:tcW w:w="8280" w:type="dxa"/>
            <w:vAlign w:val="bottom"/>
          </w:tcPr>
          <w:p>
            <w:pPr>
              <w:ind w:left="120"/>
              <w:spacing w:after="0"/>
              <w:rPr>
                <w:sz w:val="20"/>
                <w:szCs w:val="20"/>
                <w:color w:val="auto"/>
              </w:rPr>
            </w:pPr>
            <w:r>
              <w:rPr>
                <w:rFonts w:ascii="Calibri" w:cs="Calibri" w:eastAsia="Calibri" w:hAnsi="Calibri"/>
                <w:sz w:val="18"/>
                <w:szCs w:val="18"/>
                <w:color w:val="auto"/>
              </w:rPr>
              <w:t>Establishment of deferred tax asset under Tax Receivable Agreement and secondary ofering</w:t>
            </w:r>
          </w:p>
        </w:tc>
        <w:tc>
          <w:tcPr>
            <w:tcW w:w="620" w:type="dxa"/>
            <w:vAlign w:val="bottom"/>
          </w:tcPr>
          <w:p>
            <w:pPr>
              <w:jc w:val="right"/>
              <w:ind w:right="43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Pr>
          <w:p>
            <w:pPr>
              <w:ind w:left="500"/>
              <w:spacing w:after="0" w:line="215" w:lineRule="exact"/>
              <w:rPr>
                <w:sz w:val="20"/>
                <w:szCs w:val="20"/>
                <w:color w:val="auto"/>
              </w:rPr>
            </w:pPr>
            <w:r>
              <w:rPr>
                <w:rFonts w:ascii="Calibri" w:cs="Calibri" w:eastAsia="Calibri" w:hAnsi="Calibri"/>
                <w:sz w:val="18"/>
                <w:szCs w:val="18"/>
                <w:color w:val="auto"/>
                <w:w w:val="97"/>
              </w:rPr>
              <w:t>—</w:t>
            </w:r>
          </w:p>
        </w:tc>
        <w:tc>
          <w:tcPr>
            <w:tcW w:w="72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52,845</w:t>
            </w:r>
          </w:p>
        </w:tc>
        <w:tc>
          <w:tcPr>
            <w:tcW w:w="100" w:type="dxa"/>
            <w:vAlign w:val="bottom"/>
          </w:tcPr>
          <w:p>
            <w:pPr>
              <w:spacing w:after="0"/>
              <w:rPr>
                <w:sz w:val="19"/>
                <w:szCs w:val="19"/>
                <w:color w:val="auto"/>
              </w:rPr>
            </w:pPr>
          </w:p>
        </w:tc>
      </w:tr>
      <w:tr>
        <w:trPr>
          <w:trHeight w:val="23"/>
        </w:trPr>
        <w:tc>
          <w:tcPr>
            <w:tcW w:w="8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8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and Basis of Presentation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Vivid Seats Inc. (“VSI”) and its subsidiaries, including Hoya Intermediate, LLC (“Hoya Intermediate”), Hoya Midco, LLC and Vivid Seats LLC (collectvely, the “Company,” “us,” “we” and “our”), provide an online tcket marketplace that enables buyers to easily discover and purchase tckets to live events and atractons and book hotel rooms and packages in the United States, Canada and Japan. In our Marketplace segment, we primarily act as an intermediary between tcket buyers, sellers and partners within our online tcket marketplace, while enabling tcket sellers and partners to seamlessly manage their operatons. In our Resale segment, we primarily acquire tckets to resell on secondary tcket marketplaces, including our own.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prepared these unaudited condensed consolidated fnancial statements in accordance with accountng principles generally accepted in the United States of America (“US GAAP”) for interim fnancial informaton and the instructons to the Quarterly Report on Form 10-Q and Artcle 10 of Regulaton S-X issued by the U.S. Securites and Exchange Commission (the “SEC”). Accordingly, they do not include all of the informaton and notes required by US GAAP for comprehensive annual fnancial statements. In our opinion, all adjustments considered necessary for a fair presentaton of the results of operatons for the interim periods have been included and are of a normal, recurring nature. The results refected in these condensed consolidated fnancial statements are not necessarily indicatve of results that may be expected for any other interim period or for the full year. These condensed consolidated fnancial statements should be read together with the audited annual consolidated fnancial statements and accompanying notes included in our Annual Report on Form 10-K for the fscal year ended December 31, 2023, which was fled with the SEC on March 8, 2024 (our “2023 Form 10-K”). These condensed consolidated fnancial statements include all of our accounts, including those of our consolidated subsidiaries. All intercompany transactons and balances have been eliminated in consolidaton.</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New Accounting Standards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Adopted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Acquired Contract Assets and Contract Liabilites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October 2021, the Financial Accountng Standards Board (the “FASB”) issued Accountng Standard Update (“ASU”) 2021-08, </w:t>
      </w:r>
      <w:r>
        <w:rPr>
          <w:rFonts w:ascii="Calibri" w:cs="Calibri" w:eastAsia="Calibri" w:hAnsi="Calibri"/>
          <w:sz w:val="18"/>
          <w:szCs w:val="18"/>
          <w:i w:val="1"/>
          <w:iCs w:val="1"/>
          <w:color w:val="auto"/>
        </w:rPr>
        <w:t>Business Combinatons (Topic</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805): Accountng for Contract Assets and Contract Liabilites from Contracts with Customers. </w:t>
      </w:r>
      <w:r>
        <w:rPr>
          <w:rFonts w:ascii="Calibri" w:cs="Calibri" w:eastAsia="Calibri" w:hAnsi="Calibri"/>
          <w:sz w:val="18"/>
          <w:szCs w:val="18"/>
          <w:color w:val="auto"/>
        </w:rPr>
        <w:t>The ASU requires contract assets and liabilites acquired in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business combinaton to be recognized and measured by the acquirer on the acquisiton date in accordance with Accountng Standards Codifcaton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as if it had originated the contracts. Under the previous guidance, such assets and liabilites were recognized by the acquirer at fair value on the acquisiton date. The ASU allows for immediate adopton on a retrospectve basis for all business combinatons that have occurred since the beginning of the annual period that includes the interim period of adopton. We elected to adopt these requirements during the three months ended December 31, 2023, with no material impact on our consolidated fnancial statements.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Not Yet Adopted</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Segment Reportng </w:t>
      </w:r>
      <w:r>
        <w:rPr>
          <w:rFonts w:ascii="Times New Roman" w:cs="Times New Roman" w:eastAsia="Times New Roman" w:hAnsi="Times New Roman"/>
          <w:sz w:val="18"/>
          <w:szCs w:val="18"/>
          <w:i w:val="1"/>
          <w:iCs w:val="1"/>
          <w:color w:val="auto"/>
        </w:rPr>
        <w:t>-</w:t>
      </w:r>
      <w:r>
        <w:rPr>
          <w:rFonts w:ascii="Calibri" w:cs="Calibri" w:eastAsia="Calibri" w:hAnsi="Calibri"/>
          <w:sz w:val="18"/>
          <w:szCs w:val="18"/>
          <w:i w:val="1"/>
          <w:iCs w:val="1"/>
          <w:color w:val="auto"/>
        </w:rPr>
        <w:t xml:space="preserve"> Improvements to Reportable Segment Disclosures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2023, the FASB issued ASU 2023-07, </w:t>
      </w:r>
      <w:r>
        <w:rPr>
          <w:rFonts w:ascii="Calibri" w:cs="Calibri" w:eastAsia="Calibri" w:hAnsi="Calibri"/>
          <w:sz w:val="18"/>
          <w:szCs w:val="18"/>
          <w:i w:val="1"/>
          <w:iCs w:val="1"/>
          <w:color w:val="auto"/>
        </w:rPr>
        <w:t>Segment Reportng (Topic 280): Improvements to Reportable Segment Disclosures</w:t>
      </w:r>
      <w:r>
        <w:rPr>
          <w:rFonts w:ascii="Calibri" w:cs="Calibri" w:eastAsia="Calibri" w:hAnsi="Calibri"/>
          <w:sz w:val="18"/>
          <w:szCs w:val="18"/>
          <w:color w:val="auto"/>
        </w:rPr>
        <w:t>, which updates reportable segment disclosure requirements primarily through enhanced disclosures about signifcant segment expenses. The amendments are efectve for fscal years beginning afer December 15, 2023, and for interim periods within fscal years beginning afer December 15, 2024. Early adopton is permited. The amendments should be applied retrospectvely to all prior periods presented in the fnancial statements. We are currently evaluatng the impact of adoptng the amendments on our future consolidated fnancial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the FASB issued ASU 2023-09</w:t>
      </w:r>
      <w:r>
        <w:rPr>
          <w:rFonts w:ascii="Calibri" w:cs="Calibri" w:eastAsia="Calibri" w:hAnsi="Calibri"/>
          <w:sz w:val="18"/>
          <w:szCs w:val="18"/>
          <w:i w:val="1"/>
          <w:iCs w:val="1"/>
          <w:color w:val="auto"/>
        </w:rPr>
        <w:t>, Income Taxes (Topic 740): Improvements to Income Tax Disclosures,</w:t>
      </w:r>
      <w:r>
        <w:rPr>
          <w:rFonts w:ascii="Calibri" w:cs="Calibri" w:eastAsia="Calibri" w:hAnsi="Calibri"/>
          <w:sz w:val="18"/>
          <w:szCs w:val="18"/>
          <w:color w:val="auto"/>
        </w:rPr>
        <w:t xml:space="preserve"> which requires that an entty, on an annual basis, disclose additonal income tax informaton, primarily related to the rate reconciliaton and income taxes paid. The amendments are intended to enhance the transparency and decision usefulness of income tax disclosures. The amendments are efectve for annual periods beginning afer December 15, 2025. We are currently evaluatng the impact of adoptng the new amendments, which are expected to result in enhanced disclosures, on our future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Compensaton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2024, the FASB issued ASU 2024-01, </w:t>
      </w:r>
      <w:r>
        <w:rPr>
          <w:rFonts w:ascii="Calibri" w:cs="Calibri" w:eastAsia="Calibri" w:hAnsi="Calibri"/>
          <w:sz w:val="18"/>
          <w:szCs w:val="18"/>
          <w:i w:val="1"/>
          <w:iCs w:val="1"/>
          <w:color w:val="auto"/>
        </w:rPr>
        <w:t>Compensaton—Stock Compensaton (Topic 718)—Scope Applicaton of Profts Interest and Similar Awards.</w:t>
      </w:r>
      <w:r>
        <w:rPr>
          <w:rFonts w:ascii="Calibri" w:cs="Calibri" w:eastAsia="Calibri" w:hAnsi="Calibri"/>
          <w:sz w:val="18"/>
          <w:szCs w:val="18"/>
          <w:color w:val="auto"/>
        </w:rPr>
        <w:t xml:space="preserve"> The amendments are intended to improve the clarity of paragraph 718-10-15-3 and its applicaton to profts interest or similar awards, primarily through the additon of an illustratve example. The amendments are efectve for fscal years beginning afer December 15, 2025, and for interim periods within those annual periods. Early adopton is permited for both interim and annual fnancial statements that have not yet been issued or made available for issuance. We are currently evaluatng the impact of adoptng the amendments on our future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Business Acquisitions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Vegas.com Acquisiton</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On November 3, 2023, we acquired VDC Holdco, LLC, the parent company of Vegas.com, LLC (together, “Vegas.com”), an online tcket marketplace headquartered in Las Vegas, Nevada. The purchase price was $248.3 million, comprising $152.8 million in cash and approximately 15.6 million shares of our Class A common stock. We fnanced the cash porton of the purchase price at closing with cash on hand. The purchase consideraton allocaton is preliminary because the evaluatons necessary to assess the fair values of the net assets acquired are stll in process. The primary areas that are not yet fnalized relate to the valuatons of certain acquired prepaid expenses, income tax assets and income tax liabilites. As a result, these allocatons are subject to change during the one-year measurement period. There were no changes to the preliminary purchase price allocaton during the nine months ended September 30, 2024.</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Wavedash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we acquired WD Holdings Co., Ltd., the parent company of Wavedash Co., Ltd. (together, “Wavedash”), an online tcket marketplace headquartered in Tokyo, Japan. The purchase price was JPY 10,946.1 million, or approximately $74.3 million based on the exchange rate in efect on the acquisiton date, before considering the net efect of cash acquired. We fnanced the purchase price at closing with cash on hand. There were no changes between the preliminary purchase price allocaton and the fnal purchase price allocaton during the one-year measurement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Revenue Recognition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recognize revenue in accordance with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We have two reportable segments: Marketplace and Resale.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processing tcket sales for live events and atractons and from facilitatng the booking of hotel rooms and packages from our websites and mobile applicatons, including Vivid Seats, Vegas.com and Wavedash (our “Owned Propertes”), and from numerous distributon partners (our “Private Label”). The Owned Propertes component of our Marketplace segment also includes our Vivid Picks daily fantasy sports ofering, where users partake in contests by making picks from a variety of sport and player matchups. Using our online platorm, we facilitate customer payments, deposits and withdrawals, coordinate tcket deliveries and provide customer service.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20" w:type="dxa"/>
            <w:vAlign w:val="bottom"/>
          </w:tcPr>
          <w:p>
            <w:pPr>
              <w:spacing w:after="0"/>
              <w:rPr>
                <w:sz w:val="20"/>
                <w:szCs w:val="20"/>
                <w:color w:val="auto"/>
              </w:rPr>
            </w:pPr>
            <w:r>
              <w:rPr>
                <w:rFonts w:ascii="Calibri" w:cs="Calibri" w:eastAsia="Calibri" w:hAnsi="Calibri"/>
                <w:sz w:val="18"/>
                <w:szCs w:val="18"/>
                <w:color w:val="auto"/>
              </w:rPr>
              <w:t>Marketplace revenues consisted of the following (in thousands):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130"/>
              <w:spacing w:after="0"/>
              <w:rPr>
                <w:sz w:val="20"/>
                <w:szCs w:val="20"/>
                <w:color w:val="auto"/>
              </w:rPr>
            </w:pPr>
            <w:r>
              <w:rPr>
                <w:rFonts w:ascii="Calibri" w:cs="Calibri" w:eastAsia="Calibri" w:hAnsi="Calibri"/>
                <w:sz w:val="18"/>
                <w:szCs w:val="18"/>
                <w:b w:val="1"/>
                <w:bCs w:val="1"/>
                <w:color w:val="auto"/>
                <w:w w:val="98"/>
              </w:rPr>
              <w:t>Three Months Ended September 30,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ind w:left="60"/>
              <w:spacing w:after="0"/>
              <w:rPr>
                <w:sz w:val="20"/>
                <w:szCs w:val="20"/>
                <w:color w:val="auto"/>
              </w:rPr>
            </w:pPr>
            <w:r>
              <w:rPr>
                <w:rFonts w:ascii="Calibri" w:cs="Calibri" w:eastAsia="Calibri" w:hAnsi="Calibri"/>
                <w:sz w:val="18"/>
                <w:szCs w:val="18"/>
                <w:b w:val="1"/>
                <w:bCs w:val="1"/>
                <w:color w:val="auto"/>
              </w:rPr>
              <w:t>Nine Months Ended September 30,</w:t>
            </w:r>
          </w:p>
        </w:tc>
      </w:tr>
      <w:tr>
        <w:trPr>
          <w:trHeight w:val="37"/>
        </w:trPr>
        <w:tc>
          <w:tcPr>
            <w:tcW w:w="4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1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129,159</w:t>
            </w:r>
          </w:p>
        </w:tc>
        <w:tc>
          <w:tcPr>
            <w:tcW w:w="6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122,778</w:t>
            </w:r>
          </w:p>
        </w:tc>
        <w:tc>
          <w:tcPr>
            <w:tcW w:w="5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394,317</w:t>
            </w:r>
          </w:p>
        </w:tc>
        <w:tc>
          <w:tcPr>
            <w:tcW w:w="64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329,006</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Private Label</w:t>
            </w:r>
          </w:p>
        </w:tc>
        <w:tc>
          <w:tcPr>
            <w:tcW w:w="1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23,494</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31,610</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88,394</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101,113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472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1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w w:val="87"/>
              </w:rPr>
              <w:t>$</w:t>
            </w:r>
          </w:p>
        </w:tc>
        <w:tc>
          <w:tcPr>
            <w:tcW w:w="12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152,653</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154,388</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482,711</w:t>
            </w:r>
          </w:p>
        </w:tc>
        <w:tc>
          <w:tcPr>
            <w:tcW w:w="3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430,119</w:t>
            </w:r>
          </w:p>
        </w:tc>
        <w:tc>
          <w:tcPr>
            <w:tcW w:w="100" w:type="dxa"/>
            <w:vAlign w:val="bottom"/>
            <w:tcBorders>
              <w:top w:val="single" w:sz="8" w:color="CFF0FC"/>
            </w:tcBorders>
          </w:tcPr>
          <w:p>
            <w:pPr>
              <w:spacing w:after="0"/>
              <w:rPr>
                <w:sz w:val="18"/>
                <w:szCs w:val="18"/>
                <w:color w:val="auto"/>
              </w:rPr>
            </w:pPr>
          </w:p>
        </w:tc>
      </w:tr>
      <w:tr>
        <w:trPr>
          <w:trHeight w:val="23"/>
        </w:trPr>
        <w:tc>
          <w:tcPr>
            <w:tcW w:w="47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6100" w:type="dxa"/>
            <w:vAlign w:val="bottom"/>
            <w:gridSpan w:val="3"/>
          </w:tcPr>
          <w:p>
            <w:pPr>
              <w:spacing w:after="0"/>
              <w:rPr>
                <w:sz w:val="20"/>
                <w:szCs w:val="20"/>
                <w:color w:val="auto"/>
              </w:rPr>
            </w:pPr>
            <w:r>
              <w:rPr>
                <w:rFonts w:ascii="Calibri" w:cs="Calibri" w:eastAsia="Calibri" w:hAnsi="Calibri"/>
                <w:sz w:val="18"/>
                <w:szCs w:val="18"/>
                <w:color w:val="auto"/>
              </w:rPr>
              <w:t>Marketplace revenues consisted of the following event categories (in thousands):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130"/>
              <w:spacing w:after="0"/>
              <w:rPr>
                <w:sz w:val="20"/>
                <w:szCs w:val="20"/>
                <w:color w:val="auto"/>
              </w:rPr>
            </w:pPr>
            <w:r>
              <w:rPr>
                <w:rFonts w:ascii="Calibri" w:cs="Calibri" w:eastAsia="Calibri" w:hAnsi="Calibri"/>
                <w:sz w:val="18"/>
                <w:szCs w:val="18"/>
                <w:b w:val="1"/>
                <w:bCs w:val="1"/>
                <w:color w:val="auto"/>
                <w:w w:val="98"/>
              </w:rPr>
              <w:t>Three Months Ended September 30,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ind w:left="60"/>
              <w:spacing w:after="0"/>
              <w:rPr>
                <w:sz w:val="20"/>
                <w:szCs w:val="20"/>
                <w:color w:val="auto"/>
              </w:rPr>
            </w:pPr>
            <w:r>
              <w:rPr>
                <w:rFonts w:ascii="Calibri" w:cs="Calibri" w:eastAsia="Calibri" w:hAnsi="Calibri"/>
                <w:sz w:val="18"/>
                <w:szCs w:val="18"/>
                <w:b w:val="1"/>
                <w:bCs w:val="1"/>
                <w:color w:val="auto"/>
              </w:rPr>
              <w:t>Nine Months Ended September 30,</w:t>
            </w:r>
          </w:p>
        </w:tc>
      </w:tr>
      <w:tr>
        <w:trPr>
          <w:trHeight w:val="37"/>
        </w:trPr>
        <w:tc>
          <w:tcPr>
            <w:tcW w:w="4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1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67,701</w:t>
            </w:r>
          </w:p>
        </w:tc>
        <w:tc>
          <w:tcPr>
            <w:tcW w:w="6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87,142</w:t>
            </w:r>
          </w:p>
        </w:tc>
        <w:tc>
          <w:tcPr>
            <w:tcW w:w="5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216,533</w:t>
            </w:r>
          </w:p>
        </w:tc>
        <w:tc>
          <w:tcPr>
            <w:tcW w:w="64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239,762</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Sports</w:t>
            </w: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50,378</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52,169</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149,183</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143,118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1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28,705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14,788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97,544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45,705</w:t>
            </w:r>
          </w:p>
        </w:tc>
        <w:tc>
          <w:tcPr>
            <w:tcW w:w="100" w:type="dxa"/>
            <w:vAlign w:val="bottom"/>
          </w:tcPr>
          <w:p>
            <w:pPr>
              <w:spacing w:after="0"/>
              <w:rPr>
                <w:sz w:val="18"/>
                <w:szCs w:val="18"/>
                <w:color w:val="auto"/>
              </w:rPr>
            </w:pPr>
          </w:p>
        </w:tc>
      </w:tr>
      <w:tr>
        <w:trPr>
          <w:trHeight w:val="28"/>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w:t>
            </w:r>
          </w:p>
        </w:tc>
        <w:tc>
          <w:tcPr>
            <w:tcW w:w="1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5,869</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289</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19,451</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472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1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w w:val="87"/>
              </w:rPr>
              <w:t>$</w:t>
            </w:r>
          </w:p>
        </w:tc>
        <w:tc>
          <w:tcPr>
            <w:tcW w:w="12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152,653</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154,388</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482,711</w:t>
            </w:r>
          </w:p>
        </w:tc>
        <w:tc>
          <w:tcPr>
            <w:tcW w:w="3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0"/>
              <w:spacing w:after="0" w:line="213"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430,119</w:t>
            </w:r>
          </w:p>
        </w:tc>
        <w:tc>
          <w:tcPr>
            <w:tcW w:w="100" w:type="dxa"/>
            <w:vAlign w:val="bottom"/>
            <w:tcBorders>
              <w:top w:val="single" w:sz="8" w:color="CFF0FC"/>
            </w:tcBorders>
          </w:tcPr>
          <w:p>
            <w:pPr>
              <w:spacing w:after="0"/>
              <w:rPr>
                <w:sz w:val="18"/>
                <w:szCs w:val="18"/>
                <w:color w:val="auto"/>
              </w:rPr>
            </w:pPr>
          </w:p>
        </w:tc>
      </w:tr>
      <w:tr>
        <w:trPr>
          <w:trHeight w:val="23"/>
        </w:trPr>
        <w:tc>
          <w:tcPr>
            <w:tcW w:w="4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-1748155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-1748155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-1748155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-187960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 marketplaces, including our own. Resale revenues were $34.0 million and $93.1 million during the three and nine months ended September 30, 2024, respectvely, and $33.7 million and $84.5 million during the three and nine months ended September 30, 2023,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September 30, 2024, Deferred revenue was $24.6 million, which primarily relates to our Vivid Seats Rewards loyalty program. Stamps earned under the program expire in two to three years, if not converted to credits, and credits expire in two to four years, if not redeemed. We expect to recognize all outstanding deferred revenue in the next seven years.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$34.7 million was recorded as Deferred revenue, of which $6.1 million and $20.2 million was recognized as revenue during the three and nine months ended September 30, 2024, respectvely. At December 31, 2022, $32.0 million was recorded as Deferred revenue, of which $1.9 million and $13.6 million was recognized as revenue during the three and nine months ended September 30, 2023, respectvely.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Segment Reporting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reportable segments are Marketplace and Resale. In our Marketplace segment, we primarily act as an intermediary between tcket buyers, sellers and partners through which we earn revenue processing tcket sales for live events and atractons and from facilitatng the booking of hotel rooms and packages. In our Resale segment, we primarily acquire tckets to resell on secondary tcket marketplaces, including our own. Revenues and contributon margin (defned as revenues less cost of revenues and marketng and selling expenses) are used by our Chief Operatng Decision Maker (our “CODM”) to assess performance of the business.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report our assets, capital expenditures, general and administratve expenses or related depreciaton and amortzaton expenses by segment because our CODM does not use this informaton to evaluate the performance of our operatng segments.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represent our segment informaton (in thousands):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8"/>
          </w:tcPr>
          <w:p>
            <w:pPr>
              <w:jc w:val="right"/>
              <w:ind w:right="740"/>
              <w:spacing w:after="0"/>
              <w:rPr>
                <w:sz w:val="20"/>
                <w:szCs w:val="20"/>
                <w:color w:val="auto"/>
              </w:rPr>
            </w:pPr>
            <w:r>
              <w:rPr>
                <w:rFonts w:ascii="Calibri" w:cs="Calibri" w:eastAsia="Calibri" w:hAnsi="Calibri"/>
                <w:sz w:val="14"/>
                <w:szCs w:val="14"/>
                <w:b w:val="1"/>
                <w:bCs w:val="1"/>
                <w:color w:val="auto"/>
              </w:rPr>
              <w:t>Three Months Ended September 30, 2024</w:t>
            </w:r>
          </w:p>
        </w:tc>
        <w:tc>
          <w:tcPr>
            <w:tcW w:w="140" w:type="dxa"/>
            <w:vAlign w:val="bottom"/>
          </w:tcPr>
          <w:p>
            <w:pPr>
              <w:spacing w:after="0"/>
              <w:rPr>
                <w:sz w:val="14"/>
                <w:szCs w:val="14"/>
                <w:color w:val="auto"/>
              </w:rPr>
            </w:pPr>
          </w:p>
        </w:tc>
        <w:tc>
          <w:tcPr>
            <w:tcW w:w="3400" w:type="dxa"/>
            <w:vAlign w:val="bottom"/>
            <w:gridSpan w:val="8"/>
          </w:tcPr>
          <w:p>
            <w:pPr>
              <w:jc w:val="right"/>
              <w:ind w:right="620"/>
              <w:spacing w:after="0"/>
              <w:rPr>
                <w:sz w:val="20"/>
                <w:szCs w:val="20"/>
                <w:color w:val="auto"/>
              </w:rPr>
            </w:pPr>
            <w:r>
              <w:rPr>
                <w:rFonts w:ascii="Calibri" w:cs="Calibri" w:eastAsia="Calibri" w:hAnsi="Calibri"/>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28"/>
              <w:spacing w:after="0" w:line="164" w:lineRule="exact"/>
              <w:rPr>
                <w:sz w:val="20"/>
                <w:szCs w:val="20"/>
                <w:color w:val="auto"/>
              </w:rPr>
            </w:pPr>
            <w:r>
              <w:rPr>
                <w:rFonts w:ascii="Calibri" w:cs="Calibri" w:eastAsia="Calibri" w:hAnsi="Calibri"/>
                <w:sz w:val="14"/>
                <w:szCs w:val="14"/>
                <w:b w:val="1"/>
                <w:bCs w:val="1"/>
                <w:color w:val="auto"/>
              </w:rPr>
              <w:t>Marketplace</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48"/>
              <w:spacing w:after="0" w:line="164" w:lineRule="exact"/>
              <w:rPr>
                <w:sz w:val="20"/>
                <w:szCs w:val="20"/>
                <w:color w:val="auto"/>
              </w:rPr>
            </w:pPr>
            <w:r>
              <w:rPr>
                <w:rFonts w:ascii="Calibri" w:cs="Calibri" w:eastAsia="Calibri" w:hAnsi="Calibri"/>
                <w:sz w:val="14"/>
                <w:szCs w:val="14"/>
                <w:b w:val="1"/>
                <w:bCs w:val="1"/>
                <w:color w:val="auto"/>
              </w:rPr>
              <w:t>Resale</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Consolidated</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Marketplace</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b w:val="1"/>
                <w:bCs w:val="1"/>
                <w:color w:val="auto"/>
              </w:rPr>
              <w:t>Resale</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8"/>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Revenues</w:t>
            </w: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152,653</w:t>
            </w:r>
          </w:p>
        </w:tc>
        <w:tc>
          <w:tcPr>
            <w:tcW w:w="38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33,952</w:t>
            </w:r>
          </w:p>
        </w:tc>
        <w:tc>
          <w:tcPr>
            <w:tcW w:w="34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186,605</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482,711</w:t>
            </w:r>
          </w:p>
        </w:tc>
        <w:tc>
          <w:tcPr>
            <w:tcW w:w="320" w:type="dxa"/>
            <w:vAlign w:val="bottom"/>
            <w:tcBorders>
              <w:bottom w:val="single" w:sz="8" w:color="CFF0FC"/>
            </w:tcBorders>
            <w:gridSpan w:val="2"/>
            <w:shd w:val="clear" w:color="auto" w:fill="CFF0FC"/>
          </w:tcPr>
          <w:p>
            <w:pPr>
              <w:jc w:val="right"/>
              <w:ind w:right="20"/>
              <w:spacing w:after="0" w:line="164" w:lineRule="exact"/>
              <w:rPr>
                <w:sz w:val="20"/>
                <w:szCs w:val="20"/>
                <w:color w:val="auto"/>
              </w:rPr>
            </w:pPr>
            <w:r>
              <w:rPr>
                <w:rFonts w:ascii="Calibri" w:cs="Calibri" w:eastAsia="Calibri" w:hAnsi="Calibri"/>
                <w:sz w:val="14"/>
                <w:szCs w:val="14"/>
                <w:color w:val="auto"/>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93,062</w:t>
            </w:r>
          </w:p>
        </w:tc>
        <w:tc>
          <w:tcPr>
            <w:tcW w:w="36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575,773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Cost of revenues (exclusive of depreciaton and amortzaton</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23,052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27,977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51,029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4"/>
                <w:szCs w:val="14"/>
                <w:color w:val="auto"/>
              </w:rPr>
              <w:t>74,356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4"/>
                <w:szCs w:val="14"/>
                <w:color w:val="auto"/>
              </w:rPr>
              <w:t>75,021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4"/>
                <w:szCs w:val="14"/>
                <w:color w:val="auto"/>
              </w:rPr>
              <w:t>149,377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820" w:type="dxa"/>
            <w:vAlign w:val="bottom"/>
            <w:vMerge w:val="restart"/>
          </w:tcPr>
          <w:p>
            <w:pPr>
              <w:spacing w:after="0"/>
              <w:rPr>
                <w:sz w:val="20"/>
                <w:szCs w:val="20"/>
                <w:color w:val="auto"/>
              </w:rPr>
            </w:pPr>
            <w:r>
              <w:rPr>
                <w:rFonts w:ascii="Calibri" w:cs="Calibri" w:eastAsia="Calibri" w:hAnsi="Calibri"/>
                <w:sz w:val="14"/>
                <w:szCs w:val="14"/>
                <w:color w:val="auto"/>
              </w:rPr>
              <w:t>shown separately below)</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Marketng and selling</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67,835</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67,835</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205,695</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205,695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line="164" w:lineRule="exact"/>
              <w:rPr>
                <w:sz w:val="20"/>
                <w:szCs w:val="20"/>
                <w:color w:val="auto"/>
              </w:rPr>
            </w:pPr>
            <w:r>
              <w:rPr>
                <w:rFonts w:ascii="Calibri" w:cs="Calibri" w:eastAsia="Calibri" w:hAnsi="Calibri"/>
                <w:sz w:val="14"/>
                <w:szCs w:val="14"/>
                <w:b w:val="1"/>
                <w:bCs w:val="1"/>
                <w:color w:val="auto"/>
              </w:rPr>
              <w:t>Contributon margin</w:t>
            </w: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61,766</w:t>
            </w:r>
          </w:p>
        </w:tc>
        <w:tc>
          <w:tcPr>
            <w:tcW w:w="24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5,975</w:t>
            </w:r>
          </w:p>
        </w:tc>
        <w:tc>
          <w:tcPr>
            <w:tcW w:w="22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67,741</w:t>
            </w:r>
          </w:p>
        </w:tc>
        <w:tc>
          <w:tcPr>
            <w:tcW w:w="20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202,660</w:t>
            </w:r>
          </w:p>
        </w:tc>
        <w:tc>
          <w:tcPr>
            <w:tcW w:w="32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18,041</w:t>
            </w:r>
          </w:p>
        </w:tc>
        <w:tc>
          <w:tcPr>
            <w:tcW w:w="360" w:type="dxa"/>
            <w:vAlign w:val="bottom"/>
            <w:gridSpan w:val="2"/>
          </w:tcPr>
          <w:p>
            <w:pPr>
              <w:jc w:val="right"/>
              <w:ind w:right="8"/>
              <w:spacing w:after="0" w:line="164" w:lineRule="exact"/>
              <w:rPr>
                <w:sz w:val="20"/>
                <w:szCs w:val="20"/>
                <w:color w:val="auto"/>
              </w:rPr>
            </w:pPr>
            <w:r>
              <w:rPr>
                <w:rFonts w:ascii="Calibri" w:cs="Calibri" w:eastAsia="Calibri" w:hAnsi="Calibri"/>
                <w:sz w:val="14"/>
                <w:szCs w:val="14"/>
                <w:b w:val="1"/>
                <w:bCs w:val="1"/>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220,701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General and administratve</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46,306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149,725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Depreciaton and amortzaton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auto"/>
              </w:rPr>
              <w:t>10,669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31,654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b w:val="1"/>
                <w:bCs w:val="1"/>
                <w:color w:val="auto"/>
              </w:rPr>
              <w:t>Income from operatons</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10,766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39,322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Interest expense – net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auto"/>
              </w:rPr>
              <w:t>6,300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16,706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Other income</w:t>
            </w: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(9,020 )</w:t>
            </w: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(3,236 )</w:t>
            </w:r>
          </w:p>
        </w:tc>
        <w:tc>
          <w:tcPr>
            <w:tcW w:w="0" w:type="dxa"/>
            <w:vAlign w:val="bottom"/>
          </w:tcPr>
          <w:p>
            <w:pPr>
              <w:spacing w:after="0"/>
              <w:rPr>
                <w:sz w:val="1"/>
                <w:szCs w:val="1"/>
                <w:color w:val="auto"/>
              </w:rPr>
            </w:pPr>
          </w:p>
        </w:tc>
      </w:tr>
      <w:tr>
        <w:trPr>
          <w:trHeight w:val="189"/>
        </w:trPr>
        <w:tc>
          <w:tcPr>
            <w:tcW w:w="3820" w:type="dxa"/>
            <w:vAlign w:val="bottom"/>
            <w:tcBorders>
              <w:top w:val="single" w:sz="8" w:color="CFF0FC"/>
            </w:tcBorders>
          </w:tcPr>
          <w:p>
            <w:pPr>
              <w:spacing w:after="0"/>
              <w:rPr>
                <w:sz w:val="20"/>
                <w:szCs w:val="20"/>
                <w:color w:val="auto"/>
              </w:rPr>
            </w:pPr>
            <w:r>
              <w:rPr>
                <w:rFonts w:ascii="Calibri" w:cs="Calibri" w:eastAsia="Calibri" w:hAnsi="Calibri"/>
                <w:sz w:val="14"/>
                <w:szCs w:val="14"/>
                <w:b w:val="1"/>
                <w:bCs w:val="1"/>
                <w:color w:val="auto"/>
              </w:rPr>
              <w:t>Income before income taxes</w:t>
            </w:r>
          </w:p>
        </w:tc>
        <w:tc>
          <w:tcPr>
            <w:tcW w:w="140" w:type="dxa"/>
            <w:vAlign w:val="bottom"/>
            <w:tcBorders>
              <w:top w:val="single" w:sz="8" w:color="CFF0FC"/>
            </w:tcBorders>
          </w:tcPr>
          <w:p>
            <w:pPr>
              <w:spacing w:after="0"/>
              <w:rPr>
                <w:sz w:val="16"/>
                <w:szCs w:val="16"/>
                <w:color w:val="auto"/>
              </w:rPr>
            </w:pPr>
          </w:p>
        </w:tc>
        <w:tc>
          <w:tcPr>
            <w:tcW w:w="1000" w:type="dxa"/>
            <w:vAlign w:val="bottom"/>
            <w:tcBorders>
              <w:top w:val="single" w:sz="8" w:color="CFF0FC"/>
              <w:bottom w:val="single" w:sz="8" w:color="auto"/>
            </w:tcBorders>
          </w:tcPr>
          <w:p>
            <w:pPr>
              <w:spacing w:after="0"/>
              <w:rPr>
                <w:sz w:val="16"/>
                <w:szCs w:val="16"/>
                <w:color w:val="auto"/>
              </w:rPr>
            </w:pPr>
          </w:p>
        </w:tc>
        <w:tc>
          <w:tcPr>
            <w:tcW w:w="240" w:type="dxa"/>
            <w:vAlign w:val="bottom"/>
            <w:tcBorders>
              <w:top w:val="single" w:sz="8" w:color="CFF0FC"/>
              <w:bottom w:val="single" w:sz="8" w:color="auto"/>
            </w:tcBorders>
          </w:tcPr>
          <w:p>
            <w:pPr>
              <w:spacing w:after="0"/>
              <w:rPr>
                <w:sz w:val="16"/>
                <w:szCs w:val="16"/>
                <w:color w:val="auto"/>
              </w:rPr>
            </w:pPr>
          </w:p>
        </w:tc>
        <w:tc>
          <w:tcPr>
            <w:tcW w:w="140" w:type="dxa"/>
            <w:vAlign w:val="bottom"/>
            <w:tcBorders>
              <w:top w:val="single" w:sz="8" w:color="CFF0FC"/>
              <w:bottom w:val="single" w:sz="8" w:color="auto"/>
            </w:tcBorders>
          </w:tcPr>
          <w:p>
            <w:pPr>
              <w:spacing w:after="0"/>
              <w:rPr>
                <w:sz w:val="16"/>
                <w:szCs w:val="16"/>
                <w:color w:val="auto"/>
              </w:rPr>
            </w:pPr>
          </w:p>
        </w:tc>
        <w:tc>
          <w:tcPr>
            <w:tcW w:w="680" w:type="dxa"/>
            <w:vAlign w:val="bottom"/>
            <w:tcBorders>
              <w:top w:val="single" w:sz="8" w:color="CFF0FC"/>
              <w:bottom w:val="single" w:sz="8" w:color="auto"/>
            </w:tcBorders>
          </w:tcPr>
          <w:p>
            <w:pPr>
              <w:spacing w:after="0"/>
              <w:rPr>
                <w:sz w:val="16"/>
                <w:szCs w:val="16"/>
                <w:color w:val="auto"/>
              </w:rPr>
            </w:pPr>
          </w:p>
        </w:tc>
        <w:tc>
          <w:tcPr>
            <w:tcW w:w="220" w:type="dxa"/>
            <w:vAlign w:val="bottom"/>
            <w:tcBorders>
              <w:top w:val="single" w:sz="8" w:color="CFF0FC"/>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13,486</w:t>
            </w:r>
          </w:p>
        </w:tc>
        <w:tc>
          <w:tcPr>
            <w:tcW w:w="200" w:type="dxa"/>
            <w:vAlign w:val="bottom"/>
            <w:tcBorders>
              <w:top w:val="single" w:sz="8" w:color="CFF0FC"/>
              <w:bottom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80" w:type="dxa"/>
            <w:vAlign w:val="bottom"/>
            <w:tcBorders>
              <w:top w:val="single" w:sz="8" w:color="CFF0FC"/>
              <w:bottom w:val="single" w:sz="8" w:color="auto"/>
            </w:tcBorders>
          </w:tcPr>
          <w:p>
            <w:pPr>
              <w:spacing w:after="0"/>
              <w:rPr>
                <w:sz w:val="16"/>
                <w:szCs w:val="16"/>
                <w:color w:val="auto"/>
              </w:rPr>
            </w:pPr>
          </w:p>
        </w:tc>
        <w:tc>
          <w:tcPr>
            <w:tcW w:w="220" w:type="dxa"/>
            <w:vAlign w:val="bottom"/>
            <w:tcBorders>
              <w:top w:val="single" w:sz="8" w:color="CFF0FC"/>
              <w:bottom w:val="single" w:sz="8" w:color="auto"/>
            </w:tcBorders>
          </w:tcPr>
          <w:p>
            <w:pPr>
              <w:spacing w:after="0"/>
              <w:rPr>
                <w:sz w:val="16"/>
                <w:szCs w:val="16"/>
                <w:color w:val="auto"/>
              </w:rPr>
            </w:pPr>
          </w:p>
        </w:tc>
        <w:tc>
          <w:tcPr>
            <w:tcW w:w="100" w:type="dxa"/>
            <w:vAlign w:val="bottom"/>
            <w:tcBorders>
              <w:top w:val="single" w:sz="8" w:color="CFF0FC"/>
              <w:bottom w:val="single" w:sz="8" w:color="auto"/>
            </w:tcBorders>
          </w:tcPr>
          <w:p>
            <w:pPr>
              <w:spacing w:after="0"/>
              <w:rPr>
                <w:sz w:val="16"/>
                <w:szCs w:val="16"/>
                <w:color w:val="auto"/>
              </w:rPr>
            </w:pPr>
          </w:p>
        </w:tc>
        <w:tc>
          <w:tcPr>
            <w:tcW w:w="560" w:type="dxa"/>
            <w:vAlign w:val="bottom"/>
            <w:tcBorders>
              <w:top w:val="single" w:sz="8" w:color="CFF0FC"/>
              <w:bottom w:val="single" w:sz="8" w:color="auto"/>
            </w:tcBorders>
          </w:tcPr>
          <w:p>
            <w:pPr>
              <w:spacing w:after="0"/>
              <w:rPr>
                <w:sz w:val="16"/>
                <w:szCs w:val="16"/>
                <w:color w:val="auto"/>
              </w:rPr>
            </w:pPr>
          </w:p>
        </w:tc>
        <w:tc>
          <w:tcPr>
            <w:tcW w:w="200" w:type="dxa"/>
            <w:vAlign w:val="bottom"/>
            <w:tcBorders>
              <w:top w:val="single" w:sz="8" w:color="CFF0FC"/>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25,852</w:t>
            </w:r>
          </w:p>
        </w:tc>
        <w:tc>
          <w:tcPr>
            <w:tcW w:w="100" w:type="dxa"/>
            <w:vAlign w:val="bottom"/>
            <w:tcBorders>
              <w:top w:val="single" w:sz="8" w:color="CFF0FC"/>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8"/>
          </w:tcPr>
          <w:p>
            <w:pPr>
              <w:jc w:val="right"/>
              <w:ind w:right="740"/>
              <w:spacing w:after="0"/>
              <w:rPr>
                <w:sz w:val="20"/>
                <w:szCs w:val="20"/>
                <w:color w:val="auto"/>
              </w:rPr>
            </w:pPr>
            <w:r>
              <w:rPr>
                <w:rFonts w:ascii="Calibri" w:cs="Calibri" w:eastAsia="Calibri" w:hAnsi="Calibri"/>
                <w:sz w:val="14"/>
                <w:szCs w:val="14"/>
                <w:b w:val="1"/>
                <w:bCs w:val="1"/>
                <w:color w:val="auto"/>
              </w:rPr>
              <w:t>Three Months Ended September 30, 2023</w:t>
            </w:r>
          </w:p>
        </w:tc>
        <w:tc>
          <w:tcPr>
            <w:tcW w:w="140" w:type="dxa"/>
            <w:vAlign w:val="bottom"/>
          </w:tcPr>
          <w:p>
            <w:pPr>
              <w:spacing w:after="0"/>
              <w:rPr>
                <w:sz w:val="24"/>
                <w:szCs w:val="24"/>
                <w:color w:val="auto"/>
              </w:rPr>
            </w:pPr>
          </w:p>
        </w:tc>
        <w:tc>
          <w:tcPr>
            <w:tcW w:w="3400" w:type="dxa"/>
            <w:vAlign w:val="bottom"/>
            <w:gridSpan w:val="8"/>
          </w:tcPr>
          <w:p>
            <w:pPr>
              <w:jc w:val="right"/>
              <w:ind w:right="620"/>
              <w:spacing w:after="0"/>
              <w:rPr>
                <w:sz w:val="20"/>
                <w:szCs w:val="20"/>
                <w:color w:val="auto"/>
              </w:rPr>
            </w:pPr>
            <w:r>
              <w:rPr>
                <w:rFonts w:ascii="Calibri" w:cs="Calibri" w:eastAsia="Calibri" w:hAnsi="Calibri"/>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28"/>
              <w:spacing w:after="0" w:line="164" w:lineRule="exact"/>
              <w:rPr>
                <w:sz w:val="20"/>
                <w:szCs w:val="20"/>
                <w:color w:val="auto"/>
              </w:rPr>
            </w:pPr>
            <w:r>
              <w:rPr>
                <w:rFonts w:ascii="Calibri" w:cs="Calibri" w:eastAsia="Calibri" w:hAnsi="Calibri"/>
                <w:sz w:val="14"/>
                <w:szCs w:val="14"/>
                <w:b w:val="1"/>
                <w:bCs w:val="1"/>
                <w:color w:val="auto"/>
              </w:rPr>
              <w:t>Marketplace</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48"/>
              <w:spacing w:after="0" w:line="164" w:lineRule="exact"/>
              <w:rPr>
                <w:sz w:val="20"/>
                <w:szCs w:val="20"/>
                <w:color w:val="auto"/>
              </w:rPr>
            </w:pPr>
            <w:r>
              <w:rPr>
                <w:rFonts w:ascii="Calibri" w:cs="Calibri" w:eastAsia="Calibri" w:hAnsi="Calibri"/>
                <w:sz w:val="14"/>
                <w:szCs w:val="14"/>
                <w:b w:val="1"/>
                <w:bCs w:val="1"/>
                <w:color w:val="auto"/>
              </w:rPr>
              <w:t>Resale</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Consolidated</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b w:val="1"/>
                <w:bCs w:val="1"/>
                <w:color w:val="auto"/>
              </w:rPr>
              <w:t>Marketplace</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b w:val="1"/>
                <w:bCs w:val="1"/>
                <w:color w:val="auto"/>
              </w:rPr>
              <w:t>Resale</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8"/>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Revenues</w:t>
            </w: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154,388</w:t>
            </w:r>
          </w:p>
        </w:tc>
        <w:tc>
          <w:tcPr>
            <w:tcW w:w="38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33,745</w:t>
            </w:r>
          </w:p>
        </w:tc>
        <w:tc>
          <w:tcPr>
            <w:tcW w:w="34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188,133</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430,119</w:t>
            </w:r>
          </w:p>
        </w:tc>
        <w:tc>
          <w:tcPr>
            <w:tcW w:w="320" w:type="dxa"/>
            <w:vAlign w:val="bottom"/>
            <w:tcBorders>
              <w:bottom w:val="single" w:sz="8" w:color="CFF0FC"/>
            </w:tcBorders>
            <w:gridSpan w:val="2"/>
            <w:shd w:val="clear" w:color="auto" w:fill="CFF0FC"/>
          </w:tcPr>
          <w:p>
            <w:pPr>
              <w:jc w:val="right"/>
              <w:ind w:right="20"/>
              <w:spacing w:after="0" w:line="164" w:lineRule="exact"/>
              <w:rPr>
                <w:sz w:val="20"/>
                <w:szCs w:val="20"/>
                <w:color w:val="auto"/>
              </w:rPr>
            </w:pPr>
            <w:r>
              <w:rPr>
                <w:rFonts w:ascii="Calibri" w:cs="Calibri" w:eastAsia="Calibri" w:hAnsi="Calibri"/>
                <w:sz w:val="14"/>
                <w:szCs w:val="14"/>
                <w:color w:val="auto"/>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84,457</w:t>
            </w:r>
          </w:p>
        </w:tc>
        <w:tc>
          <w:tcPr>
            <w:tcW w:w="36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514,576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Cost of revenues (exclusive of depreciaton and amortzaton</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23,923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26,539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4"/>
                <w:szCs w:val="14"/>
                <w:color w:val="auto"/>
              </w:rPr>
              <w:t>50,462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4"/>
                <w:szCs w:val="14"/>
                <w:color w:val="auto"/>
              </w:rPr>
              <w:t>66,749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4"/>
                <w:szCs w:val="14"/>
                <w:color w:val="auto"/>
              </w:rPr>
              <w:t>64,089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4"/>
                <w:szCs w:val="14"/>
                <w:color w:val="auto"/>
              </w:rPr>
              <w:t>130,838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820" w:type="dxa"/>
            <w:vAlign w:val="bottom"/>
            <w:vMerge w:val="restart"/>
          </w:tcPr>
          <w:p>
            <w:pPr>
              <w:spacing w:after="0"/>
              <w:rPr>
                <w:sz w:val="20"/>
                <w:szCs w:val="20"/>
                <w:color w:val="auto"/>
              </w:rPr>
            </w:pPr>
            <w:r>
              <w:rPr>
                <w:rFonts w:ascii="Calibri" w:cs="Calibri" w:eastAsia="Calibri" w:hAnsi="Calibri"/>
                <w:sz w:val="14"/>
                <w:szCs w:val="14"/>
                <w:color w:val="auto"/>
              </w:rPr>
              <w:t>shown separately below)</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Marketng and selling</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77,006</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77,006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196,970</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196,970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line="164" w:lineRule="exact"/>
              <w:rPr>
                <w:sz w:val="20"/>
                <w:szCs w:val="20"/>
                <w:color w:val="auto"/>
              </w:rPr>
            </w:pPr>
            <w:r>
              <w:rPr>
                <w:rFonts w:ascii="Calibri" w:cs="Calibri" w:eastAsia="Calibri" w:hAnsi="Calibri"/>
                <w:sz w:val="14"/>
                <w:szCs w:val="14"/>
                <w:b w:val="1"/>
                <w:bCs w:val="1"/>
                <w:color w:val="auto"/>
              </w:rPr>
              <w:t>Contributon margin</w:t>
            </w: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53,459</w:t>
            </w:r>
          </w:p>
        </w:tc>
        <w:tc>
          <w:tcPr>
            <w:tcW w:w="24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7,206</w:t>
            </w:r>
          </w:p>
        </w:tc>
        <w:tc>
          <w:tcPr>
            <w:tcW w:w="22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60,665</w:t>
            </w:r>
          </w:p>
        </w:tc>
        <w:tc>
          <w:tcPr>
            <w:tcW w:w="20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w w:val="83"/>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166,400</w:t>
            </w:r>
          </w:p>
        </w:tc>
        <w:tc>
          <w:tcPr>
            <w:tcW w:w="32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20,368</w:t>
            </w:r>
          </w:p>
        </w:tc>
        <w:tc>
          <w:tcPr>
            <w:tcW w:w="360" w:type="dxa"/>
            <w:vAlign w:val="bottom"/>
            <w:gridSpan w:val="2"/>
          </w:tcPr>
          <w:p>
            <w:pPr>
              <w:jc w:val="right"/>
              <w:ind w:right="8"/>
              <w:spacing w:after="0" w:line="164" w:lineRule="exact"/>
              <w:rPr>
                <w:sz w:val="20"/>
                <w:szCs w:val="20"/>
                <w:color w:val="auto"/>
              </w:rPr>
            </w:pPr>
            <w:r>
              <w:rPr>
                <w:rFonts w:ascii="Calibri" w:cs="Calibri" w:eastAsia="Calibri" w:hAnsi="Calibri"/>
                <w:sz w:val="14"/>
                <w:szCs w:val="14"/>
                <w:b w:val="1"/>
                <w:bCs w:val="1"/>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186,768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General and administratve</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37,225</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107,921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Depreciaton and amortzaton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auto"/>
              </w:rPr>
              <w:t>3,301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8,603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Change in fair value of contngent consideraton</w:t>
            </w: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(998 )</w:t>
            </w:r>
          </w:p>
        </w:tc>
        <w:tc>
          <w:tcPr>
            <w:tcW w:w="0" w:type="dxa"/>
            <w:vAlign w:val="bottom"/>
          </w:tcPr>
          <w:p>
            <w:pPr>
              <w:spacing w:after="0"/>
              <w:rPr>
                <w:sz w:val="1"/>
                <w:szCs w:val="1"/>
                <w:color w:val="auto"/>
              </w:rPr>
            </w:pPr>
          </w:p>
        </w:tc>
      </w:tr>
      <w:tr>
        <w:trPr>
          <w:trHeight w:val="163"/>
        </w:trPr>
        <w:tc>
          <w:tcPr>
            <w:tcW w:w="3820" w:type="dxa"/>
            <w:vAlign w:val="bottom"/>
            <w:tcBorders>
              <w:top w:val="single" w:sz="8" w:color="CFF0FC"/>
            </w:tcBorders>
          </w:tcPr>
          <w:p>
            <w:pPr>
              <w:spacing w:after="0" w:line="164" w:lineRule="exact"/>
              <w:rPr>
                <w:sz w:val="20"/>
                <w:szCs w:val="20"/>
                <w:color w:val="auto"/>
              </w:rPr>
            </w:pPr>
            <w:r>
              <w:rPr>
                <w:rFonts w:ascii="Calibri" w:cs="Calibri" w:eastAsia="Calibri" w:hAnsi="Calibri"/>
                <w:sz w:val="14"/>
                <w:szCs w:val="14"/>
                <w:b w:val="1"/>
                <w:bCs w:val="1"/>
                <w:color w:val="auto"/>
              </w:rPr>
              <w:t>Income from operatons</w:t>
            </w:r>
          </w:p>
        </w:tc>
        <w:tc>
          <w:tcPr>
            <w:tcW w:w="140" w:type="dxa"/>
            <w:vAlign w:val="bottom"/>
            <w:tcBorders>
              <w:top w:val="single" w:sz="8" w:color="CFF0FC"/>
            </w:tcBorders>
          </w:tcPr>
          <w:p>
            <w:pPr>
              <w:spacing w:after="0"/>
              <w:rPr>
                <w:sz w:val="14"/>
                <w:szCs w:val="14"/>
                <w:color w:val="auto"/>
              </w:rPr>
            </w:pPr>
          </w:p>
        </w:tc>
        <w:tc>
          <w:tcPr>
            <w:tcW w:w="100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20,119</w:t>
            </w: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71,242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rPr>
              <w:t>Interest expense – net</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2,544</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8,596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alibri" w:cs="Calibri" w:eastAsia="Calibri" w:hAnsi="Calibri"/>
                <w:sz w:val="14"/>
                <w:szCs w:val="14"/>
                <w:color w:val="auto"/>
              </w:rPr>
              <w:t>Other income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(1,038 )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Calibri" w:cs="Calibri" w:eastAsia="Calibri" w:hAnsi="Calibri"/>
                <w:sz w:val="14"/>
                <w:szCs w:val="14"/>
                <w:color w:val="auto"/>
              </w:rPr>
              <w:t>(365 )</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b w:val="1"/>
                <w:bCs w:val="1"/>
                <w:color w:val="auto"/>
              </w:rPr>
              <w:t>Income before income taxes</w:t>
            </w: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18,613</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63,011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-2939415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-2939415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-2939415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-2939415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-2939415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-2939415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-2150745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-2150745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-1079500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-1079500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-1079500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-1079500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-1079500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-1079500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-556895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-556895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6. Accounts Receivable </w:t>
      </w:r>
      <w:r>
        <w:rPr>
          <w:rFonts w:ascii="Times New Roman" w:cs="Times New Roman" w:eastAsia="Times New Roman" w:hAnsi="Times New Roman"/>
          <w:sz w:val="18"/>
          <w:szCs w:val="18"/>
          <w:b w:val="1"/>
          <w:bCs w:val="1"/>
          <w:color w:val="auto"/>
        </w:rPr>
        <w:t>-</w:t>
      </w:r>
      <w:r>
        <w:rPr>
          <w:rFonts w:ascii="Calibri" w:cs="Calibri" w:eastAsia="Calibri" w:hAnsi="Calibri"/>
          <w:sz w:val="18"/>
          <w:szCs w:val="18"/>
          <w:b w:val="1"/>
          <w:bCs w:val="1"/>
          <w:color w:val="auto"/>
        </w:rPr>
        <w:t xml:space="preserve"> Net</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accounts receivable balance, net of allowance for doubtul accounts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600"/>
              <w:spacing w:after="0"/>
              <w:rPr>
                <w:sz w:val="20"/>
                <w:szCs w:val="20"/>
                <w:color w:val="auto"/>
              </w:rPr>
            </w:pPr>
            <w:r>
              <w:rPr>
                <w:rFonts w:ascii="Calibri" w:cs="Calibri" w:eastAsia="Calibri" w:hAnsi="Calibri"/>
                <w:sz w:val="18"/>
                <w:szCs w:val="18"/>
                <w:b w:val="1"/>
                <w:bCs w:val="1"/>
                <w:color w:val="auto"/>
              </w:rPr>
              <w:t>September 30,</w:t>
            </w:r>
          </w:p>
        </w:tc>
        <w:tc>
          <w:tcPr>
            <w:tcW w:w="20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50"/>
              <w:spacing w:after="0"/>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6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7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Uncollateralized payment processor obligatons</w:t>
            </w: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39,913</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32,810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Due from marketplace tcket sellers for cancellaton charges</w:t>
            </w:r>
          </w:p>
        </w:tc>
        <w:tc>
          <w:tcPr>
            <w:tcW w:w="1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9,088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5,632</w:t>
            </w:r>
          </w:p>
        </w:tc>
        <w:tc>
          <w:tcPr>
            <w:tcW w:w="10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Due from distributon partners for cancellaton charges</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13,597</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Event insurance and other commissions receivable</w:t>
            </w:r>
          </w:p>
        </w:tc>
        <w:tc>
          <w:tcPr>
            <w:tcW w:w="1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5,106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11,414</w:t>
            </w:r>
          </w:p>
        </w:tc>
        <w:tc>
          <w:tcPr>
            <w:tcW w:w="10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Allowance for credit losses</w:t>
            </w:r>
          </w:p>
        </w:tc>
        <w:tc>
          <w:tcPr>
            <w:tcW w:w="1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(12,345 )</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(10,074 )</w:t>
            </w: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1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9,947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5,963</w:t>
            </w:r>
          </w:p>
        </w:tc>
        <w:tc>
          <w:tcPr>
            <w:tcW w:w="10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76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Total accounts receivable – net</w:t>
            </w:r>
          </w:p>
        </w:tc>
        <w:tc>
          <w:tcPr>
            <w:tcW w:w="1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w w:val="87"/>
              </w:rPr>
              <w:t>$</w:t>
            </w:r>
          </w:p>
        </w:tc>
        <w:tc>
          <w:tcPr>
            <w:tcW w:w="14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65,306</w:t>
            </w:r>
          </w:p>
        </w:tc>
        <w:tc>
          <w:tcPr>
            <w:tcW w:w="3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b w:val="1"/>
                <w:bCs w:val="1"/>
                <w:color w:val="auto"/>
                <w:w w:val="87"/>
              </w:rPr>
              <w:t>$</w:t>
            </w:r>
          </w:p>
        </w:tc>
        <w:tc>
          <w:tcPr>
            <w:tcW w:w="14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58,481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recorded an allowance for credit losses of $12.3 million and $10.0 million at September 30, 2024 and December 31, 2023, respectvely, to refect potental challenges in collectng funds from distributon partners and tcket sellers, partcularly for amounts due upon usage of store credits previously issued to buyers.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no write-ofs for the three and nine months ended September 30, 2024 and 2023.</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 w:name="page15"/>
    <w:bookmarkEnd w:id="1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20"/>
                <w:szCs w:val="20"/>
                <w:color w:val="auto"/>
              </w:rPr>
            </w:pPr>
            <w:r>
              <w:rPr>
                <w:rFonts w:ascii="Calibri" w:cs="Calibri" w:eastAsia="Calibri" w:hAnsi="Calibri"/>
                <w:sz w:val="18"/>
                <w:szCs w:val="18"/>
                <w:b w:val="1"/>
                <w:bCs w:val="1"/>
                <w:color w:val="auto"/>
              </w:rPr>
              <w:t>7. Prepaid Expenses and Other Current Assets</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6480" w:type="dxa"/>
            <w:vAlign w:val="bottom"/>
          </w:tcPr>
          <w:p>
            <w:pPr>
              <w:spacing w:after="0"/>
              <w:rPr>
                <w:sz w:val="20"/>
                <w:szCs w:val="20"/>
                <w:color w:val="auto"/>
              </w:rPr>
            </w:pPr>
            <w:r>
              <w:rPr>
                <w:rFonts w:ascii="Calibri" w:cs="Calibri" w:eastAsia="Calibri" w:hAnsi="Calibri"/>
                <w:sz w:val="18"/>
                <w:szCs w:val="18"/>
                <w:color w:val="auto"/>
              </w:rPr>
              <w:t>Prepaid expenses and other current assets consisted of the following (in thousands):</w:t>
            </w: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b w:val="1"/>
                <w:bCs w:val="1"/>
                <w:color w:val="auto"/>
              </w:rPr>
              <w:t>September 30,</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6480" w:type="dxa"/>
            <w:vAlign w:val="bottom"/>
          </w:tcPr>
          <w:p>
            <w:pPr>
              <w:spacing w:after="0"/>
              <w:rPr>
                <w:sz w:val="21"/>
                <w:szCs w:val="21"/>
                <w:color w:val="auto"/>
              </w:rPr>
            </w:pPr>
          </w:p>
        </w:tc>
        <w:tc>
          <w:tcPr>
            <w:tcW w:w="166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2024</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8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64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4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Recovery of future customer compensaton</w:t>
            </w:r>
          </w:p>
        </w:tc>
        <w:tc>
          <w:tcPr>
            <w:tcW w:w="1660" w:type="dxa"/>
            <w:vAlign w:val="bottom"/>
            <w:tcBorders>
              <w:bottom w:val="single" w:sz="8" w:color="CFF0FC"/>
            </w:tcBorders>
            <w:shd w:val="clear" w:color="auto" w:fill="CFF0FC"/>
          </w:tcPr>
          <w:p>
            <w:pPr>
              <w:jc w:val="right"/>
              <w:ind w:right="1450"/>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9"/>
              </w:rPr>
              <w:t>19,797</w:t>
            </w:r>
          </w:p>
        </w:tc>
        <w:tc>
          <w:tcPr>
            <w:tcW w:w="66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25,750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w:t>
            </w:r>
          </w:p>
        </w:tc>
        <w:tc>
          <w:tcPr>
            <w:tcW w:w="166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9,687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8,218</w:t>
            </w:r>
          </w:p>
        </w:tc>
        <w:tc>
          <w:tcPr>
            <w:tcW w:w="100" w:type="dxa"/>
            <w:vAlign w:val="bottom"/>
          </w:tcPr>
          <w:p>
            <w:pPr>
              <w:spacing w:after="0"/>
              <w:rPr>
                <w:sz w:val="18"/>
                <w:szCs w:val="18"/>
                <w:color w:val="auto"/>
              </w:rPr>
            </w:pPr>
          </w:p>
        </w:tc>
      </w:tr>
      <w:tr>
        <w:trPr>
          <w:trHeight w:val="28"/>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4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current assets</w:t>
            </w:r>
          </w:p>
        </w:tc>
        <w:tc>
          <w:tcPr>
            <w:tcW w:w="16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415</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prepaid expenses and other current assets</w:t>
            </w:r>
          </w:p>
        </w:tc>
        <w:tc>
          <w:tcPr>
            <w:tcW w:w="1660" w:type="dxa"/>
            <w:vAlign w:val="bottom"/>
            <w:tcBorders>
              <w:top w:val="single" w:sz="8" w:color="auto"/>
              <w:bottom w:val="single" w:sz="8" w:color="auto"/>
            </w:tcBorders>
          </w:tcPr>
          <w:p>
            <w:pPr>
              <w:jc w:val="right"/>
              <w:ind w:right="145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w w:val="99"/>
              </w:rPr>
              <w:t>29,899</w:t>
            </w:r>
          </w:p>
        </w:tc>
        <w:tc>
          <w:tcPr>
            <w:tcW w:w="3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b w:val="1"/>
                <w:bCs w:val="1"/>
                <w:color w:val="auto"/>
              </w:rPr>
              <w:t>$</w:t>
            </w:r>
          </w:p>
        </w:tc>
        <w:tc>
          <w:tcPr>
            <w:tcW w:w="1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34,061</w:t>
            </w:r>
          </w:p>
        </w:tc>
        <w:tc>
          <w:tcPr>
            <w:tcW w:w="100" w:type="dxa"/>
            <w:vAlign w:val="bottom"/>
            <w:tcBorders>
              <w:top w:val="single" w:sz="8" w:color="CFF0FC"/>
            </w:tcBorders>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-187960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Recovery of future customer compensaton represents expected recoveries of compensaton from tcket sellers and partners for cancellaton charges related to previously recorded sales transactons. Recovery of future customer compensaton costs decreased by $6.0 million at September 30, 2024 compared to December 31, 2023, primarily due to a decrease in the volume of future events and a decrease in estmated future cancellaton rates. A related provision for expected compensaton to customers is included in Accrued expenses and other current liabilites in the Condensed Consolidated Balance Sheets.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Goodwill and Intangible Assets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Goodwill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Goodwill is included in our Marketplace segment. The following table summarizes the changes in the carrying amount of goodwill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gridSpan w:val="2"/>
          </w:tcPr>
          <w:p>
            <w:pPr>
              <w:jc w:val="right"/>
              <w:ind w:right="900"/>
              <w:spacing w:after="0"/>
              <w:rPr>
                <w:sz w:val="20"/>
                <w:szCs w:val="20"/>
                <w:color w:val="auto"/>
              </w:rPr>
            </w:pPr>
            <w:r>
              <w:rPr>
                <w:rFonts w:ascii="Calibri" w:cs="Calibri" w:eastAsia="Calibri" w:hAnsi="Calibri"/>
                <w:sz w:val="18"/>
                <w:szCs w:val="18"/>
                <w:b w:val="1"/>
                <w:bCs w:val="1"/>
                <w:color w:val="auto"/>
              </w:rPr>
              <w:t>Goodwill</w:t>
            </w:r>
          </w:p>
        </w:tc>
      </w:tr>
      <w:tr>
        <w:trPr>
          <w:trHeight w:val="37"/>
        </w:trPr>
        <w:tc>
          <w:tcPr>
            <w:tcW w:w="89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89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December 31, 2023</w:t>
            </w:r>
          </w:p>
        </w:tc>
        <w:tc>
          <w:tcPr>
            <w:tcW w:w="460" w:type="dxa"/>
            <w:vAlign w:val="bottom"/>
            <w:tcBorders>
              <w:bottom w:val="single" w:sz="8" w:color="CFF0FC"/>
            </w:tcBorders>
            <w:shd w:val="clear" w:color="auto" w:fill="CFF0FC"/>
          </w:tcPr>
          <w:p>
            <w:pPr>
              <w:jc w:val="right"/>
              <w:ind w:right="270"/>
              <w:spacing w:after="0" w:line="208" w:lineRule="exact"/>
              <w:rPr>
                <w:sz w:val="20"/>
                <w:szCs w:val="20"/>
                <w:color w:val="auto"/>
              </w:rPr>
            </w:pPr>
            <w:r>
              <w:rPr>
                <w:rFonts w:ascii="Calibri" w:cs="Calibri" w:eastAsia="Calibri" w:hAnsi="Calibri"/>
                <w:sz w:val="18"/>
                <w:szCs w:val="18"/>
                <w:b w:val="1"/>
                <w:bCs w:val="1"/>
                <w:color w:val="auto"/>
                <w:w w:val="87"/>
              </w:rPr>
              <w:t>$</w:t>
            </w:r>
          </w:p>
        </w:tc>
        <w:tc>
          <w:tcPr>
            <w:tcW w:w="1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947,359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8900" w:type="dxa"/>
            <w:vAlign w:val="bottom"/>
          </w:tcPr>
          <w:p>
            <w:pPr>
              <w:ind w:left="20"/>
              <w:spacing w:after="0"/>
              <w:rPr>
                <w:sz w:val="20"/>
                <w:szCs w:val="20"/>
                <w:color w:val="auto"/>
              </w:rPr>
            </w:pPr>
            <w:r>
              <w:rPr>
                <w:rFonts w:ascii="Calibri" w:cs="Calibri" w:eastAsia="Calibri" w:hAnsi="Calibri"/>
                <w:sz w:val="18"/>
                <w:szCs w:val="18"/>
                <w:color w:val="auto"/>
              </w:rPr>
              <w:t>Foreign currency translaton</w:t>
            </w:r>
          </w:p>
        </w:tc>
        <w:tc>
          <w:tcPr>
            <w:tcW w:w="460" w:type="dxa"/>
            <w:vAlign w:val="bottom"/>
          </w:tcPr>
          <w:p>
            <w:pPr>
              <w:spacing w:after="0"/>
              <w:rPr>
                <w:sz w:val="19"/>
                <w:szCs w:val="19"/>
                <w:color w:val="auto"/>
              </w:rPr>
            </w:pPr>
          </w:p>
        </w:tc>
        <w:tc>
          <w:tcPr>
            <w:tcW w:w="18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(502 )</w:t>
            </w:r>
          </w:p>
        </w:tc>
      </w:tr>
      <w:tr>
        <w:trPr>
          <w:trHeight w:val="23"/>
        </w:trPr>
        <w:tc>
          <w:tcPr>
            <w:tcW w:w="8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89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Balance at September 30, 2024</w:t>
            </w:r>
          </w:p>
        </w:tc>
        <w:tc>
          <w:tcPr>
            <w:tcW w:w="460" w:type="dxa"/>
            <w:vAlign w:val="bottom"/>
            <w:tcBorders>
              <w:bottom w:val="single" w:sz="8" w:color="CFF0FC"/>
            </w:tcBorders>
            <w:shd w:val="clear" w:color="auto" w:fill="CFF0FC"/>
          </w:tcPr>
          <w:p>
            <w:pPr>
              <w:jc w:val="right"/>
              <w:ind w:right="270"/>
              <w:spacing w:after="0" w:line="213" w:lineRule="exact"/>
              <w:rPr>
                <w:sz w:val="20"/>
                <w:szCs w:val="20"/>
                <w:color w:val="auto"/>
              </w:rPr>
            </w:pPr>
            <w:r>
              <w:rPr>
                <w:rFonts w:ascii="Calibri" w:cs="Calibri" w:eastAsia="Calibri" w:hAnsi="Calibri"/>
                <w:sz w:val="18"/>
                <w:szCs w:val="18"/>
                <w:b w:val="1"/>
                <w:bCs w:val="1"/>
                <w:color w:val="auto"/>
                <w:w w:val="87"/>
              </w:rPr>
              <w:t>$</w:t>
            </w:r>
          </w:p>
        </w:tc>
        <w:tc>
          <w:tcPr>
            <w:tcW w:w="17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946,857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9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We had recorded $377.1 million of cumulatve impairment charges related to our goodwill as of September 30, 2024 and December 31, 2023.</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Calibri" w:cs="Calibri" w:eastAsia="Calibri" w:hAnsi="Calibri"/>
                <w:sz w:val="18"/>
                <w:szCs w:val="18"/>
                <w:i w:val="1"/>
                <w:iCs w:val="1"/>
                <w:color w:val="auto"/>
              </w:rPr>
              <w:t>Defnite-Lived Intangible Assets</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7440" w:type="dxa"/>
            <w:vAlign w:val="bottom"/>
          </w:tcPr>
          <w:p>
            <w:pPr>
              <w:spacing w:after="0"/>
              <w:rPr>
                <w:sz w:val="20"/>
                <w:szCs w:val="20"/>
                <w:color w:val="auto"/>
              </w:rPr>
            </w:pPr>
            <w:r>
              <w:rPr>
                <w:rFonts w:ascii="Calibri" w:cs="Calibri" w:eastAsia="Calibri" w:hAnsi="Calibri"/>
                <w:sz w:val="18"/>
                <w:szCs w:val="18"/>
                <w:color w:val="auto"/>
              </w:rPr>
              <w:t>The following table summarizes components of our defnite-lived intangible assets (in thousands):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2"/>
          </w:tcPr>
          <w:p>
            <w:pPr>
              <w:jc w:val="right"/>
              <w:ind w:right="720"/>
              <w:spacing w:after="0"/>
              <w:rPr>
                <w:sz w:val="20"/>
                <w:szCs w:val="20"/>
                <w:color w:val="auto"/>
              </w:rPr>
            </w:pPr>
            <w:r>
              <w:rPr>
                <w:rFonts w:ascii="Calibri" w:cs="Calibri" w:eastAsia="Calibri" w:hAnsi="Calibri"/>
                <w:sz w:val="18"/>
                <w:szCs w:val="18"/>
                <w:b w:val="1"/>
                <w:bCs w:val="1"/>
                <w:color w:val="auto"/>
              </w:rPr>
              <w:t>September 30,</w:t>
            </w:r>
          </w:p>
        </w:tc>
        <w:tc>
          <w:tcPr>
            <w:tcW w:w="18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690"/>
              <w:spacing w:after="0"/>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4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Defnite-lived intangible assets</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30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100" w:type="dxa"/>
            <w:vAlign w:val="bottom"/>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2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34,620</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26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100" w:type="dxa"/>
            <w:vAlign w:val="bottom"/>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Capitalized development costs</w:t>
            </w:r>
          </w:p>
        </w:tc>
        <w:tc>
          <w:tcPr>
            <w:tcW w:w="2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38,174</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28,912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Capitalized development costs – work in progress</w:t>
            </w:r>
          </w:p>
        </w:tc>
        <w:tc>
          <w:tcPr>
            <w:tcW w:w="26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10,407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4,795</w:t>
            </w:r>
          </w:p>
        </w:tc>
        <w:tc>
          <w:tcPr>
            <w:tcW w:w="100" w:type="dxa"/>
            <w:vAlign w:val="bottom"/>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44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Foreign currency translaton</w:t>
            </w:r>
          </w:p>
        </w:tc>
        <w:tc>
          <w:tcPr>
            <w:tcW w:w="2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1,002</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440" w:type="dxa"/>
            <w:vAlign w:val="bottom"/>
            <w:tcBorders>
              <w:top w:val="single" w:sz="8" w:color="CFF0FC"/>
            </w:tcBorders>
          </w:tcPr>
          <w:p>
            <w:pPr>
              <w:ind w:left="120"/>
              <w:spacing w:after="0" w:line="213" w:lineRule="exact"/>
              <w:rPr>
                <w:sz w:val="20"/>
                <w:szCs w:val="20"/>
                <w:color w:val="auto"/>
              </w:rPr>
            </w:pPr>
            <w:r>
              <w:rPr>
                <w:rFonts w:ascii="Calibri" w:cs="Calibri" w:eastAsia="Calibri" w:hAnsi="Calibri"/>
                <w:sz w:val="18"/>
                <w:szCs w:val="18"/>
                <w:b w:val="1"/>
                <w:bCs w:val="1"/>
                <w:color w:val="auto"/>
              </w:rPr>
              <w:t>Total gross book value</w:t>
            </w:r>
          </w:p>
        </w:tc>
        <w:tc>
          <w:tcPr>
            <w:tcW w:w="260" w:type="dxa"/>
            <w:vAlign w:val="bottom"/>
            <w:tcBorders>
              <w:top w:val="single" w:sz="8" w:color="auto"/>
            </w:tcBorders>
          </w:tcPr>
          <w:p>
            <w:pPr>
              <w:jc w:val="right"/>
              <w:ind w:right="70"/>
              <w:spacing w:after="0" w:line="213"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170,566</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156,005</w:t>
            </w:r>
          </w:p>
        </w:tc>
        <w:tc>
          <w:tcPr>
            <w:tcW w:w="100" w:type="dxa"/>
            <w:vAlign w:val="bottom"/>
            <w:tcBorders>
              <w:top w:val="single" w:sz="8" w:color="CFF0FC"/>
            </w:tcBorders>
          </w:tcPr>
          <w:p>
            <w:pPr>
              <w:spacing w:after="0"/>
              <w:rPr>
                <w:sz w:val="18"/>
                <w:szCs w:val="18"/>
                <w:color w:val="auto"/>
              </w:rPr>
            </w:pP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Less: accumulated amortzaton</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9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(12,764 )</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(2,881 )</w:t>
            </w:r>
          </w:p>
        </w:tc>
      </w:tr>
      <w:tr>
        <w:trPr>
          <w:trHeight w:val="28"/>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26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(11,423 )</w:t>
            </w: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(3,522 )</w:t>
            </w:r>
          </w:p>
        </w:tc>
      </w:tr>
      <w:tr>
        <w:trPr>
          <w:trHeight w:val="215"/>
        </w:trPr>
        <w:tc>
          <w:tcPr>
            <w:tcW w:w="744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260" w:type="dxa"/>
            <w:vAlign w:val="bottom"/>
          </w:tcPr>
          <w:p>
            <w:pPr>
              <w:spacing w:after="0"/>
              <w:rPr>
                <w:sz w:val="18"/>
                <w:szCs w:val="18"/>
                <w:color w:val="auto"/>
              </w:rPr>
            </w:pPr>
          </w:p>
        </w:tc>
        <w:tc>
          <w:tcPr>
            <w:tcW w:w="19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(8,159 )</w:t>
            </w:r>
          </w:p>
        </w:tc>
        <w:tc>
          <w:tcPr>
            <w:tcW w:w="180" w:type="dxa"/>
            <w:vAlign w:val="bottom"/>
          </w:tcPr>
          <w:p>
            <w:pPr>
              <w:spacing w:after="0"/>
              <w:rPr>
                <w:sz w:val="18"/>
                <w:szCs w:val="18"/>
                <w:color w:val="auto"/>
              </w:rPr>
            </w:pPr>
          </w:p>
        </w:tc>
        <w:tc>
          <w:tcPr>
            <w:tcW w:w="14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(2,551 )</w:t>
            </w:r>
          </w:p>
        </w:tc>
      </w:tr>
      <w:tr>
        <w:trPr>
          <w:trHeight w:val="28"/>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Capitalized development costs</w:t>
            </w:r>
          </w:p>
        </w:tc>
        <w:tc>
          <w:tcPr>
            <w:tcW w:w="26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(23,325 )</w:t>
            </w: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(16,433 )</w:t>
            </w:r>
          </w:p>
        </w:tc>
      </w:tr>
      <w:tr>
        <w:trPr>
          <w:trHeight w:val="219"/>
        </w:trPr>
        <w:tc>
          <w:tcPr>
            <w:tcW w:w="7440" w:type="dxa"/>
            <w:vAlign w:val="bottom"/>
          </w:tcPr>
          <w:p>
            <w:pPr>
              <w:ind w:left="120"/>
              <w:spacing w:after="0"/>
              <w:rPr>
                <w:sz w:val="20"/>
                <w:szCs w:val="20"/>
                <w:color w:val="auto"/>
              </w:rPr>
            </w:pPr>
            <w:r>
              <w:rPr>
                <w:rFonts w:ascii="Calibri" w:cs="Calibri" w:eastAsia="Calibri" w:hAnsi="Calibri"/>
                <w:sz w:val="18"/>
                <w:szCs w:val="18"/>
                <w:color w:val="auto"/>
              </w:rPr>
              <w:t>Foreign currency translaton</w:t>
            </w:r>
          </w:p>
        </w:tc>
        <w:tc>
          <w:tcPr>
            <w:tcW w:w="260" w:type="dxa"/>
            <w:vAlign w:val="bottom"/>
          </w:tcPr>
          <w:p>
            <w:pPr>
              <w:spacing w:after="0"/>
              <w:rPr>
                <w:sz w:val="19"/>
                <w:szCs w:val="19"/>
                <w:color w:val="auto"/>
              </w:rPr>
            </w:pPr>
          </w:p>
        </w:tc>
        <w:tc>
          <w:tcPr>
            <w:tcW w:w="19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(376 )</w:t>
            </w:r>
          </w:p>
        </w:tc>
        <w:tc>
          <w:tcPr>
            <w:tcW w:w="180" w:type="dxa"/>
            <w:vAlign w:val="bottom"/>
          </w:tcPr>
          <w:p>
            <w:pPr>
              <w:spacing w:after="0"/>
              <w:rPr>
                <w:sz w:val="19"/>
                <w:szCs w:val="19"/>
                <w:color w:val="auto"/>
              </w:rPr>
            </w:pPr>
          </w:p>
        </w:tc>
        <w:tc>
          <w:tcPr>
            <w:tcW w:w="14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(97 )</w:t>
            </w: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7440" w:type="dxa"/>
            <w:vAlign w:val="bottom"/>
            <w:tcBorders>
              <w:bottom w:val="single" w:sz="8" w:color="CFF0FC"/>
            </w:tcBorders>
            <w:shd w:val="clear" w:color="auto" w:fill="CFF0FC"/>
          </w:tcPr>
          <w:p>
            <w:pPr>
              <w:ind w:left="120"/>
              <w:spacing w:after="0" w:line="213" w:lineRule="exact"/>
              <w:rPr>
                <w:sz w:val="20"/>
                <w:szCs w:val="20"/>
                <w:color w:val="auto"/>
              </w:rPr>
            </w:pPr>
            <w:r>
              <w:rPr>
                <w:rFonts w:ascii="Calibri" w:cs="Calibri" w:eastAsia="Calibri" w:hAnsi="Calibri"/>
                <w:sz w:val="18"/>
                <w:szCs w:val="18"/>
                <w:b w:val="1"/>
                <w:bCs w:val="1"/>
                <w:color w:val="auto"/>
              </w:rPr>
              <w:t>Total accumulated amortzaton</w:t>
            </w:r>
          </w:p>
        </w:tc>
        <w:tc>
          <w:tcPr>
            <w:tcW w:w="260" w:type="dxa"/>
            <w:vAlign w:val="bottom"/>
            <w:tcBorders>
              <w:bottom w:val="single" w:sz="8" w:color="CFF0FC"/>
            </w:tcBorders>
            <w:shd w:val="clear" w:color="auto" w:fill="CFF0FC"/>
          </w:tcPr>
          <w:p>
            <w:pPr>
              <w:jc w:val="right"/>
              <w:ind w:right="70"/>
              <w:spacing w:after="0" w:line="213" w:lineRule="exact"/>
              <w:rPr>
                <w:sz w:val="20"/>
                <w:szCs w:val="20"/>
                <w:color w:val="auto"/>
              </w:rPr>
            </w:pPr>
            <w:r>
              <w:rPr>
                <w:rFonts w:ascii="Calibri" w:cs="Calibri" w:eastAsia="Calibri" w:hAnsi="Calibri"/>
                <w:sz w:val="18"/>
                <w:szCs w:val="18"/>
                <w:b w:val="1"/>
                <w:bCs w:val="1"/>
                <w:color w:val="auto"/>
                <w:w w:val="87"/>
              </w:rPr>
              <w:t>$</w:t>
            </w:r>
          </w:p>
        </w:tc>
        <w:tc>
          <w:tcPr>
            <w:tcW w:w="1940" w:type="dxa"/>
            <w:vAlign w:val="bottom"/>
            <w:tcBorders>
              <w:bottom w:val="single" w:sz="8" w:color="CFF0FC"/>
            </w:tcBorders>
            <w:gridSpan w:val="2"/>
            <w:shd w:val="clear" w:color="auto" w:fill="CFF0FC"/>
          </w:tcPr>
          <w:p>
            <w:pPr>
              <w:jc w:val="right"/>
              <w:ind w:right="240"/>
              <w:spacing w:after="0" w:line="213" w:lineRule="exact"/>
              <w:rPr>
                <w:sz w:val="20"/>
                <w:szCs w:val="20"/>
                <w:color w:val="auto"/>
              </w:rPr>
            </w:pPr>
            <w:r>
              <w:rPr>
                <w:rFonts w:ascii="Calibri" w:cs="Calibri" w:eastAsia="Calibri" w:hAnsi="Calibri"/>
                <w:sz w:val="18"/>
                <w:szCs w:val="18"/>
                <w:b w:val="1"/>
                <w:bCs w:val="1"/>
                <w:color w:val="auto"/>
              </w:rPr>
              <w:t>(56,047 )</w:t>
            </w:r>
          </w:p>
        </w:tc>
        <w:tc>
          <w:tcPr>
            <w:tcW w:w="1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42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b w:val="1"/>
                <w:bCs w:val="1"/>
                <w:color w:val="auto"/>
              </w:rPr>
              <w:t>(25,484 )</w:t>
            </w:r>
          </w:p>
        </w:tc>
      </w:tr>
      <w:tr>
        <w:trPr>
          <w:trHeight w:val="208"/>
        </w:trPr>
        <w:tc>
          <w:tcPr>
            <w:tcW w:w="74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Indefnite-lived intangible assets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8"/>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Trademarks</w:t>
            </w: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110,538</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110,538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440" w:type="dxa"/>
            <w:vAlign w:val="bottom"/>
          </w:tcPr>
          <w:p>
            <w:pPr>
              <w:ind w:left="120"/>
              <w:spacing w:after="0"/>
              <w:rPr>
                <w:sz w:val="20"/>
                <w:szCs w:val="20"/>
                <w:color w:val="auto"/>
              </w:rPr>
            </w:pPr>
            <w:r>
              <w:rPr>
                <w:rFonts w:ascii="Calibri" w:cs="Calibri" w:eastAsia="Calibri" w:hAnsi="Calibri"/>
                <w:sz w:val="18"/>
                <w:szCs w:val="18"/>
                <w:color w:val="auto"/>
              </w:rPr>
              <w:t>Foreign currency translaton</w:t>
            </w:r>
          </w:p>
        </w:tc>
        <w:tc>
          <w:tcPr>
            <w:tcW w:w="260" w:type="dxa"/>
            <w:vAlign w:val="bottom"/>
          </w:tcPr>
          <w:p>
            <w:pPr>
              <w:spacing w:after="0"/>
              <w:rPr>
                <w:sz w:val="19"/>
                <w:szCs w:val="19"/>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71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100" w:type="dxa"/>
            <w:vAlign w:val="bottom"/>
          </w:tcPr>
          <w:p>
            <w:pPr>
              <w:spacing w:after="0"/>
              <w:rPr>
                <w:sz w:val="19"/>
                <w:szCs w:val="19"/>
                <w:color w:val="auto"/>
              </w:rPr>
            </w:pP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4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Intangible assets – net</w:t>
            </w:r>
          </w:p>
        </w:tc>
        <w:tc>
          <w:tcPr>
            <w:tcW w:w="260" w:type="dxa"/>
            <w:vAlign w:val="bottom"/>
            <w:tcBorders>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225,128</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241,155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-1919605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-659130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Amortzaton expense on our defnite-lived intangible assets was $10.2 million and $30.3 million for the three and nine months ended September 30, 2024, respectvely, and $2.9 million and $7.5 million for the three and nine months ended September 30, 2023, respectvely. Amortzaton expense is presented in Depreciaton and amortzaton in the Condensed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Investments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July 3, 2023, we invested $6.0 million in a privately held company in the form of a convertble promissory note (the “Note”) and a warrant to purchase up to 1,874,933 shares of the company’s stock (the “Warrant”). Interest on the Note accrues at 8% per annum and outstanding principal and accrued interest is due and payable at the earlier of July 3, 2030 or a change in control of the company. The Warrant is exercisable untl the date that is three years afer the Note is repaid, subject to certain acceleratng events.</w:t>
      </w:r>
    </w:p>
    <w:p>
      <w:pPr>
        <w:spacing w:after="0" w:line="114" w:lineRule="exact"/>
        <w:rPr>
          <w:sz w:val="20"/>
          <w:szCs w:val="20"/>
          <w:color w:val="auto"/>
        </w:rPr>
      </w:pPr>
    </w:p>
    <w:p>
      <w:pPr>
        <w:jc w:val="both"/>
        <w:spacing w:after="0" w:line="238" w:lineRule="auto"/>
        <w:rPr>
          <w:sz w:val="20"/>
          <w:szCs w:val="20"/>
          <w:color w:val="auto"/>
        </w:rPr>
      </w:pPr>
      <w:r>
        <w:rPr>
          <w:rFonts w:ascii="Calibri" w:cs="Calibri" w:eastAsia="Calibri" w:hAnsi="Calibri"/>
          <w:sz w:val="18"/>
          <w:szCs w:val="18"/>
          <w:color w:val="auto"/>
        </w:rPr>
        <w:t xml:space="preserve">We account for the Note in accordance with ASC Topic 320, </w:t>
      </w:r>
      <w:r>
        <w:rPr>
          <w:rFonts w:ascii="Calibri" w:cs="Calibri" w:eastAsia="Calibri" w:hAnsi="Calibri"/>
          <w:sz w:val="18"/>
          <w:szCs w:val="18"/>
          <w:i w:val="1"/>
          <w:iCs w:val="1"/>
          <w:color w:val="auto"/>
        </w:rPr>
        <w:t>Investments</w:t>
      </w:r>
      <w:r>
        <w:rPr>
          <w:rFonts w:ascii="Calibri" w:cs="Calibri" w:eastAsia="Calibri" w:hAnsi="Calibri"/>
          <w:sz w:val="18"/>
          <w:szCs w:val="18"/>
          <w:color w:val="auto"/>
        </w:rPr>
        <w:t xml:space="preserve"> </w:t>
      </w:r>
      <w:r>
        <w:rPr>
          <w:rFonts w:ascii="Times New Roman" w:cs="Times New Roman" w:eastAsia="Times New Roman" w:hAnsi="Times New Roman"/>
          <w:sz w:val="18"/>
          <w:szCs w:val="18"/>
          <w:i w:val="1"/>
          <w:iCs w:val="1"/>
          <w:color w:val="auto"/>
        </w:rPr>
        <w: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Debt and Equity Securites.</w:t>
      </w:r>
      <w:r>
        <w:rPr>
          <w:rFonts w:ascii="Calibri" w:cs="Calibri" w:eastAsia="Calibri" w:hAnsi="Calibri"/>
          <w:sz w:val="18"/>
          <w:szCs w:val="18"/>
          <w:color w:val="auto"/>
        </w:rPr>
        <w:t xml:space="preserve"> The Note is classifed as an available-for-sale security and is recorded at fair value with the change in unrealized gains and losses reported as a separate component in the Condensed Consolidated Statements of Comprehensive Income untl realized. The Note’s unrealized gain for the three and nine months ended September 30, 2024 was $0.2 million. The Note’s amortzed cost was $3.1 million and $2.7 million at September 30, 2024 and December 31, 2023, respectvely. We did not recognize any credit losses related to the Note during the nine months ended September 30, 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account for the Warrant in accordance with ASC Topic 815, </w:t>
      </w:r>
      <w:r>
        <w:rPr>
          <w:rFonts w:ascii="Calibri" w:cs="Calibri" w:eastAsia="Calibri" w:hAnsi="Calibri"/>
          <w:sz w:val="18"/>
          <w:szCs w:val="18"/>
          <w:i w:val="1"/>
          <w:iCs w:val="1"/>
          <w:color w:val="auto"/>
        </w:rPr>
        <w:t>Derivatves and Hedging</w:t>
      </w:r>
      <w:r>
        <w:rPr>
          <w:rFonts w:ascii="Calibri" w:cs="Calibri" w:eastAsia="Calibri" w:hAnsi="Calibri"/>
          <w:sz w:val="18"/>
          <w:szCs w:val="18"/>
          <w:color w:val="auto"/>
        </w:rPr>
        <w:t>, pursuant to which we record the derivatve instrument in the Condensed Consolidated Balance Sheets at fair value with changes in fair value recognized in Other income in the Condensed Consolidated Statements of Operatons on a recurring basis. The classifcaton of the derivatve instrument, including whether it should be recorded as an asset or a liability, is evaluated at the end of each reportng period.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Fair Value Measurements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account for fnancial instruments under ASC Topic 820, </w:t>
      </w:r>
      <w:r>
        <w:rPr>
          <w:rFonts w:ascii="Calibri" w:cs="Calibri" w:eastAsia="Calibri" w:hAnsi="Calibri"/>
          <w:sz w:val="18"/>
          <w:szCs w:val="18"/>
          <w:i w:val="1"/>
          <w:iCs w:val="1"/>
          <w:color w:val="auto"/>
        </w:rPr>
        <w:t>Fair Value Measurements</w:t>
      </w:r>
      <w:r>
        <w:rPr>
          <w:rFonts w:ascii="Calibri" w:cs="Calibri" w:eastAsia="Calibri" w:hAnsi="Calibri"/>
          <w:sz w:val="18"/>
          <w:szCs w:val="18"/>
          <w:color w:val="auto"/>
        </w:rPr>
        <w:t xml:space="preserve"> (“ASC 820”), which defnes fair value, establishes a framework for measuring fair value in US GAAP and expands disclosures about fair value measurements. To increase consistency and comparability in fair value measurements, ASC 820 establishes a fair value hierarchy that prioritzes the inputs to valuaton techniques used to measure fair value into three levels as follows:</w:t>
      </w:r>
    </w:p>
    <w:p>
      <w:pPr>
        <w:spacing w:after="0" w:line="11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Level 1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that refect quoted prices (unadjusted) for identcal assets or liabilites in actve markets.</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Level 2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that include other inputs that are directly or indirectly observable in the marketplace.</w:t>
      </w:r>
    </w:p>
    <w:p>
      <w:pPr>
        <w:spacing w:after="0" w:line="118"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Level 3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derived from valuaton techniques in which one or more signifcant inputs or signifcant value drivers are unobservable. These fair value measurements require signifcant judgment.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Financial instruments recorded at fair value on a recurring basis as of September 30, 2024 and December 31, 2023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Fair Value Measurements Using</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4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r>
      <w:tr>
        <w:trPr>
          <w:trHeight w:val="208"/>
        </w:trPr>
        <w:tc>
          <w:tcPr>
            <w:tcW w:w="4220" w:type="dxa"/>
            <w:vAlign w:val="bottom"/>
          </w:tcPr>
          <w:p>
            <w:pPr>
              <w:spacing w:after="0"/>
              <w:rPr>
                <w:sz w:val="18"/>
                <w:szCs w:val="18"/>
                <w:color w:val="auto"/>
              </w:rPr>
            </w:pPr>
          </w:p>
        </w:tc>
        <w:tc>
          <w:tcPr>
            <w:tcW w:w="114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b w:val="1"/>
                <w:bCs w:val="1"/>
                <w:color w:val="auto"/>
              </w:rPr>
              <w:t>Level 1</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Level 2</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2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September 30, 2024</w:t>
            </w:r>
          </w:p>
        </w:tc>
        <w:tc>
          <w:tcPr>
            <w:tcW w:w="1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220" w:type="dxa"/>
            <w:vAlign w:val="bottom"/>
          </w:tcPr>
          <w:p>
            <w:pPr>
              <w:ind w:left="120"/>
              <w:spacing w:after="0" w:line="215" w:lineRule="exact"/>
              <w:rPr>
                <w:sz w:val="20"/>
                <w:szCs w:val="20"/>
                <w:color w:val="auto"/>
              </w:rPr>
            </w:pPr>
            <w:r>
              <w:rPr>
                <w:rFonts w:ascii="Calibri" w:cs="Calibri" w:eastAsia="Calibri" w:hAnsi="Calibri"/>
                <w:sz w:val="18"/>
                <w:szCs w:val="18"/>
                <w:color w:val="auto"/>
              </w:rPr>
              <w:t>Note</w:t>
            </w:r>
          </w:p>
        </w:tc>
        <w:tc>
          <w:tcPr>
            <w:tcW w:w="1140" w:type="dxa"/>
            <w:vAlign w:val="bottom"/>
          </w:tcPr>
          <w:p>
            <w:pPr>
              <w:jc w:val="right"/>
              <w:ind w:right="950"/>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4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20" w:type="dxa"/>
            <w:vAlign w:val="bottom"/>
            <w:gridSpan w:val="2"/>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3,564</w:t>
            </w:r>
          </w:p>
        </w:tc>
        <w:tc>
          <w:tcPr>
            <w:tcW w:w="7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3,564</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2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Warrant</w:t>
            </w:r>
          </w:p>
        </w:tc>
        <w:tc>
          <w:tcPr>
            <w:tcW w:w="1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3,588</w:t>
            </w: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4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jc w:val="right"/>
              <w:ind w:right="950"/>
              <w:spacing w:after="0" w:line="208" w:lineRule="exact"/>
              <w:rPr>
                <w:sz w:val="20"/>
                <w:szCs w:val="20"/>
                <w:color w:val="auto"/>
              </w:rPr>
            </w:pPr>
            <w:r>
              <w:rPr>
                <w:rFonts w:ascii="Calibri" w:cs="Calibri" w:eastAsia="Calibri" w:hAnsi="Calibri"/>
                <w:sz w:val="18"/>
                <w:szCs w:val="18"/>
                <w:b w:val="1"/>
                <w:bCs w:val="1"/>
                <w:color w:val="auto"/>
                <w:w w:val="87"/>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34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jc w:val="right"/>
              <w:ind w:right="890"/>
              <w:spacing w:after="0" w:line="208"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40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jc w:val="right"/>
              <w:ind w:right="830"/>
              <w:spacing w:after="0" w:line="208" w:lineRule="exact"/>
              <w:rPr>
                <w:sz w:val="20"/>
                <w:szCs w:val="20"/>
                <w:color w:val="auto"/>
              </w:rPr>
            </w:pPr>
            <w:r>
              <w:rPr>
                <w:rFonts w:ascii="Calibri" w:cs="Calibri" w:eastAsia="Calibri" w:hAnsi="Calibri"/>
                <w:sz w:val="18"/>
                <w:szCs w:val="18"/>
                <w:b w:val="1"/>
                <w:bCs w:val="1"/>
                <w:color w:val="auto"/>
                <w:w w:val="87"/>
              </w:rPr>
              <w:t>$</w:t>
            </w: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7,152</w:t>
            </w:r>
          </w:p>
        </w:tc>
        <w:tc>
          <w:tcPr>
            <w:tcW w:w="4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7,152</w:t>
            </w:r>
          </w:p>
        </w:tc>
        <w:tc>
          <w:tcPr>
            <w:tcW w:w="100" w:type="dxa"/>
            <w:vAlign w:val="bottom"/>
            <w:tcBorders>
              <w:top w:val="single" w:sz="8" w:color="CFF0FC"/>
            </w:tcBorders>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4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Fair Value Measurements Using</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4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r>
      <w:tr>
        <w:trPr>
          <w:trHeight w:val="208"/>
        </w:trPr>
        <w:tc>
          <w:tcPr>
            <w:tcW w:w="4220" w:type="dxa"/>
            <w:vAlign w:val="bottom"/>
          </w:tcPr>
          <w:p>
            <w:pPr>
              <w:spacing w:after="0"/>
              <w:rPr>
                <w:sz w:val="18"/>
                <w:szCs w:val="18"/>
                <w:color w:val="auto"/>
              </w:rPr>
            </w:pPr>
          </w:p>
        </w:tc>
        <w:tc>
          <w:tcPr>
            <w:tcW w:w="114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b w:val="1"/>
                <w:bCs w:val="1"/>
                <w:color w:val="auto"/>
              </w:rPr>
              <w:t>Level 1</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Level 2</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2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December 31, 2023</w:t>
            </w:r>
          </w:p>
        </w:tc>
        <w:tc>
          <w:tcPr>
            <w:tcW w:w="1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220" w:type="dxa"/>
            <w:vAlign w:val="bottom"/>
          </w:tcPr>
          <w:p>
            <w:pPr>
              <w:ind w:left="120"/>
              <w:spacing w:after="0" w:line="215" w:lineRule="exact"/>
              <w:rPr>
                <w:sz w:val="20"/>
                <w:szCs w:val="20"/>
                <w:color w:val="auto"/>
              </w:rPr>
            </w:pPr>
            <w:r>
              <w:rPr>
                <w:rFonts w:ascii="Calibri" w:cs="Calibri" w:eastAsia="Calibri" w:hAnsi="Calibri"/>
                <w:sz w:val="18"/>
                <w:szCs w:val="18"/>
                <w:color w:val="auto"/>
              </w:rPr>
              <w:t>Note</w:t>
            </w:r>
          </w:p>
        </w:tc>
        <w:tc>
          <w:tcPr>
            <w:tcW w:w="1140" w:type="dxa"/>
            <w:vAlign w:val="bottom"/>
          </w:tcPr>
          <w:p>
            <w:pPr>
              <w:jc w:val="right"/>
              <w:ind w:right="950"/>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4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20" w:type="dxa"/>
            <w:vAlign w:val="bottom"/>
            <w:gridSpan w:val="2"/>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2,868</w:t>
            </w:r>
          </w:p>
        </w:tc>
        <w:tc>
          <w:tcPr>
            <w:tcW w:w="7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2,868</w:t>
            </w:r>
          </w:p>
        </w:tc>
        <w:tc>
          <w:tcPr>
            <w:tcW w:w="100" w:type="dxa"/>
            <w:vAlign w:val="bottom"/>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2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Warrant</w:t>
            </w:r>
          </w:p>
        </w:tc>
        <w:tc>
          <w:tcPr>
            <w:tcW w:w="1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4,125</w:t>
            </w: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4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jc w:val="right"/>
              <w:ind w:right="950"/>
              <w:spacing w:after="0" w:line="208" w:lineRule="exact"/>
              <w:rPr>
                <w:sz w:val="20"/>
                <w:szCs w:val="20"/>
                <w:color w:val="auto"/>
              </w:rPr>
            </w:pPr>
            <w:r>
              <w:rPr>
                <w:rFonts w:ascii="Calibri" w:cs="Calibri" w:eastAsia="Calibri" w:hAnsi="Calibri"/>
                <w:sz w:val="18"/>
                <w:szCs w:val="18"/>
                <w:b w:val="1"/>
                <w:bCs w:val="1"/>
                <w:color w:val="auto"/>
                <w:w w:val="87"/>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34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jc w:val="right"/>
              <w:ind w:right="890"/>
              <w:spacing w:after="0" w:line="208"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top w:val="single" w:sz="8" w:color="auto"/>
            </w:tcBorders>
          </w:tcPr>
          <w:p>
            <w:pPr>
              <w:ind w:left="140"/>
              <w:spacing w:after="0" w:line="208" w:lineRule="exact"/>
              <w:rPr>
                <w:sz w:val="20"/>
                <w:szCs w:val="20"/>
                <w:color w:val="auto"/>
              </w:rPr>
            </w:pPr>
            <w:r>
              <w:rPr>
                <w:rFonts w:ascii="Calibri" w:cs="Calibri" w:eastAsia="Calibri" w:hAnsi="Calibri"/>
                <w:sz w:val="18"/>
                <w:szCs w:val="18"/>
                <w:b w:val="1"/>
                <w:bCs w:val="1"/>
                <w:color w:val="auto"/>
                <w:w w:val="97"/>
              </w:rPr>
              <w:t>—</w:t>
            </w:r>
          </w:p>
        </w:tc>
        <w:tc>
          <w:tcPr>
            <w:tcW w:w="40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jc w:val="right"/>
              <w:ind w:right="830"/>
              <w:spacing w:after="0" w:line="208" w:lineRule="exact"/>
              <w:rPr>
                <w:sz w:val="20"/>
                <w:szCs w:val="20"/>
                <w:color w:val="auto"/>
              </w:rPr>
            </w:pPr>
            <w:r>
              <w:rPr>
                <w:rFonts w:ascii="Calibri" w:cs="Calibri" w:eastAsia="Calibri" w:hAnsi="Calibri"/>
                <w:sz w:val="18"/>
                <w:szCs w:val="18"/>
                <w:b w:val="1"/>
                <w:bCs w:val="1"/>
                <w:color w:val="auto"/>
                <w:w w:val="87"/>
              </w:rPr>
              <w:t>$</w:t>
            </w: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6,993</w:t>
            </w:r>
          </w:p>
        </w:tc>
        <w:tc>
          <w:tcPr>
            <w:tcW w:w="4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6,993</w:t>
            </w:r>
          </w:p>
        </w:tc>
        <w:tc>
          <w:tcPr>
            <w:tcW w:w="100" w:type="dxa"/>
            <w:vAlign w:val="bottom"/>
            <w:tcBorders>
              <w:top w:val="single" w:sz="8" w:color="CFF0FC"/>
            </w:tcBorders>
          </w:tcPr>
          <w:p>
            <w:pPr>
              <w:spacing w:after="0"/>
              <w:rPr>
                <w:sz w:val="18"/>
                <w:szCs w:val="18"/>
                <w:color w:val="auto"/>
              </w:rPr>
            </w:pPr>
          </w:p>
        </w:tc>
      </w:tr>
      <w:tr>
        <w:trPr>
          <w:trHeight w:val="28"/>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-1302385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-1302385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-1302385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-187960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-187960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the Note is determined using the income approach, utlizing Level 3 inputs. The estmated fair value of the Warrant is determined using the Black-Scholes opton pricing model, which requires us to make assumptons and judgments about the variables used in the calculaton related to the expected term, the expected volatlity, the risk-free rate of interest, and the expected dividend yield. Because of the inherent uncertainty of this valuaton, these estmated values may difer signifcantly from the values that would have been used had a ready market for the investments existed, and the diferences could be material.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quanttatve informaton about the signifcant unobservable inputs applied to these Level 3 fair value measurements: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ind w:left="350"/>
              <w:spacing w:after="0"/>
              <w:rPr>
                <w:sz w:val="20"/>
                <w:szCs w:val="20"/>
                <w:color w:val="auto"/>
              </w:rPr>
            </w:pPr>
            <w:r>
              <w:rPr>
                <w:rFonts w:ascii="Calibri" w:cs="Calibri" w:eastAsia="Calibri" w:hAnsi="Calibri"/>
                <w:sz w:val="18"/>
                <w:szCs w:val="18"/>
                <w:b w:val="1"/>
                <w:bCs w:val="1"/>
                <w:color w:val="auto"/>
                <w:w w:val="96"/>
              </w:rPr>
              <w:t>September 30,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3"/>
          </w:tcPr>
          <w:p>
            <w:pPr>
              <w:ind w:left="500"/>
              <w:spacing w:after="0"/>
              <w:rPr>
                <w:sz w:val="20"/>
                <w:szCs w:val="20"/>
                <w:color w:val="auto"/>
              </w:rPr>
            </w:pPr>
            <w:r>
              <w:rPr>
                <w:rFonts w:ascii="Calibri" w:cs="Calibri" w:eastAsia="Calibri" w:hAnsi="Calibri"/>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1180" w:type="dxa"/>
            <w:vAlign w:val="bottom"/>
          </w:tcPr>
          <w:p>
            <w:pPr>
              <w:ind w:left="380"/>
              <w:spacing w:after="0"/>
              <w:rPr>
                <w:sz w:val="20"/>
                <w:szCs w:val="20"/>
                <w:color w:val="auto"/>
              </w:rPr>
            </w:pPr>
            <w:r>
              <w:rPr>
                <w:rFonts w:ascii="Calibri" w:cs="Calibri" w:eastAsia="Calibri" w:hAnsi="Calibri"/>
                <w:sz w:val="18"/>
                <w:szCs w:val="18"/>
                <w:b w:val="1"/>
                <w:bCs w:val="1"/>
                <w:color w:val="auto"/>
              </w:rPr>
              <w:t>Asset</w:t>
            </w:r>
          </w:p>
        </w:tc>
        <w:tc>
          <w:tcPr>
            <w:tcW w:w="220" w:type="dxa"/>
            <w:vAlign w:val="bottom"/>
          </w:tcPr>
          <w:p>
            <w:pPr>
              <w:spacing w:after="0"/>
              <w:rPr>
                <w:sz w:val="21"/>
                <w:szCs w:val="21"/>
                <w:color w:val="auto"/>
              </w:rPr>
            </w:pPr>
          </w:p>
        </w:tc>
        <w:tc>
          <w:tcPr>
            <w:tcW w:w="3820" w:type="dxa"/>
            <w:vAlign w:val="bottom"/>
          </w:tcPr>
          <w:p>
            <w:pPr>
              <w:ind w:left="1280"/>
              <w:spacing w:after="0"/>
              <w:rPr>
                <w:sz w:val="20"/>
                <w:szCs w:val="20"/>
                <w:color w:val="auto"/>
              </w:rPr>
            </w:pPr>
            <w:r>
              <w:rPr>
                <w:rFonts w:ascii="Calibri" w:cs="Calibri" w:eastAsia="Calibri" w:hAnsi="Calibri"/>
                <w:sz w:val="18"/>
                <w:szCs w:val="18"/>
                <w:b w:val="1"/>
                <w:bCs w:val="1"/>
                <w:color w:val="auto"/>
              </w:rPr>
              <w:t>Signifcant Unobservable Inputs</w:t>
            </w:r>
          </w:p>
        </w:tc>
        <w:tc>
          <w:tcPr>
            <w:tcW w:w="3000" w:type="dxa"/>
            <w:vAlign w:val="bottom"/>
            <w:gridSpan w:val="3"/>
          </w:tcPr>
          <w:p>
            <w:pPr>
              <w:jc w:val="right"/>
              <w:ind w:right="390"/>
              <w:spacing w:after="0"/>
              <w:rPr>
                <w:sz w:val="20"/>
                <w:szCs w:val="20"/>
                <w:color w:val="auto"/>
              </w:rPr>
            </w:pPr>
            <w:r>
              <w:rPr>
                <w:rFonts w:ascii="Calibri" w:cs="Calibri" w:eastAsia="Calibri" w:hAnsi="Calibri"/>
                <w:sz w:val="18"/>
                <w:szCs w:val="18"/>
                <w:b w:val="1"/>
                <w:bCs w:val="1"/>
                <w:color w:val="auto"/>
              </w:rPr>
              <w:t>2024</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20" w:type="dxa"/>
            <w:vAlign w:val="bottom"/>
          </w:tcPr>
          <w:p>
            <w:pPr>
              <w:jc w:val="right"/>
              <w:ind w:right="75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11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Note</w:t>
            </w:r>
          </w:p>
        </w:tc>
        <w:tc>
          <w:tcPr>
            <w:tcW w:w="220" w:type="dxa"/>
            <w:vAlign w:val="bottom"/>
            <w:tcBorders>
              <w:bottom w:val="single" w:sz="8" w:color="CFF0FC"/>
            </w:tcBorders>
            <w:shd w:val="clear" w:color="auto" w:fill="CFF0FC"/>
          </w:tcPr>
          <w:p>
            <w:pPr>
              <w:spacing w:after="0"/>
              <w:rPr>
                <w:sz w:val="18"/>
                <w:szCs w:val="18"/>
                <w:color w:val="auto"/>
              </w:rPr>
            </w:pPr>
          </w:p>
        </w:tc>
        <w:tc>
          <w:tcPr>
            <w:tcW w:w="38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Expected term (years)</w:t>
            </w:r>
          </w:p>
        </w:tc>
        <w:tc>
          <w:tcPr>
            <w:tcW w:w="10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5.8</w:t>
            </w:r>
          </w:p>
        </w:tc>
        <w:tc>
          <w:tcPr>
            <w:tcW w:w="32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Implied yield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20.2 %</w:t>
            </w:r>
          </w:p>
        </w:tc>
        <w:tc>
          <w:tcPr>
            <w:tcW w:w="2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21.7 %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Warrant</w:t>
            </w:r>
          </w:p>
        </w:tc>
        <w:tc>
          <w:tcPr>
            <w:tcW w:w="220" w:type="dxa"/>
            <w:vAlign w:val="bottom"/>
            <w:tcBorders>
              <w:bottom w:val="single" w:sz="8" w:color="CFF0FC"/>
            </w:tcBorders>
            <w:shd w:val="clear" w:color="auto" w:fill="CFF0FC"/>
          </w:tcPr>
          <w:p>
            <w:pPr>
              <w:spacing w:after="0"/>
              <w:rPr>
                <w:sz w:val="19"/>
                <w:szCs w:val="19"/>
                <w:color w:val="auto"/>
              </w:rPr>
            </w:pPr>
          </w:p>
        </w:tc>
        <w:tc>
          <w:tcPr>
            <w:tcW w:w="38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Expected term (years)</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w:t>
            </w:r>
          </w:p>
        </w:tc>
        <w:tc>
          <w:tcPr>
            <w:tcW w:w="32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Expected volatlity</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51.0 %</w:t>
            </w:r>
          </w:p>
        </w:tc>
        <w:tc>
          <w:tcPr>
            <w:tcW w:w="2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56.0 %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Risk-free rate</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3.6 %</w:t>
            </w:r>
          </w:p>
        </w:tc>
        <w:tc>
          <w:tcPr>
            <w:tcW w:w="21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3.9 %</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Expected dividend yield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0.0 %</w:t>
            </w:r>
          </w:p>
        </w:tc>
        <w:tc>
          <w:tcPr>
            <w:tcW w:w="2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9"/>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60" w:type="dxa"/>
            <w:vAlign w:val="bottom"/>
          </w:tcPr>
          <w:p>
            <w:pPr>
              <w:jc w:val="right"/>
              <w:ind w:right="550"/>
              <w:spacing w:after="0"/>
              <w:rPr>
                <w:sz w:val="20"/>
                <w:szCs w:val="20"/>
                <w:color w:val="auto"/>
              </w:rPr>
            </w:pPr>
            <w:r>
              <w:rPr>
                <w:rFonts w:ascii="Calibri" w:cs="Calibri" w:eastAsia="Calibri" w:hAnsi="Calibri"/>
                <w:sz w:val="18"/>
                <w:szCs w:val="18"/>
                <w:color w:val="auto"/>
              </w:rPr>
              <w:t>15</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provides a reconciliaton of the fnancial instruments measured at fair value using Level 3 signifcant unobservable inputs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Pr>
          <w:p>
            <w:pPr>
              <w:spacing w:after="0"/>
              <w:rPr>
                <w:sz w:val="19"/>
                <w:szCs w:val="19"/>
                <w:color w:val="auto"/>
              </w:rPr>
            </w:pPr>
          </w:p>
        </w:tc>
        <w:tc>
          <w:tcPr>
            <w:tcW w:w="1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Note</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Calibri" w:cs="Calibri" w:eastAsia="Calibri" w:hAnsi="Calibri"/>
                <w:sz w:val="18"/>
                <w:szCs w:val="18"/>
                <w:b w:val="1"/>
                <w:bCs w:val="1"/>
                <w:color w:val="auto"/>
              </w:rPr>
              <w:t>Warrant</w:t>
            </w:r>
          </w:p>
        </w:tc>
      </w:tr>
      <w:tr>
        <w:trPr>
          <w:trHeight w:val="37"/>
        </w:trPr>
        <w:tc>
          <w:tcPr>
            <w:tcW w:w="61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1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January 1, 2024</w:t>
            </w:r>
          </w:p>
        </w:tc>
        <w:tc>
          <w:tcPr>
            <w:tcW w:w="1700" w:type="dxa"/>
            <w:vAlign w:val="bottom"/>
            <w:tcBorders>
              <w:bottom w:val="single" w:sz="8" w:color="CFF0FC"/>
            </w:tcBorders>
            <w:shd w:val="clear" w:color="auto" w:fill="CFF0FC"/>
          </w:tcPr>
          <w:p>
            <w:pPr>
              <w:jc w:val="right"/>
              <w:ind w:right="1510"/>
              <w:spacing w:after="0" w:line="208"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2,868</w:t>
            </w:r>
          </w:p>
        </w:tc>
        <w:tc>
          <w:tcPr>
            <w:tcW w:w="800" w:type="dxa"/>
            <w:vAlign w:val="bottom"/>
            <w:tcBorders>
              <w:bottom w:val="single" w:sz="8" w:color="CFF0FC"/>
            </w:tcBorders>
            <w:gridSpan w:val="2"/>
            <w:shd w:val="clear" w:color="auto" w:fill="CFF0FC"/>
          </w:tcPr>
          <w:p>
            <w:pPr>
              <w:jc w:val="right"/>
              <w:ind w:right="290"/>
              <w:spacing w:after="0" w:line="208" w:lineRule="exact"/>
              <w:rPr>
                <w:sz w:val="20"/>
                <w:szCs w:val="20"/>
                <w:color w:val="auto"/>
              </w:rPr>
            </w:pPr>
            <w:r>
              <w:rPr>
                <w:rFonts w:ascii="Calibri" w:cs="Calibri" w:eastAsia="Calibri" w:hAnsi="Calibri"/>
                <w:sz w:val="18"/>
                <w:szCs w:val="18"/>
                <w:b w:val="1"/>
                <w:bCs w:val="1"/>
                <w:color w:val="auto"/>
              </w:rPr>
              <w:t>$</w:t>
            </w:r>
          </w:p>
        </w:tc>
        <w:tc>
          <w:tcPr>
            <w:tcW w:w="1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120" w:type="dxa"/>
            <w:vAlign w:val="bottom"/>
          </w:tcPr>
          <w:p>
            <w:pPr>
              <w:ind w:left="20"/>
              <w:spacing w:after="0" w:line="215" w:lineRule="exact"/>
              <w:rPr>
                <w:sz w:val="20"/>
                <w:szCs w:val="20"/>
                <w:color w:val="auto"/>
              </w:rPr>
            </w:pPr>
            <w:r>
              <w:rPr>
                <w:rFonts w:ascii="Calibri" w:cs="Calibri" w:eastAsia="Calibri" w:hAnsi="Calibri"/>
                <w:sz w:val="18"/>
                <w:szCs w:val="18"/>
                <w:color w:val="auto"/>
              </w:rPr>
              <w:t>Accreton of discount</w:t>
            </w:r>
          </w:p>
        </w:tc>
        <w:tc>
          <w:tcPr>
            <w:tcW w:w="17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79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1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paid-in-kind</w:t>
            </w:r>
          </w:p>
        </w:tc>
        <w:tc>
          <w:tcPr>
            <w:tcW w:w="17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370</w:t>
            </w:r>
          </w:p>
        </w:tc>
        <w:tc>
          <w:tcPr>
            <w:tcW w:w="3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120" w:type="dxa"/>
            <w:vAlign w:val="bottom"/>
          </w:tcPr>
          <w:p>
            <w:pPr>
              <w:ind w:left="20"/>
              <w:spacing w:after="0" w:line="215" w:lineRule="exact"/>
              <w:rPr>
                <w:sz w:val="20"/>
                <w:szCs w:val="20"/>
                <w:color w:val="auto"/>
              </w:rPr>
            </w:pPr>
            <w:r>
              <w:rPr>
                <w:rFonts w:ascii="Calibri" w:cs="Calibri" w:eastAsia="Calibri" w:hAnsi="Calibri"/>
                <w:sz w:val="18"/>
                <w:szCs w:val="18"/>
                <w:color w:val="auto"/>
              </w:rPr>
              <w:t>Total unrealized gains or losses:</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6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1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Recognized in Net income</w:t>
            </w:r>
          </w:p>
        </w:tc>
        <w:tc>
          <w:tcPr>
            <w:tcW w:w="17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(537 )</w:t>
            </w:r>
          </w:p>
        </w:tc>
      </w:tr>
      <w:tr>
        <w:trPr>
          <w:trHeight w:val="220"/>
        </w:trPr>
        <w:tc>
          <w:tcPr>
            <w:tcW w:w="6120" w:type="dxa"/>
            <w:vAlign w:val="bottom"/>
          </w:tcPr>
          <w:p>
            <w:pPr>
              <w:ind w:left="120"/>
              <w:spacing w:after="0"/>
              <w:rPr>
                <w:sz w:val="20"/>
                <w:szCs w:val="20"/>
                <w:color w:val="auto"/>
              </w:rPr>
            </w:pPr>
            <w:r>
              <w:rPr>
                <w:rFonts w:ascii="Calibri" w:cs="Calibri" w:eastAsia="Calibri" w:hAnsi="Calibri"/>
                <w:sz w:val="18"/>
                <w:szCs w:val="18"/>
                <w:color w:val="auto"/>
              </w:rPr>
              <w:t>Recognized in Other comprehensive income</w:t>
            </w:r>
          </w:p>
        </w:tc>
        <w:tc>
          <w:tcPr>
            <w:tcW w:w="170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247</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6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1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 at September 30, 2024</w:t>
            </w:r>
          </w:p>
        </w:tc>
        <w:tc>
          <w:tcPr>
            <w:tcW w:w="1700" w:type="dxa"/>
            <w:vAlign w:val="bottom"/>
            <w:tcBorders>
              <w:bottom w:val="single" w:sz="8" w:color="auto"/>
            </w:tcBorders>
            <w:shd w:val="clear" w:color="auto" w:fill="CFF0FC"/>
          </w:tcPr>
          <w:p>
            <w:pPr>
              <w:jc w:val="right"/>
              <w:ind w:right="1510"/>
              <w:spacing w:after="0" w:line="215"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3,564</w:t>
            </w:r>
          </w:p>
        </w:tc>
        <w:tc>
          <w:tcPr>
            <w:tcW w:w="3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line="215" w:lineRule="exact"/>
              <w:rPr>
                <w:sz w:val="20"/>
                <w:szCs w:val="20"/>
                <w:color w:val="auto"/>
              </w:rPr>
            </w:pPr>
            <w:r>
              <w:rPr>
                <w:rFonts w:ascii="Calibri" w:cs="Calibri" w:eastAsia="Calibri" w:hAnsi="Calibri"/>
                <w:sz w:val="18"/>
                <w:szCs w:val="18"/>
                <w:b w:val="1"/>
                <w:bCs w:val="1"/>
                <w:color w:val="auto"/>
                <w:w w:val="87"/>
              </w:rPr>
              <w:t>$</w:t>
            </w:r>
          </w:p>
        </w:tc>
        <w:tc>
          <w:tcPr>
            <w:tcW w:w="1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3,588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Other fnancial instruments, including accounts receivable and accounts payable, are carried at cost, which approximates their fair value because of their short-term nature.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Accrued Expenses and Other Current Liabilities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Accrued expenses and other current liabilites consisted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Calibri" w:cs="Calibri" w:eastAsia="Calibri" w:hAnsi="Calibri"/>
                <w:sz w:val="18"/>
                <w:szCs w:val="18"/>
                <w:b w:val="1"/>
                <w:bCs w:val="1"/>
                <w:color w:val="auto"/>
              </w:rPr>
              <w:t>September 30,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gridSpan w:val="2"/>
          </w:tcPr>
          <w:p>
            <w:pPr>
              <w:ind w:left="32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6080" w:type="dxa"/>
            <w:vAlign w:val="bottom"/>
          </w:tcPr>
          <w:p>
            <w:pPr>
              <w:spacing w:after="0"/>
              <w:rPr>
                <w:sz w:val="21"/>
                <w:szCs w:val="21"/>
                <w:color w:val="auto"/>
              </w:rPr>
            </w:pPr>
          </w:p>
        </w:tc>
        <w:tc>
          <w:tcPr>
            <w:tcW w:w="174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2024</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60" w:type="dxa"/>
            <w:vAlign w:val="bottom"/>
          </w:tcPr>
          <w:p>
            <w:pPr>
              <w:jc w:val="right"/>
              <w:ind w:right="97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608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0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Accrued marketng expense</w:t>
            </w:r>
          </w:p>
        </w:tc>
        <w:tc>
          <w:tcPr>
            <w:tcW w:w="1740" w:type="dxa"/>
            <w:vAlign w:val="bottom"/>
            <w:tcBorders>
              <w:bottom w:val="single" w:sz="8" w:color="CFF0FC"/>
            </w:tcBorders>
            <w:shd w:val="clear" w:color="auto" w:fill="CFF0FC"/>
          </w:tcPr>
          <w:p>
            <w:pPr>
              <w:jc w:val="right"/>
              <w:ind w:right="1550"/>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35,242</w:t>
            </w:r>
          </w:p>
        </w:tc>
        <w:tc>
          <w:tcPr>
            <w:tcW w:w="640" w:type="dxa"/>
            <w:vAlign w:val="bottom"/>
            <w:tcBorders>
              <w:bottom w:val="single" w:sz="8" w:color="CFF0FC"/>
            </w:tcBorders>
            <w:gridSpan w:val="2"/>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rPr>
              <w:t>$</w:t>
            </w:r>
          </w:p>
        </w:tc>
        <w:tc>
          <w:tcPr>
            <w:tcW w:w="2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39,210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08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customer credits</w:t>
            </w:r>
          </w:p>
        </w:tc>
        <w:tc>
          <w:tcPr>
            <w:tcW w:w="17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56,394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64,318</w:t>
            </w:r>
          </w:p>
        </w:tc>
        <w:tc>
          <w:tcPr>
            <w:tcW w:w="100" w:type="dxa"/>
            <w:vAlign w:val="bottom"/>
          </w:tcPr>
          <w:p>
            <w:pPr>
              <w:spacing w:after="0"/>
              <w:rPr>
                <w:sz w:val="18"/>
                <w:szCs w:val="18"/>
                <w:color w:val="auto"/>
              </w:rPr>
            </w:pPr>
          </w:p>
        </w:tc>
      </w:tr>
      <w:tr>
        <w:trPr>
          <w:trHeight w:val="28"/>
        </w:trPr>
        <w:tc>
          <w:tcPr>
            <w:tcW w:w="6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future customer compensaton</w:t>
            </w:r>
          </w:p>
        </w:tc>
        <w:tc>
          <w:tcPr>
            <w:tcW w:w="17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24,944</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33,010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08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payroll</w:t>
            </w:r>
          </w:p>
        </w:tc>
        <w:tc>
          <w:tcPr>
            <w:tcW w:w="17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9,987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17,381</w:t>
            </w:r>
          </w:p>
        </w:tc>
        <w:tc>
          <w:tcPr>
            <w:tcW w:w="100" w:type="dxa"/>
            <w:vAlign w:val="bottom"/>
          </w:tcPr>
          <w:p>
            <w:pPr>
              <w:spacing w:after="0"/>
              <w:rPr>
                <w:sz w:val="18"/>
                <w:szCs w:val="18"/>
                <w:color w:val="auto"/>
              </w:rPr>
            </w:pPr>
          </w:p>
        </w:tc>
      </w:tr>
      <w:tr>
        <w:trPr>
          <w:trHeight w:val="28"/>
        </w:trPr>
        <w:tc>
          <w:tcPr>
            <w:tcW w:w="6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operatng expenses</w:t>
            </w:r>
          </w:p>
        </w:tc>
        <w:tc>
          <w:tcPr>
            <w:tcW w:w="17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15,405</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20,828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080" w:type="dxa"/>
            <w:vAlign w:val="bottom"/>
          </w:tcPr>
          <w:p>
            <w:pPr>
              <w:ind w:left="20"/>
              <w:spacing w:after="0"/>
              <w:rPr>
                <w:sz w:val="20"/>
                <w:szCs w:val="20"/>
                <w:color w:val="auto"/>
              </w:rPr>
            </w:pPr>
            <w:r>
              <w:rPr>
                <w:rFonts w:ascii="Calibri" w:cs="Calibri" w:eastAsia="Calibri" w:hAnsi="Calibri"/>
                <w:sz w:val="18"/>
                <w:szCs w:val="18"/>
                <w:color w:val="auto"/>
              </w:rPr>
              <w:t>Other current liabilites</w:t>
            </w:r>
          </w:p>
        </w:tc>
        <w:tc>
          <w:tcPr>
            <w:tcW w:w="174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17,809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16,895</w:t>
            </w:r>
          </w:p>
        </w:tc>
        <w:tc>
          <w:tcPr>
            <w:tcW w:w="100" w:type="dxa"/>
            <w:vAlign w:val="bottom"/>
          </w:tcPr>
          <w:p>
            <w:pPr>
              <w:spacing w:after="0"/>
              <w:rPr>
                <w:sz w:val="19"/>
                <w:szCs w:val="19"/>
                <w:color w:val="auto"/>
              </w:rPr>
            </w:pPr>
          </w:p>
        </w:tc>
      </w:tr>
      <w:tr>
        <w:trPr>
          <w:trHeight w:val="23"/>
        </w:trPr>
        <w:tc>
          <w:tcPr>
            <w:tcW w:w="60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accrued expenses and other current liabilites</w:t>
            </w:r>
          </w:p>
        </w:tc>
        <w:tc>
          <w:tcPr>
            <w:tcW w:w="1740" w:type="dxa"/>
            <w:vAlign w:val="bottom"/>
            <w:tcBorders>
              <w:bottom w:val="single" w:sz="8" w:color="auto"/>
            </w:tcBorders>
            <w:shd w:val="clear" w:color="auto" w:fill="CFF0FC"/>
          </w:tcPr>
          <w:p>
            <w:pPr>
              <w:jc w:val="right"/>
              <w:ind w:right="1550"/>
              <w:spacing w:after="0" w:line="215"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159,781</w:t>
            </w:r>
          </w:p>
        </w:tc>
        <w:tc>
          <w:tcPr>
            <w:tcW w:w="2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line="215" w:lineRule="exact"/>
              <w:rPr>
                <w:sz w:val="20"/>
                <w:szCs w:val="20"/>
                <w:color w:val="auto"/>
              </w:rPr>
            </w:pPr>
            <w:r>
              <w:rPr>
                <w:rFonts w:ascii="Calibri" w:cs="Calibri" w:eastAsia="Calibri" w:hAnsi="Calibri"/>
                <w:sz w:val="18"/>
                <w:szCs w:val="18"/>
                <w:b w:val="1"/>
                <w:bCs w:val="1"/>
                <w:color w:val="auto"/>
                <w:w w:val="87"/>
              </w:rPr>
              <w:t>$</w:t>
            </w:r>
          </w:p>
        </w:tc>
        <w:tc>
          <w:tcPr>
            <w:tcW w:w="2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191,642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customer credits represent credits issued and outstanding for cancellatons or other service issues related to recorded sales transactons. The accrued amount is reduced by the amount of credits estmated to go unused, or breakage, provided that the credits are not subject to escheatment. We estmate breakage based on historical usage trends and available data on comparable programs, and we recognize breakage in proporton to the patern of redempton for customer credits. Our breakage estmates could be impacted by future actvity difering from our estmates, the efects of which could be material.</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three and nine months ended September 30, 2024, $2.4 million and $5.4 million of accrued customer credits were redeemed, respectvely, and we recognized $5.0 million and $11.5 million of revenue from breakage, respectvely. During the three and nine months ended September 30, 2023, $2.6 million and $7.8 million of accrued customer credits were redeemed, respectvely, and we recognized $7.7 million and $18.4 million of revenue from breakage, respectvely. Breakage amounts are net of reductons in associated accounts receivable balances.</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Accrued future customer compensaton represents an estmate of the amount of customer compensaton due from cancellaton charges in the future. These provisions, which are based on historic experience, revenue volumes for future events and our estmate of the likelihood of future cancellatons, are recognized as a component of Revenues in the Condensed Consolidated Statements of Operatons. The expected recoveries of these obligatons from tcket sellers and partners are included in Prepaid expenses and other current assets in the Condensed Consolidated Balance Sheets. This estmated accrual could be impacted by future actvity difering from our estmates, the efects of which could be material. During the three and nine months ended September 30, 2024, we recognized a net increase in revenue of $1.3 million and $1.2 million, respectvely, and during the three and nine months ended September 30, 2023, we recognized a net increase in revenue of $1.5 million and $0.2 million, respectvely, in each case from the reversals of previously recorded revenue and changes to accrued future customer compensaton related to event cancellatons where the performance obligatons were satsfed in prior periods.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0" w:type="dxa"/>
            <w:vAlign w:val="bottom"/>
          </w:tcPr>
          <w:p>
            <w:pPr>
              <w:spacing w:after="0"/>
              <w:rPr>
                <w:sz w:val="20"/>
                <w:szCs w:val="20"/>
                <w:color w:val="auto"/>
              </w:rPr>
            </w:pPr>
            <w:r>
              <w:rPr>
                <w:rFonts w:ascii="Calibri" w:cs="Calibri" w:eastAsia="Calibri" w:hAnsi="Calibri"/>
                <w:sz w:val="18"/>
                <w:szCs w:val="18"/>
                <w:b w:val="1"/>
                <w:bCs w:val="1"/>
                <w:color w:val="auto"/>
              </w:rPr>
              <w:t>12. Debt</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7200" w:type="dxa"/>
            <w:vAlign w:val="bottom"/>
          </w:tcPr>
          <w:p>
            <w:pPr>
              <w:spacing w:after="0"/>
              <w:rPr>
                <w:sz w:val="20"/>
                <w:szCs w:val="20"/>
                <w:color w:val="auto"/>
              </w:rPr>
            </w:pPr>
            <w:r>
              <w:rPr>
                <w:rFonts w:ascii="Calibri" w:cs="Calibri" w:eastAsia="Calibri" w:hAnsi="Calibri"/>
                <w:sz w:val="18"/>
                <w:szCs w:val="18"/>
                <w:color w:val="auto"/>
              </w:rPr>
              <w:t>Our outstanding debt is comprised of the following (in thousands):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right"/>
              <w:ind w:right="760"/>
              <w:spacing w:after="0"/>
              <w:rPr>
                <w:sz w:val="20"/>
                <w:szCs w:val="20"/>
                <w:color w:val="auto"/>
              </w:rPr>
            </w:pPr>
            <w:r>
              <w:rPr>
                <w:rFonts w:ascii="Calibri" w:cs="Calibri" w:eastAsia="Calibri" w:hAnsi="Calibri"/>
                <w:sz w:val="18"/>
                <w:szCs w:val="18"/>
                <w:b w:val="1"/>
                <w:bCs w:val="1"/>
                <w:color w:val="auto"/>
              </w:rPr>
              <w:t>September 30,</w:t>
            </w:r>
          </w:p>
        </w:tc>
        <w:tc>
          <w:tcPr>
            <w:tcW w:w="220" w:type="dxa"/>
            <w:vAlign w:val="bottom"/>
          </w:tcPr>
          <w:p>
            <w:pPr>
              <w:spacing w:after="0"/>
              <w:rPr>
                <w:sz w:val="24"/>
                <w:szCs w:val="24"/>
                <w:color w:val="auto"/>
              </w:rPr>
            </w:pPr>
          </w:p>
        </w:tc>
        <w:tc>
          <w:tcPr>
            <w:tcW w:w="1580" w:type="dxa"/>
            <w:vAlign w:val="bottom"/>
            <w:gridSpan w:val="2"/>
          </w:tcPr>
          <w:p>
            <w:pPr>
              <w:jc w:val="right"/>
              <w:ind w:right="46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690"/>
              <w:spacing w:after="0"/>
              <w:rPr>
                <w:sz w:val="20"/>
                <w:szCs w:val="20"/>
                <w:color w:val="auto"/>
              </w:rPr>
            </w:pPr>
            <w:r>
              <w:rPr>
                <w:rFonts w:ascii="Calibri" w:cs="Calibri" w:eastAsia="Calibri" w:hAnsi="Calibri"/>
                <w:sz w:val="18"/>
                <w:szCs w:val="18"/>
                <w:b w:val="1"/>
                <w:bCs w:val="1"/>
                <w:color w:val="auto"/>
              </w:rPr>
              <w:t>2024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59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72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February 2022 First Lien Loan</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980" w:type="dxa"/>
            <w:vAlign w:val="bottom"/>
            <w:tcBorders>
              <w:bottom w:val="single" w:sz="8" w:color="CFF0FC"/>
            </w:tcBorders>
            <w:gridSpan w:val="2"/>
            <w:shd w:val="clear" w:color="auto" w:fill="CFF0FC"/>
          </w:tcPr>
          <w:p>
            <w:pPr>
              <w:jc w:val="right"/>
              <w:ind w:right="360"/>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270,188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200" w:type="dxa"/>
            <w:vAlign w:val="bottom"/>
          </w:tcPr>
          <w:p>
            <w:pPr>
              <w:ind w:left="20"/>
              <w:spacing w:after="0" w:line="215" w:lineRule="exact"/>
              <w:rPr>
                <w:sz w:val="20"/>
                <w:szCs w:val="20"/>
                <w:color w:val="auto"/>
              </w:rPr>
            </w:pPr>
            <w:r>
              <w:rPr>
                <w:rFonts w:ascii="Calibri" w:cs="Calibri" w:eastAsia="Calibri" w:hAnsi="Calibri"/>
                <w:sz w:val="18"/>
                <w:szCs w:val="18"/>
                <w:color w:val="auto"/>
              </w:rPr>
              <w:t>Shoko Chukin Bank Loan</w:t>
            </w:r>
          </w:p>
        </w:tc>
        <w:tc>
          <w:tcPr>
            <w:tcW w:w="260" w:type="dxa"/>
            <w:vAlign w:val="bottom"/>
          </w:tcPr>
          <w:p>
            <w:pPr>
              <w:spacing w:after="0"/>
              <w:rPr>
                <w:sz w:val="18"/>
                <w:szCs w:val="18"/>
                <w:color w:val="auto"/>
              </w:rPr>
            </w:pPr>
          </w:p>
        </w:tc>
        <w:tc>
          <w:tcPr>
            <w:tcW w:w="1980" w:type="dxa"/>
            <w:vAlign w:val="bottom"/>
            <w:gridSpan w:val="2"/>
          </w:tcPr>
          <w:p>
            <w:pPr>
              <w:jc w:val="right"/>
              <w:ind w:right="36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2,954</w:t>
            </w:r>
          </w:p>
        </w:tc>
        <w:tc>
          <w:tcPr>
            <w:tcW w:w="100" w:type="dxa"/>
            <w:vAlign w:val="bottom"/>
          </w:tcPr>
          <w:p>
            <w:pPr>
              <w:spacing w:after="0"/>
              <w:rPr>
                <w:sz w:val="18"/>
                <w:szCs w:val="18"/>
                <w:color w:val="auto"/>
              </w:rPr>
            </w:pPr>
          </w:p>
        </w:tc>
      </w:tr>
      <w:tr>
        <w:trPr>
          <w:trHeight w:val="28"/>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June 2024 First Lien Loan</w:t>
            </w:r>
          </w:p>
        </w:tc>
        <w:tc>
          <w:tcPr>
            <w:tcW w:w="2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394,013</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08"/>
        </w:trPr>
        <w:tc>
          <w:tcPr>
            <w:tcW w:w="72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long-term debt, gross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394,013</w:t>
            </w:r>
          </w:p>
        </w:tc>
        <w:tc>
          <w:tcPr>
            <w:tcW w:w="3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273,142</w:t>
            </w:r>
          </w:p>
        </w:tc>
        <w:tc>
          <w:tcPr>
            <w:tcW w:w="100" w:type="dxa"/>
            <w:vAlign w:val="bottom"/>
            <w:tcBorders>
              <w:top w:val="single" w:sz="8" w:color="CFF0FC"/>
            </w:tcBorders>
          </w:tcPr>
          <w:p>
            <w:pPr>
              <w:spacing w:after="0"/>
              <w:rPr>
                <w:sz w:val="18"/>
                <w:szCs w:val="18"/>
                <w:color w:val="auto"/>
              </w:rPr>
            </w:pPr>
          </w:p>
        </w:tc>
      </w:tr>
      <w:tr>
        <w:trPr>
          <w:trHeight w:val="28"/>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Less: unamortzed debt issuance costs</w:t>
            </w:r>
          </w:p>
        </w:tc>
        <w:tc>
          <w:tcPr>
            <w:tcW w:w="26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(4,333 )</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(4,577 )</w:t>
            </w:r>
          </w:p>
        </w:tc>
      </w:tr>
      <w:tr>
        <w:trPr>
          <w:trHeight w:val="208"/>
        </w:trPr>
        <w:tc>
          <w:tcPr>
            <w:tcW w:w="72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long-term debt, net of issuance costs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389,680</w:t>
            </w:r>
          </w:p>
        </w:tc>
        <w:tc>
          <w:tcPr>
            <w:tcW w:w="3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268,565</w:t>
            </w:r>
          </w:p>
        </w:tc>
        <w:tc>
          <w:tcPr>
            <w:tcW w:w="100" w:type="dxa"/>
            <w:vAlign w:val="bottom"/>
            <w:tcBorders>
              <w:top w:val="single" w:sz="8" w:color="CFF0FC"/>
            </w:tcBorders>
          </w:tcPr>
          <w:p>
            <w:pPr>
              <w:spacing w:after="0"/>
              <w:rPr>
                <w:sz w:val="18"/>
                <w:szCs w:val="18"/>
                <w:color w:val="auto"/>
              </w:rPr>
            </w:pPr>
          </w:p>
        </w:tc>
      </w:tr>
      <w:tr>
        <w:trPr>
          <w:trHeight w:val="28"/>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Less: current porton</w:t>
            </w:r>
          </w:p>
        </w:tc>
        <w:tc>
          <w:tcPr>
            <w:tcW w:w="26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(3,950 )</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(3,933 )</w:t>
            </w:r>
          </w:p>
        </w:tc>
      </w:tr>
      <w:tr>
        <w:trPr>
          <w:trHeight w:val="237"/>
        </w:trPr>
        <w:tc>
          <w:tcPr>
            <w:tcW w:w="72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long-term debt, net</w:t>
            </w: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385,730</w:t>
            </w:r>
          </w:p>
        </w:tc>
        <w:tc>
          <w:tcPr>
            <w:tcW w:w="3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w w:val="87"/>
              </w:rPr>
              <w:t>$</w:t>
            </w:r>
          </w:p>
        </w:tc>
        <w:tc>
          <w:tcPr>
            <w:tcW w:w="14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264,632</w:t>
            </w:r>
          </w:p>
        </w:tc>
        <w:tc>
          <w:tcPr>
            <w:tcW w:w="10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-822325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-505460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2017 Term Loans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2017, we entered into a $575.0 million frst lien debt facility, comprising a $50.0 million revolving credit facility and a $525.0 million term loan (the “June 2017 First Lien Loan”), and a second lien credit facility, comprising a $185.0 million second lien term loan (the “June 2017 Second Lien Loan”). The June 2017 First Lien Loan was amended to upsize the commited amount by $115.0 million in July 2018. In October 2019, we paid of the June 2017 Second Lien Loan balance. The revolving credit facility component of the frst lien debt facility was retred in May 2020. In October 2021, we made an early principal payment related to the June 2017 First Lien Loan of $148.2 million in connecton with, and using the proceeds from, the merger transacton with Horizon Acquisiton Corporaton (the “Merger Transacton”) and a related private investment in public equity. In February 2022, we repaid the outstanding balance of $190.7 million from the June 2017 First Lien Loan and refnanced the remaining balance with a $275.0 million term loan (as discussed in the “February 2022 First Lien Loan” secton below).</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February 2022 First Lien Loan</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In February 2022, we entered into an amendment which refnanced the remaining balance of the June 2017 First Lien Loan with a $275.0 million term loan (the “February 2022 First Lien Loan”) and added a $100.0 million revolving credit facility (the “Revolving Facility”) with a maturity date of February 3, 2027. On June 14, 2024, we refnanced the remaining $269.5 million balance of the February 2022 First Lien Loan, which carried an interest rate of SOFR (as defned herein) (subject to a 0.5% foor) plus a margin of 3.25%, with a $395.0 million term loan (as discussed in the “June 2024 First Lien Loan” secton below).</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2024 First Lien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14, 2024, we entered into an amendment which refnanced the remaining balance of the February 2022 First Lien Loan with a $395.0 million term loan (the “June 2024 First Lien Loan”) with a maturity date of February 3, 2029.</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terms of the June 2024 First Lien Loan specify a secured overnight fnancing rate (“SOFR”)-based foatng interest rate and contain a springing fnancial covenant that requires compliance with a frst lien net leverage rato when revolver borrowings exceed certain levels. All obligatons under the June 2024 First Lien Loan are unconditonally guaranteed by Hoya Intermediate and substantally all of Hoya Intermediate’s existng and future direct and indirect wholly owned domestc subsidiaries (collectvely, the “Guarantors”). The June 2024 First Lien Loan requires quarterly amortzaton payments of $1.0 million. The Revolving Facility does not require periodic payments. All obligatons under the June 2024 First Lien Loan are secured, subject to permited liens and other exceptons, by frst-priority perfected security interests in substantally all of our and the Guarantors’ assets. The June 2024 First Lien Loan carries an interest rate of SOFR (subject to a 0.5% foor) plus a margin of 3.00%;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such margin may be reduced to 2.75% if the corporate ratng assigned to us by Moody’s Investors Service, Inc. and S&amp;P Global Ratngs is at least Ba3/BB- (in each case, stable or beter). The efectve interest rate on the June 2024 First Lien Loan was 8.15% per annum at September 30, 2024.</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June 2024 First Lien Loan is held by third-party fnancial insttutons and is carried at the outstanding principal balance, less debt issuance costs and any unamortzed discount or premium. Because the fair value was estmated using quoted prices that are directly observable in the marketplace, it is estmated on a Level 2 basis. At September 30, 2024, the fair value of the June 2024 First Lien Loan approximated the carrying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certain reportng and compliance-related covenants to remain in good standing under the June 2024 First Lien Loan. These covenants, among other things, limit our ability to incur additonal indebtedness and, in certain circumstances, to enter into transactons with afliates, create liens, merge or consolidate and make certain payments. Non-compliance with these covenants and failure to remedy could result in the acceleraton of the loans or foreclosure on the collateral. As of September 30, 2024, we were in compliance with all debt covenants related to the June 2024 First Lien Loan and had no outstanding borrowings under the Revolving Facility.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refnancing of the February 2022 First Lien Loan with the June 2024 First Lien Loan was accounted for as a debt modifcaton. During the three and nine months ended September 30, 2024, we recognized an expense of zero and $1.7 million, respectvely, for third-party fees incurred in relaton to the debt modifcaton, which is presented in Other income in the Condensed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Shoko Chukin Bank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our acquisiton of Wavedash, we assumed long-term debt owed to Shoko Chukin Bank (the “Shoko Chukin Bank Loan”) of JPY 458.3 million (approximately $3.1 million), which had an original maturity date of June 24, 2026 and was subject to a fxed interest rate of 1.27% per annum. On April 4, 2024, we paid of the Shoko Chukin Bank Loan balance in its entrety.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Financial Instruments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issued the following warrants during the year ended December 31, 2021 in connecton with the Merger Transacton: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Public Warrants</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issued to former warrant holders of Horizon Acquisiton Corporaton warrants to purchase 18,132,776 shares of our Class A common stock at an exercise price of $11.50 per share (the “Public Warrants”), of which warrants to purchase 5,166,666 shares were issued to Horizon Sponsor, LLC. The Public Warrants are traded on The Nasdaq Stock Market LLC under the symbol “SEATW.” As of September 30, 2024, there were 6,766,853 Public Warrants outstanding.</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Private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to Horizon Sponsor, LLC warrants to purchase 6,519,791 shares of our Class A common stock at an exercise price of $11.50 per share (the “Private Warrants”). As of September 30, 2024, there were 6,519,791 Private Warrants outstanding.</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Exercise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to Horizon Sponsor, LLC warrants to purchase 17,000,000 shares of our Class A common stock at an exercise price of $10.00 per share (the “$10 Exercise Warrants”) and warrants to purchase 17,000,000 shares of our Class A common stock at an exercise of $15.00 per share (the “$15 Exercise Warrants” and, together with the $10 Exercise Warrants, the “Exercise Warrants”). As of September 30, 2024, there were 34,000,000 Exercise Warrants outstanding (comprised of 17,000,000 $10 Exercise Warrants and 17,000,000 $15 Exercise Warrants).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Intermediate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Intermediate issued to Hoya Topco, LLC (“Hoya Topco”) warrants to purchase 3,000,000 of its common units (“Intermediate Units”) at an exercise price of $10.00 per unit (the “$10 Intermediate Warrants”) and warrants to purchase 3,000,000 Intermediate Units at an exercise of $15.00 per unit (the “$15 Intermediate Warrants” and, together with the $10 Intermediate Warrants, the “Intermediate Warrants”).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0" w:name="page21"/>
    <w:bookmarkEnd w:id="20"/>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A porton of the Intermediate Warrants, consistng of 1,000,000 $10 Intermediate Warrants and 1,000,000 $15 Intermediate Warrants (together, the “Opton Contngent Warrants”), were issued in tandem with stock optons we issued to members of our management team and would only become exercisable by Hoya Topco if such a stock opton was forfeited or expired unexercised. On December 7, 2023, Hoya Topco voluntarily terminated all of the Opton Contngent Warrants.</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As of September 30, 2024, there were 4,000,000 Intermediate Warrants outstanding (comprised of 2,000,000 $10 Intermediate Warrants and 2,000,000 $15 Intermediate Warrants).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gridSpan w:val="2"/>
          </w:tcPr>
          <w:p>
            <w:pPr>
              <w:spacing w:after="0"/>
              <w:rPr>
                <w:sz w:val="20"/>
                <w:szCs w:val="20"/>
                <w:color w:val="auto"/>
              </w:rPr>
            </w:pPr>
            <w:r>
              <w:rPr>
                <w:rFonts w:ascii="Calibri" w:cs="Calibri" w:eastAsia="Calibri" w:hAnsi="Calibri"/>
                <w:sz w:val="18"/>
                <w:szCs w:val="18"/>
                <w:color w:val="auto"/>
              </w:rPr>
              <w:t>The following assumptons were used to calculate the fair value of the Intermediate Warrants: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5520" w:type="dxa"/>
            <w:vAlign w:val="bottom"/>
          </w:tcPr>
          <w:p>
            <w:pPr>
              <w:spacing w:after="0"/>
              <w:rPr>
                <w:sz w:val="24"/>
                <w:szCs w:val="24"/>
                <w:color w:val="auto"/>
              </w:rPr>
            </w:pPr>
          </w:p>
        </w:tc>
        <w:tc>
          <w:tcPr>
            <w:tcW w:w="2080" w:type="dxa"/>
            <w:vAlign w:val="bottom"/>
          </w:tcPr>
          <w:p>
            <w:pPr>
              <w:ind w:left="780"/>
              <w:spacing w:after="0"/>
              <w:rPr>
                <w:sz w:val="20"/>
                <w:szCs w:val="20"/>
                <w:color w:val="auto"/>
              </w:rPr>
            </w:pPr>
            <w:r>
              <w:rPr>
                <w:rFonts w:ascii="Calibri" w:cs="Calibri" w:eastAsia="Calibri" w:hAnsi="Calibri"/>
                <w:sz w:val="18"/>
                <w:szCs w:val="18"/>
                <w:b w:val="1"/>
                <w:bCs w:val="1"/>
                <w:color w:val="auto"/>
              </w:rPr>
              <w:t>September 30,</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3"/>
          </w:tcPr>
          <w:p>
            <w:pPr>
              <w:jc w:val="right"/>
              <w:ind w:right="98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600" w:type="dxa"/>
            <w:vAlign w:val="bottom"/>
            <w:gridSpan w:val="2"/>
          </w:tcPr>
          <w:p>
            <w:pPr>
              <w:ind w:left="6660"/>
              <w:spacing w:after="0"/>
              <w:rPr>
                <w:sz w:val="20"/>
                <w:szCs w:val="20"/>
                <w:color w:val="auto"/>
              </w:rPr>
            </w:pPr>
            <w:r>
              <w:rPr>
                <w:rFonts w:ascii="Calibri" w:cs="Calibri" w:eastAsia="Calibri" w:hAnsi="Calibri"/>
                <w:sz w:val="18"/>
                <w:szCs w:val="18"/>
                <w:b w:val="1"/>
                <w:bCs w:val="1"/>
                <w:color w:val="auto"/>
              </w:rPr>
              <w:t>2024</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tcPr>
          <w:p>
            <w:pPr>
              <w:jc w:val="right"/>
              <w:ind w:right="107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7"/>
        </w:trPr>
        <w:tc>
          <w:tcPr>
            <w:tcW w:w="552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7"/>
        </w:trPr>
        <w:tc>
          <w:tcPr>
            <w:tcW w:w="760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Expected term (years)</w:t>
            </w: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7.1</w:t>
            </w:r>
          </w:p>
        </w:tc>
        <w:tc>
          <w:tcPr>
            <w:tcW w:w="3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7.8</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76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volatlity</w:t>
            </w: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54.0 %</w:t>
            </w:r>
          </w:p>
        </w:tc>
        <w:tc>
          <w:tcPr>
            <w:tcW w:w="2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48.0 %</w:t>
            </w:r>
          </w:p>
        </w:tc>
      </w:tr>
      <w:tr>
        <w:trPr>
          <w:trHeight w:val="234"/>
        </w:trPr>
        <w:tc>
          <w:tcPr>
            <w:tcW w:w="7600" w:type="dxa"/>
            <w:vAlign w:val="bottom"/>
            <w:gridSpan w:val="2"/>
          </w:tcPr>
          <w:p>
            <w:pPr>
              <w:ind w:left="20"/>
              <w:spacing w:after="0"/>
              <w:rPr>
                <w:sz w:val="20"/>
                <w:szCs w:val="20"/>
                <w:color w:val="auto"/>
              </w:rPr>
            </w:pPr>
            <w:r>
              <w:rPr>
                <w:rFonts w:ascii="Calibri" w:cs="Calibri" w:eastAsia="Calibri" w:hAnsi="Calibri"/>
                <w:sz w:val="18"/>
                <w:szCs w:val="18"/>
                <w:color w:val="auto"/>
              </w:rPr>
              <w:t>Risk-free rate</w:t>
            </w:r>
          </w:p>
        </w:tc>
        <w:tc>
          <w:tcPr>
            <w:tcW w:w="88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3.7 %</w:t>
            </w:r>
          </w:p>
        </w:tc>
        <w:tc>
          <w:tcPr>
            <w:tcW w:w="2800" w:type="dxa"/>
            <w:vAlign w:val="bottom"/>
            <w:gridSpan w:val="3"/>
          </w:tcPr>
          <w:p>
            <w:pPr>
              <w:jc w:val="right"/>
              <w:spacing w:after="0"/>
              <w:rPr>
                <w:sz w:val="20"/>
                <w:szCs w:val="20"/>
                <w:color w:val="auto"/>
              </w:rPr>
            </w:pPr>
            <w:r>
              <w:rPr>
                <w:rFonts w:ascii="Calibri" w:cs="Calibri" w:eastAsia="Calibri" w:hAnsi="Calibri"/>
                <w:sz w:val="18"/>
                <w:szCs w:val="18"/>
                <w:color w:val="auto"/>
              </w:rPr>
              <w:t>3.9 %</w:t>
            </w:r>
          </w:p>
        </w:tc>
      </w:tr>
      <w:tr>
        <w:trPr>
          <w:trHeight w:val="243"/>
        </w:trPr>
        <w:tc>
          <w:tcPr>
            <w:tcW w:w="7600" w:type="dxa"/>
            <w:vAlign w:val="bottom"/>
            <w:gridSpan w:val="2"/>
          </w:tcPr>
          <w:p>
            <w:pPr>
              <w:ind w:left="20"/>
              <w:spacing w:after="0"/>
              <w:rPr>
                <w:sz w:val="20"/>
                <w:szCs w:val="20"/>
                <w:color w:val="auto"/>
              </w:rPr>
            </w:pPr>
            <w:r>
              <w:rPr>
                <w:rFonts w:ascii="Calibri" w:cs="Calibri" w:eastAsia="Calibri" w:hAnsi="Calibri"/>
                <w:sz w:val="18"/>
                <w:szCs w:val="18"/>
                <w:color w:val="auto"/>
              </w:rPr>
              <w:t>Expected dividend yield</w:t>
            </w:r>
          </w:p>
        </w:tc>
        <w:tc>
          <w:tcPr>
            <w:tcW w:w="88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0.0 %</w:t>
            </w:r>
          </w:p>
        </w:tc>
        <w:tc>
          <w:tcPr>
            <w:tcW w:w="2800" w:type="dxa"/>
            <w:vAlign w:val="bottom"/>
            <w:gridSpan w:val="3"/>
          </w:tcPr>
          <w:p>
            <w:pPr>
              <w:jc w:val="right"/>
              <w:spacing w:after="0"/>
              <w:rPr>
                <w:sz w:val="20"/>
                <w:szCs w:val="20"/>
                <w:color w:val="auto"/>
              </w:rPr>
            </w:pPr>
            <w:r>
              <w:rPr>
                <w:rFonts w:ascii="Calibri" w:cs="Calibri" w:eastAsia="Calibri" w:hAnsi="Calibri"/>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3" w:lineRule="exact"/>
        <w:rPr>
          <w:sz w:val="20"/>
          <w:szCs w:val="20"/>
          <w:color w:val="auto"/>
        </w:rPr>
      </w:pPr>
    </w:p>
    <w:p>
      <w:pPr>
        <w:jc w:val="both"/>
        <w:ind w:right="40"/>
        <w:spacing w:after="0" w:line="252" w:lineRule="auto"/>
        <w:rPr>
          <w:sz w:val="20"/>
          <w:szCs w:val="20"/>
          <w:color w:val="auto"/>
        </w:rPr>
      </w:pPr>
      <w:r>
        <w:rPr>
          <w:rFonts w:ascii="Calibri" w:cs="Calibri" w:eastAsia="Calibri" w:hAnsi="Calibri"/>
          <w:sz w:val="17"/>
          <w:szCs w:val="17"/>
          <w:color w:val="auto"/>
        </w:rPr>
        <w:t>For the three and nine months ended September 30, 2024, the fair value of the Intermediate Warrants decreased by $4.0 million and $5.7 million, respectvely. For three and nine months ended September 30, 2023, the fair value of the Intermediate Warrants (including the Opton Contngent Warrants) decreased by $1.7 million and $1.0 million, respectvely. The change in fair value of the Intermediate Warrants (including, for the three and nine months ended September 30, 2023, the Opton Contngent Warrants) is presented in Other income in the Condensed Consolidated Statements of Operatons.</w:t>
      </w:r>
    </w:p>
    <w:p>
      <w:pPr>
        <w:spacing w:after="0" w:line="10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Upon the valid exercise of an Intermediate Warrant for Intermediate Units, we will issue an equivalent number of shares of our Class B common stock to Hoya Topco.</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Mirror Warrants</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Hoya Intermediate issued to us warrants to purchase 17,000,000 Intermediate Units at an exercise price of $10.00 per unit (the “$10 Mirror Warrants”), warrants to purchase 17,000,000 Intermediate Units at an exercise of $15.00 per unit (the “$15 Mirror Warrants”) and warrants to purchase 24,652,557 Intermediate Units at an exercise price of $11.50 per unit (the “$11.50 Mirror Warrants” and, together with the $10 Mirror Warrants and the $15 Mirror Warrants, the “Mirror Warrants”). Upon the valid exercise of a Public, Private or Exercise Warrant, Hoya Intermediate will issue to us an equivalent number of Intermediate Units. Similarly, if a Public, Private or Exercise Warrant is tendered, an equivalent number of Mirror Warrants will be tendered. As of September 30, 2024, there were 47,286,644 Mirror Warrants outstanding (comprised of 17,000,000 $10 Mirror Warrants, 17,000,000 $15 Mirror Warrants and 13,286,644 $11.50 Mirror Warrants).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Equity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Programs</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February 29, 2024, our Board of Directors (our “Board”) authorized a share repurchase program for up to $100.0 million of our Class A common stock, which program was publicly announced on March 5, 2024 and does not have a fxed expiraton date (the “2024 Share Repurchase Program”). As of September 30, 2024, we had repurchased approximately 4.1 million shares of our Class A common stock for approximately $22.8 million under the 2024 Share Repurchase Program, for which we had recorded approximately $0.3 million in commissions and excise taxes. As of September 30, 2024, approximately $77.2 million remained available for future repurchases under the 2024 Share Repurchase Program.</w:t>
      </w:r>
    </w:p>
    <w:p>
      <w:pPr>
        <w:spacing w:after="0" w:line="112" w:lineRule="exact"/>
        <w:rPr>
          <w:sz w:val="20"/>
          <w:szCs w:val="20"/>
          <w:color w:val="auto"/>
        </w:rPr>
      </w:pPr>
    </w:p>
    <w:p>
      <w:pPr>
        <w:jc w:val="both"/>
        <w:ind w:right="40"/>
        <w:spacing w:after="0" w:line="254" w:lineRule="auto"/>
        <w:rPr>
          <w:sz w:val="20"/>
          <w:szCs w:val="20"/>
          <w:color w:val="auto"/>
        </w:rPr>
      </w:pPr>
      <w:r>
        <w:rPr>
          <w:rFonts w:ascii="Calibri" w:cs="Calibri" w:eastAsia="Calibri" w:hAnsi="Calibri"/>
          <w:sz w:val="17"/>
          <w:szCs w:val="17"/>
          <w:color w:val="auto"/>
        </w:rPr>
        <w:t>In May 2022, our Board authorized a share repurchase program for up to $40.0 million of our Class A common stock, which program was publicly announced on May 26, 2022 (the “2022 Share Repurchase Program”). The 2022 Share Repurchase Program’s authorizaton was fully utlized during 2022 and the three months ended March 31, 2023. Cumulatvely, we repurchased approximately 5.3 million shares of our Class A common stock for approximately $40.0</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million under the 2022 Share Repurchase Program, for which we recorded approximately $0.1 million in commissions and excise taxes.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Share repurchases are accounted for as Treasury stock in the Condensed Consolidated Balance Sheets.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Accumulated Other Comprehensive Income</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following table presents the changes in each component of Accumulated other comprehensive income atributable to Class A common stockholders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4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Unrealized Gain on</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Foreign Currency</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1900" w:type="dxa"/>
            <w:vAlign w:val="bottom"/>
          </w:tcPr>
          <w:p>
            <w:pPr>
              <w:jc w:val="right"/>
              <w:ind w:right="230"/>
              <w:spacing w:after="0" w:line="216" w:lineRule="exact"/>
              <w:rPr>
                <w:sz w:val="20"/>
                <w:szCs w:val="20"/>
                <w:color w:val="auto"/>
              </w:rPr>
            </w:pPr>
            <w:r>
              <w:rPr>
                <w:rFonts w:ascii="Calibri" w:cs="Calibri" w:eastAsia="Calibri" w:hAnsi="Calibri"/>
                <w:sz w:val="18"/>
                <w:szCs w:val="18"/>
                <w:b w:val="1"/>
                <w:bCs w:val="1"/>
                <w:color w:val="auto"/>
              </w:rPr>
              <w:t>Investments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Translaton Adjustment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16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37"/>
        </w:trPr>
        <w:tc>
          <w:tcPr>
            <w:tcW w:w="474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4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January 1, 2024</w:t>
            </w:r>
          </w:p>
        </w:tc>
        <w:tc>
          <w:tcPr>
            <w:tcW w:w="1900" w:type="dxa"/>
            <w:vAlign w:val="bottom"/>
            <w:tcBorders>
              <w:bottom w:val="single" w:sz="8" w:color="CFF0FC"/>
            </w:tcBorders>
            <w:shd w:val="clear" w:color="auto" w:fill="CFF0FC"/>
          </w:tcPr>
          <w:p>
            <w:pPr>
              <w:jc w:val="right"/>
              <w:ind w:right="1710"/>
              <w:spacing w:after="0" w:line="208" w:lineRule="exact"/>
              <w:rPr>
                <w:sz w:val="20"/>
                <w:szCs w:val="20"/>
                <w:color w:val="auto"/>
              </w:rPr>
            </w:pPr>
            <w:r>
              <w:rPr>
                <w:rFonts w:ascii="Calibri" w:cs="Calibri" w:eastAsia="Calibri" w:hAnsi="Calibri"/>
                <w:sz w:val="18"/>
                <w:szCs w:val="18"/>
                <w:b w:val="1"/>
                <w:bCs w:val="1"/>
                <w:color w:val="auto"/>
                <w:w w:val="87"/>
              </w:rPr>
              <w:t>$</w:t>
            </w:r>
          </w:p>
        </w:tc>
        <w:tc>
          <w:tcPr>
            <w:tcW w:w="3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106</w:t>
            </w:r>
          </w:p>
        </w:tc>
        <w:tc>
          <w:tcPr>
            <w:tcW w:w="2260" w:type="dxa"/>
            <w:vAlign w:val="bottom"/>
            <w:tcBorders>
              <w:bottom w:val="single" w:sz="8" w:color="CFF0FC"/>
            </w:tcBorders>
            <w:gridSpan w:val="2"/>
            <w:shd w:val="clear" w:color="auto" w:fill="CFF0FC"/>
          </w:tcPr>
          <w:p>
            <w:pPr>
              <w:jc w:val="right"/>
              <w:ind w:right="1850"/>
              <w:spacing w:after="0" w:line="208" w:lineRule="exact"/>
              <w:rPr>
                <w:sz w:val="20"/>
                <w:szCs w:val="20"/>
                <w:color w:val="auto"/>
              </w:rPr>
            </w:pPr>
            <w:r>
              <w:rPr>
                <w:rFonts w:ascii="Calibri" w:cs="Calibri" w:eastAsia="Calibri" w:hAnsi="Calibri"/>
                <w:sz w:val="18"/>
                <w:szCs w:val="18"/>
                <w:b w:val="1"/>
                <w:bCs w:val="1"/>
                <w:color w:val="auto"/>
              </w:rPr>
              <w:t>$</w:t>
            </w:r>
          </w:p>
        </w:tc>
        <w:tc>
          <w:tcPr>
            <w:tcW w:w="3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641</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9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9"/>
        </w:trPr>
        <w:tc>
          <w:tcPr>
            <w:tcW w:w="4740" w:type="dxa"/>
            <w:vAlign w:val="bottom"/>
          </w:tcPr>
          <w:p>
            <w:pPr>
              <w:ind w:left="20"/>
              <w:spacing w:after="0"/>
              <w:rPr>
                <w:sz w:val="20"/>
                <w:szCs w:val="20"/>
                <w:color w:val="auto"/>
              </w:rPr>
            </w:pPr>
            <w:r>
              <w:rPr>
                <w:rFonts w:ascii="Calibri" w:cs="Calibri" w:eastAsia="Calibri" w:hAnsi="Calibri"/>
                <w:sz w:val="18"/>
                <w:szCs w:val="18"/>
                <w:color w:val="auto"/>
              </w:rPr>
              <w:t>Recognized in Other comprehensive income</w:t>
            </w:r>
          </w:p>
        </w:tc>
        <w:tc>
          <w:tcPr>
            <w:tcW w:w="190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155</w:t>
            </w: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89"/>
              </w:rPr>
              <w:t>(132 )</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100" w:type="dxa"/>
            <w:vAlign w:val="bottom"/>
          </w:tcPr>
          <w:p>
            <w:pPr>
              <w:spacing w:after="0"/>
              <w:rPr>
                <w:sz w:val="19"/>
                <w:szCs w:val="19"/>
                <w:color w:val="auto"/>
              </w:rPr>
            </w:pPr>
          </w:p>
        </w:tc>
      </w:tr>
      <w:tr>
        <w:trPr>
          <w:trHeight w:val="23"/>
        </w:trPr>
        <w:tc>
          <w:tcPr>
            <w:tcW w:w="47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7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 at September 30, 2024</w:t>
            </w:r>
          </w:p>
        </w:tc>
        <w:tc>
          <w:tcPr>
            <w:tcW w:w="1900" w:type="dxa"/>
            <w:vAlign w:val="bottom"/>
            <w:tcBorders>
              <w:bottom w:val="single" w:sz="8" w:color="auto"/>
            </w:tcBorders>
            <w:shd w:val="clear" w:color="auto" w:fill="CFF0FC"/>
          </w:tcPr>
          <w:p>
            <w:pPr>
              <w:jc w:val="right"/>
              <w:ind w:right="1710"/>
              <w:spacing w:after="0" w:line="215" w:lineRule="exact"/>
              <w:rPr>
                <w:sz w:val="20"/>
                <w:szCs w:val="20"/>
                <w:color w:val="auto"/>
              </w:rPr>
            </w:pPr>
            <w:r>
              <w:rPr>
                <w:rFonts w:ascii="Calibri" w:cs="Calibri" w:eastAsia="Calibri" w:hAnsi="Calibri"/>
                <w:sz w:val="18"/>
                <w:szCs w:val="18"/>
                <w:b w:val="1"/>
                <w:bCs w:val="1"/>
                <w:color w:val="auto"/>
                <w:w w:val="87"/>
              </w:rPr>
              <w:t>$</w:t>
            </w:r>
          </w:p>
        </w:tc>
        <w:tc>
          <w:tcPr>
            <w:tcW w:w="3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261</w:t>
            </w:r>
          </w:p>
        </w:tc>
        <w:tc>
          <w:tcPr>
            <w:tcW w:w="220" w:type="dxa"/>
            <w:vAlign w:val="bottom"/>
            <w:tcBorders>
              <w:bottom w:val="single" w:sz="8" w:color="CFF0FC"/>
            </w:tcBorders>
            <w:shd w:val="clear" w:color="auto" w:fill="CFF0FC"/>
          </w:tcPr>
          <w:p>
            <w:pPr>
              <w:spacing w:after="0"/>
              <w:rPr>
                <w:sz w:val="24"/>
                <w:szCs w:val="24"/>
                <w:color w:val="auto"/>
              </w:rPr>
            </w:pPr>
          </w:p>
        </w:tc>
        <w:tc>
          <w:tcPr>
            <w:tcW w:w="2040" w:type="dxa"/>
            <w:vAlign w:val="bottom"/>
            <w:tcBorders>
              <w:bottom w:val="single" w:sz="8" w:color="auto"/>
            </w:tcBorders>
            <w:shd w:val="clear" w:color="auto" w:fill="CFF0FC"/>
          </w:tcPr>
          <w:p>
            <w:pPr>
              <w:jc w:val="right"/>
              <w:ind w:right="1850"/>
              <w:spacing w:after="0" w:line="215" w:lineRule="exact"/>
              <w:rPr>
                <w:sz w:val="20"/>
                <w:szCs w:val="20"/>
                <w:color w:val="auto"/>
              </w:rPr>
            </w:pPr>
            <w:r>
              <w:rPr>
                <w:rFonts w:ascii="Calibri" w:cs="Calibri" w:eastAsia="Calibri" w:hAnsi="Calibri"/>
                <w:sz w:val="18"/>
                <w:szCs w:val="18"/>
                <w:b w:val="1"/>
                <w:bCs w:val="1"/>
                <w:color w:val="auto"/>
                <w:w w:val="87"/>
              </w:rPr>
              <w:t>$</w:t>
            </w:r>
          </w:p>
        </w:tc>
        <w:tc>
          <w:tcPr>
            <w:tcW w:w="3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509</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9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770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Commitments and Contingencies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Litgaton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management's opinion, could have a material efect on our business, fnancial positon or results of operatons other than those maters discussed below.</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were a co-defendant in a class acton lawsuit in Canada alleging a failure to disclose service fees prior to checkout. A fnal order approving the setlement of this lawsuit was entered by the court in August 2020. In January 2022, we issued coupons to certain class members. Other class members were notfed in 2022 that they are eligible to submit a claim for a coupon. As of September 30, 2024 and December 31, 2023, a liability of $0.9 million was recorded in Accrued expenses and other current liabilites in the Condensed Consolidated Balance Sheets related to expected claim submissions and credit redemptons as of the measurement date.</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have been a defendant in multple class acton lawsuits related to customer compensaton for cancellatons, primarily as a result of COVID-19 restrictons. A fnal order approving the setlement of one such lawsuit was entered by the court in November 2021, pursuant to which we paid $4.5 million (afer insurance) to fund a claims setlement pool in 2021 that was fully disbursed in 2022. A fnal order approving the setlement of another such lawsuit was entered by the court on January 31, 2023, pursuant to which we paid $3.3 million (afer insurance) to cover legal and administratve fees and approved claims (payments for which were made in August 2023). We had no accrued liability as of September 30, 2024 and December 31, 2023 related to these maters.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 defendant in a lawsuit related to an alleged violaton of the Illinois Biometric Informaton Privacy Act. An order preliminarily approving the setlement of this lawsuit was entered by the court on September 27, 2024, which remains subject to fnal court approval and which will be covered in full by insurance. As of September 30, 2024, a liability of $0.3 million was recorded in Accrued expenses and other current liabilites in the Condensed Consolidated Balance Sheets related to this mater. We had no accrued liability as of December 31, 2023 related to this mater.</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Indirect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2018, the U.S. Supreme Court issued its decision in South Dakota v. Wayfair Inc., which overturned previous case law that had precluded state and local governments from imposing sales tax collecton requirements on retailers without a physical presence. In response, most jurisdictons have adopted laws that atempt to impose tax collecton obligatons on out-of-state companies, and we have registered and begun collectng tax where required by statute. It is reasonably possible that state or local governments will contnue to adopt or interpret laws such that we are required to calculate, collect and remit taxes on sales in their jurisdictons. A successful asserton by one or more jurisdictons could result in material tax liabilites, including uncollected taxes on past sales, as well as penaltes and interest. Based on our analysis of certain state and local regulatons, specifcally related to marketplace facilitators and tcket sales, we have recorded liabilites in all jurisdictons where we believe a risk of loss is probable. We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2" w:name="page23"/>
    <w:bookmarkEnd w:id="2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contnuously monitor state and local regulatons and will implement required collecton and remitance procedures if and when we are subject thereto.</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To the extent we have sales for internatonal events, we may be required to register with various foreign jurisdictons and to collect and remit indirect taxes. It is reasonably possible that foreign jurisdictons may contnue to adopt or interpret laws that impact the amount we are required to collect and remit. A successful asserton by one or more such jurisdictons could result in material tax liabilites, including uncollected taxes on past sales, as well as penaltes and interest. Based on our analysis of certain foreign indirect tax regulatons, specifcally related to event tcket sales, we have recorded liabilites in the jurisdictons where we believe a risk of loss is probable and estmable.</w:t>
      </w:r>
    </w:p>
    <w:p>
      <w:pPr>
        <w:spacing w:after="0" w:line="153" w:lineRule="exact"/>
        <w:rPr>
          <w:sz w:val="20"/>
          <w:szCs w:val="20"/>
          <w:color w:val="auto"/>
        </w:rPr>
      </w:pPr>
    </w:p>
    <w:p>
      <w:pPr>
        <w:ind w:right="140"/>
        <w:spacing w:after="0" w:line="251" w:lineRule="auto"/>
        <w:rPr>
          <w:sz w:val="20"/>
          <w:szCs w:val="20"/>
          <w:color w:val="auto"/>
        </w:rPr>
      </w:pPr>
      <w:r>
        <w:rPr>
          <w:rFonts w:ascii="Calibri" w:cs="Calibri" w:eastAsia="Calibri" w:hAnsi="Calibri"/>
          <w:sz w:val="17"/>
          <w:szCs w:val="17"/>
          <w:color w:val="auto"/>
        </w:rPr>
        <w:t>As of September 30, 2024 and December 31, 2023, a liability of $5.4 million and $3.2 million, respectvely, was recorded in Accrued expenses and other current liabilites in the Condensed Consolidated Balance Sheets related to uncollected indirect taxes, including sales taxes. This liability is inclusive of both U.S. and foreign jurisdictons where we believe it is probable we should remit but have not collected all required amounts from customers and is reduced by abatements received. The net expense related to uncollected indirect taxes during the three and nine months ended September 30, 2024 was $0.5 million and $2.6 million, respectvely, which is recorded in General and administratve expenses in the Condensed Consolidated Statements of Operatons.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2024 Sponsorship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August 23, 2024, we and a privately held company entered into a sponsorship and custom content partnership agreement that provides us with various marketng services in exchange for our issuance of an interest-free loan payable in installments that could total a maximum of $5.0 million (the “Sponsorship Loan”). We account for the Sponsorship Loan as a note receivable in accordance with ASC Topic 310, </w:t>
      </w:r>
      <w:r>
        <w:rPr>
          <w:rFonts w:ascii="Calibri" w:cs="Calibri" w:eastAsia="Calibri" w:hAnsi="Calibri"/>
          <w:sz w:val="18"/>
          <w:szCs w:val="18"/>
          <w:i w:val="1"/>
          <w:iCs w:val="1"/>
          <w:color w:val="auto"/>
        </w:rPr>
        <w:t>Receivables</w:t>
      </w:r>
      <w:r>
        <w:rPr>
          <w:rFonts w:ascii="Calibri" w:cs="Calibri" w:eastAsia="Calibri" w:hAnsi="Calibri"/>
          <w:sz w:val="18"/>
          <w:szCs w:val="18"/>
          <w:color w:val="auto"/>
        </w:rPr>
        <w:t>. As of September 30, 2024, we have disbursed $2.0 million of the Sponsorship Loan (the “2024 Sponsorship Loan”). If certain conditons are met, we will issue an additonal interest-free $1.5 million loan in each of September 2025 and September 2026. While there is no stated maturity date for the 2024 Sponsorship Loan, we are enttled to a porton of advertsing revenue received by the counterparty untl the 2024 Sponsorship Loan is repaid in full. The 2024 Sponsorship Loan had a carrying value of $1.8 million as of September 30, 2024, which is presented in Other non-current assets in the Condensed Consolidated Balance Sheets. Additonally, we recognized less than $0.1 million of imputed interest income for the 2024 Sponsorship Loan during the three and nine months ended September 30, 2024, which is presented in Interest expense – net in the Condensed Consolidated Statements of Operatons.</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Related-Party Transactions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Viral Naton Inc.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Viral Naton Inc. (“Viral Naton”) is a marketng agency that creates viral and social media infuencer campaigns and provides advertsing, marketng and technology services. Todd Boehly, a member of our Board, serves on the board of directors of Viral Naton and is the Co-Founder, Chairman and Chief Executve Ofcer (“CEO”) of Eldridge Industries, LLC (“Eldridge”), which owns greater than 10% of Viral Naton. For Viral Naton’s services, we incurred an expense of less than $0.1 million and $0.3 million during the three and nine months ended September 30, 2024, respectvely, and $0.1 million during the three and nine months ended September 30, 2023, which is presented in Marketng and selling expenses in the Condensed Consolidated Statements of Operatons.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Rolling Stone, LLC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Rolling Stone, LLC (“Rolling Stone”) is a high-profle magazine and media platorm focused on music, flm, television and news coverage. Todd Boehly, a member of our Board, is the Co-Founder, Chairman and CEO of Eldridge, which owns greater than 10% of Rolling Stone. In connecton with a partnership with Rolling Stone, we incurred zero expense during the three and nine months ended September 30, 2024 and an expense of $0.2 million and $0.7 million during the three and nine months ended September 30, 2023, respectvely, which is presented in Marketng and selling expenses in the Condensed Consolidated Statements of Operatons.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3" w:name="page24"/>
    <w:bookmarkEnd w:id="2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Los Angeles Dodgers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Los Angeles Dodgers (the “Dodgers”) is a Major League Baseball team based in Los Angeles, California. Todd Boehly, a member of our Board, owns greater than 10% of the Dodgers. In connecton with a strategic partnership with the Dodgers, including our designaton as an ofcial tcket marketplace of the Dodgers and certain other advertsing, marketng, promotonal and sponsorship benefts, we incurred an expense of $1.0 million and $2.1 million during the three and nine months ended September 30, 2024, respectvely, and an expense of $1.1 million during the three and nine months ended September 30, 2023, which is presented in Marketng and selling expenses in the Condensed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Merger Transacton, we entered into a Tax Receivable Agreement (the “TRA”) with the existng Hoya Intermediate unitholders. For more informaton, see “Tax Receivable Agreement” in Note 17, </w:t>
      </w:r>
      <w:r>
        <w:rPr>
          <w:rFonts w:ascii="Calibri" w:cs="Calibri" w:eastAsia="Calibri" w:hAnsi="Calibri"/>
          <w:sz w:val="18"/>
          <w:szCs w:val="18"/>
          <w:i w:val="1"/>
          <w:iCs w:val="1"/>
          <w:color w:val="auto"/>
        </w:rPr>
        <w:t>Income Taxes</w:t>
      </w:r>
      <w:r>
        <w:rPr>
          <w:rFonts w:ascii="Calibri" w:cs="Calibri" w:eastAsia="Calibri" w:hAnsi="Calibri"/>
          <w:sz w:val="18"/>
          <w:szCs w:val="18"/>
          <w:color w:val="auto"/>
        </w:rPr>
        <w: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three and nine months ended September 30, 2024, we recorded a $4.3 million and $7.1 million income tax expense in contnuing operatons, respectvely. Our efectve income tax rate difered from the 21% U.S. federal statutory rate due to a redeemable noncontrolling interests adjustment for VSI’s allocable share of Hoya Intermediate’s income, state taxes, equity-based compensaton and limitatons on compensaton deductons. For the three and nine months ended September 30, 2023, we recorded a $2.6 million income tax expense and a $21.6 million income tax beneft in contnuing operatons, respectvely. Our efectve income tax rate difered from the 21% U.S. federal statutory rate due to the release of our valuaton allowance on our U.S. net operatng losses, interest limitatons and tax credit carryforwards.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September 30, 2024 and December 31, 2023, our deferred tax assets were primarily the result of our investment in partnership, the TRA, net operatng losses, interest limitatons and tax credit carryforwards. As of each reportng date, we consider new evidence, both positve and negatve, that could afect its view of the future realizaton of deferred tax assets. Certain tax atributes remain subject to an annual limitaton under Secton 382 of the Internal Revenue Code of 1986 as a result of the historical acquisitons. We maintain a partal valuaton allowance on our investments in partnership related to the porton of the basis diference that we do not expect to realize on a more likely than not basis.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the TRA with the existng Hoya Intermediate unitholders that provides for our payment to such unitholders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September 30, 2024, we estmate that the tax savings associated with all tax atributes described above would require us to pay $165.7 million, primarily over the next 15 years. As of September 30, 2024, $3.5 million is expected to be due within the next 12 months.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18. Equity-Based Compensation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2021 Incentve Award Plan, as amended (the “2021 Plan”), was approved and adopted in order to facilitate the grant of equity incentve awards to our employees, non-employee directors and consultants. The 2021 Plan became efectve on October 18, 2021 upon consummaton of the Merger Transacton, and the First Amendment to the 2021 Plan became efectve on February 5,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Restricted Stock Units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Restricted stock units (“RSUs”) awards are denominated in a hypothetcal equivalent number of shares of our Class A common stock. The value of each RSU is equal to the fair value of our Class A common stock on the grant date. Each RSU converts into a share of our Class A common stock upon vestng.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nine months ended September 30, 2024 and 2023, we granted to certain employees 10.8 million and 2.7 million RSUs, respectvely, at a weighted average grant date fair value of $5.32 per share and $7.21 per share, respectvely. RSUs granted to employees vest over three years, with one-third vestng on the frst anniversary of the grant date and the remaining porton vestng on a quarterly basis thereafer, subject to the employee’s contnued employment through the applicable vestng date.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nine months ended September 30, 2024 and 2023, we granted to our directors 0.3 million and 0.1 million RSUs, respectvely, at a weighted average grant date fair value of $5.24 per share and $7.68 per share, respectvely. RSUs granted to directors fully vest on the earlier of (i) one day prior to the date of our frst annual meetng of stockholders following the grant date and (ii) the frst anniversary of the grant date, subject to the director’s contnued service on our Board through the applicable vestng date.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nine months ended September 30, 2024 and 2023, we granted to certain consultants less than 0.1 million and less than 0.1 million RSUs, respectvely, at a weighted average grant date fair value of $3.72 per share and $7.98 per share, respectvely. RSUs granted to consultants either fully vest on the frst anniversary of the grant date or in equal annual installments over three years, subject to the consultant’s contnued service through the applicable vestng date.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60" w:type="dxa"/>
            <w:vAlign w:val="bottom"/>
            <w:gridSpan w:val="3"/>
          </w:tcPr>
          <w:p>
            <w:pPr>
              <w:spacing w:after="0"/>
              <w:rPr>
                <w:sz w:val="20"/>
                <w:szCs w:val="20"/>
                <w:color w:val="auto"/>
              </w:rPr>
            </w:pPr>
            <w:r>
              <w:rPr>
                <w:rFonts w:ascii="Calibri" w:cs="Calibri" w:eastAsia="Calibri" w:hAnsi="Calibri"/>
                <w:sz w:val="18"/>
                <w:szCs w:val="18"/>
                <w:color w:val="auto"/>
              </w:rPr>
              <w:t>A summary of the total actvity for RSUs is as follows (in thousands, except per share data):</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2"/>
          </w:tcPr>
          <w:p>
            <w:pPr>
              <w:jc w:val="center"/>
              <w:ind w:right="280"/>
              <w:spacing w:after="0"/>
              <w:rPr>
                <w:sz w:val="20"/>
                <w:szCs w:val="20"/>
                <w:color w:val="auto"/>
              </w:rPr>
            </w:pPr>
            <w:r>
              <w:rPr>
                <w:rFonts w:ascii="Calibri" w:cs="Calibri" w:eastAsia="Calibri" w:hAnsi="Calibri"/>
                <w:sz w:val="18"/>
                <w:szCs w:val="18"/>
                <w:b w:val="1"/>
                <w:bCs w:val="1"/>
                <w:color w:val="auto"/>
                <w:w w:val="96"/>
              </w:rPr>
              <w:t>Weighted Average Grant Date Fair Value</w:t>
            </w:r>
          </w:p>
        </w:tc>
      </w:tr>
      <w:tr>
        <w:trPr>
          <w:trHeight w:val="216"/>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ind w:left="980"/>
              <w:spacing w:after="0" w:line="216" w:lineRule="exact"/>
              <w:rPr>
                <w:sz w:val="20"/>
                <w:szCs w:val="20"/>
                <w:color w:val="auto"/>
              </w:rPr>
            </w:pPr>
            <w:r>
              <w:rPr>
                <w:rFonts w:ascii="Calibri" w:cs="Calibri" w:eastAsia="Calibri" w:hAnsi="Calibri"/>
                <w:sz w:val="18"/>
                <w:szCs w:val="18"/>
                <w:b w:val="1"/>
                <w:bCs w:val="1"/>
                <w:color w:val="auto"/>
              </w:rPr>
              <w:t>Shares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2"/>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7"/>
              </w:rPr>
              <w:t>Per Share</w:t>
            </w:r>
          </w:p>
        </w:tc>
      </w:tr>
      <w:tr>
        <w:trPr>
          <w:trHeight w:val="37"/>
        </w:trPr>
        <w:tc>
          <w:tcPr>
            <w:tcW w:w="5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696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Unvested at December 31, 2023</w:t>
            </w:r>
          </w:p>
        </w:tc>
        <w:tc>
          <w:tcPr>
            <w:tcW w:w="74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3,866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b w:val="1"/>
                <w:bCs w:val="1"/>
                <w:color w:val="auto"/>
              </w:rPr>
              <w:t>$</w:t>
            </w:r>
          </w:p>
        </w:tc>
        <w:tc>
          <w:tcPr>
            <w:tcW w:w="3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7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11,116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jc w:val="right"/>
              <w:spacing w:after="0" w:line="215" w:lineRule="exact"/>
              <w:rPr>
                <w:sz w:val="20"/>
                <w:szCs w:val="20"/>
                <w:color w:val="auto"/>
              </w:rPr>
            </w:pPr>
            <w:r>
              <w:rPr>
                <w:rFonts w:ascii="Calibri" w:cs="Calibri" w:eastAsia="Calibri" w:hAnsi="Calibri"/>
                <w:sz w:val="18"/>
                <w:szCs w:val="18"/>
                <w:color w:val="auto"/>
              </w:rPr>
              <w:t>5.32</w:t>
            </w:r>
          </w:p>
        </w:tc>
        <w:tc>
          <w:tcPr>
            <w:tcW w:w="10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60" w:type="dxa"/>
            <w:vAlign w:val="bottom"/>
            <w:tcBorders>
              <w:bottom w:val="single" w:sz="8" w:color="CFF0FC"/>
            </w:tcBorders>
            <w:gridSpan w:val="3"/>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920" w:type="dxa"/>
            <w:vAlign w:val="bottom"/>
            <w:tcBorders>
              <w:bottom w:val="single" w:sz="8" w:color="CFF0FC"/>
            </w:tcBorders>
            <w:gridSpan w:val="3"/>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(510 )</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Vested</w:t>
            </w:r>
          </w:p>
        </w:tc>
        <w:tc>
          <w:tcPr>
            <w:tcW w:w="92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(1,818 )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Calibri" w:cs="Calibri" w:eastAsia="Calibri" w:hAnsi="Calibri"/>
                <w:sz w:val="18"/>
                <w:szCs w:val="18"/>
                <w:color w:val="auto"/>
              </w:rPr>
              <w:t>8.28</w:t>
            </w:r>
          </w:p>
        </w:tc>
        <w:tc>
          <w:tcPr>
            <w:tcW w:w="10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6960" w:type="dxa"/>
            <w:vAlign w:val="bottom"/>
            <w:gridSpan w:val="3"/>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Unvested at September 30, 2024</w:t>
            </w:r>
          </w:p>
        </w:tc>
        <w:tc>
          <w:tcPr>
            <w:tcW w:w="7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12,654</w:t>
            </w:r>
          </w:p>
        </w:tc>
        <w:tc>
          <w:tcPr>
            <w:tcW w:w="18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b w:val="1"/>
                <w:bCs w:val="1"/>
                <w:color w:val="auto"/>
              </w:rPr>
              <w:t>$</w:t>
            </w:r>
          </w:p>
        </w:tc>
        <w:tc>
          <w:tcPr>
            <w:tcW w:w="3100" w:type="dxa"/>
            <w:vAlign w:val="bottom"/>
            <w:shd w:val="clear" w:color="auto" w:fill="CFF0FC"/>
          </w:tcPr>
          <w:p>
            <w:pPr>
              <w:jc w:val="right"/>
              <w:spacing w:after="0"/>
              <w:rPr>
                <w:sz w:val="20"/>
                <w:szCs w:val="20"/>
                <w:color w:val="auto"/>
              </w:rPr>
            </w:pPr>
            <w:r>
              <w:rPr>
                <w:rFonts w:ascii="Calibri" w:cs="Calibri" w:eastAsia="Calibri" w:hAnsi="Calibri"/>
                <w:sz w:val="18"/>
                <w:szCs w:val="18"/>
                <w:b w:val="1"/>
                <w:bCs w:val="1"/>
                <w:color w:val="auto"/>
              </w:rPr>
              <w:t>5.73</w:t>
            </w:r>
          </w:p>
        </w:tc>
        <w:tc>
          <w:tcPr>
            <w:tcW w:w="100" w:type="dxa"/>
            <w:vAlign w:val="bottom"/>
            <w:shd w:val="clear" w:color="auto" w:fill="CFF0FC"/>
          </w:tcPr>
          <w:p>
            <w:pPr>
              <w:spacing w:after="0"/>
              <w:rPr>
                <w:sz w:val="24"/>
                <w:szCs w:val="24"/>
                <w:color w:val="auto"/>
              </w:rPr>
            </w:pPr>
          </w:p>
        </w:tc>
      </w:tr>
      <w:tr>
        <w:trPr>
          <w:trHeight w:val="403"/>
        </w:trPr>
        <w:tc>
          <w:tcPr>
            <w:tcW w:w="5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360" w:type="dxa"/>
            <w:vAlign w:val="bottom"/>
            <w:tcBorders>
              <w:top w:val="single" w:sz="8" w:color="CFF0FC"/>
            </w:tcBorders>
            <w:gridSpan w:val="4"/>
          </w:tcPr>
          <w:p>
            <w:pPr>
              <w:ind w:left="20"/>
              <w:spacing w:after="0"/>
              <w:rPr>
                <w:sz w:val="20"/>
                <w:szCs w:val="20"/>
                <w:color w:val="auto"/>
              </w:rPr>
            </w:pPr>
            <w:r>
              <w:rPr>
                <w:rFonts w:ascii="Calibri" w:cs="Calibri" w:eastAsia="Calibri" w:hAnsi="Calibri"/>
                <w:sz w:val="18"/>
                <w:szCs w:val="18"/>
                <w:b w:val="1"/>
                <w:bCs w:val="1"/>
                <w:color w:val="auto"/>
                <w:w w:val="99"/>
              </w:rPr>
              <w:t>Weighted Average Grant Date Fair Value Per</w:t>
            </w:r>
          </w:p>
        </w:tc>
      </w:tr>
      <w:tr>
        <w:trPr>
          <w:trHeight w:val="216"/>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ind w:left="940"/>
              <w:spacing w:after="0" w:line="216" w:lineRule="exact"/>
              <w:rPr>
                <w:sz w:val="20"/>
                <w:szCs w:val="20"/>
                <w:color w:val="auto"/>
              </w:rPr>
            </w:pPr>
            <w:r>
              <w:rPr>
                <w:rFonts w:ascii="Calibri" w:cs="Calibri" w:eastAsia="Calibri" w:hAnsi="Calibri"/>
                <w:sz w:val="18"/>
                <w:szCs w:val="18"/>
                <w:b w:val="1"/>
                <w:bCs w:val="1"/>
                <w:color w:val="auto"/>
              </w:rPr>
              <w:t>Shares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8"/>
              </w:rPr>
              <w:t>Share</w:t>
            </w:r>
          </w:p>
        </w:tc>
      </w:tr>
      <w:tr>
        <w:trPr>
          <w:trHeight w:val="37"/>
        </w:trPr>
        <w:tc>
          <w:tcPr>
            <w:tcW w:w="5200" w:type="dxa"/>
            <w:vAlign w:val="bottom"/>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696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Unvested at December 31, 2022</w:t>
            </w:r>
          </w:p>
        </w:tc>
        <w:tc>
          <w:tcPr>
            <w:tcW w:w="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2,551</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w:t>
            </w:r>
          </w:p>
        </w:tc>
        <w:tc>
          <w:tcPr>
            <w:tcW w:w="3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2,685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jc w:val="right"/>
              <w:spacing w:after="0" w:line="215" w:lineRule="exact"/>
              <w:rPr>
                <w:sz w:val="20"/>
                <w:szCs w:val="20"/>
                <w:color w:val="auto"/>
              </w:rPr>
            </w:pPr>
            <w:r>
              <w:rPr>
                <w:rFonts w:ascii="Calibri" w:cs="Calibri" w:eastAsia="Calibri" w:hAnsi="Calibri"/>
                <w:sz w:val="18"/>
                <w:szCs w:val="18"/>
                <w:color w:val="auto"/>
              </w:rPr>
              <w:t>7.21</w:t>
            </w:r>
          </w:p>
        </w:tc>
        <w:tc>
          <w:tcPr>
            <w:tcW w:w="10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60" w:type="dxa"/>
            <w:vAlign w:val="bottom"/>
            <w:tcBorders>
              <w:bottom w:val="single" w:sz="8" w:color="CFF0FC"/>
            </w:tcBorders>
            <w:gridSpan w:val="3"/>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92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(138 )</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96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Vested</w:t>
            </w:r>
          </w:p>
        </w:tc>
        <w:tc>
          <w:tcPr>
            <w:tcW w:w="9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(801 )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Calibri" w:cs="Calibri" w:eastAsia="Calibri" w:hAnsi="Calibri"/>
                <w:sz w:val="18"/>
                <w:szCs w:val="18"/>
                <w:color w:val="auto"/>
              </w:rPr>
              <w:t>7.65</w:t>
            </w:r>
          </w:p>
        </w:tc>
        <w:tc>
          <w:tcPr>
            <w:tcW w:w="10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5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Unvested at September 30, 2023</w:t>
            </w:r>
          </w:p>
        </w:tc>
        <w:tc>
          <w:tcPr>
            <w:tcW w:w="1760" w:type="dxa"/>
            <w:vAlign w:val="bottom"/>
            <w:tcBorders>
              <w:bottom w:val="single" w:sz="8" w:color="auto"/>
            </w:tcBorders>
            <w:gridSpan w:val="2"/>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4,297</w:t>
            </w: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gridSpan w:val="2"/>
            <w:shd w:val="clear" w:color="auto" w:fill="CFF0FC"/>
          </w:tcPr>
          <w:p>
            <w:pPr>
              <w:ind w:left="20"/>
              <w:spacing w:after="0"/>
              <w:rPr>
                <w:sz w:val="20"/>
                <w:szCs w:val="20"/>
                <w:color w:val="auto"/>
              </w:rPr>
            </w:pPr>
            <w:r>
              <w:rPr>
                <w:rFonts w:ascii="Calibri" w:cs="Calibri" w:eastAsia="Calibri" w:hAnsi="Calibri"/>
                <w:sz w:val="18"/>
                <w:szCs w:val="18"/>
                <w:b w:val="1"/>
                <w:bCs w:val="1"/>
                <w:color w:val="auto"/>
              </w:rPr>
              <w:t>$</w:t>
            </w:r>
          </w:p>
        </w:tc>
        <w:tc>
          <w:tcPr>
            <w:tcW w:w="3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b w:val="1"/>
                <w:bCs w:val="1"/>
                <w:color w:val="auto"/>
              </w:rPr>
              <w:t>9.31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-1268095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-1250950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Stock optons provide for the purchase of shares of our Class A common stock in the future at an exercise price set on the grant date.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 stock optons were granted during the nine months ended September 30,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5" w:name="page26"/>
    <w:bookmarkEnd w:id="25"/>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In March 2023, we granted to certain employees 3.6 million stock optons with an exercise price of $7.17 per share and a grant date fair value of $3.30 per opton. Stock optons granted to employees vest over three years, with one-third vestng on the frst anniversary of the grant date and the remaining porton vestng on a quarterly basis thereafer, subject to the employee’s contnued employment through the applicable vestng date. Stock optons granted to employees have a contractual term of ten years from the grant date and a fair value that is estmated on the grant date using the Black-Scholes opton pricing model.</w:t>
      </w:r>
    </w:p>
    <w:p>
      <w:pPr>
        <w:spacing w:after="0" w:line="112"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In June 2023, we granted to certain consultants 0.9 million stock optons divided into three tranches of 0.2 million, 0.3 million and 0.4 million, respectvely, with exercise prices of $7.98, $17.00 and $23.00 per share, respectvely, and grant date fair values of $3.22, $1.87 and $1.44 per opton, respectvely. Stock optons granted to consultants vest in equal annual installments over three years, subject to the consultant’s contnued service through the applicable vestng date. Stock optons granted to consultants have a contractual term of seven years from the grant date and a fair value that is estmated on the grant date using the Hull-White model.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the stock optons: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40" w:type="dxa"/>
            <w:vAlign w:val="bottom"/>
          </w:tcPr>
          <w:p>
            <w:pPr>
              <w:spacing w:after="0"/>
              <w:rPr>
                <w:sz w:val="19"/>
                <w:szCs w:val="19"/>
                <w:color w:val="auto"/>
              </w:rPr>
            </w:pPr>
          </w:p>
        </w:tc>
        <w:tc>
          <w:tcPr>
            <w:tcW w:w="2100" w:type="dxa"/>
            <w:vAlign w:val="bottom"/>
          </w:tcPr>
          <w:p>
            <w:pPr>
              <w:ind w:left="840"/>
              <w:spacing w:after="0"/>
              <w:rPr>
                <w:sz w:val="20"/>
                <w:szCs w:val="20"/>
                <w:color w:val="auto"/>
              </w:rPr>
            </w:pPr>
            <w:r>
              <w:rPr>
                <w:rFonts w:ascii="Calibri" w:cs="Calibri" w:eastAsia="Calibri" w:hAnsi="Calibri"/>
                <w:sz w:val="18"/>
                <w:szCs w:val="18"/>
                <w:b w:val="1"/>
                <w:bCs w:val="1"/>
                <w:color w:val="auto"/>
              </w:rPr>
              <w:t>June 14, 2023</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3"/>
          </w:tcPr>
          <w:p>
            <w:pPr>
              <w:jc w:val="right"/>
              <w:ind w:right="1000"/>
              <w:spacing w:after="0"/>
              <w:rPr>
                <w:sz w:val="20"/>
                <w:szCs w:val="20"/>
                <w:color w:val="auto"/>
              </w:rPr>
            </w:pPr>
            <w:r>
              <w:rPr>
                <w:rFonts w:ascii="Calibri" w:cs="Calibri" w:eastAsia="Calibri" w:hAnsi="Calibri"/>
                <w:sz w:val="18"/>
                <w:szCs w:val="18"/>
                <w:b w:val="1"/>
                <w:bCs w:val="1"/>
                <w:color w:val="auto"/>
              </w:rPr>
              <w:t>March 10, 2023</w:t>
            </w:r>
          </w:p>
        </w:tc>
      </w:tr>
      <w:tr>
        <w:trPr>
          <w:trHeight w:val="37"/>
        </w:trPr>
        <w:tc>
          <w:tcPr>
            <w:tcW w:w="534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7"/>
        </w:trPr>
        <w:tc>
          <w:tcPr>
            <w:tcW w:w="744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Expected term (years)</w:t>
            </w:r>
          </w:p>
        </w:tc>
        <w:tc>
          <w:tcPr>
            <w:tcW w:w="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7.0</w:t>
            </w:r>
          </w:p>
        </w:tc>
        <w:tc>
          <w:tcPr>
            <w:tcW w:w="280" w:type="dxa"/>
            <w:vAlign w:val="bottom"/>
            <w:tcBorders>
              <w:bottom w:val="single" w:sz="8" w:color="CFF0FC"/>
            </w:tcBorders>
            <w:shd w:val="clear" w:color="auto" w:fill="CFF0FC"/>
          </w:tcPr>
          <w:p>
            <w:pPr>
              <w:spacing w:after="0"/>
              <w:rPr>
                <w:sz w:val="18"/>
                <w:szCs w:val="18"/>
                <w:color w:val="auto"/>
              </w:rPr>
            </w:pPr>
          </w:p>
        </w:tc>
        <w:tc>
          <w:tcPr>
            <w:tcW w:w="28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5.9</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74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volatlity</w:t>
            </w: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42.0 %</w:t>
            </w:r>
          </w:p>
        </w:tc>
        <w:tc>
          <w:tcPr>
            <w:tcW w:w="29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42.0 %</w:t>
            </w:r>
          </w:p>
        </w:tc>
      </w:tr>
      <w:tr>
        <w:trPr>
          <w:trHeight w:val="234"/>
        </w:trPr>
        <w:tc>
          <w:tcPr>
            <w:tcW w:w="7440" w:type="dxa"/>
            <w:vAlign w:val="bottom"/>
            <w:gridSpan w:val="2"/>
          </w:tcPr>
          <w:p>
            <w:pPr>
              <w:ind w:left="20"/>
              <w:spacing w:after="0"/>
              <w:rPr>
                <w:sz w:val="20"/>
                <w:szCs w:val="20"/>
                <w:color w:val="auto"/>
              </w:rPr>
            </w:pPr>
            <w:r>
              <w:rPr>
                <w:rFonts w:ascii="Calibri" w:cs="Calibri" w:eastAsia="Calibri" w:hAnsi="Calibri"/>
                <w:sz w:val="18"/>
                <w:szCs w:val="18"/>
                <w:color w:val="auto"/>
              </w:rPr>
              <w:t>Risk-free rate</w:t>
            </w:r>
          </w:p>
        </w:tc>
        <w:tc>
          <w:tcPr>
            <w:tcW w:w="8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4.0 %</w:t>
            </w:r>
          </w:p>
        </w:tc>
        <w:tc>
          <w:tcPr>
            <w:tcW w:w="2980" w:type="dxa"/>
            <w:vAlign w:val="bottom"/>
            <w:gridSpan w:val="3"/>
          </w:tcPr>
          <w:p>
            <w:pPr>
              <w:jc w:val="right"/>
              <w:spacing w:after="0"/>
              <w:rPr>
                <w:sz w:val="20"/>
                <w:szCs w:val="20"/>
                <w:color w:val="auto"/>
              </w:rPr>
            </w:pPr>
            <w:r>
              <w:rPr>
                <w:rFonts w:ascii="Calibri" w:cs="Calibri" w:eastAsia="Calibri" w:hAnsi="Calibri"/>
                <w:sz w:val="18"/>
                <w:szCs w:val="18"/>
                <w:color w:val="auto"/>
              </w:rPr>
              <w:t>3.9 %</w:t>
            </w:r>
          </w:p>
        </w:tc>
      </w:tr>
      <w:tr>
        <w:trPr>
          <w:trHeight w:val="243"/>
        </w:trPr>
        <w:tc>
          <w:tcPr>
            <w:tcW w:w="7440" w:type="dxa"/>
            <w:vAlign w:val="bottom"/>
            <w:gridSpan w:val="2"/>
          </w:tcPr>
          <w:p>
            <w:pPr>
              <w:ind w:left="20"/>
              <w:spacing w:after="0"/>
              <w:rPr>
                <w:sz w:val="20"/>
                <w:szCs w:val="20"/>
                <w:color w:val="auto"/>
              </w:rPr>
            </w:pPr>
            <w:r>
              <w:rPr>
                <w:rFonts w:ascii="Calibri" w:cs="Calibri" w:eastAsia="Calibri" w:hAnsi="Calibri"/>
                <w:sz w:val="18"/>
                <w:szCs w:val="18"/>
                <w:color w:val="auto"/>
              </w:rPr>
              <w:t>Expected dividend yield</w:t>
            </w:r>
          </w:p>
        </w:tc>
        <w:tc>
          <w:tcPr>
            <w:tcW w:w="8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0.0 %</w:t>
            </w:r>
          </w:p>
        </w:tc>
        <w:tc>
          <w:tcPr>
            <w:tcW w:w="2980" w:type="dxa"/>
            <w:vAlign w:val="bottom"/>
            <w:gridSpan w:val="3"/>
          </w:tcPr>
          <w:p>
            <w:pPr>
              <w:jc w:val="right"/>
              <w:spacing w:after="0"/>
              <w:rPr>
                <w:sz w:val="20"/>
                <w:szCs w:val="20"/>
                <w:color w:val="auto"/>
              </w:rPr>
            </w:pPr>
            <w:r>
              <w:rPr>
                <w:rFonts w:ascii="Calibri" w:cs="Calibri" w:eastAsia="Calibri" w:hAnsi="Calibri"/>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00" w:type="dxa"/>
            <w:vAlign w:val="bottom"/>
            <w:gridSpan w:val="10"/>
          </w:tcPr>
          <w:p>
            <w:pPr>
              <w:spacing w:after="0"/>
              <w:rPr>
                <w:sz w:val="20"/>
                <w:szCs w:val="20"/>
                <w:color w:val="auto"/>
              </w:rPr>
            </w:pPr>
            <w:r>
              <w:rPr>
                <w:rFonts w:ascii="Calibri" w:cs="Calibri" w:eastAsia="Calibri" w:hAnsi="Calibri"/>
                <w:sz w:val="18"/>
                <w:szCs w:val="18"/>
                <w:color w:val="auto"/>
              </w:rPr>
              <w:t>A summary of the total actvity for stock optons is as follows (in thousands, except per opton data):</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2"/>
          </w:tcPr>
          <w:p>
            <w:pPr>
              <w:jc w:val="center"/>
              <w:ind w:right="20"/>
              <w:spacing w:after="0"/>
              <w:rPr>
                <w:sz w:val="20"/>
                <w:szCs w:val="20"/>
                <w:color w:val="auto"/>
              </w:rPr>
            </w:pPr>
            <w:r>
              <w:rPr>
                <w:rFonts w:ascii="Calibri" w:cs="Calibri" w:eastAsia="Calibri" w:hAnsi="Calibri"/>
                <w:sz w:val="18"/>
                <w:szCs w:val="18"/>
                <w:b w:val="1"/>
                <w:bCs w:val="1"/>
                <w:color w:val="auto"/>
                <w:w w:val="96"/>
              </w:rPr>
              <w:t>Weighted Average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420"/>
              <w:spacing w:after="0" w:line="216" w:lineRule="exact"/>
              <w:rPr>
                <w:sz w:val="20"/>
                <w:szCs w:val="20"/>
                <w:color w:val="auto"/>
              </w:rPr>
            </w:pPr>
            <w:r>
              <w:rPr>
                <w:rFonts w:ascii="Calibri" w:cs="Calibri" w:eastAsia="Calibri" w:hAnsi="Calibri"/>
                <w:sz w:val="18"/>
                <w:szCs w:val="18"/>
                <w:b w:val="1"/>
                <w:bCs w:val="1"/>
                <w:color w:val="auto"/>
              </w:rPr>
              <w:t>Outstanding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6"/>
              </w:rPr>
              <w:t>Weighted Average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2"/>
          </w:tcPr>
          <w:p>
            <w:pPr>
              <w:jc w:val="center"/>
              <w:ind w:right="20"/>
              <w:spacing w:after="0" w:line="216" w:lineRule="exact"/>
              <w:rPr>
                <w:sz w:val="20"/>
                <w:szCs w:val="20"/>
                <w:color w:val="auto"/>
              </w:rPr>
            </w:pPr>
            <w:r>
              <w:rPr>
                <w:rFonts w:ascii="Calibri" w:cs="Calibri" w:eastAsia="Calibri" w:hAnsi="Calibri"/>
                <w:sz w:val="18"/>
                <w:szCs w:val="18"/>
                <w:b w:val="1"/>
                <w:bCs w:val="1"/>
                <w:color w:val="auto"/>
                <w:w w:val="97"/>
              </w:rPr>
              <w:t>Remaining Contractual</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line="216" w:lineRule="exact"/>
              <w:rPr>
                <w:sz w:val="20"/>
                <w:szCs w:val="20"/>
                <w:color w:val="auto"/>
              </w:rPr>
            </w:pPr>
            <w:r>
              <w:rPr>
                <w:rFonts w:ascii="Calibri" w:cs="Calibri" w:eastAsia="Calibri" w:hAnsi="Calibri"/>
                <w:sz w:val="18"/>
                <w:szCs w:val="18"/>
                <w:b w:val="1"/>
                <w:bCs w:val="1"/>
                <w:color w:val="auto"/>
                <w:w w:val="97"/>
              </w:rPr>
              <w:t>Aggregate</w:t>
            </w: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560"/>
              <w:spacing w:after="0" w:line="216" w:lineRule="exact"/>
              <w:rPr>
                <w:sz w:val="20"/>
                <w:szCs w:val="20"/>
                <w:color w:val="auto"/>
              </w:rPr>
            </w:pPr>
            <w:r>
              <w:rPr>
                <w:rFonts w:ascii="Calibri" w:cs="Calibri" w:eastAsia="Calibri" w:hAnsi="Calibri"/>
                <w:sz w:val="18"/>
                <w:szCs w:val="18"/>
                <w:b w:val="1"/>
                <w:bCs w:val="1"/>
                <w:color w:val="auto"/>
              </w:rPr>
              <w:t>Optons</w:t>
            </w:r>
          </w:p>
        </w:tc>
        <w:tc>
          <w:tcPr>
            <w:tcW w:w="80" w:type="dxa"/>
            <w:vAlign w:val="bottom"/>
          </w:tcPr>
          <w:p>
            <w:pPr>
              <w:spacing w:after="0"/>
              <w:rPr>
                <w:sz w:val="18"/>
                <w:szCs w:val="18"/>
                <w:color w:val="auto"/>
              </w:rPr>
            </w:pPr>
          </w:p>
        </w:tc>
        <w:tc>
          <w:tcPr>
            <w:tcW w:w="1860" w:type="dxa"/>
            <w:vAlign w:val="bottom"/>
            <w:gridSpan w:val="4"/>
          </w:tcPr>
          <w:p>
            <w:pPr>
              <w:ind w:left="20"/>
              <w:spacing w:after="0" w:line="216" w:lineRule="exact"/>
              <w:rPr>
                <w:sz w:val="20"/>
                <w:szCs w:val="20"/>
                <w:color w:val="auto"/>
              </w:rPr>
            </w:pPr>
            <w:r>
              <w:rPr>
                <w:rFonts w:ascii="Calibri" w:cs="Calibri" w:eastAsia="Calibri" w:hAnsi="Calibri"/>
                <w:sz w:val="18"/>
                <w:szCs w:val="18"/>
                <w:b w:val="1"/>
                <w:bCs w:val="1"/>
                <w:color w:val="auto"/>
                <w:w w:val="99"/>
              </w:rPr>
              <w:t>Exercise Price Per Opton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6"/>
              </w:rPr>
              <w:t>Life (in Years)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7"/>
              </w:rPr>
              <w:t>Intrinsic Value</w:t>
            </w:r>
          </w:p>
        </w:tc>
      </w:tr>
      <w:tr>
        <w:trPr>
          <w:trHeight w:val="37"/>
        </w:trPr>
        <w:tc>
          <w:tcPr>
            <w:tcW w:w="3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3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Outstanding at December 31, 2023</w:t>
            </w:r>
          </w:p>
        </w:tc>
        <w:tc>
          <w:tcPr>
            <w:tcW w:w="15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8,807</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3"/>
            <w:shd w:val="clear" w:color="auto" w:fill="CFF0FC"/>
          </w:tcPr>
          <w:p>
            <w:pPr>
              <w:ind w:left="100"/>
              <w:spacing w:after="0" w:line="208" w:lineRule="exact"/>
              <w:rPr>
                <w:sz w:val="20"/>
                <w:szCs w:val="20"/>
                <w:color w:val="auto"/>
              </w:rPr>
            </w:pPr>
            <w:r>
              <w:rPr>
                <w:rFonts w:ascii="Calibri" w:cs="Calibri" w:eastAsia="Calibri" w:hAnsi="Calibri"/>
                <w:sz w:val="18"/>
                <w:szCs w:val="18"/>
                <w:b w:val="1"/>
                <w:bCs w:val="1"/>
                <w:color w:val="auto"/>
              </w:rPr>
              <w:t>$</w:t>
            </w:r>
          </w:p>
        </w:tc>
        <w:tc>
          <w:tcPr>
            <w:tcW w:w="166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b w:val="1"/>
                <w:bCs w:val="1"/>
                <w:color w:val="auto"/>
              </w:rPr>
              <w:t>8.02</w:t>
            </w:r>
          </w:p>
        </w:tc>
        <w:tc>
          <w:tcPr>
            <w:tcW w:w="2160" w:type="dxa"/>
            <w:vAlign w:val="bottom"/>
            <w:tcBorders>
              <w:bottom w:val="single" w:sz="8" w:color="CFF0FC"/>
            </w:tcBorders>
            <w:gridSpan w:val="4"/>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360" w:type="dxa"/>
            <w:vAlign w:val="bottom"/>
            <w:tcBorders>
              <w:bottom w:val="single" w:sz="8" w:color="CFF0FC"/>
            </w:tcBorders>
            <w:gridSpan w:val="3"/>
            <w:shd w:val="clear" w:color="auto" w:fill="CFF0FC"/>
          </w:tcPr>
          <w:p>
            <w:pPr>
              <w:jc w:val="right"/>
              <w:ind w:right="40"/>
              <w:spacing w:after="0" w:line="208"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CFF0FC"/>
            </w:tcBorders>
            <w:gridSpan w:val="2"/>
            <w:shd w:val="clear" w:color="auto" w:fill="CFF0FC"/>
          </w:tcPr>
          <w:p>
            <w:pPr>
              <w:jc w:val="right"/>
              <w:ind w:right="120"/>
              <w:spacing w:after="0" w:line="208" w:lineRule="exact"/>
              <w:rPr>
                <w:sz w:val="20"/>
                <w:szCs w:val="20"/>
                <w:color w:val="auto"/>
              </w:rPr>
            </w:pPr>
            <w:r>
              <w:rPr>
                <w:rFonts w:ascii="Calibri" w:cs="Calibri" w:eastAsia="Calibri" w:hAnsi="Calibri"/>
                <w:sz w:val="18"/>
                <w:szCs w:val="18"/>
                <w:b w:val="1"/>
                <w:bCs w:val="1"/>
                <w:color w:val="auto"/>
              </w:rPr>
              <w:t>—</w:t>
            </w:r>
          </w:p>
        </w:tc>
      </w:tr>
      <w:tr>
        <w:trPr>
          <w:trHeight w:val="215"/>
        </w:trPr>
        <w:tc>
          <w:tcPr>
            <w:tcW w:w="374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w:t>
            </w:r>
          </w:p>
        </w:tc>
        <w:tc>
          <w:tcPr>
            <w:tcW w:w="200" w:type="dxa"/>
            <w:vAlign w:val="bottom"/>
          </w:tcPr>
          <w:p>
            <w:pPr>
              <w:spacing w:after="0"/>
              <w:rPr>
                <w:sz w:val="18"/>
                <w:szCs w:val="18"/>
                <w:color w:val="auto"/>
              </w:rPr>
            </w:pPr>
          </w:p>
        </w:tc>
        <w:tc>
          <w:tcPr>
            <w:tcW w:w="152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exercised</w:t>
            </w:r>
          </w:p>
        </w:tc>
        <w:tc>
          <w:tcPr>
            <w:tcW w:w="2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3"/>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74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forfeited</w:t>
            </w:r>
          </w:p>
        </w:tc>
        <w:tc>
          <w:tcPr>
            <w:tcW w:w="1720" w:type="dxa"/>
            <w:vAlign w:val="bottom"/>
            <w:gridSpan w:val="4"/>
          </w:tcPr>
          <w:p>
            <w:pPr>
              <w:jc w:val="right"/>
              <w:ind w:right="100"/>
              <w:spacing w:after="0" w:line="215" w:lineRule="exact"/>
              <w:rPr>
                <w:sz w:val="20"/>
                <w:szCs w:val="20"/>
                <w:color w:val="auto"/>
              </w:rPr>
            </w:pPr>
            <w:r>
              <w:rPr>
                <w:rFonts w:ascii="Calibri" w:cs="Calibri" w:eastAsia="Calibri" w:hAnsi="Calibri"/>
                <w:sz w:val="18"/>
                <w:szCs w:val="18"/>
                <w:color w:val="auto"/>
              </w:rPr>
              <w:t>(559 )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6.99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3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expired</w:t>
            </w: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3"/>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(807 )</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6.88</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374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Outstanding at September 30, 2024</w:t>
            </w:r>
          </w:p>
        </w:tc>
        <w:tc>
          <w:tcPr>
            <w:tcW w:w="20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7,441</w:t>
            </w: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gridSpan w:val="3"/>
          </w:tcPr>
          <w:p>
            <w:pPr>
              <w:ind w:left="100"/>
              <w:spacing w:after="0" w:line="213" w:lineRule="exact"/>
              <w:rPr>
                <w:sz w:val="20"/>
                <w:szCs w:val="20"/>
                <w:color w:val="auto"/>
              </w:rPr>
            </w:pPr>
            <w:r>
              <w:rPr>
                <w:rFonts w:ascii="Calibri" w:cs="Calibri" w:eastAsia="Calibri" w:hAnsi="Calibri"/>
                <w:sz w:val="18"/>
                <w:szCs w:val="18"/>
                <w:b w:val="1"/>
                <w:bCs w:val="1"/>
                <w:color w:val="auto"/>
              </w:rPr>
              <w:t>$</w:t>
            </w:r>
          </w:p>
        </w:tc>
        <w:tc>
          <w:tcPr>
            <w:tcW w:w="1660" w:type="dxa"/>
            <w:vAlign w:val="bottom"/>
            <w:tcBorders>
              <w:top w:val="single" w:sz="8" w:color="CFF0FC"/>
            </w:tcBorders>
            <w:gridSpan w:val="2"/>
          </w:tcPr>
          <w:p>
            <w:pPr>
              <w:jc w:val="right"/>
              <w:ind w:right="20"/>
              <w:spacing w:after="0" w:line="213" w:lineRule="exact"/>
              <w:rPr>
                <w:sz w:val="20"/>
                <w:szCs w:val="20"/>
                <w:color w:val="auto"/>
              </w:rPr>
            </w:pPr>
            <w:r>
              <w:rPr>
                <w:rFonts w:ascii="Calibri" w:cs="Calibri" w:eastAsia="Calibri" w:hAnsi="Calibri"/>
                <w:sz w:val="18"/>
                <w:szCs w:val="18"/>
                <w:b w:val="1"/>
                <w:bCs w:val="1"/>
                <w:color w:val="auto"/>
              </w:rPr>
              <w:t>8.23</w:t>
            </w:r>
          </w:p>
        </w:tc>
        <w:tc>
          <w:tcPr>
            <w:tcW w:w="2160" w:type="dxa"/>
            <w:vAlign w:val="bottom"/>
            <w:tcBorders>
              <w:top w:val="single" w:sz="8" w:color="CFF0FC"/>
            </w:tcBorders>
            <w:gridSpan w:val="4"/>
          </w:tcPr>
          <w:p>
            <w:pPr>
              <w:jc w:val="right"/>
              <w:spacing w:after="0" w:line="213" w:lineRule="exact"/>
              <w:rPr>
                <w:sz w:val="20"/>
                <w:szCs w:val="20"/>
                <w:color w:val="auto"/>
              </w:rPr>
            </w:pPr>
            <w:r>
              <w:rPr>
                <w:rFonts w:ascii="Calibri" w:cs="Calibri" w:eastAsia="Calibri" w:hAnsi="Calibri"/>
                <w:sz w:val="18"/>
                <w:szCs w:val="18"/>
                <w:b w:val="1"/>
                <w:bCs w:val="1"/>
                <w:color w:val="auto"/>
              </w:rPr>
              <w:t>8</w:t>
            </w:r>
          </w:p>
        </w:tc>
        <w:tc>
          <w:tcPr>
            <w:tcW w:w="360" w:type="dxa"/>
            <w:vAlign w:val="bottom"/>
            <w:tcBorders>
              <w:top w:val="single" w:sz="8" w:color="CFF0FC"/>
            </w:tcBorders>
            <w:gridSpan w:val="3"/>
          </w:tcPr>
          <w:p>
            <w:pPr>
              <w:jc w:val="right"/>
              <w:ind w:right="40"/>
              <w:spacing w:after="0" w:line="213"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top w:val="single" w:sz="8" w:color="CFF0FC"/>
            </w:tcBorders>
            <w:gridSpan w:val="2"/>
          </w:tcPr>
          <w:p>
            <w:pPr>
              <w:jc w:val="right"/>
              <w:ind w:right="120"/>
              <w:spacing w:after="0" w:line="213" w:lineRule="exact"/>
              <w:rPr>
                <w:sz w:val="20"/>
                <w:szCs w:val="20"/>
                <w:color w:val="auto"/>
              </w:rPr>
            </w:pPr>
            <w:r>
              <w:rPr>
                <w:rFonts w:ascii="Calibri" w:cs="Calibri" w:eastAsia="Calibri" w:hAnsi="Calibri"/>
                <w:sz w:val="18"/>
                <w:szCs w:val="18"/>
                <w:b w:val="1"/>
                <w:bCs w:val="1"/>
                <w:color w:val="auto"/>
              </w:rPr>
              <w:t>—</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37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Vested and exercisable at September 30, 2024</w:t>
            </w:r>
          </w:p>
        </w:tc>
        <w:tc>
          <w:tcPr>
            <w:tcW w:w="15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4,387</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gridSpan w:val="3"/>
            <w:shd w:val="clear" w:color="auto" w:fill="CFF0FC"/>
          </w:tcPr>
          <w:p>
            <w:pPr>
              <w:ind w:left="100"/>
              <w:spacing w:after="0"/>
              <w:rPr>
                <w:sz w:val="20"/>
                <w:szCs w:val="20"/>
                <w:color w:val="auto"/>
              </w:rPr>
            </w:pPr>
            <w:r>
              <w:rPr>
                <w:rFonts w:ascii="Calibri" w:cs="Calibri" w:eastAsia="Calibri" w:hAnsi="Calibri"/>
                <w:sz w:val="18"/>
                <w:szCs w:val="18"/>
                <w:b w:val="1"/>
                <w:bCs w:val="1"/>
                <w:color w:val="auto"/>
              </w:rPr>
              <w:t>$</w:t>
            </w:r>
          </w:p>
        </w:tc>
        <w:tc>
          <w:tcPr>
            <w:tcW w:w="166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b w:val="1"/>
                <w:bCs w:val="1"/>
                <w:color w:val="auto"/>
              </w:rPr>
              <w:t>7.63</w:t>
            </w:r>
          </w:p>
        </w:tc>
        <w:tc>
          <w:tcPr>
            <w:tcW w:w="1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92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403"/>
        </w:trPr>
        <w:tc>
          <w:tcPr>
            <w:tcW w:w="37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gridSpan w:val="2"/>
          </w:tcPr>
          <w:p>
            <w:pPr>
              <w:jc w:val="center"/>
              <w:ind w:right="260"/>
              <w:spacing w:after="0"/>
              <w:rPr>
                <w:sz w:val="20"/>
                <w:szCs w:val="20"/>
                <w:color w:val="auto"/>
              </w:rPr>
            </w:pPr>
            <w:r>
              <w:rPr>
                <w:rFonts w:ascii="Calibri" w:cs="Calibri" w:eastAsia="Calibri" w:hAnsi="Calibri"/>
                <w:sz w:val="18"/>
                <w:szCs w:val="18"/>
                <w:b w:val="1"/>
                <w:bCs w:val="1"/>
                <w:color w:val="auto"/>
                <w:w w:val="95"/>
              </w:rPr>
              <w:t>Weighted Average</w:t>
            </w: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gridSpan w:val="2"/>
          </w:tcPr>
          <w:p>
            <w:pPr>
              <w:jc w:val="right"/>
              <w:ind w:right="360"/>
              <w:spacing w:after="0"/>
              <w:rPr>
                <w:sz w:val="20"/>
                <w:szCs w:val="20"/>
                <w:color w:val="auto"/>
              </w:rPr>
            </w:pPr>
            <w:r>
              <w:rPr>
                <w:rFonts w:ascii="Calibri" w:cs="Calibri" w:eastAsia="Calibri" w:hAnsi="Calibri"/>
                <w:sz w:val="18"/>
                <w:szCs w:val="18"/>
                <w:b w:val="1"/>
                <w:bCs w:val="1"/>
                <w:color w:val="auto"/>
              </w:rPr>
              <w:t>Weighted Average</w:t>
            </w: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7"/>
              </w:rPr>
              <w:t>Exercise Price Per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b w:val="1"/>
                <w:bCs w:val="1"/>
                <w:color w:val="auto"/>
              </w:rPr>
              <w:t>Remaining Contractual</w:t>
            </w:r>
          </w:p>
        </w:tc>
        <w:tc>
          <w:tcPr>
            <w:tcW w:w="180" w:type="dxa"/>
            <w:vAlign w:val="bottom"/>
          </w:tcPr>
          <w:p>
            <w:pPr>
              <w:spacing w:after="0"/>
              <w:rPr>
                <w:sz w:val="18"/>
                <w:szCs w:val="18"/>
                <w:color w:val="auto"/>
              </w:rPr>
            </w:pPr>
          </w:p>
        </w:tc>
        <w:tc>
          <w:tcPr>
            <w:tcW w:w="1500" w:type="dxa"/>
            <w:vAlign w:val="bottom"/>
            <w:gridSpan w:val="4"/>
          </w:tcPr>
          <w:p>
            <w:pPr>
              <w:jc w:val="right"/>
              <w:ind w:right="120"/>
              <w:spacing w:after="0" w:line="216" w:lineRule="exact"/>
              <w:rPr>
                <w:sz w:val="20"/>
                <w:szCs w:val="20"/>
                <w:color w:val="auto"/>
              </w:rPr>
            </w:pPr>
            <w:r>
              <w:rPr>
                <w:rFonts w:ascii="Calibri" w:cs="Calibri" w:eastAsia="Calibri" w:hAnsi="Calibri"/>
                <w:sz w:val="18"/>
                <w:szCs w:val="18"/>
                <w:b w:val="1"/>
                <w:bCs w:val="1"/>
                <w:color w:val="auto"/>
                <w:w w:val="96"/>
              </w:rPr>
              <w:t>Aggregate Intrinsic</w:t>
            </w:r>
          </w:p>
        </w:tc>
      </w:tr>
      <w:tr>
        <w:trPr>
          <w:trHeight w:val="216"/>
        </w:trPr>
        <w:tc>
          <w:tcPr>
            <w:tcW w:w="3740" w:type="dxa"/>
            <w:vAlign w:val="bottom"/>
          </w:tcPr>
          <w:p>
            <w:pPr>
              <w:spacing w:after="0"/>
              <w:rPr>
                <w:sz w:val="18"/>
                <w:szCs w:val="18"/>
                <w:color w:val="auto"/>
              </w:rPr>
            </w:pPr>
          </w:p>
        </w:tc>
        <w:tc>
          <w:tcPr>
            <w:tcW w:w="1720" w:type="dxa"/>
            <w:vAlign w:val="bottom"/>
            <w:gridSpan w:val="4"/>
          </w:tcPr>
          <w:p>
            <w:pPr>
              <w:jc w:val="right"/>
              <w:ind w:right="180"/>
              <w:spacing w:after="0" w:line="216" w:lineRule="exact"/>
              <w:rPr>
                <w:sz w:val="20"/>
                <w:szCs w:val="20"/>
                <w:color w:val="auto"/>
              </w:rPr>
            </w:pPr>
            <w:r>
              <w:rPr>
                <w:rFonts w:ascii="Calibri" w:cs="Calibri" w:eastAsia="Calibri" w:hAnsi="Calibri"/>
                <w:sz w:val="18"/>
                <w:szCs w:val="18"/>
                <w:b w:val="1"/>
                <w:bCs w:val="1"/>
                <w:color w:val="auto"/>
              </w:rPr>
              <w:t>Outstanding Optons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20"/>
              <w:spacing w:after="0" w:line="216" w:lineRule="exact"/>
              <w:rPr>
                <w:sz w:val="20"/>
                <w:szCs w:val="20"/>
                <w:color w:val="auto"/>
              </w:rPr>
            </w:pPr>
            <w:r>
              <w:rPr>
                <w:rFonts w:ascii="Calibri" w:cs="Calibri" w:eastAsia="Calibri" w:hAnsi="Calibri"/>
                <w:sz w:val="18"/>
                <w:szCs w:val="18"/>
                <w:b w:val="1"/>
                <w:bCs w:val="1"/>
                <w:color w:val="auto"/>
              </w:rPr>
              <w:t>Opton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2"/>
          </w:tcPr>
          <w:p>
            <w:pPr>
              <w:jc w:val="center"/>
              <w:ind w:right="60"/>
              <w:spacing w:after="0" w:line="216" w:lineRule="exact"/>
              <w:rPr>
                <w:sz w:val="20"/>
                <w:szCs w:val="20"/>
                <w:color w:val="auto"/>
              </w:rPr>
            </w:pPr>
            <w:r>
              <w:rPr>
                <w:rFonts w:ascii="Calibri" w:cs="Calibri" w:eastAsia="Calibri" w:hAnsi="Calibri"/>
                <w:sz w:val="18"/>
                <w:szCs w:val="18"/>
                <w:b w:val="1"/>
                <w:bCs w:val="1"/>
                <w:color w:val="auto"/>
                <w:w w:val="96"/>
              </w:rPr>
              <w:t>Life (in Years)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3"/>
              </w:rPr>
              <w:t>Value</w:t>
            </w:r>
          </w:p>
        </w:tc>
      </w:tr>
      <w:tr>
        <w:trPr>
          <w:trHeight w:val="37"/>
        </w:trPr>
        <w:tc>
          <w:tcPr>
            <w:tcW w:w="374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6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3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Outstanding at December 31, 2022</w:t>
            </w:r>
          </w:p>
        </w:tc>
        <w:tc>
          <w:tcPr>
            <w:tcW w:w="1580" w:type="dxa"/>
            <w:vAlign w:val="bottom"/>
            <w:tcBorders>
              <w:bottom w:val="single" w:sz="8" w:color="CFF0FC"/>
            </w:tcBorders>
            <w:gridSpan w:val="3"/>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6,125</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3"/>
            <w:shd w:val="clear" w:color="auto" w:fill="CFF0FC"/>
          </w:tcPr>
          <w:p>
            <w:pPr>
              <w:ind w:left="120"/>
              <w:spacing w:after="0" w:line="208" w:lineRule="exact"/>
              <w:rPr>
                <w:sz w:val="20"/>
                <w:szCs w:val="20"/>
                <w:color w:val="auto"/>
              </w:rPr>
            </w:pPr>
            <w:r>
              <w:rPr>
                <w:rFonts w:ascii="Calibri" w:cs="Calibri" w:eastAsia="Calibri" w:hAnsi="Calibri"/>
                <w:sz w:val="18"/>
                <w:szCs w:val="18"/>
                <w:b w:val="1"/>
                <w:bCs w:val="1"/>
                <w:color w:val="auto"/>
              </w:rPr>
              <w:t>$</w:t>
            </w:r>
          </w:p>
        </w:tc>
        <w:tc>
          <w:tcPr>
            <w:tcW w:w="1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12.09</w:t>
            </w:r>
          </w:p>
        </w:tc>
        <w:tc>
          <w:tcPr>
            <w:tcW w:w="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gridSpan w:val="3"/>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gridSpan w:val="3"/>
            <w:shd w:val="clear" w:color="auto" w:fill="CFF0FC"/>
          </w:tcPr>
          <w:p>
            <w:pPr>
              <w:jc w:val="right"/>
              <w:ind w:right="80"/>
              <w:spacing w:after="0" w:line="208"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CFF0FC"/>
            </w:tcBorders>
            <w:gridSpan w:val="2"/>
            <w:shd w:val="clear" w:color="auto" w:fill="CFF0FC"/>
          </w:tcPr>
          <w:p>
            <w:pPr>
              <w:jc w:val="right"/>
              <w:ind w:right="120"/>
              <w:spacing w:after="0" w:line="208" w:lineRule="exact"/>
              <w:rPr>
                <w:sz w:val="20"/>
                <w:szCs w:val="20"/>
                <w:color w:val="auto"/>
              </w:rPr>
            </w:pPr>
            <w:r>
              <w:rPr>
                <w:rFonts w:ascii="Calibri" w:cs="Calibri" w:eastAsia="Calibri" w:hAnsi="Calibri"/>
                <w:sz w:val="18"/>
                <w:szCs w:val="18"/>
                <w:b w:val="1"/>
                <w:bCs w:val="1"/>
                <w:color w:val="auto"/>
              </w:rPr>
              <w:t>—</w:t>
            </w:r>
          </w:p>
        </w:tc>
      </w:tr>
      <w:tr>
        <w:trPr>
          <w:trHeight w:val="215"/>
        </w:trPr>
        <w:tc>
          <w:tcPr>
            <w:tcW w:w="374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 to employees</w:t>
            </w:r>
          </w:p>
        </w:tc>
        <w:tc>
          <w:tcPr>
            <w:tcW w:w="15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3,603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74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granted to consultants - tranche 1</w:t>
            </w:r>
          </w:p>
        </w:tc>
        <w:tc>
          <w:tcPr>
            <w:tcW w:w="158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7.98</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74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 to consultants - tranche 2</w:t>
            </w:r>
          </w:p>
        </w:tc>
        <w:tc>
          <w:tcPr>
            <w:tcW w:w="15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17.00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74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granted to consultants - tranche 3</w:t>
            </w:r>
          </w:p>
        </w:tc>
        <w:tc>
          <w:tcPr>
            <w:tcW w:w="158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23.00</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74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exercised</w:t>
            </w:r>
          </w:p>
        </w:tc>
        <w:tc>
          <w:tcPr>
            <w:tcW w:w="200" w:type="dxa"/>
            <w:vAlign w:val="bottom"/>
          </w:tcPr>
          <w:p>
            <w:pPr>
              <w:spacing w:after="0"/>
              <w:rPr>
                <w:sz w:val="18"/>
                <w:szCs w:val="18"/>
                <w:color w:val="auto"/>
              </w:rPr>
            </w:pPr>
          </w:p>
        </w:tc>
        <w:tc>
          <w:tcPr>
            <w:tcW w:w="15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7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forfeited</w:t>
            </w:r>
          </w:p>
        </w:tc>
        <w:tc>
          <w:tcPr>
            <w:tcW w:w="2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374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expired</w:t>
            </w:r>
          </w:p>
        </w:tc>
        <w:tc>
          <w:tcPr>
            <w:tcW w:w="1720" w:type="dxa"/>
            <w:vAlign w:val="bottom"/>
            <w:gridSpan w:val="4"/>
          </w:tcPr>
          <w:p>
            <w:pPr>
              <w:jc w:val="right"/>
              <w:ind w:right="60"/>
              <w:spacing w:after="0" w:line="215" w:lineRule="exact"/>
              <w:rPr>
                <w:sz w:val="20"/>
                <w:szCs w:val="20"/>
                <w:color w:val="auto"/>
              </w:rPr>
            </w:pPr>
            <w:r>
              <w:rPr>
                <w:rFonts w:ascii="Calibri" w:cs="Calibri" w:eastAsia="Calibri" w:hAnsi="Calibri"/>
                <w:sz w:val="18"/>
                <w:szCs w:val="18"/>
                <w:color w:val="auto"/>
              </w:rPr>
              <w:t>(58 )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37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r>
      <w:tr>
        <w:trPr>
          <w:trHeight w:val="241"/>
        </w:trPr>
        <w:tc>
          <w:tcPr>
            <w:tcW w:w="374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Outstanding at September 30, 2023</w:t>
            </w:r>
          </w:p>
        </w:tc>
        <w:tc>
          <w:tcPr>
            <w:tcW w:w="1580" w:type="dxa"/>
            <w:vAlign w:val="bottom"/>
            <w:tcBorders>
              <w:bottom w:val="single" w:sz="8" w:color="CFF0FC"/>
            </w:tcBorders>
            <w:gridSpan w:val="3"/>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10,570</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3"/>
            <w:shd w:val="clear" w:color="auto" w:fill="CFF0FC"/>
          </w:tcPr>
          <w:p>
            <w:pPr>
              <w:ind w:left="120"/>
              <w:spacing w:after="0" w:line="213" w:lineRule="exact"/>
              <w:rPr>
                <w:sz w:val="20"/>
                <w:szCs w:val="20"/>
                <w:color w:val="auto"/>
              </w:rPr>
            </w:pPr>
            <w:r>
              <w:rPr>
                <w:rFonts w:ascii="Calibri" w:cs="Calibri" w:eastAsia="Calibri" w:hAnsi="Calibri"/>
                <w:sz w:val="18"/>
                <w:szCs w:val="18"/>
                <w:b w:val="1"/>
                <w:bCs w:val="1"/>
                <w:color w:val="auto"/>
              </w:rPr>
              <w:t>$</w:t>
            </w:r>
          </w:p>
        </w:tc>
        <w:tc>
          <w:tcPr>
            <w:tcW w:w="16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10.89</w:t>
            </w:r>
          </w:p>
        </w:tc>
        <w:tc>
          <w:tcPr>
            <w:tcW w:w="40" w:type="dxa"/>
            <w:vAlign w:val="bottom"/>
            <w:tcBorders>
              <w:bottom w:val="single" w:sz="8" w:color="CFF0FC"/>
            </w:tcBorders>
            <w:shd w:val="clear" w:color="auto" w:fill="CFF0FC"/>
          </w:tcPr>
          <w:p>
            <w:pPr>
              <w:spacing w:after="0"/>
              <w:rPr>
                <w:sz w:val="20"/>
                <w:szCs w:val="20"/>
                <w:color w:val="auto"/>
              </w:rPr>
            </w:pPr>
          </w:p>
        </w:tc>
        <w:tc>
          <w:tcPr>
            <w:tcW w:w="2120" w:type="dxa"/>
            <w:vAlign w:val="bottom"/>
            <w:tcBorders>
              <w:bottom w:val="single" w:sz="8" w:color="CFF0FC"/>
            </w:tcBorders>
            <w:gridSpan w:val="3"/>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9</w:t>
            </w:r>
          </w:p>
        </w:tc>
        <w:tc>
          <w:tcPr>
            <w:tcW w:w="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gridSpan w:val="3"/>
            <w:shd w:val="clear" w:color="auto" w:fill="CFF0FC"/>
          </w:tcPr>
          <w:p>
            <w:pPr>
              <w:jc w:val="right"/>
              <w:ind w:right="80"/>
              <w:spacing w:after="0" w:line="213"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CFF0FC"/>
            </w:tcBorders>
            <w:gridSpan w:val="2"/>
            <w:shd w:val="clear" w:color="auto" w:fill="CFF0FC"/>
          </w:tcPr>
          <w:p>
            <w:pPr>
              <w:jc w:val="right"/>
              <w:ind w:right="120"/>
              <w:spacing w:after="0" w:line="213" w:lineRule="exact"/>
              <w:rPr>
                <w:sz w:val="20"/>
                <w:szCs w:val="20"/>
                <w:color w:val="auto"/>
              </w:rPr>
            </w:pPr>
            <w:r>
              <w:rPr>
                <w:rFonts w:ascii="Calibri" w:cs="Calibri" w:eastAsia="Calibri" w:hAnsi="Calibri"/>
                <w:sz w:val="18"/>
                <w:szCs w:val="18"/>
                <w:b w:val="1"/>
                <w:bCs w:val="1"/>
                <w:color w:val="auto"/>
              </w:rPr>
              <w:t>—</w:t>
            </w:r>
          </w:p>
        </w:tc>
      </w:tr>
      <w:tr>
        <w:trPr>
          <w:trHeight w:val="834"/>
        </w:trPr>
        <w:tc>
          <w:tcPr>
            <w:tcW w:w="37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gridSpan w:val="3"/>
          </w:tcPr>
          <w:p>
            <w:pPr>
              <w:jc w:val="right"/>
              <w:ind w:right="20"/>
              <w:spacing w:after="0"/>
              <w:rPr>
                <w:sz w:val="20"/>
                <w:szCs w:val="20"/>
                <w:color w:val="auto"/>
              </w:rPr>
            </w:pPr>
            <w:r>
              <w:rPr>
                <w:rFonts w:ascii="Calibri" w:cs="Calibri" w:eastAsia="Calibri" w:hAnsi="Calibri"/>
                <w:sz w:val="18"/>
                <w:szCs w:val="18"/>
                <w:color w:val="auto"/>
              </w:rPr>
              <w:t>24</w:t>
            </w:r>
          </w:p>
        </w:tc>
        <w:tc>
          <w:tcPr>
            <w:tcW w:w="16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86"/>
        </w:trPr>
        <w:tc>
          <w:tcPr>
            <w:tcW w:w="3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-3376930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-3051175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-3034030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-1054100</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Compensaton Expense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three and nine months ended September 30, 2024, equity-based compensaton expense related to RSUs was $8.5 million and $22.4 million, respectvely, compared to $3.9 million and $10.5 million for the three and nine months ended September 30, 2023, respectvely. Unrecognized compensaton expense relatng to unvested RSUs as of September 30, 2024 was approximately $59.4 million, which is expected to be recognized over a weighted average period of approximately one year.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three and nine months ended September 30, 2024, equity-based compensaton expense related to stock optons was $2.3 million and $8.1 million, respectvely, compared to $2.8 million and $7.3 million for the three and nine months ended September 30, 2023, respectvely. Unrecognized compensaton expense relatng to unvested stock optons as of September 30, 2024 was $9.7 million, which is expected to be recognized over a weighted average period of approximately one year.</w:t>
      </w:r>
    </w:p>
    <w:p>
      <w:pPr>
        <w:spacing w:after="0" w:line="11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For the three and nine months ended September 30, 2024, equity-based compensaton expense excludes $0.2 million and $0.6 million, respectvely, related to capitalized development costs.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Profts Interests and Phantom Units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10, 2024, the Board of Managers of Hoya Topco (the “Hoya Topco Board”) approved the redempton, repurchase and cancellaton by Hoya Topco (using Hoya Topco’s funds) of all of its outstanding profts interests held by our employees (including the Class B-1, Class D and Class E Units discussed in our 2023 Form 10-K). Accordingly, we recognized equity-based compensaton expense related to the profts interests of zero and $3.3 million for the three and nine months ended September 30, 2024, respectvely, and $1.0 million and $3.0 million for the three and nine months ended September 30, 2023, respectvely.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10, 2024, the Hoya Topco Board also approved the repurchase and cancellaton by Hoya Topco (using Hoya Topco’s funds) of all of its outstanding phantom units held by our employees. The phantom units held service and performance conditons, requiring us to recognize a liability for the fair value of the outstanding phantom units only when we conclude it is probable that the performance conditons will be achieved. Accordingly, we recognized equity-based compensaton expense related to the phantom units of zero and $5.0 million for the three and nine months ended September 30, 2024, respectvely. There was no equity-based compensaton expense previously recognized related to the phantom units.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Topco had no outstanding profts interests or phantom units held by our employees, and we had no unrecognized equity-based compensaton expense related thereto, as of September 30, 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19. Earnings Per Share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calculate basic and diluted net income per share of Class A common stock in accordance with ASC Topic 260, </w:t>
      </w:r>
      <w:r>
        <w:rPr>
          <w:rFonts w:ascii="Calibri" w:cs="Calibri" w:eastAsia="Calibri" w:hAnsi="Calibri"/>
          <w:sz w:val="18"/>
          <w:szCs w:val="18"/>
          <w:i w:val="1"/>
          <w:iCs w:val="1"/>
          <w:color w:val="auto"/>
        </w:rPr>
        <w:t>Earnings per Share</w:t>
      </w:r>
      <w:r>
        <w:rPr>
          <w:rFonts w:ascii="Calibri" w:cs="Calibri" w:eastAsia="Calibri" w:hAnsi="Calibri"/>
          <w:sz w:val="18"/>
          <w:szCs w:val="18"/>
          <w:color w:val="auto"/>
        </w:rPr>
        <w:t>. Because our Class B common stock does not have economic rights in VSI, it is not considered a partcipatng security for basic and diluted net income per share, and we do not present basic and diluted net income per share of Class B common stock. However, our Class B common stockholders are allocated income in Hoya Intermediate (our operatng entty) according to their weighted average percentage ownership of Intermediate Units during each quarter.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income atributable to redeemable noncontrolling interests is calculated by multplying Hoya Intermediate’s net income in each quarterly period by Hoya Topco’s weighted average percentage ownership of Intermediate Units during the period. Hoya Topco has the right to exchange its Intermediate Units for shares of our Class A common stock (on a one-to-one basis) or cash proceeds of equal value at the tme of redempton. The opton to redeem Intermediate Units for cash proceeds must be approved by our Board, which as of September 30, 2024 consisted of a majority of directors nominated by afliates of Hoya Topco and GTCR, LLC pursuant to our stockholders’ agreement. The ability to put Intermediate Units is solely within the control of the holder of the redeemable noncontrolling interests. If Hoya Topco elects the redempton to be setled in cash, the cash used to setle the redempton must be funded through a private or public ofering of our Class A common stock and is subject to our Board’s approval.</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7" w:name="page28"/>
    <w:bookmarkEnd w:id="27"/>
    <w:p>
      <w:pPr>
        <w:jc w:val="center"/>
        <w:ind w:right="2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provides the net income atributable to Hoya Topco’s redeemable noncontrolling interest (in thousands):</w:t>
      </w:r>
    </w:p>
    <w:p>
      <w:pPr>
        <w:sectPr>
          <w:pgSz w:w="11900" w:h="16838" w:orient="portrait"/>
          <w:cols w:equalWidth="0" w:num="1">
            <w:col w:w="11280"/>
          </w:cols>
          <w:pgMar w:left="320" w:top="76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Net income—Hoya Intermediate</w:t>
      </w:r>
    </w:p>
    <w:p>
      <w:pPr>
        <w:spacing w:after="0" w:line="28" w:lineRule="exact"/>
        <w:rPr>
          <w:sz w:val="20"/>
          <w:szCs w:val="20"/>
          <w:color w:val="auto"/>
        </w:rPr>
      </w:pPr>
    </w:p>
    <w:p>
      <w:pPr>
        <w:ind w:left="20"/>
        <w:spacing w:after="0" w:line="235" w:lineRule="auto"/>
        <w:rPr>
          <w:sz w:val="20"/>
          <w:szCs w:val="20"/>
          <w:color w:val="auto"/>
        </w:rPr>
      </w:pPr>
      <w:r>
        <w:rPr>
          <w:rFonts w:ascii="Calibri" w:cs="Calibri" w:eastAsia="Calibri" w:hAnsi="Calibri"/>
          <w:sz w:val="18"/>
          <w:szCs w:val="18"/>
          <w:color w:val="auto"/>
        </w:rPr>
        <w:t>Hoya Topco’s weighted average % allocaton of Hoya Intermediate's net income</w:t>
      </w:r>
    </w:p>
    <w:p>
      <w:pPr>
        <w:spacing w:after="0" w:line="29" w:lineRule="exact"/>
        <w:rPr>
          <w:sz w:val="20"/>
          <w:szCs w:val="20"/>
          <w:color w:val="auto"/>
        </w:rPr>
      </w:pPr>
    </w:p>
    <w:p>
      <w:pPr>
        <w:ind w:left="120" w:right="920"/>
        <w:spacing w:after="0" w:line="235" w:lineRule="auto"/>
        <w:rPr>
          <w:sz w:val="20"/>
          <w:szCs w:val="20"/>
          <w:color w:val="auto"/>
        </w:rPr>
      </w:pPr>
      <w:r>
        <w:rPr>
          <w:rFonts w:ascii="Calibri" w:cs="Calibri" w:eastAsia="Calibri" w:hAnsi="Calibri"/>
          <w:sz w:val="18"/>
          <w:szCs w:val="18"/>
          <w:color w:val="auto"/>
        </w:rPr>
        <w:t>Net income atributable to Hoya Topco's redeemable noncontrolling interests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40" w:type="dxa"/>
            <w:vAlign w:val="bottom"/>
          </w:tcPr>
          <w:p>
            <w:pPr>
              <w:spacing w:after="0"/>
              <w:rPr>
                <w:sz w:val="19"/>
                <w:szCs w:val="19"/>
                <w:color w:val="auto"/>
              </w:rPr>
            </w:pPr>
          </w:p>
        </w:tc>
        <w:tc>
          <w:tcPr>
            <w:tcW w:w="3040" w:type="dxa"/>
            <w:vAlign w:val="bottom"/>
            <w:gridSpan w:val="5"/>
          </w:tcPr>
          <w:p>
            <w:pPr>
              <w:jc w:val="right"/>
              <w:ind w:right="380"/>
              <w:spacing w:after="0"/>
              <w:rPr>
                <w:sz w:val="20"/>
                <w:szCs w:val="20"/>
                <w:color w:val="auto"/>
              </w:rPr>
            </w:pPr>
            <w:r>
              <w:rPr>
                <w:rFonts w:ascii="Calibri" w:cs="Calibri" w:eastAsia="Calibri" w:hAnsi="Calibri"/>
                <w:sz w:val="18"/>
                <w:szCs w:val="18"/>
                <w:b w:val="1"/>
                <w:bCs w:val="1"/>
                <w:color w:val="auto"/>
                <w:w w:val="97"/>
              </w:rPr>
              <w:t>Three Months Ended September 30,</w:t>
            </w:r>
          </w:p>
        </w:tc>
        <w:tc>
          <w:tcPr>
            <w:tcW w:w="160" w:type="dxa"/>
            <w:vAlign w:val="bottom"/>
          </w:tcPr>
          <w:p>
            <w:pPr>
              <w:spacing w:after="0"/>
              <w:rPr>
                <w:sz w:val="19"/>
                <w:szCs w:val="19"/>
                <w:color w:val="auto"/>
              </w:rPr>
            </w:pPr>
          </w:p>
        </w:tc>
        <w:tc>
          <w:tcPr>
            <w:tcW w:w="2980" w:type="dxa"/>
            <w:vAlign w:val="bottom"/>
            <w:gridSpan w:val="5"/>
          </w:tcPr>
          <w:p>
            <w:pPr>
              <w:jc w:val="right"/>
              <w:ind w:right="380"/>
              <w:spacing w:after="0"/>
              <w:rPr>
                <w:sz w:val="20"/>
                <w:szCs w:val="20"/>
                <w:color w:val="auto"/>
              </w:rPr>
            </w:pPr>
            <w:r>
              <w:rPr>
                <w:rFonts w:ascii="Calibri" w:cs="Calibri" w:eastAsia="Calibri" w:hAnsi="Calibri"/>
                <w:sz w:val="18"/>
                <w:szCs w:val="18"/>
                <w:b w:val="1"/>
                <w:bCs w:val="1"/>
                <w:color w:val="auto"/>
                <w:w w:val="98"/>
              </w:rPr>
              <w:t>Nine Months Ended September 30,</w:t>
            </w:r>
          </w:p>
        </w:tc>
      </w:tr>
      <w:tr>
        <w:trPr>
          <w:trHeight w:val="37"/>
        </w:trPr>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08"/>
        </w:trPr>
        <w:tc>
          <w:tcPr>
            <w:tcW w:w="140" w:type="dxa"/>
            <w:vAlign w:val="bottom"/>
          </w:tcPr>
          <w:p>
            <w:pPr>
              <w:spacing w:after="0"/>
              <w:rPr>
                <w:sz w:val="18"/>
                <w:szCs w:val="18"/>
                <w:color w:val="auto"/>
              </w:rPr>
            </w:pPr>
          </w:p>
        </w:tc>
        <w:tc>
          <w:tcPr>
            <w:tcW w:w="122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2023</w:t>
            </w:r>
          </w:p>
        </w:tc>
        <w:tc>
          <w:tcPr>
            <w:tcW w:w="140" w:type="dxa"/>
            <w:vAlign w:val="bottom"/>
          </w:tcPr>
          <w:p>
            <w:pPr>
              <w:spacing w:after="0"/>
              <w:rPr>
                <w:sz w:val="18"/>
                <w:szCs w:val="18"/>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14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08" w:lineRule="exact"/>
              <w:rPr>
                <w:sz w:val="20"/>
                <w:szCs w:val="20"/>
                <w:color w:val="auto"/>
              </w:rPr>
            </w:pPr>
            <w:r>
              <w:rPr>
                <w:rFonts w:ascii="Calibri" w:cs="Calibri" w:eastAsia="Calibri" w:hAnsi="Calibri"/>
                <w:sz w:val="18"/>
                <w:szCs w:val="18"/>
                <w:color w:val="auto"/>
              </w:rPr>
              <w:t>10,630</w:t>
            </w:r>
          </w:p>
        </w:tc>
        <w:tc>
          <w:tcPr>
            <w:tcW w:w="240" w:type="dxa"/>
            <w:vAlign w:val="bottom"/>
          </w:tcPr>
          <w:p>
            <w:pPr>
              <w:spacing w:after="0"/>
              <w:rPr>
                <w:sz w:val="18"/>
                <w:szCs w:val="18"/>
                <w:color w:val="auto"/>
              </w:rPr>
            </w:pPr>
          </w:p>
        </w:tc>
        <w:tc>
          <w:tcPr>
            <w:tcW w:w="32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08" w:lineRule="exact"/>
              <w:rPr>
                <w:sz w:val="20"/>
                <w:szCs w:val="20"/>
                <w:color w:val="auto"/>
              </w:rPr>
            </w:pPr>
            <w:r>
              <w:rPr>
                <w:rFonts w:ascii="Calibri" w:cs="Calibri" w:eastAsia="Calibri" w:hAnsi="Calibri"/>
                <w:sz w:val="18"/>
                <w:szCs w:val="18"/>
                <w:color w:val="auto"/>
              </w:rPr>
              <w:t>17,672</w:t>
            </w:r>
          </w:p>
        </w:tc>
        <w:tc>
          <w:tcPr>
            <w:tcW w:w="220" w:type="dxa"/>
            <w:vAlign w:val="bottom"/>
          </w:tcPr>
          <w:p>
            <w:pPr>
              <w:spacing w:after="0"/>
              <w:rPr>
                <w:sz w:val="18"/>
                <w:szCs w:val="18"/>
                <w:color w:val="auto"/>
              </w:rPr>
            </w:pPr>
          </w:p>
        </w:tc>
        <w:tc>
          <w:tcPr>
            <w:tcW w:w="16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08" w:lineRule="exact"/>
              <w:rPr>
                <w:sz w:val="20"/>
                <w:szCs w:val="20"/>
                <w:color w:val="auto"/>
              </w:rPr>
            </w:pPr>
            <w:r>
              <w:rPr>
                <w:rFonts w:ascii="Calibri" w:cs="Calibri" w:eastAsia="Calibri" w:hAnsi="Calibri"/>
                <w:sz w:val="18"/>
                <w:szCs w:val="18"/>
                <w:color w:val="auto"/>
              </w:rPr>
              <w:t>23,064</w:t>
            </w:r>
          </w:p>
        </w:tc>
        <w:tc>
          <w:tcPr>
            <w:tcW w:w="200" w:type="dxa"/>
            <w:vAlign w:val="bottom"/>
          </w:tcPr>
          <w:p>
            <w:pPr>
              <w:spacing w:after="0"/>
              <w:rPr>
                <w:sz w:val="18"/>
                <w:szCs w:val="18"/>
                <w:color w:val="auto"/>
              </w:rPr>
            </w:pPr>
          </w:p>
        </w:tc>
        <w:tc>
          <w:tcPr>
            <w:tcW w:w="340" w:type="dxa"/>
            <w:vAlign w:val="bottom"/>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61,674</w:t>
            </w:r>
          </w:p>
        </w:tc>
        <w:tc>
          <w:tcPr>
            <w:tcW w:w="140" w:type="dxa"/>
            <w:vAlign w:val="bottom"/>
          </w:tcPr>
          <w:p>
            <w:pPr>
              <w:spacing w:after="0"/>
              <w:rPr>
                <w:sz w:val="18"/>
                <w:szCs w:val="18"/>
                <w:color w:val="auto"/>
              </w:rPr>
            </w:pPr>
          </w:p>
        </w:tc>
      </w:tr>
      <w:tr>
        <w:trPr>
          <w:trHeight w:val="437"/>
        </w:trPr>
        <w:tc>
          <w:tcPr>
            <w:tcW w:w="14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36.7 %</w:t>
            </w:r>
          </w:p>
        </w:tc>
        <w:tc>
          <w:tcPr>
            <w:tcW w:w="32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Calibri" w:cs="Calibri" w:eastAsia="Calibri" w:hAnsi="Calibri"/>
                <w:sz w:val="18"/>
                <w:szCs w:val="18"/>
                <w:color w:val="auto"/>
              </w:rPr>
              <w:t>52.9 %</w:t>
            </w:r>
          </w:p>
        </w:tc>
        <w:tc>
          <w:tcPr>
            <w:tcW w:w="16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Calibri" w:cs="Calibri" w:eastAsia="Calibri" w:hAnsi="Calibri"/>
                <w:sz w:val="18"/>
                <w:szCs w:val="18"/>
                <w:color w:val="auto"/>
              </w:rPr>
              <w:t>36.4 %</w:t>
            </w:r>
          </w:p>
        </w:tc>
        <w:tc>
          <w:tcPr>
            <w:tcW w:w="3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alibri" w:cs="Calibri" w:eastAsia="Calibri" w:hAnsi="Calibri"/>
                <w:sz w:val="18"/>
                <w:szCs w:val="18"/>
                <w:color w:val="auto"/>
              </w:rPr>
              <w:t>56.8 %</w:t>
            </w:r>
          </w:p>
        </w:tc>
      </w:tr>
      <w:tr>
        <w:trPr>
          <w:trHeight w:val="37"/>
        </w:trPr>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80"/>
        </w:trPr>
        <w:tc>
          <w:tcPr>
            <w:tcW w:w="14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3,900</w:t>
            </w:r>
          </w:p>
        </w:tc>
        <w:tc>
          <w:tcPr>
            <w:tcW w:w="2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rPr>
                <w:sz w:val="20"/>
                <w:szCs w:val="20"/>
                <w:color w:val="auto"/>
              </w:rPr>
            </w:pPr>
            <w:r>
              <w:rPr>
                <w:rFonts w:ascii="Calibri" w:cs="Calibri" w:eastAsia="Calibri" w:hAnsi="Calibri"/>
                <w:sz w:val="18"/>
                <w:szCs w:val="18"/>
                <w:color w:val="auto"/>
              </w:rPr>
              <w:t>9,341</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8,405</w:t>
            </w:r>
          </w:p>
        </w:tc>
        <w:tc>
          <w:tcPr>
            <w:tcW w:w="2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35,045</w:t>
            </w: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-627380</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-181610</wp:posOffset>
            </wp:positionV>
            <wp:extent cx="7132320" cy="291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4800" w:space="160"/>
            <w:col w:w="6320"/>
          </w:cols>
          <w:pgMar w:left="320" w:top="760" w:right="299" w:bottom="1440" w:gutter="0" w:footer="0" w:header="0"/>
          <w:type w:val="continuous"/>
        </w:sectPr>
      </w:pPr>
    </w:p>
    <w:p>
      <w:pPr>
        <w:jc w:val="both"/>
        <w:ind w:right="40"/>
        <w:spacing w:after="0" w:line="235" w:lineRule="auto"/>
        <w:rPr>
          <w:sz w:val="20"/>
          <w:szCs w:val="20"/>
          <w:color w:val="auto"/>
        </w:rPr>
      </w:pPr>
      <w:r>
        <w:rPr>
          <w:rFonts w:ascii="Calibri" w:cs="Calibri" w:eastAsia="Calibri" w:hAnsi="Calibri"/>
          <w:sz w:val="18"/>
          <w:szCs w:val="18"/>
          <w:color w:val="auto"/>
        </w:rPr>
        <w:t>Net income atributable to Class A common stockholders–basic is calculated by subtractng the porton of Hoya Intermediate’s net income atributable to redeemable noncontrolling interests from our total net income, which includes our net income for actvites outside of our investment in Hoya Intermediate, including income tax expense (beneft) for VSI’s porton of income, as well as the full results of Hoya Intermediate on a consolidated basis.</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income per Class A common stock–diluted is based on the average number of shares of our Class A common stock used for the basic earnings per share calculaton, adjusted for the weighted average number of Class A common share equivalents outstanding for the period determined using the treasury stock and if-converted methods, as applicable. Net income atributable to Class A common stockholders–diluted is adjusted for (i) our share of Hoya Intermediate’s consolidated net income afer giving efect to Intermediate Units that convert into potental shares of our Class A common stock, to the extent it is dilutve, and (ii) the impact of changes in the fair value of the Intermediate Warrants, to the extent they are dilutve.</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type w:val="continuous"/>
        </w:sectPr>
      </w:pPr>
    </w:p>
    <w:bookmarkStart w:id="28" w:name="page29"/>
    <w:bookmarkEnd w:id="2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sets forth the computaton of basic and diluted net income per share of Class A common stock for the periods in which shares of our Class A and Class B common stock were outstanding (in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4"/>
          </w:tcPr>
          <w:p>
            <w:pPr>
              <w:jc w:val="right"/>
              <w:ind w:right="190"/>
              <w:spacing w:after="0"/>
              <w:rPr>
                <w:sz w:val="20"/>
                <w:szCs w:val="20"/>
                <w:color w:val="auto"/>
              </w:rPr>
            </w:pPr>
            <w:r>
              <w:rPr>
                <w:rFonts w:ascii="Calibri" w:cs="Calibri" w:eastAsia="Calibri" w:hAnsi="Calibri"/>
                <w:sz w:val="18"/>
                <w:szCs w:val="18"/>
                <w:b w:val="1"/>
                <w:bCs w:val="1"/>
                <w:color w:val="auto"/>
                <w:w w:val="99"/>
              </w:rPr>
              <w:t>Three Months Ended September 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gridSpan w:val="5"/>
          </w:tcPr>
          <w:p>
            <w:pPr>
              <w:ind w:left="160"/>
              <w:spacing w:after="0"/>
              <w:rPr>
                <w:sz w:val="20"/>
                <w:szCs w:val="20"/>
                <w:color w:val="auto"/>
              </w:rPr>
            </w:pPr>
            <w:r>
              <w:rPr>
                <w:rFonts w:ascii="Calibri" w:cs="Calibri" w:eastAsia="Calibri" w:hAnsi="Calibri"/>
                <w:sz w:val="18"/>
                <w:szCs w:val="18"/>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70"/>
              <w:spacing w:after="0" w:line="208"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7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Numerator—basic:</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9,196</w:t>
            </w:r>
          </w:p>
        </w:tc>
        <w:tc>
          <w:tcPr>
            <w:tcW w:w="5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16,018</w:t>
            </w:r>
          </w:p>
        </w:tc>
        <w:tc>
          <w:tcPr>
            <w:tcW w:w="4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18,716</w:t>
            </w:r>
          </w:p>
        </w:tc>
        <w:tc>
          <w:tcPr>
            <w:tcW w:w="6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84,616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Less: Income atributable to redeemable noncontrolling</w:t>
            </w:r>
          </w:p>
        </w:tc>
        <w:tc>
          <w:tcPr>
            <w:tcW w:w="20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3,900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9,341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8,405</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35,045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interests</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400" w:type="dxa"/>
            <w:vAlign w:val="bottom"/>
            <w:tcBorders>
              <w:top w:val="single" w:sz="8" w:color="CFF0FC"/>
            </w:tcBorders>
          </w:tcPr>
          <w:p>
            <w:pPr>
              <w:ind w:left="120"/>
              <w:spacing w:after="0" w:line="201" w:lineRule="exact"/>
              <w:rPr>
                <w:sz w:val="20"/>
                <w:szCs w:val="20"/>
                <w:color w:val="auto"/>
              </w:rPr>
            </w:pPr>
            <w:r>
              <w:rPr>
                <w:rFonts w:ascii="Calibri" w:cs="Calibri" w:eastAsia="Calibri" w:hAnsi="Calibri"/>
                <w:sz w:val="18"/>
                <w:szCs w:val="18"/>
                <w:color w:val="auto"/>
              </w:rPr>
              <w:t>Net income atributable to Class A common stockholders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5,296</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6,677</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10,311</w:t>
            </w:r>
          </w:p>
        </w:tc>
        <w:tc>
          <w:tcPr>
            <w:tcW w:w="2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49,571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—basic</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Denominator—basic:</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120"/>
              <w:spacing w:after="0" w:line="207" w:lineRule="exact"/>
              <w:rPr>
                <w:sz w:val="20"/>
                <w:szCs w:val="20"/>
                <w:color w:val="auto"/>
              </w:rPr>
            </w:pPr>
            <w:r>
              <w:rPr>
                <w:rFonts w:ascii="Calibri" w:cs="Calibri" w:eastAsia="Calibri" w:hAnsi="Calibri"/>
                <w:sz w:val="18"/>
                <w:szCs w:val="18"/>
                <w:color w:val="auto"/>
              </w:rPr>
              <w:t>Weighted average Class A common stock outstanding—</w:t>
            </w: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Calibri" w:cs="Calibri" w:eastAsia="Calibri" w:hAnsi="Calibri"/>
                <w:sz w:val="18"/>
                <w:szCs w:val="18"/>
                <w:color w:val="auto"/>
              </w:rPr>
              <w:t>131,521,578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96,407,327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Calibri" w:cs="Calibri" w:eastAsia="Calibri" w:hAnsi="Calibri"/>
                <w:sz w:val="18"/>
                <w:szCs w:val="18"/>
                <w:color w:val="auto"/>
              </w:rPr>
              <w:t>132,460,381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8"/>
                <w:szCs w:val="18"/>
                <w:color w:val="auto"/>
              </w:rPr>
              <w:t>86,403,617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basic</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4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income per Class A common stock—basic</w:t>
            </w:r>
          </w:p>
        </w:tc>
        <w:tc>
          <w:tcPr>
            <w:tcW w:w="2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2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0.04</w:t>
            </w:r>
          </w:p>
        </w:tc>
        <w:tc>
          <w:tcPr>
            <w:tcW w:w="580" w:type="dxa"/>
            <w:vAlign w:val="bottom"/>
            <w:tcBorders>
              <w:bottom w:val="single" w:sz="8" w:color="CFF0FC"/>
            </w:tcBorders>
            <w:gridSpan w:val="2"/>
            <w:shd w:val="clear" w:color="auto" w:fill="CFF0FC"/>
          </w:tcPr>
          <w:p>
            <w:pPr>
              <w:jc w:val="right"/>
              <w:ind w:right="240"/>
              <w:spacing w:after="0" w:line="213"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0.07</w:t>
            </w:r>
          </w:p>
        </w:tc>
        <w:tc>
          <w:tcPr>
            <w:tcW w:w="460" w:type="dxa"/>
            <w:vAlign w:val="bottom"/>
            <w:tcBorders>
              <w:bottom w:val="single" w:sz="8" w:color="CFF0FC"/>
            </w:tcBorders>
            <w:gridSpan w:val="2"/>
            <w:shd w:val="clear" w:color="auto" w:fill="CFF0FC"/>
          </w:tcPr>
          <w:p>
            <w:pPr>
              <w:jc w:val="right"/>
              <w:ind w:right="140"/>
              <w:spacing w:after="0" w:line="213"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0.08</w:t>
            </w:r>
          </w:p>
        </w:tc>
        <w:tc>
          <w:tcPr>
            <w:tcW w:w="600" w:type="dxa"/>
            <w:vAlign w:val="bottom"/>
            <w:tcBorders>
              <w:bottom w:val="single" w:sz="8" w:color="CFF0FC"/>
            </w:tcBorders>
            <w:gridSpan w:val="2"/>
            <w:shd w:val="clear" w:color="auto" w:fill="CFF0FC"/>
          </w:tcPr>
          <w:p>
            <w:pPr>
              <w:jc w:val="right"/>
              <w:ind w:right="280"/>
              <w:spacing w:after="0" w:line="213" w:lineRule="exact"/>
              <w:rPr>
                <w:sz w:val="20"/>
                <w:szCs w:val="20"/>
                <w:color w:val="auto"/>
              </w:rPr>
            </w:pPr>
            <w:r>
              <w:rPr>
                <w:rFonts w:ascii="Calibri" w:cs="Calibri" w:eastAsia="Calibri" w:hAnsi="Calibri"/>
                <w:sz w:val="18"/>
                <w:szCs w:val="18"/>
                <w:b w:val="1"/>
                <w:bCs w:val="1"/>
                <w:color w:val="auto"/>
              </w:rPr>
              <w:t>$</w:t>
            </w:r>
          </w:p>
        </w:tc>
        <w:tc>
          <w:tcPr>
            <w:tcW w:w="13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0.57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Numerator—diluted:</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120"/>
              <w:spacing w:after="0" w:line="207" w:lineRule="exact"/>
              <w:rPr>
                <w:sz w:val="20"/>
                <w:szCs w:val="20"/>
                <w:color w:val="auto"/>
              </w:rPr>
            </w:pPr>
            <w:r>
              <w:rPr>
                <w:rFonts w:ascii="Calibri" w:cs="Calibri" w:eastAsia="Calibri" w:hAnsi="Calibri"/>
                <w:sz w:val="18"/>
                <w:szCs w:val="18"/>
                <w:color w:val="auto"/>
              </w:rPr>
              <w:t>Net income atributable to Class A common stockholders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—basic</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5,296</w:t>
            </w:r>
          </w:p>
        </w:tc>
        <w:tc>
          <w:tcPr>
            <w:tcW w:w="5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6,677</w:t>
            </w:r>
          </w:p>
        </w:tc>
        <w:tc>
          <w:tcPr>
            <w:tcW w:w="4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10,311</w:t>
            </w:r>
          </w:p>
        </w:tc>
        <w:tc>
          <w:tcPr>
            <w:tcW w:w="6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49,571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 efect of dilutve securites:</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redeemable noncontrolling interests</w:t>
            </w:r>
          </w:p>
        </w:tc>
        <w:tc>
          <w:tcPr>
            <w:tcW w:w="2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33,874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40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Efect of RSUs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400" w:type="dxa"/>
            <w:vAlign w:val="bottom"/>
            <w:tcBorders>
              <w:top w:val="single" w:sz="8" w:color="CFF0FC"/>
            </w:tcBorders>
          </w:tcPr>
          <w:p>
            <w:pPr>
              <w:ind w:left="120"/>
              <w:spacing w:after="0" w:line="201" w:lineRule="exact"/>
              <w:rPr>
                <w:sz w:val="20"/>
                <w:szCs w:val="20"/>
                <w:color w:val="auto"/>
              </w:rPr>
            </w:pPr>
            <w:r>
              <w:rPr>
                <w:rFonts w:ascii="Calibri" w:cs="Calibri" w:eastAsia="Calibri" w:hAnsi="Calibri"/>
                <w:sz w:val="18"/>
                <w:szCs w:val="18"/>
                <w:color w:val="auto"/>
              </w:rPr>
              <w:t>Net income atributable to Class A common stockholders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5,298</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6,692</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10,319</w:t>
            </w:r>
          </w:p>
        </w:tc>
        <w:tc>
          <w:tcPr>
            <w:tcW w:w="2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83,513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—diluted</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Denominator—diluted:</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120"/>
              <w:spacing w:after="0" w:line="207" w:lineRule="exact"/>
              <w:rPr>
                <w:sz w:val="20"/>
                <w:szCs w:val="20"/>
                <w:color w:val="auto"/>
              </w:rPr>
            </w:pPr>
            <w:r>
              <w:rPr>
                <w:rFonts w:ascii="Calibri" w:cs="Calibri" w:eastAsia="Calibri" w:hAnsi="Calibri"/>
                <w:sz w:val="18"/>
                <w:szCs w:val="18"/>
                <w:color w:val="auto"/>
              </w:rPr>
              <w:t>Weighted average Class A common stock outstanding—</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basic</w:t>
            </w:r>
          </w:p>
        </w:tc>
        <w:tc>
          <w:tcPr>
            <w:tcW w:w="2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131,521,578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96,407,327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132,460,381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86,403,617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Weighted average efect of dilutve securites:</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redeemable noncontrolling interests</w:t>
            </w:r>
          </w:p>
        </w:tc>
        <w:tc>
          <w:tcPr>
            <w:tcW w:w="2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109,514,286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Efect of RSUs</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433,103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455,572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679,759</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389,828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120"/>
              <w:spacing w:after="0" w:line="207" w:lineRule="exact"/>
              <w:rPr>
                <w:sz w:val="20"/>
                <w:szCs w:val="20"/>
                <w:color w:val="auto"/>
              </w:rPr>
            </w:pPr>
            <w:r>
              <w:rPr>
                <w:rFonts w:ascii="Calibri" w:cs="Calibri" w:eastAsia="Calibri" w:hAnsi="Calibri"/>
                <w:sz w:val="18"/>
                <w:szCs w:val="18"/>
                <w:color w:val="auto"/>
              </w:rPr>
              <w:t>Weighted average Class A common stock outstanding—</w:t>
            </w:r>
          </w:p>
        </w:tc>
        <w:tc>
          <w:tcPr>
            <w:tcW w:w="2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Calibri" w:cs="Calibri" w:eastAsia="Calibri" w:hAnsi="Calibri"/>
                <w:sz w:val="18"/>
                <w:szCs w:val="18"/>
                <w:color w:val="auto"/>
              </w:rPr>
              <w:t>131,954,681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96,862,899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Calibri" w:cs="Calibri" w:eastAsia="Calibri" w:hAnsi="Calibri"/>
                <w:sz w:val="18"/>
                <w:szCs w:val="18"/>
                <w:color w:val="auto"/>
              </w:rPr>
              <w:t>133,140,140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8"/>
                <w:szCs w:val="18"/>
                <w:color w:val="auto"/>
              </w:rPr>
              <w:t>196,307,731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line="215" w:lineRule="exact"/>
              <w:rPr>
                <w:sz w:val="20"/>
                <w:szCs w:val="20"/>
                <w:color w:val="auto"/>
              </w:rPr>
            </w:pPr>
            <w:r>
              <w:rPr>
                <w:rFonts w:ascii="Calibri" w:cs="Calibri" w:eastAsia="Calibri" w:hAnsi="Calibri"/>
                <w:sz w:val="18"/>
                <w:szCs w:val="18"/>
                <w:color w:val="auto"/>
              </w:rPr>
              <w:t>diluted</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income per Class A common stock—diluted</w:t>
            </w:r>
          </w:p>
        </w:tc>
        <w:tc>
          <w:tcPr>
            <w:tcW w:w="2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2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0.04</w:t>
            </w:r>
          </w:p>
        </w:tc>
        <w:tc>
          <w:tcPr>
            <w:tcW w:w="580" w:type="dxa"/>
            <w:vAlign w:val="bottom"/>
            <w:tcBorders>
              <w:bottom w:val="single" w:sz="8" w:color="CFF0FC"/>
            </w:tcBorders>
            <w:gridSpan w:val="2"/>
            <w:shd w:val="clear" w:color="auto" w:fill="CFF0FC"/>
          </w:tcPr>
          <w:p>
            <w:pPr>
              <w:jc w:val="right"/>
              <w:ind w:right="240"/>
              <w:spacing w:after="0" w:line="213"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0.07</w:t>
            </w:r>
          </w:p>
        </w:tc>
        <w:tc>
          <w:tcPr>
            <w:tcW w:w="460" w:type="dxa"/>
            <w:vAlign w:val="bottom"/>
            <w:tcBorders>
              <w:bottom w:val="single" w:sz="8" w:color="CFF0FC"/>
            </w:tcBorders>
            <w:gridSpan w:val="2"/>
            <w:shd w:val="clear" w:color="auto" w:fill="CFF0FC"/>
          </w:tcPr>
          <w:p>
            <w:pPr>
              <w:jc w:val="right"/>
              <w:ind w:right="140"/>
              <w:spacing w:after="0" w:line="213"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0.08</w:t>
            </w:r>
          </w:p>
        </w:tc>
        <w:tc>
          <w:tcPr>
            <w:tcW w:w="600" w:type="dxa"/>
            <w:vAlign w:val="bottom"/>
            <w:tcBorders>
              <w:bottom w:val="single" w:sz="8" w:color="CFF0FC"/>
            </w:tcBorders>
            <w:gridSpan w:val="2"/>
            <w:shd w:val="clear" w:color="auto" w:fill="CFF0FC"/>
          </w:tcPr>
          <w:p>
            <w:pPr>
              <w:jc w:val="right"/>
              <w:ind w:right="280"/>
              <w:spacing w:after="0" w:line="213" w:lineRule="exact"/>
              <w:rPr>
                <w:sz w:val="20"/>
                <w:szCs w:val="20"/>
                <w:color w:val="auto"/>
              </w:rPr>
            </w:pPr>
            <w:r>
              <w:rPr>
                <w:rFonts w:ascii="Calibri" w:cs="Calibri" w:eastAsia="Calibri" w:hAnsi="Calibri"/>
                <w:sz w:val="18"/>
                <w:szCs w:val="18"/>
                <w:b w:val="1"/>
                <w:bCs w:val="1"/>
                <w:color w:val="auto"/>
              </w:rPr>
              <w:t>$</w:t>
            </w:r>
          </w:p>
        </w:tc>
        <w:tc>
          <w:tcPr>
            <w:tcW w:w="13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21"/>
        </w:trPr>
        <w:tc>
          <w:tcPr>
            <w:tcW w:w="44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70"/>
              <w:spacing w:after="0"/>
              <w:rPr>
                <w:sz w:val="20"/>
                <w:szCs w:val="20"/>
                <w:color w:val="auto"/>
              </w:rPr>
            </w:pPr>
            <w:r>
              <w:rPr>
                <w:rFonts w:ascii="Calibri" w:cs="Calibri" w:eastAsia="Calibri" w:hAnsi="Calibri"/>
                <w:sz w:val="18"/>
                <w:szCs w:val="18"/>
                <w:color w:val="auto"/>
              </w:rPr>
              <w:t>27</w:t>
            </w: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87"/>
        </w:trPr>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-4714240</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-4714240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-4714240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-3814445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-3796665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-3814445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-3796665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-3814445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-3796665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-3814445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-2725420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-2725420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-2725420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-1071245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-1053465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-1071245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-1053465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-1071245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-1053465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9" w:name="page30"/>
    <w:bookmarkEnd w:id="2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Potental shares of our Class A common stock are excluded from the computaton of diluted net income per share of Class A common stock if their efect would have been ant-dilutve for the period presented or if the issuance of shares is contngent upon events that did not occur by the end of the period.</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presents potentally dilutve securites excluded from the computaton of diluted net income per share of Class A common stock for the periods presented that could potentally dilute earnings per share in the future: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00" w:type="dxa"/>
            <w:vAlign w:val="bottom"/>
          </w:tcPr>
          <w:p>
            <w:pPr>
              <w:spacing w:after="0"/>
              <w:rPr>
                <w:sz w:val="19"/>
                <w:szCs w:val="19"/>
                <w:color w:val="auto"/>
              </w:rPr>
            </w:pPr>
          </w:p>
        </w:tc>
        <w:tc>
          <w:tcPr>
            <w:tcW w:w="2720" w:type="dxa"/>
            <w:vAlign w:val="bottom"/>
            <w:gridSpan w:val="3"/>
          </w:tcPr>
          <w:p>
            <w:pPr>
              <w:jc w:val="right"/>
              <w:ind w:right="40"/>
              <w:spacing w:after="0"/>
              <w:rPr>
                <w:sz w:val="20"/>
                <w:szCs w:val="20"/>
                <w:color w:val="auto"/>
              </w:rPr>
            </w:pPr>
            <w:r>
              <w:rPr>
                <w:rFonts w:ascii="Calibri" w:cs="Calibri" w:eastAsia="Calibri" w:hAnsi="Calibri"/>
                <w:sz w:val="18"/>
                <w:szCs w:val="18"/>
                <w:b w:val="1"/>
                <w:bCs w:val="1"/>
                <w:color w:val="auto"/>
                <w:w w:val="98"/>
              </w:rPr>
              <w:t>Three Months Ended September 30,</w:t>
            </w:r>
          </w:p>
        </w:tc>
        <w:tc>
          <w:tcPr>
            <w:tcW w:w="220" w:type="dxa"/>
            <w:vAlign w:val="bottom"/>
          </w:tcPr>
          <w:p>
            <w:pPr>
              <w:spacing w:after="0"/>
              <w:rPr>
                <w:sz w:val="19"/>
                <w:szCs w:val="19"/>
                <w:color w:val="auto"/>
              </w:rPr>
            </w:pPr>
          </w:p>
        </w:tc>
        <w:tc>
          <w:tcPr>
            <w:tcW w:w="3000" w:type="dxa"/>
            <w:vAlign w:val="bottom"/>
            <w:gridSpan w:val="4"/>
          </w:tcPr>
          <w:p>
            <w:pPr>
              <w:ind w:left="180"/>
              <w:spacing w:after="0"/>
              <w:rPr>
                <w:sz w:val="20"/>
                <w:szCs w:val="20"/>
                <w:color w:val="auto"/>
              </w:rPr>
            </w:pPr>
            <w:r>
              <w:rPr>
                <w:rFonts w:ascii="Calibri" w:cs="Calibri" w:eastAsia="Calibri" w:hAnsi="Calibri"/>
                <w:sz w:val="18"/>
                <w:szCs w:val="18"/>
                <w:b w:val="1"/>
                <w:bCs w:val="1"/>
                <w:color w:val="auto"/>
              </w:rPr>
              <w:t>Nine Months Ended September 30,</w:t>
            </w:r>
          </w:p>
        </w:tc>
      </w:tr>
      <w:tr>
        <w:trPr>
          <w:trHeight w:val="37"/>
        </w:trPr>
        <w:tc>
          <w:tcPr>
            <w:tcW w:w="53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5300" w:type="dxa"/>
            <w:vAlign w:val="bottom"/>
          </w:tcPr>
          <w:p>
            <w:pPr>
              <w:spacing w:after="0"/>
              <w:rPr>
                <w:sz w:val="18"/>
                <w:szCs w:val="18"/>
                <w:color w:val="auto"/>
              </w:rPr>
            </w:pPr>
          </w:p>
        </w:tc>
        <w:tc>
          <w:tcPr>
            <w:tcW w:w="126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2024</w:t>
            </w:r>
          </w:p>
        </w:tc>
        <w:tc>
          <w:tcPr>
            <w:tcW w:w="1460" w:type="dxa"/>
            <w:vAlign w:val="bottom"/>
            <w:gridSpan w:val="2"/>
          </w:tcPr>
          <w:p>
            <w:pPr>
              <w:jc w:val="right"/>
              <w:ind w:right="420"/>
              <w:spacing w:after="0" w:line="208"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124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2024</w:t>
            </w:r>
          </w:p>
        </w:tc>
        <w:tc>
          <w:tcPr>
            <w:tcW w:w="1660" w:type="dxa"/>
            <w:vAlign w:val="bottom"/>
            <w:gridSpan w:val="2"/>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5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RSUs</w:t>
            </w:r>
          </w:p>
        </w:tc>
        <w:tc>
          <w:tcPr>
            <w:tcW w:w="12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2,002,430</w:t>
            </w:r>
          </w:p>
        </w:tc>
        <w:tc>
          <w:tcPr>
            <w:tcW w:w="14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1,576,861</w:t>
            </w:r>
          </w:p>
        </w:tc>
        <w:tc>
          <w:tcPr>
            <w:tcW w:w="14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801,833</w:t>
            </w:r>
          </w:p>
        </w:tc>
        <w:tc>
          <w:tcPr>
            <w:tcW w:w="16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857,813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300" w:type="dxa"/>
            <w:vAlign w:val="bottom"/>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7,401,783</w:t>
            </w:r>
          </w:p>
        </w:tc>
        <w:tc>
          <w:tcPr>
            <w:tcW w:w="14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10,597,528</w:t>
            </w:r>
          </w:p>
        </w:tc>
        <w:tc>
          <w:tcPr>
            <w:tcW w:w="14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7,401,783</w:t>
            </w:r>
          </w:p>
        </w:tc>
        <w:tc>
          <w:tcPr>
            <w:tcW w:w="16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10,597,528</w:t>
            </w:r>
          </w:p>
        </w:tc>
        <w:tc>
          <w:tcPr>
            <w:tcW w:w="100" w:type="dxa"/>
            <w:vAlign w:val="bottom"/>
          </w:tcPr>
          <w:p>
            <w:pPr>
              <w:spacing w:after="0"/>
              <w:rPr>
                <w:sz w:val="18"/>
                <w:szCs w:val="18"/>
                <w:color w:val="auto"/>
              </w:rPr>
            </w:pPr>
          </w:p>
        </w:tc>
      </w:tr>
      <w:tr>
        <w:trPr>
          <w:trHeight w:val="28"/>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3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Public Warrants and Private Warrants</w:t>
            </w: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14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14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16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300" w:type="dxa"/>
            <w:vAlign w:val="bottom"/>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4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4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6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00" w:type="dxa"/>
            <w:vAlign w:val="bottom"/>
          </w:tcPr>
          <w:p>
            <w:pPr>
              <w:spacing w:after="0"/>
              <w:rPr>
                <w:sz w:val="18"/>
                <w:szCs w:val="18"/>
                <w:color w:val="auto"/>
              </w:rPr>
            </w:pPr>
          </w:p>
        </w:tc>
      </w:tr>
      <w:tr>
        <w:trPr>
          <w:trHeight w:val="28"/>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3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Intermediate Warrants</w:t>
            </w: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4,000,000</w:t>
            </w:r>
          </w:p>
        </w:tc>
        <w:tc>
          <w:tcPr>
            <w:tcW w:w="14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6,000,000</w:t>
            </w:r>
          </w:p>
        </w:tc>
        <w:tc>
          <w:tcPr>
            <w:tcW w:w="14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4,000,000</w:t>
            </w:r>
          </w:p>
        </w:tc>
        <w:tc>
          <w:tcPr>
            <w:tcW w:w="16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6,000,000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300" w:type="dxa"/>
            <w:vAlign w:val="bottom"/>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76,225,000</w:t>
            </w:r>
          </w:p>
        </w:tc>
        <w:tc>
          <w:tcPr>
            <w:tcW w:w="14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99,800,000</w:t>
            </w:r>
          </w:p>
        </w:tc>
        <w:tc>
          <w:tcPr>
            <w:tcW w:w="14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76,225,000</w:t>
            </w:r>
          </w:p>
        </w:tc>
        <w:tc>
          <w:tcPr>
            <w:tcW w:w="200" w:type="dxa"/>
            <w:vAlign w:val="bottom"/>
          </w:tcPr>
          <w:p>
            <w:pPr>
              <w:spacing w:after="0"/>
              <w:rPr>
                <w:sz w:val="18"/>
                <w:szCs w:val="18"/>
                <w:color w:val="auto"/>
              </w:rPr>
            </w:pPr>
          </w:p>
        </w:tc>
        <w:tc>
          <w:tcPr>
            <w:tcW w:w="15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869"/>
        </w:trPr>
        <w:tc>
          <w:tcPr>
            <w:tcW w:w="5300" w:type="dxa"/>
            <w:vAlign w:val="bottom"/>
          </w:tcPr>
          <w:p>
            <w:pPr>
              <w:spacing w:after="0"/>
              <w:rPr>
                <w:sz w:val="24"/>
                <w:szCs w:val="24"/>
                <w:color w:val="auto"/>
              </w:rPr>
            </w:pPr>
          </w:p>
        </w:tc>
        <w:tc>
          <w:tcPr>
            <w:tcW w:w="1260" w:type="dxa"/>
            <w:vAlign w:val="bottom"/>
          </w:tcPr>
          <w:p>
            <w:pPr>
              <w:jc w:val="right"/>
              <w:ind w:right="750"/>
              <w:spacing w:after="0"/>
              <w:rPr>
                <w:sz w:val="20"/>
                <w:szCs w:val="20"/>
                <w:color w:val="auto"/>
              </w:rPr>
            </w:pPr>
            <w:r>
              <w:rPr>
                <w:rFonts w:ascii="Calibri" w:cs="Calibri" w:eastAsia="Calibri" w:hAnsi="Calibri"/>
                <w:sz w:val="18"/>
                <w:szCs w:val="18"/>
                <w:color w:val="auto"/>
              </w:rPr>
              <w:t>28</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6"/>
        </w:trPr>
        <w:tc>
          <w:tcPr>
            <w:tcW w:w="5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0" w:name="page31"/>
    <w:bookmarkEnd w:id="30"/>
    <w:p>
      <w:pPr>
        <w:ind w:left="1980"/>
        <w:spacing w:after="0"/>
        <w:rPr>
          <w:sz w:val="20"/>
          <w:szCs w:val="20"/>
          <w:color w:val="auto"/>
        </w:rPr>
      </w:pPr>
      <w:r>
        <w:rPr>
          <w:rFonts w:ascii="Calibri" w:cs="Calibri" w:eastAsia="Calibri" w:hAnsi="Calibri"/>
          <w:sz w:val="18"/>
          <w:szCs w:val="18"/>
          <w:b w:val="1"/>
          <w:bCs w:val="1"/>
          <w:color w:val="auto"/>
        </w:rPr>
        <w:t>Item 2. MANAGEMENT’S DISCUSSION AND ANALYSIS OF FINANCIAL CONDITION AND RESULTS OF OPERATIONS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This discussion is intended to help readers understand our fnancial conditon and results of operatons and is provided as an additon to, and should be read together with, our condensed consolidated fnancial statements and accompanying notes included elsewhere in this Report, as well as our audited consolidated fnancial statements and accompanying notes contained in our 2023 Form 10-K. This discussion contains forward-looking statements, which are subject to risks and uncertaintes that could cause actual results or outcomes to difer materially from those contemplated by the forward-looking statements. Such risks and uncertaintes include, but are not limited to, those discussed in the “Risk Factors” and “Forward-Looking Statements” sectons of this Report and our 2023 Form 10-K.</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We are an online tcket marketplace that utlizes our technology platorm to connect fans of live events seamlessly with tcket sellers. Our mission is to empower and enable fans to </w:t>
      </w:r>
      <w:r>
        <w:rPr>
          <w:rFonts w:ascii="Calibri" w:cs="Calibri" w:eastAsia="Calibri" w:hAnsi="Calibri"/>
          <w:sz w:val="17"/>
          <w:szCs w:val="17"/>
          <w:i w:val="1"/>
          <w:iCs w:val="1"/>
          <w:color w:val="auto"/>
        </w:rPr>
        <w:t>Experience It Live</w:t>
      </w:r>
      <w:r>
        <w:rPr>
          <w:rFonts w:ascii="Calibri" w:cs="Calibri" w:eastAsia="Calibri" w:hAnsi="Calibri"/>
          <w:sz w:val="17"/>
          <w:szCs w:val="17"/>
          <w:color w:val="auto"/>
        </w:rPr>
        <w:t>. We believe in the power of shared experiences to connect people with live events delivering some of life’s most excitng moments. We operate a technology platorm and marketplace that enables tcket buyers to easily discover and purchase tckets to live events and atractons and book hotel rooms and packages, while enabling tcket sellers and partners to seamlessly manage their operatons. We diferentate from compettors by ofering an extensive breadth and depth of tcket listngs at a compettve value. The following table summarizes our Marketplace Gross Order Value (“Marketplace GOV”), revenues, net income and Adjusted EBITDA for the three and nine months ended September 30, 2024 and 2023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3660" w:type="dxa"/>
            <w:vAlign w:val="bottom"/>
            <w:gridSpan w:val="5"/>
          </w:tcPr>
          <w:p>
            <w:pPr>
              <w:jc w:val="right"/>
              <w:ind w:right="430"/>
              <w:spacing w:after="0"/>
              <w:rPr>
                <w:sz w:val="20"/>
                <w:szCs w:val="20"/>
                <w:color w:val="auto"/>
              </w:rPr>
            </w:pPr>
            <w:r>
              <w:rPr>
                <w:rFonts w:ascii="Calibri" w:cs="Calibri" w:eastAsia="Calibri" w:hAnsi="Calibri"/>
                <w:sz w:val="18"/>
                <w:szCs w:val="18"/>
                <w:b w:val="1"/>
                <w:bCs w:val="1"/>
                <w:color w:val="auto"/>
              </w:rPr>
              <w:t>Three Months Ended September 30,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5"/>
          </w:tcPr>
          <w:p>
            <w:pPr>
              <w:ind w:left="180"/>
              <w:spacing w:after="0"/>
              <w:rPr>
                <w:sz w:val="20"/>
                <w:szCs w:val="20"/>
                <w:color w:val="auto"/>
              </w:rPr>
            </w:pPr>
            <w:r>
              <w:rPr>
                <w:rFonts w:ascii="Calibri" w:cs="Calibri" w:eastAsia="Calibri" w:hAnsi="Calibri"/>
                <w:sz w:val="18"/>
                <w:szCs w:val="18"/>
                <w:b w:val="1"/>
                <w:bCs w:val="1"/>
                <w:color w:val="auto"/>
              </w:rPr>
              <w:t>Nine Months Ended September 30,</w:t>
            </w:r>
          </w:p>
        </w:tc>
      </w:tr>
      <w:tr>
        <w:trPr>
          <w:trHeight w:val="37"/>
        </w:trPr>
        <w:tc>
          <w:tcPr>
            <w:tcW w:w="37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3700" w:type="dxa"/>
            <w:vAlign w:val="bottom"/>
          </w:tcPr>
          <w:p>
            <w:pPr>
              <w:spacing w:after="0"/>
              <w:rPr>
                <w:sz w:val="18"/>
                <w:szCs w:val="18"/>
                <w:color w:val="auto"/>
              </w:rPr>
            </w:pP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0"/>
              <w:spacing w:after="0" w:line="208"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3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3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7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GOV*</w:t>
            </w:r>
          </w:p>
        </w:tc>
        <w:tc>
          <w:tcPr>
            <w:tcW w:w="1080" w:type="dxa"/>
            <w:vAlign w:val="bottom"/>
            <w:tcBorders>
              <w:bottom w:val="single" w:sz="8" w:color="CFF0FC"/>
            </w:tcBorders>
            <w:shd w:val="clear" w:color="auto" w:fill="CFF0FC"/>
          </w:tcPr>
          <w:p>
            <w:pPr>
              <w:jc w:val="right"/>
              <w:ind w:right="890"/>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871,726</w:t>
            </w:r>
          </w:p>
        </w:tc>
        <w:tc>
          <w:tcPr>
            <w:tcW w:w="720" w:type="dxa"/>
            <w:vAlign w:val="bottom"/>
            <w:tcBorders>
              <w:bottom w:val="single" w:sz="8" w:color="CFF0FC"/>
            </w:tcBorders>
            <w:gridSpan w:val="2"/>
            <w:shd w:val="clear" w:color="auto" w:fill="CFF0FC"/>
          </w:tcPr>
          <w:p>
            <w:pPr>
              <w:jc w:val="right"/>
              <w:ind w:right="26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998,933</w:t>
            </w:r>
          </w:p>
        </w:tc>
        <w:tc>
          <w:tcPr>
            <w:tcW w:w="600" w:type="dxa"/>
            <w:vAlign w:val="bottom"/>
            <w:tcBorders>
              <w:bottom w:val="single" w:sz="8" w:color="CFF0FC"/>
            </w:tcBorders>
            <w:gridSpan w:val="2"/>
            <w:shd w:val="clear" w:color="auto" w:fill="CFF0FC"/>
          </w:tcPr>
          <w:p>
            <w:pPr>
              <w:jc w:val="right"/>
              <w:ind w:right="18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2,898,269</w:t>
            </w:r>
          </w:p>
        </w:tc>
        <w:tc>
          <w:tcPr>
            <w:tcW w:w="680" w:type="dxa"/>
            <w:vAlign w:val="bottom"/>
            <w:tcBorders>
              <w:bottom w:val="single" w:sz="8" w:color="CFF0FC"/>
            </w:tcBorders>
            <w:gridSpan w:val="2"/>
            <w:shd w:val="clear" w:color="auto" w:fill="CFF0FC"/>
          </w:tcPr>
          <w:p>
            <w:pPr>
              <w:jc w:val="right"/>
              <w:ind w:right="24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2,808,200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Revenues</w:t>
            </w:r>
          </w:p>
        </w:tc>
        <w:tc>
          <w:tcPr>
            <w:tcW w:w="10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186,605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188,133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575,773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514,576</w:t>
            </w:r>
          </w:p>
        </w:tc>
        <w:tc>
          <w:tcPr>
            <w:tcW w:w="100" w:type="dxa"/>
            <w:vAlign w:val="bottom"/>
          </w:tcPr>
          <w:p>
            <w:pPr>
              <w:spacing w:after="0"/>
              <w:rPr>
                <w:sz w:val="18"/>
                <w:szCs w:val="18"/>
                <w:color w:val="auto"/>
              </w:rPr>
            </w:pPr>
          </w:p>
        </w:tc>
      </w:tr>
      <w:tr>
        <w:trPr>
          <w:trHeight w:val="28"/>
        </w:trPr>
        <w:tc>
          <w:tcPr>
            <w:tcW w:w="3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10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9,196</w:t>
            </w: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16,018</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18,716</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84,616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EBITDA*</w:t>
            </w:r>
          </w:p>
        </w:tc>
        <w:tc>
          <w:tcPr>
            <w:tcW w:w="1080" w:type="dxa"/>
            <w:vAlign w:val="bottom"/>
          </w:tcPr>
          <w:p>
            <w:pPr>
              <w:jc w:val="right"/>
              <w:ind w:right="89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34,077</w:t>
            </w:r>
          </w:p>
        </w:tc>
        <w:tc>
          <w:tcPr>
            <w:tcW w:w="7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33,367</w:t>
            </w:r>
          </w:p>
        </w:tc>
        <w:tc>
          <w:tcPr>
            <w:tcW w:w="6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117,172</w:t>
            </w:r>
          </w:p>
        </w:tc>
        <w:tc>
          <w:tcPr>
            <w:tcW w:w="6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106,879</w:t>
            </w:r>
          </w:p>
        </w:tc>
        <w:tc>
          <w:tcPr>
            <w:tcW w:w="100" w:type="dxa"/>
            <w:vAlign w:val="bottom"/>
          </w:tcPr>
          <w:p>
            <w:pPr>
              <w:spacing w:after="0"/>
              <w:rPr>
                <w:sz w:val="18"/>
                <w:szCs w:val="18"/>
                <w:color w:val="auto"/>
              </w:rPr>
            </w:pPr>
          </w:p>
        </w:tc>
      </w:tr>
    </w:tbl>
    <w:p>
      <w:pPr>
        <w:spacing w:after="0" w:line="114" w:lineRule="exact"/>
        <w:rPr>
          <w:sz w:val="20"/>
          <w:szCs w:val="20"/>
          <w:color w:val="auto"/>
        </w:rPr>
      </w:pPr>
    </w:p>
    <w:p>
      <w:pPr>
        <w:ind w:left="160" w:hanging="152"/>
        <w:spacing w:after="0" w:line="235" w:lineRule="auto"/>
        <w:tabs>
          <w:tab w:leader="none" w:pos="328"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See the “Key Business Metrics” secton below for more informaton on Marketplace GOV and Adjusted EBITDA, which is a fnancial measure not defned under accountng principles generally accepted in the United States of America (“US GAAP”).</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processing tcket sales for live events and atractons and from facilitatng the booking of hotel rooms and packages from our Owned Propertes and from our Private Label ofering. Our Owned Propertes consist of our websites and mobile applicatons, including Vivid Seats, Vegas.com (as defned herein) and Wavedash (as defned herein), and our Private Label ofering consists of numerous distributon partners. The Owned Propertes component of our Marketplace segment also includes our Vivid Picks daily fantasy sports ofering, where users partake in contests by making picks from a variety of sport and player matchups. Using our online platorm, we facilitate customer payments, deposits and withdrawals, coordinate tcket deliveries and provide customer service. We do not hold tcket inventory in our Marketplace segment.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The revenue we earn from our Vivid Picks daily fantasy sports ofering is the diference between cash entry fees collected and cash amounts paid out to users for winning picks, less customer promotons and incentves.</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incur costs for developing and maintaining our platorm, providing back-ofce support and customer service, facilitatng payments and deposits, and shipping non-electronic tckets. We also incur substantal marketng costs, primarily related to online advertsing.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spacing w:after="0" w:line="235" w:lineRule="auto"/>
        <w:rPr>
          <w:sz w:val="20"/>
          <w:szCs w:val="20"/>
          <w:color w:val="auto"/>
        </w:rPr>
      </w:pPr>
      <w:r>
        <w:rPr>
          <w:rFonts w:ascii="Calibri" w:cs="Calibri" w:eastAsia="Calibri" w:hAnsi="Calibri"/>
          <w:sz w:val="18"/>
          <w:szCs w:val="18"/>
          <w:color w:val="auto"/>
        </w:rPr>
        <w:t>A key component of our platorm is Skybox, a proprietary enterprise resource planning (“ERP”) tool used by the majority of tcket sellers. Skybox is a free-to-use system that helps tcket sellers manage tcket inventories, adjust pricing and fulfll orders across multple tcket resale marketplaces. Professional tcket sellers use an ERP to manage their operatons, and Skybox is their most widely adopted ERP.</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tcketng marketplaces, including our own. Our Resale segment also provides internal research and development support for Skybox and our ongoing eforts to deliver industry-leading seller sofware and tools.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Business Metrics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these metrics provide useful informaton to investors and others in understanding and evaluatng our results of operatons in the same manner as our management team.</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key business metrics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tcPr>
          <w:p>
            <w:pPr>
              <w:spacing w:after="0"/>
              <w:rPr>
                <w:sz w:val="19"/>
                <w:szCs w:val="19"/>
                <w:color w:val="auto"/>
              </w:rPr>
            </w:pPr>
          </w:p>
        </w:tc>
        <w:tc>
          <w:tcPr>
            <w:tcW w:w="3140" w:type="dxa"/>
            <w:vAlign w:val="bottom"/>
            <w:gridSpan w:val="5"/>
          </w:tcPr>
          <w:p>
            <w:pPr>
              <w:jc w:val="right"/>
              <w:ind w:right="170"/>
              <w:spacing w:after="0"/>
              <w:rPr>
                <w:sz w:val="20"/>
                <w:szCs w:val="20"/>
                <w:color w:val="auto"/>
              </w:rPr>
            </w:pPr>
            <w:r>
              <w:rPr>
                <w:rFonts w:ascii="Calibri" w:cs="Calibri" w:eastAsia="Calibri" w:hAnsi="Calibri"/>
                <w:sz w:val="18"/>
                <w:szCs w:val="18"/>
                <w:b w:val="1"/>
                <w:bCs w:val="1"/>
                <w:color w:val="auto"/>
              </w:rPr>
              <w:t>Three Months Ended September 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5"/>
          </w:tcPr>
          <w:p>
            <w:pPr>
              <w:ind w:left="20"/>
              <w:spacing w:after="0"/>
              <w:rPr>
                <w:sz w:val="20"/>
                <w:szCs w:val="20"/>
                <w:color w:val="auto"/>
              </w:rPr>
            </w:pPr>
            <w:r>
              <w:rPr>
                <w:rFonts w:ascii="Calibri" w:cs="Calibri" w:eastAsia="Calibri" w:hAnsi="Calibri"/>
                <w:sz w:val="18"/>
                <w:szCs w:val="18"/>
                <w:b w:val="1"/>
                <w:bCs w:val="1"/>
                <w:color w:val="auto"/>
              </w:rPr>
              <w:t>Nine Months Ended September 30,</w:t>
            </w:r>
          </w:p>
        </w:tc>
      </w:tr>
      <w:tr>
        <w:trPr>
          <w:trHeight w:val="37"/>
        </w:trPr>
        <w:tc>
          <w:tcPr>
            <w:tcW w:w="4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940" w:type="dxa"/>
            <w:vAlign w:val="bottom"/>
          </w:tcPr>
          <w:p>
            <w:pPr>
              <w:spacing w:after="0"/>
              <w:rPr>
                <w:sz w:val="18"/>
                <w:szCs w:val="18"/>
                <w:color w:val="auto"/>
              </w:rPr>
            </w:pPr>
          </w:p>
        </w:tc>
        <w:tc>
          <w:tcPr>
            <w:tcW w:w="96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940" w:type="dxa"/>
            <w:vAlign w:val="bottom"/>
            <w:shd w:val="clear" w:color="auto" w:fill="CFF0FC"/>
          </w:tcPr>
          <w:p>
            <w:pPr>
              <w:ind w:left="20"/>
              <w:spacing w:after="0" w:line="236" w:lineRule="exact"/>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960" w:type="dxa"/>
            <w:vAlign w:val="bottom"/>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871,726</w:t>
            </w:r>
          </w:p>
        </w:tc>
        <w:tc>
          <w:tcPr>
            <w:tcW w:w="5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998,933</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2,898,269</w:t>
            </w:r>
          </w:p>
        </w:tc>
        <w:tc>
          <w:tcPr>
            <w:tcW w:w="54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2,808,200</w:t>
            </w:r>
          </w:p>
        </w:tc>
        <w:tc>
          <w:tcPr>
            <w:tcW w:w="100" w:type="dxa"/>
            <w:vAlign w:val="bottom"/>
            <w:shd w:val="clear" w:color="auto" w:fill="CFF0FC"/>
          </w:tcPr>
          <w:p>
            <w:pPr>
              <w:spacing w:after="0"/>
              <w:rPr>
                <w:sz w:val="20"/>
                <w:szCs w:val="20"/>
                <w:color w:val="auto"/>
              </w:rPr>
            </w:pPr>
          </w:p>
        </w:tc>
      </w:tr>
      <w:tr>
        <w:trPr>
          <w:trHeight w:val="243"/>
        </w:trPr>
        <w:tc>
          <w:tcPr>
            <w:tcW w:w="4940" w:type="dxa"/>
            <w:vAlign w:val="bottom"/>
          </w:tcPr>
          <w:p>
            <w:pPr>
              <w:ind w:left="20"/>
              <w:spacing w:after="0" w:line="243" w:lineRule="exact"/>
              <w:rPr>
                <w:sz w:val="20"/>
                <w:szCs w:val="20"/>
                <w:color w:val="auto"/>
              </w:rPr>
            </w:pPr>
            <w:r>
              <w:rPr>
                <w:rFonts w:ascii="Calibri" w:cs="Calibri" w:eastAsia="Calibri" w:hAnsi="Calibri"/>
                <w:sz w:val="18"/>
                <w:szCs w:val="18"/>
                <w:color w:val="auto"/>
              </w:rPr>
              <w:t>Total Marketplace orders</w:t>
            </w:r>
            <w:r>
              <w:rPr>
                <w:rFonts w:ascii="Calibri" w:cs="Calibri" w:eastAsia="Calibri" w:hAnsi="Calibri"/>
                <w:sz w:val="24"/>
                <w:szCs w:val="24"/>
                <w:color w:val="auto"/>
                <w:vertAlign w:val="superscript"/>
              </w:rPr>
              <w:t>(2)</w:t>
            </w:r>
          </w:p>
        </w:tc>
        <w:tc>
          <w:tcPr>
            <w:tcW w:w="960" w:type="dxa"/>
            <w:vAlign w:val="bottom"/>
          </w:tcPr>
          <w:p>
            <w:pPr>
              <w:spacing w:after="0"/>
              <w:rPr>
                <w:sz w:val="21"/>
                <w:szCs w:val="21"/>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2,969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3,022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8,943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7,924</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Total Resale orders</w:t>
            </w:r>
            <w:r>
              <w:rPr>
                <w:rFonts w:ascii="Calibri" w:cs="Calibri" w:eastAsia="Calibri" w:hAnsi="Calibri"/>
                <w:sz w:val="24"/>
                <w:szCs w:val="24"/>
                <w:color w:val="auto"/>
                <w:vertAlign w:val="superscript"/>
              </w:rPr>
              <w:t>(3)</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273</w:t>
            </w:r>
          </w:p>
        </w:tc>
        <w:tc>
          <w:tcPr>
            <w:tcW w:w="100" w:type="dxa"/>
            <w:vAlign w:val="bottom"/>
            <w:shd w:val="clear" w:color="auto" w:fill="CFF0FC"/>
          </w:tcPr>
          <w:p>
            <w:pPr>
              <w:spacing w:after="0"/>
              <w:rPr>
                <w:sz w:val="21"/>
                <w:szCs w:val="21"/>
                <w:color w:val="auto"/>
              </w:rPr>
            </w:pPr>
          </w:p>
        </w:tc>
      </w:tr>
      <w:tr>
        <w:trPr>
          <w:trHeight w:val="280"/>
        </w:trPr>
        <w:tc>
          <w:tcPr>
            <w:tcW w:w="494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960" w:type="dxa"/>
            <w:vAlign w:val="bottom"/>
          </w:tcPr>
          <w:p>
            <w:pPr>
              <w:jc w:val="right"/>
              <w:ind w:right="77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34,077</w:t>
            </w:r>
          </w:p>
        </w:tc>
        <w:tc>
          <w:tcPr>
            <w:tcW w:w="5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33,367</w:t>
            </w:r>
          </w:p>
        </w:tc>
        <w:tc>
          <w:tcPr>
            <w:tcW w:w="3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117,172</w:t>
            </w:r>
          </w:p>
        </w:tc>
        <w:tc>
          <w:tcPr>
            <w:tcW w:w="5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106,879</w:t>
            </w:r>
          </w:p>
        </w:tc>
        <w:tc>
          <w:tcPr>
            <w:tcW w:w="100" w:type="dxa"/>
            <w:vAlign w:val="bottom"/>
          </w:tcPr>
          <w:p>
            <w:pPr>
              <w:spacing w:after="0"/>
              <w:rPr>
                <w:sz w:val="24"/>
                <w:szCs w:val="24"/>
                <w:color w:val="auto"/>
              </w:rPr>
            </w:pPr>
          </w:p>
        </w:tc>
      </w:tr>
    </w:tbl>
    <w:p>
      <w:pPr>
        <w:spacing w:after="0" w:line="75" w:lineRule="exact"/>
        <w:rPr>
          <w:sz w:val="20"/>
          <w:szCs w:val="20"/>
          <w:color w:val="auto"/>
        </w:rPr>
      </w:pPr>
    </w:p>
    <w:p>
      <w:pPr>
        <w:jc w:val="both"/>
        <w:ind w:left="300" w:hanging="292"/>
        <w:spacing w:after="0" w:line="235" w:lineRule="auto"/>
        <w:tabs>
          <w:tab w:leader="none" w:pos="3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segment orders placed on our platorm in a period, inclusive of fees, exclusive of taxes and net of cancellatons that occurred during that period. During the three and nine months ended September 30, 2024, Marketplace GOV was negatvely impacted by cancellatons in the amount of $35.4 million and $74.9 million, respectvely, compared to $10.1 million and $33.9 million during the three and nine months ended September 30, 2023, respectvely.</w:t>
      </w:r>
    </w:p>
    <w:p>
      <w:pPr>
        <w:spacing w:after="0" w:line="111" w:lineRule="exact"/>
        <w:rPr>
          <w:rFonts w:ascii="Calibri" w:cs="Calibri" w:eastAsia="Calibri" w:hAnsi="Calibri"/>
          <w:sz w:val="18"/>
          <w:szCs w:val="18"/>
          <w:color w:val="auto"/>
        </w:rPr>
      </w:pPr>
    </w:p>
    <w:p>
      <w:pPr>
        <w:jc w:val="both"/>
        <w:ind w:left="300" w:hanging="292"/>
        <w:spacing w:after="0" w:line="235" w:lineRule="auto"/>
        <w:tabs>
          <w:tab w:leader="none" w:pos="3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Total Marketplace orders represents the volume of Marketplace segment orders placed on our platorm in a period, net of cancellatons that occurred during that period. During the three and nine months ended September 30, 2024, our Marketplace segment experienced 77,012 and 179,453 cancellatons, respectvely, compared to 28,203 and 78,034 cancellatons during the three and nine months ended September 30, 2023, respectvely.</w:t>
      </w:r>
    </w:p>
    <w:p>
      <w:pPr>
        <w:spacing w:after="0" w:line="110" w:lineRule="exact"/>
        <w:rPr>
          <w:rFonts w:ascii="Calibri" w:cs="Calibri" w:eastAsia="Calibri" w:hAnsi="Calibri"/>
          <w:sz w:val="18"/>
          <w:szCs w:val="18"/>
          <w:color w:val="auto"/>
        </w:rPr>
      </w:pPr>
    </w:p>
    <w:p>
      <w:pPr>
        <w:jc w:val="both"/>
        <w:ind w:left="300" w:hanging="292"/>
        <w:spacing w:after="0" w:line="235" w:lineRule="auto"/>
        <w:tabs>
          <w:tab w:leader="none" w:pos="3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Total Resale orders represents the volume of Resale segment orders in a period, net of cancellatons that occurred during that period. During the three and nine months ended September 30, 2024, our Resale segment experienced 2,411 and 4,494 cancellatons, respectvely, compared to 851 and 2,363 cancellatons during the three and nine months ended September 30, 2023, respectvely.</w:t>
      </w:r>
    </w:p>
    <w:p>
      <w:pPr>
        <w:spacing w:after="0" w:line="110" w:lineRule="exact"/>
        <w:rPr>
          <w:rFonts w:ascii="Calibri" w:cs="Calibri" w:eastAsia="Calibri" w:hAnsi="Calibri"/>
          <w:sz w:val="18"/>
          <w:szCs w:val="18"/>
          <w:color w:val="auto"/>
        </w:rPr>
      </w:pPr>
    </w:p>
    <w:p>
      <w:pPr>
        <w:jc w:val="both"/>
        <w:ind w:left="300" w:hanging="292"/>
        <w:spacing w:after="0" w:line="254" w:lineRule="auto"/>
        <w:tabs>
          <w:tab w:leader="none" w:pos="30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Adjusted EBITDA is a non-GAAP fnancial measure. We believe Adjusted EBITDA provides useful informaton to investors and others in understanding and evaluatng our results of operatons, as well as provides a useful measure for making period-to-period comparisons of our business performance. See the “Adjusted EBITDA” secton below for more informaton and a reconciliaton of Adjusted EBITDA to its most directly comparable US GAAP measure.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GOV</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is a key driver of our Marketplace segment revenue. Marketplace GOV represents the total transactonal amount of Marketplace segment orders placed on our platorm in a period, inclusive of fees, exclusive of taxes and net of cancellatons that occurred during that period. Marketplace GOV refects our ability to atract and retain customers, as well as the overall health of the industry.</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35" w:lineRule="auto"/>
        <w:rPr>
          <w:sz w:val="20"/>
          <w:szCs w:val="20"/>
          <w:color w:val="auto"/>
        </w:rPr>
      </w:pPr>
      <w:r>
        <w:rPr>
          <w:rFonts w:ascii="Calibri" w:cs="Calibri" w:eastAsia="Calibri" w:hAnsi="Calibri"/>
          <w:sz w:val="18"/>
          <w:szCs w:val="18"/>
          <w:color w:val="auto"/>
        </w:rPr>
        <w:t>Marketplace GOV can be impacted by seasonality. Quarterly fuctuatons in Marketplace GOV can result from changes in event supply, the popularity and demand of performers, tours, teams and events, the mix of concert venue types among stadiums, arenas and amphitheaters, the length and team compositon of sports playof series and championship games, and the number of cancellatons.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decreased during the three months ended September 30, 2024 compared to the three months ended September 30, 2023, primarily as a result of a decrease in average order size for concert events, including due to a shif in venue mix away from stadiums, and an increase in cancellatons. Conversely, Marketplace GOV increased during the nine months ended September 30, 2024 compared to the nine months ended September 30, 2023, primarily as a result of an increase in Total Marketplace orders.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Marketplace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Marketplace orders represents the volume of Marketplace segment orders placed on our platorm in a period, net of cancellatons that occurred during that period. An order can include one or more tckets, hotel rooms or parking passes. Total Marketplace orders allows us to monitor order volume and beter identfy trends within our Marketplace segment. Total Marketplace orders decreased during the three months ended September 30, 2024 compared to the three months ended September 30, 2023, primarily as a result of an increase in cancellatons, partally ofset by revenues from Vegas.com and Wavedash. Conversely, Total Marketplace orders increased during the nine months ended September 30, 2024 compared to the nine months ended September 30, 2023, primarily as a result of an increase in the number of orders processed, which was due in part to the nine months ended September 30, 2024 including orders processed through Vegas.com and Wavedash.</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Resale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Resale orders represents the volume of Resale segment orders in a period, net of cancellatons that occurred during that period. An order can include one or more tckets or parking passes. Total Resale orders allows us to monitor order volume and beter identfy trends within our Resale segment. Total Resale orders increased during the three and nine months ended September 30, 2024 compared to the three and nine months ended September 30, 2023, primarily as a result of higher actvity in our Resale segment.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Adjusted EBITDA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present Adjusted EBITDA, which is a non-GAAP fnancial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of our control or not refectve of ongoing performance related directly to the operaton of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a key measure used by our management team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making period-to-period comparisons of our business performance and highlightng trends in our operatng results.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not based on any comprehensive set of accountng rules or principles and should not be considered a substtute for, or superior to, fnancial measures calculated in accordance with US GAAP. Adjusted EBITDA does not refect all amounts associated with our operatng results as determined in accordance with US GAAP and may exclude recurring costs, such as interest expense – net, equity-based compensaton, litgaton, setlements and related costs, change in fair value of warrants, change in fair value of derivatve assets and foreign currency revaluaton losses (gains). In additon, other companies may calculate Adjusted EBITDA diferently than we do, thereby limitng its usefulness as a comparatve tool. We compensate for these limitatons by providing specifc informaton regarding the US GAAP amounts excluded from Adjusted EBITDA.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color w:val="auto"/>
        </w:rPr>
        <w:t>The following table provides a reconciliaton of Adjusted EBITDA to its most directly comparable US GAAP measure, net income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Pr>
          <w:p>
            <w:pPr>
              <w:spacing w:after="0"/>
              <w:rPr>
                <w:sz w:val="19"/>
                <w:szCs w:val="19"/>
                <w:color w:val="auto"/>
              </w:rPr>
            </w:pPr>
          </w:p>
        </w:tc>
        <w:tc>
          <w:tcPr>
            <w:tcW w:w="3020" w:type="dxa"/>
            <w:vAlign w:val="bottom"/>
            <w:gridSpan w:val="7"/>
          </w:tcPr>
          <w:p>
            <w:pPr>
              <w:ind w:left="80"/>
              <w:spacing w:after="0"/>
              <w:rPr>
                <w:sz w:val="20"/>
                <w:szCs w:val="20"/>
                <w:color w:val="auto"/>
              </w:rPr>
            </w:pPr>
            <w:r>
              <w:rPr>
                <w:rFonts w:ascii="Calibri" w:cs="Calibri" w:eastAsia="Calibri" w:hAnsi="Calibri"/>
                <w:sz w:val="18"/>
                <w:szCs w:val="18"/>
                <w:b w:val="1"/>
                <w:bCs w:val="1"/>
                <w:color w:val="auto"/>
              </w:rPr>
              <w:t>Three Months Ended September 30,</w:t>
            </w:r>
          </w:p>
        </w:tc>
        <w:tc>
          <w:tcPr>
            <w:tcW w:w="2820" w:type="dxa"/>
            <w:vAlign w:val="bottom"/>
            <w:gridSpan w:val="6"/>
          </w:tcPr>
          <w:p>
            <w:pPr>
              <w:jc w:val="right"/>
              <w:ind w:right="200"/>
              <w:spacing w:after="0"/>
              <w:rPr>
                <w:sz w:val="20"/>
                <w:szCs w:val="20"/>
                <w:color w:val="auto"/>
              </w:rPr>
            </w:pPr>
            <w:r>
              <w:rPr>
                <w:rFonts w:ascii="Calibri" w:cs="Calibri" w:eastAsia="Calibri" w:hAnsi="Calibri"/>
                <w:sz w:val="18"/>
                <w:szCs w:val="18"/>
                <w:b w:val="1"/>
                <w:bCs w:val="1"/>
                <w:color w:val="auto"/>
                <w:w w:val="99"/>
              </w:rPr>
              <w:t>Nine Months Ended September 30,</w:t>
            </w:r>
          </w:p>
        </w:tc>
      </w:tr>
      <w:tr>
        <w:trPr>
          <w:trHeight w:val="37"/>
        </w:trPr>
        <w:tc>
          <w:tcPr>
            <w:tcW w:w="54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54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income</w:t>
            </w:r>
          </w:p>
        </w:tc>
        <w:tc>
          <w:tcPr>
            <w:tcW w:w="28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9,196</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16,018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18,716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84,616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expense (beneft)</w:t>
            </w: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4,290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7,136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(21,605 )</w:t>
            </w:r>
          </w:p>
        </w:tc>
      </w:tr>
      <w:tr>
        <w:trPr>
          <w:trHeight w:val="28"/>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6,300</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2,544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16,706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10,669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31,654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8,603</w:t>
            </w:r>
          </w:p>
        </w:tc>
        <w:tc>
          <w:tcPr>
            <w:tcW w:w="10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Sales tax liability</w:t>
            </w:r>
            <w:r>
              <w:rPr>
                <w:rFonts w:ascii="Calibri" w:cs="Calibri" w:eastAsia="Calibri" w:hAnsi="Calibri"/>
                <w:sz w:val="24"/>
                <w:szCs w:val="24"/>
                <w:color w:val="auto"/>
                <w:vertAlign w:val="superscript"/>
              </w:rPr>
              <w:t>(1)</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2,613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Transacton costs</w:t>
            </w:r>
            <w:r>
              <w:rPr>
                <w:rFonts w:ascii="Calibri" w:cs="Calibri" w:eastAsia="Calibri" w:hAnsi="Calibri"/>
                <w:sz w:val="24"/>
                <w:szCs w:val="24"/>
                <w:color w:val="auto"/>
                <w:vertAlign w:val="superscript"/>
              </w:rPr>
              <w:t>(2)</w:t>
            </w: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1,243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6,649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7,234</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Equity-based compensaton</w:t>
            </w:r>
            <w:r>
              <w:rPr>
                <w:rFonts w:ascii="Calibri" w:cs="Calibri" w:eastAsia="Calibri" w:hAnsi="Calibri"/>
                <w:sz w:val="24"/>
                <w:szCs w:val="24"/>
                <w:color w:val="auto"/>
                <w:vertAlign w:val="superscript"/>
              </w:rPr>
              <w:t>(3)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10,685</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7,578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38,284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20,488</w:t>
            </w: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Litgaton, setlements and related costs</w:t>
            </w:r>
            <w:r>
              <w:rPr>
                <w:rFonts w:ascii="Calibri" w:cs="Calibri" w:eastAsia="Calibri" w:hAnsi="Calibri"/>
                <w:sz w:val="24"/>
                <w:szCs w:val="24"/>
                <w:color w:val="auto"/>
                <w:vertAlign w:val="superscript"/>
              </w:rPr>
              <w:t>(4)</w:t>
            </w: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157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164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260</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Change in fair value of warrants</w:t>
            </w:r>
            <w:r>
              <w:rPr>
                <w:rFonts w:ascii="Calibri" w:cs="Calibri" w:eastAsia="Calibri" w:hAnsi="Calibri"/>
                <w:sz w:val="24"/>
                <w:szCs w:val="24"/>
                <w:color w:val="auto"/>
                <w:vertAlign w:val="superscript"/>
              </w:rPr>
              <w:t>(5)</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(3,952 )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(1,664 )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(5,713 )</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(991 )</w:t>
            </w: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Change in fair value of derivatve asset</w:t>
            </w:r>
            <w:r>
              <w:rPr>
                <w:rFonts w:ascii="Calibri" w:cs="Calibri" w:eastAsia="Calibri" w:hAnsi="Calibri"/>
                <w:sz w:val="24"/>
                <w:szCs w:val="24"/>
                <w:color w:val="auto"/>
                <w:vertAlign w:val="superscript"/>
              </w:rPr>
              <w:t>(6)</w:t>
            </w: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456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537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83</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Change in fair value of contngent consideraton</w:t>
            </w:r>
            <w:r>
              <w:rPr>
                <w:rFonts w:ascii="Calibri" w:cs="Calibri" w:eastAsia="Calibri" w:hAnsi="Calibri"/>
                <w:sz w:val="24"/>
                <w:szCs w:val="24"/>
                <w:color w:val="auto"/>
                <w:vertAlign w:val="superscript"/>
              </w:rPr>
              <w:t>(7)</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(998 )</w:t>
            </w:r>
          </w:p>
        </w:tc>
      </w:tr>
      <w:tr>
        <w:trPr>
          <w:trHeight w:val="243"/>
        </w:trPr>
        <w:tc>
          <w:tcPr>
            <w:tcW w:w="5400" w:type="dxa"/>
            <w:vAlign w:val="bottom"/>
          </w:tcPr>
          <w:p>
            <w:pPr>
              <w:ind w:left="20"/>
              <w:spacing w:after="0" w:line="243" w:lineRule="exact"/>
              <w:rPr>
                <w:sz w:val="20"/>
                <w:szCs w:val="20"/>
                <w:color w:val="auto"/>
              </w:rPr>
            </w:pPr>
            <w:r>
              <w:rPr>
                <w:rFonts w:ascii="Calibri" w:cs="Calibri" w:eastAsia="Calibri" w:hAnsi="Calibri"/>
                <w:sz w:val="18"/>
                <w:szCs w:val="18"/>
                <w:color w:val="auto"/>
              </w:rPr>
              <w:t>Loss on asset disposals</w:t>
            </w:r>
            <w:r>
              <w:rPr>
                <w:rFonts w:ascii="Calibri" w:cs="Calibri" w:eastAsia="Calibri" w:hAnsi="Calibri"/>
                <w:sz w:val="24"/>
                <w:szCs w:val="24"/>
                <w:color w:val="auto"/>
                <w:vertAlign w:val="superscript"/>
              </w:rPr>
              <w:t>(8)</w:t>
            </w: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38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160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51</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Foreign currency revaluaton losses (gains)</w:t>
            </w:r>
            <w:r>
              <w:rPr>
                <w:rFonts w:ascii="Calibri" w:cs="Calibri" w:eastAsia="Calibri" w:hAnsi="Calibri"/>
                <w:sz w:val="24"/>
                <w:szCs w:val="24"/>
                <w:color w:val="auto"/>
                <w:vertAlign w:val="superscript"/>
              </w:rPr>
              <w:t>(9)</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(5,531 )</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542</w:t>
            </w:r>
          </w:p>
        </w:tc>
        <w:tc>
          <w:tcPr>
            <w:tcW w:w="100" w:type="dxa"/>
            <w:vAlign w:val="bottom"/>
            <w:shd w:val="clear" w:color="auto" w:fill="CFF0FC"/>
          </w:tcPr>
          <w:p>
            <w:pPr>
              <w:spacing w:after="0"/>
              <w:rPr>
                <w:sz w:val="21"/>
                <w:szCs w:val="21"/>
                <w:color w:val="auto"/>
              </w:rPr>
            </w:pPr>
          </w:p>
        </w:tc>
      </w:tr>
      <w:tr>
        <w:trPr>
          <w:trHeight w:val="237"/>
        </w:trPr>
        <w:tc>
          <w:tcPr>
            <w:tcW w:w="54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28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w w:val="87"/>
              </w:rPr>
              <w:t>$</w:t>
            </w: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34,077</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33,367</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117,172</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w w:val="87"/>
              </w:rPr>
              <w:t>$</w:t>
            </w: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106,879</w:t>
            </w:r>
          </w:p>
        </w:tc>
        <w:tc>
          <w:tcPr>
            <w:tcW w:w="10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ind w:left="300" w:hanging="292"/>
        <w:spacing w:after="0" w:line="235" w:lineRule="auto"/>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have historically incurred sales tax expense in jurisdictons where we expected to collect and remit indirect taxes, but were not yet collectng from customers. During the three and nine months ended September 30, 2024, we accrued for additonal sales and indirect tax liabilites in jurisdictons where we are not yet collectng from customers and setled certain local admission tax liabilites for less than the amount that was accrued as of December 31, 2023.</w:t>
      </w:r>
    </w:p>
    <w:p>
      <w:pPr>
        <w:spacing w:after="0" w:line="111" w:lineRule="exact"/>
        <w:rPr>
          <w:rFonts w:ascii="Calibri" w:cs="Calibri" w:eastAsia="Calibri" w:hAnsi="Calibri"/>
          <w:sz w:val="18"/>
          <w:szCs w:val="18"/>
          <w:color w:val="auto"/>
        </w:rPr>
      </w:pPr>
    </w:p>
    <w:p>
      <w:pPr>
        <w:jc w:val="both"/>
        <w:ind w:left="300" w:hanging="292"/>
        <w:spacing w:after="0" w:line="235" w:lineRule="auto"/>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legal, accountng, tax and other professional fees; personnel-related costs, which consist of retenton bonuses; integraton costs; and other transacton-related expenses. Costs in the three and nine months ended September 30, 2024 primarily related to the refnancing of the February 2022 First Lien Loan with the June 2024 First Lien Loan (each as defned herein), share repurchases, acquisitons and strategic investments. Costs in the three and nine months ended September 30, 2023 primarily related to a secondary ofering of our Class A common stock, acquisitons and strategic investments.</w:t>
      </w:r>
    </w:p>
    <w:p>
      <w:pPr>
        <w:spacing w:after="0" w:line="112" w:lineRule="exact"/>
        <w:rPr>
          <w:rFonts w:ascii="Calibri" w:cs="Calibri" w:eastAsia="Calibri" w:hAnsi="Calibri"/>
          <w:sz w:val="18"/>
          <w:szCs w:val="18"/>
          <w:color w:val="auto"/>
        </w:rPr>
      </w:pPr>
    </w:p>
    <w:p>
      <w:pPr>
        <w:ind w:left="300" w:hanging="292"/>
        <w:spacing w:after="0" w:line="235" w:lineRule="auto"/>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equity granted pursuant to our 2021 Incentve Award Plan, as amended, and profts interests issued prior to our merger transacton with Horizon Acquisiton Corporaton (the “Merger Transacton”), neither of which are considered indicatve of our core operatng performance.</w:t>
      </w:r>
    </w:p>
    <w:p>
      <w:pPr>
        <w:spacing w:after="0" w:line="104" w:lineRule="exact"/>
        <w:rPr>
          <w:rFonts w:ascii="Calibri" w:cs="Calibri" w:eastAsia="Calibri" w:hAnsi="Calibri"/>
          <w:sz w:val="18"/>
          <w:szCs w:val="18"/>
          <w:color w:val="auto"/>
        </w:rPr>
      </w:pPr>
    </w:p>
    <w:p>
      <w:pPr>
        <w:ind w:left="300" w:hanging="292"/>
        <w:spacing w:after="0"/>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external legal costs, setlement costs and insurance recoveries that were unrelated to our core business operatons.</w:t>
      </w:r>
    </w:p>
    <w:p>
      <w:pPr>
        <w:spacing w:after="0" w:line="109" w:lineRule="exact"/>
        <w:rPr>
          <w:rFonts w:ascii="Calibri" w:cs="Calibri" w:eastAsia="Calibri" w:hAnsi="Calibri"/>
          <w:sz w:val="18"/>
          <w:szCs w:val="18"/>
          <w:color w:val="auto"/>
        </w:rPr>
      </w:pPr>
    </w:p>
    <w:p>
      <w:pPr>
        <w:ind w:left="300" w:hanging="292"/>
        <w:spacing w:after="0" w:line="235" w:lineRule="auto"/>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warrants to purchase common units (“Intermediate Units”) of Hoya Intermediate held by Hoya Topco, LLC (“Hoya Topco”) following the Merger Transacton.</w:t>
      </w:r>
    </w:p>
    <w:p>
      <w:pPr>
        <w:spacing w:after="0" w:line="104" w:lineRule="exact"/>
        <w:rPr>
          <w:rFonts w:ascii="Calibri" w:cs="Calibri" w:eastAsia="Calibri" w:hAnsi="Calibri"/>
          <w:sz w:val="18"/>
          <w:szCs w:val="18"/>
          <w:color w:val="auto"/>
        </w:rPr>
      </w:pPr>
    </w:p>
    <w:p>
      <w:pPr>
        <w:ind w:left="300" w:hanging="292"/>
        <w:spacing w:after="0"/>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derivatves recorded at fair value.</w:t>
      </w:r>
    </w:p>
    <w:p>
      <w:pPr>
        <w:spacing w:after="0" w:line="104" w:lineRule="exact"/>
        <w:rPr>
          <w:rFonts w:ascii="Calibri" w:cs="Calibri" w:eastAsia="Calibri" w:hAnsi="Calibri"/>
          <w:sz w:val="18"/>
          <w:szCs w:val="18"/>
          <w:color w:val="auto"/>
        </w:rPr>
      </w:pPr>
    </w:p>
    <w:p>
      <w:pPr>
        <w:ind w:left="300" w:hanging="292"/>
        <w:spacing w:after="0"/>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Vivid Picks cash earnouts.</w:t>
      </w:r>
    </w:p>
    <w:p>
      <w:pPr>
        <w:spacing w:after="0" w:line="104" w:lineRule="exact"/>
        <w:rPr>
          <w:rFonts w:ascii="Calibri" w:cs="Calibri" w:eastAsia="Calibri" w:hAnsi="Calibri"/>
          <w:sz w:val="18"/>
          <w:szCs w:val="18"/>
          <w:color w:val="auto"/>
        </w:rPr>
      </w:pPr>
    </w:p>
    <w:p>
      <w:pPr>
        <w:ind w:left="300" w:hanging="292"/>
        <w:spacing w:after="0"/>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asset disposals, which are not considered indicatve of our core operatng performance.</w:t>
      </w:r>
    </w:p>
    <w:p>
      <w:pPr>
        <w:spacing w:after="0" w:line="109" w:lineRule="exact"/>
        <w:rPr>
          <w:rFonts w:ascii="Calibri" w:cs="Calibri" w:eastAsia="Calibri" w:hAnsi="Calibri"/>
          <w:sz w:val="18"/>
          <w:szCs w:val="18"/>
          <w:color w:val="auto"/>
        </w:rPr>
      </w:pPr>
    </w:p>
    <w:p>
      <w:pPr>
        <w:ind w:left="300" w:right="20" w:hanging="292"/>
        <w:spacing w:after="0" w:line="235" w:lineRule="auto"/>
        <w:tabs>
          <w:tab w:leader="none" w:pos="3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unrealized foreign currency revaluaton losses (gains) from the remeasurement of non-operatng assets and liabilites denominated in non-functonal currencies on the balance sheet date.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Factors Afectng our Performance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During the nine months ended September 30, 2024, there were no material changes to the “Key Factors Afectng Our Performance” disclosed in our 2023 Form 10-K. Our fnancial positon and results of operatons depend to a signifcant extent on those factors.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b w:val="1"/>
          <w:bCs w:val="1"/>
          <w:color w:val="auto"/>
        </w:rPr>
        <w:t>Recent Business Acquisitons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Vegas.com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3, 2023, we acquired VDC Holdco, LLC, the parent company of Vegas.com, LLC (together, “Vegas.com”), an online tcket marketplace for live event enthusiasts exploring Las Vegas, Nevada. The purchase price was $248.3 million, comprising $152.8 million in cash and approximately 15.6 million shares of our Class A common stock. We fnanced the cash porton of the purchase price at closing with cash on hand. The acquisiton was accounted for as an acquisiton of a business in accordance with the acquisiton method of accountng.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Wavedash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we acquired WD Holdings Co., Ltd., the parent company of Wavedash Co., Ltd. (together, “Wavedash”), an online tcket marketplace headquartered in Tokyo, Japan. The purchase price was JPY 10,946.1 million, or approximately $74.3 million based on the exchange rate in efect on the acquisiton date, before considering the net efect of cash acquired. We fnanced the purchase price at closing with cash on hand. The acquisiton was accounted for as an acquisiton of a business in accordance with the acquisiton method of accountng.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Comparison of the Three and Nine Months Ended September 30, 2024 and 2023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(in thousands, except percentages):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560"/>
              <w:spacing w:after="0"/>
              <w:rPr>
                <w:sz w:val="20"/>
                <w:szCs w:val="20"/>
                <w:color w:val="auto"/>
              </w:rPr>
            </w:pPr>
            <w:r>
              <w:rPr>
                <w:rFonts w:ascii="Calibri" w:cs="Calibri" w:eastAsia="Calibri" w:hAnsi="Calibri"/>
                <w:sz w:val="14"/>
                <w:szCs w:val="14"/>
                <w:b w:val="1"/>
                <w:bCs w:val="1"/>
                <w:color w:val="auto"/>
              </w:rPr>
              <w:t>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Calibri" w:cs="Calibri" w:eastAsia="Calibri" w:hAnsi="Calibri"/>
                <w:sz w:val="14"/>
                <w:szCs w:val="14"/>
                <w:b w:val="1"/>
                <w:bCs w:val="1"/>
                <w:color w:val="auto"/>
              </w:rPr>
              <w:t>Nine Months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jc w:val="right"/>
              <w:ind w:right="720"/>
              <w:spacing w:after="0"/>
              <w:rPr>
                <w:sz w:val="20"/>
                <w:szCs w:val="20"/>
                <w:color w:val="auto"/>
              </w:rPr>
            </w:pPr>
            <w:r>
              <w:rPr>
                <w:rFonts w:ascii="Calibri" w:cs="Calibri" w:eastAsia="Calibri" w:hAnsi="Calibri"/>
                <w:sz w:val="14"/>
                <w:szCs w:val="14"/>
                <w:b w:val="1"/>
                <w:bCs w:val="1"/>
                <w:color w:val="auto"/>
              </w:rPr>
              <w:t>September 30,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September 30,</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restart"/>
          </w:tcPr>
          <w:p>
            <w:pPr>
              <w:jc w:val="right"/>
              <w:ind w:right="340"/>
              <w:spacing w:after="0"/>
              <w:rPr>
                <w:sz w:val="20"/>
                <w:szCs w:val="20"/>
                <w:color w:val="auto"/>
              </w:rPr>
            </w:pPr>
            <w:r>
              <w:rPr>
                <w:rFonts w:ascii="Calibri" w:cs="Calibri" w:eastAsia="Calibri" w:hAnsi="Calibri"/>
                <w:sz w:val="14"/>
                <w:szCs w:val="14"/>
                <w:b w:val="1"/>
                <w:bCs w:val="1"/>
                <w:color w:val="auto"/>
              </w:rPr>
              <w:t>Change</w:t>
            </w:r>
          </w:p>
        </w:tc>
        <w:tc>
          <w:tcPr>
            <w:tcW w:w="1100" w:type="dxa"/>
            <w:vAlign w:val="bottom"/>
            <w:gridSpan w:val="2"/>
            <w:vMerge w:val="restart"/>
          </w:tcPr>
          <w:p>
            <w:pPr>
              <w:jc w:val="right"/>
              <w:ind w:right="360"/>
              <w:spacing w:after="0"/>
              <w:rPr>
                <w:sz w:val="20"/>
                <w:szCs w:val="20"/>
                <w:color w:val="auto"/>
              </w:rPr>
            </w:pPr>
            <w:r>
              <w:rPr>
                <w:rFonts w:ascii="Calibri" w:cs="Calibri" w:eastAsia="Calibri" w:hAnsi="Calibri"/>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right"/>
              <w:ind w:right="420"/>
              <w:spacing w:after="0"/>
              <w:rPr>
                <w:sz w:val="20"/>
                <w:szCs w:val="20"/>
                <w:color w:val="auto"/>
              </w:rPr>
            </w:pPr>
            <w:r>
              <w:rPr>
                <w:rFonts w:ascii="Calibri" w:cs="Calibri" w:eastAsia="Calibri" w:hAnsi="Calibri"/>
                <w:sz w:val="14"/>
                <w:szCs w:val="14"/>
                <w:b w:val="1"/>
                <w:bCs w:val="1"/>
                <w:color w:val="auto"/>
              </w:rPr>
              <w:t>Change</w:t>
            </w:r>
          </w:p>
        </w:tc>
        <w:tc>
          <w:tcPr>
            <w:tcW w:w="900" w:type="dxa"/>
            <w:vAlign w:val="bottom"/>
            <w:gridSpan w:val="3"/>
            <w:vMerge w:val="restart"/>
          </w:tcPr>
          <w:p>
            <w:pPr>
              <w:jc w:val="right"/>
              <w:ind w:right="24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Revenues</w:t>
            </w:r>
          </w:p>
        </w:tc>
        <w:tc>
          <w:tcPr>
            <w:tcW w:w="160" w:type="dxa"/>
            <w:vAlign w:val="bottom"/>
            <w:tcBorders>
              <w:bottom w:val="single" w:sz="8" w:color="CFF0FC"/>
            </w:tcBorders>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186,605</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188,133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CFF0FC"/>
            </w:tcBorders>
            <w:gridSpan w:val="2"/>
            <w:shd w:val="clear" w:color="auto" w:fill="CFF0FC"/>
          </w:tcPr>
          <w:p>
            <w:pPr>
              <w:jc w:val="right"/>
              <w:ind w:right="160"/>
              <w:spacing w:after="0" w:line="164" w:lineRule="exact"/>
              <w:rPr>
                <w:sz w:val="20"/>
                <w:szCs w:val="20"/>
                <w:color w:val="auto"/>
              </w:rPr>
            </w:pPr>
            <w:r>
              <w:rPr>
                <w:rFonts w:ascii="Calibri" w:cs="Calibri" w:eastAsia="Calibri" w:hAnsi="Calibri"/>
                <w:sz w:val="14"/>
                <w:szCs w:val="14"/>
                <w:color w:val="auto"/>
              </w:rPr>
              <w:t>(1,528 )</w:t>
            </w:r>
          </w:p>
        </w:tc>
        <w:tc>
          <w:tcPr>
            <w:tcW w:w="1260" w:type="dxa"/>
            <w:vAlign w:val="bottom"/>
            <w:tcBorders>
              <w:bottom w:val="single" w:sz="8" w:color="CFF0FC"/>
            </w:tcBorders>
            <w:gridSpan w:val="3"/>
            <w:shd w:val="clear" w:color="auto" w:fill="CFF0FC"/>
          </w:tcPr>
          <w:p>
            <w:pPr>
              <w:jc w:val="right"/>
              <w:ind w:right="80"/>
              <w:spacing w:after="0" w:line="164" w:lineRule="exact"/>
              <w:rPr>
                <w:sz w:val="20"/>
                <w:szCs w:val="20"/>
                <w:color w:val="auto"/>
              </w:rPr>
            </w:pPr>
            <w:r>
              <w:rPr>
                <w:rFonts w:ascii="Calibri" w:cs="Calibri" w:eastAsia="Calibri" w:hAnsi="Calibri"/>
                <w:sz w:val="14"/>
                <w:szCs w:val="14"/>
                <w:color w:val="auto"/>
              </w:rPr>
              <w:t>(1 )% $</w:t>
            </w:r>
          </w:p>
        </w:tc>
        <w:tc>
          <w:tcPr>
            <w:tcW w:w="6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575,773</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514,576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61,197</w:t>
            </w: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Cost of revenues (exclusive of depreciaton and</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amortzaton shown separately below)</w:t>
            </w:r>
          </w:p>
        </w:tc>
        <w:tc>
          <w:tcPr>
            <w:tcW w:w="1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51,029</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50,462</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567</w:t>
            </w:r>
          </w:p>
        </w:tc>
        <w:tc>
          <w:tcPr>
            <w:tcW w:w="2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1 %</w:t>
            </w:r>
          </w:p>
        </w:tc>
        <w:tc>
          <w:tcPr>
            <w:tcW w:w="1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149,377</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130,838</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18,539</w:t>
            </w: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14 %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20"/>
              <w:spacing w:after="0"/>
              <w:rPr>
                <w:sz w:val="20"/>
                <w:szCs w:val="20"/>
                <w:color w:val="auto"/>
              </w:rPr>
            </w:pPr>
            <w:r>
              <w:rPr>
                <w:rFonts w:ascii="Calibri" w:cs="Calibri" w:eastAsia="Calibri" w:hAnsi="Calibri"/>
                <w:sz w:val="14"/>
                <w:szCs w:val="14"/>
                <w:color w:val="auto"/>
              </w:rPr>
              <w:t>Marketng and selling</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67,835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77,006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(9,171 )</w:t>
            </w:r>
          </w:p>
        </w:tc>
        <w:tc>
          <w:tcPr>
            <w:tcW w:w="11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(12 )%</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205,695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196,970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8,725</w:t>
            </w: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alibri" w:cs="Calibri" w:eastAsia="Calibri" w:hAnsi="Calibri"/>
                <w:sz w:val="14"/>
                <w:szCs w:val="14"/>
                <w:color w:val="auto"/>
              </w:rPr>
              <w:t>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General and administratve</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46,306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37,225</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9,081</w:t>
            </w:r>
          </w:p>
        </w:tc>
        <w:tc>
          <w:tcPr>
            <w:tcW w:w="2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24 %</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149,725</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107,921</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41,804</w:t>
            </w: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39 %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20"/>
              <w:spacing w:after="0"/>
              <w:rPr>
                <w:sz w:val="20"/>
                <w:szCs w:val="20"/>
                <w:color w:val="auto"/>
              </w:rPr>
            </w:pPr>
            <w:r>
              <w:rPr>
                <w:rFonts w:ascii="Calibri" w:cs="Calibri" w:eastAsia="Calibri" w:hAnsi="Calibri"/>
                <w:sz w:val="14"/>
                <w:szCs w:val="14"/>
                <w:color w:val="auto"/>
              </w:rPr>
              <w:t>Depreciaton and amortzaton</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10,669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3,301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7,368</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223 %</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31,654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8,603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23,051</w:t>
            </w: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alibri" w:cs="Calibri" w:eastAsia="Calibri" w:hAnsi="Calibri"/>
                <w:sz w:val="14"/>
                <w:szCs w:val="14"/>
                <w:color w:val="auto"/>
              </w:rPr>
              <w:t>268 %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Change in fair value of contngent</w:t>
            </w:r>
          </w:p>
        </w:tc>
        <w:tc>
          <w:tcPr>
            <w:tcW w:w="16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vMerge w:val="restart"/>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20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4"/>
                <w:szCs w:val="14"/>
                <w:color w:val="auto"/>
              </w:rPr>
              <w:t>(20 )</w:t>
            </w:r>
          </w:p>
        </w:tc>
        <w:tc>
          <w:tcPr>
            <w:tcW w:w="110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4"/>
                <w:szCs w:val="14"/>
                <w:color w:val="auto"/>
              </w:rPr>
              <w:t>(100 )%</w:t>
            </w:r>
          </w:p>
        </w:tc>
        <w:tc>
          <w:tcPr>
            <w:tcW w:w="16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4"/>
                <w:szCs w:val="14"/>
                <w:color w:val="auto"/>
              </w:rPr>
              <w:t>(998 )</w:t>
            </w:r>
          </w:p>
        </w:tc>
        <w:tc>
          <w:tcPr>
            <w:tcW w:w="14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998</w:t>
            </w:r>
          </w:p>
        </w:tc>
        <w:tc>
          <w:tcPr>
            <w:tcW w:w="22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consideraton</w:t>
            </w:r>
          </w:p>
        </w:tc>
        <w:tc>
          <w:tcPr>
            <w:tcW w:w="16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10,766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20,119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(9,353 )</w:t>
            </w:r>
          </w:p>
        </w:tc>
        <w:tc>
          <w:tcPr>
            <w:tcW w:w="110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(46 )%</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39,322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71,242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Calibri" w:cs="Calibri" w:eastAsia="Calibri" w:hAnsi="Calibri"/>
                <w:sz w:val="14"/>
                <w:szCs w:val="14"/>
                <w:b w:val="1"/>
                <w:bCs w:val="1"/>
                <w:color w:val="auto"/>
              </w:rPr>
              <w:t>(31,920 )</w:t>
            </w:r>
          </w:p>
        </w:tc>
        <w:tc>
          <w:tcPr>
            <w:tcW w:w="9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(45 )%</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Other expense (income):</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6,300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2,544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3,756</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148 %</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16,706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8,596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8,110</w:t>
            </w: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alibri" w:cs="Calibri" w:eastAsia="Calibri" w:hAnsi="Calibri"/>
                <w:sz w:val="14"/>
                <w:szCs w:val="14"/>
                <w:color w:val="auto"/>
              </w:rPr>
              <w:t>94 %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rPr>
                <w:sz w:val="20"/>
                <w:szCs w:val="20"/>
                <w:color w:val="auto"/>
              </w:rPr>
            </w:pPr>
            <w:r>
              <w:rPr>
                <w:rFonts w:ascii="Calibri" w:cs="Calibri" w:eastAsia="Calibri" w:hAnsi="Calibri"/>
                <w:sz w:val="14"/>
                <w:szCs w:val="14"/>
                <w:color w:val="auto"/>
              </w:rPr>
              <w:t>Other income</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(9,020 )</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(1,038 )</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(7,982 )</w:t>
            </w:r>
          </w:p>
        </w:tc>
        <w:tc>
          <w:tcPr>
            <w:tcW w:w="11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(769 )%</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(3,236 )</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(365 )</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(2,871 )</w:t>
            </w:r>
          </w:p>
        </w:tc>
        <w:tc>
          <w:tcPr>
            <w:tcW w:w="900" w:type="dxa"/>
            <w:vAlign w:val="bottom"/>
            <w:gridSpan w:val="3"/>
          </w:tcPr>
          <w:p>
            <w:pPr>
              <w:jc w:val="right"/>
              <w:spacing w:after="0"/>
              <w:rPr>
                <w:sz w:val="20"/>
                <w:szCs w:val="20"/>
                <w:color w:val="auto"/>
              </w:rPr>
            </w:pPr>
            <w:r>
              <w:rPr>
                <w:rFonts w:ascii="Calibri" w:cs="Calibri" w:eastAsia="Calibri" w:hAnsi="Calibri"/>
                <w:sz w:val="14"/>
                <w:szCs w:val="14"/>
                <w:color w:val="auto"/>
              </w:rPr>
              <w:t>(787 )%</w:t>
            </w:r>
          </w:p>
        </w:tc>
        <w:tc>
          <w:tcPr>
            <w:tcW w:w="0" w:type="dxa"/>
            <w:vAlign w:val="bottom"/>
          </w:tcPr>
          <w:p>
            <w:pPr>
              <w:spacing w:after="0"/>
              <w:rPr>
                <w:sz w:val="1"/>
                <w:szCs w:val="1"/>
                <w:color w:val="auto"/>
              </w:rPr>
            </w:pPr>
          </w:p>
        </w:tc>
      </w:tr>
      <w:tr>
        <w:trPr>
          <w:trHeight w:val="33"/>
        </w:trPr>
        <w:tc>
          <w:tcPr>
            <w:tcW w:w="2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Income before income taxes</w:t>
            </w: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13,486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18,613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(5,127 )</w:t>
            </w:r>
          </w:p>
        </w:tc>
        <w:tc>
          <w:tcPr>
            <w:tcW w:w="110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(28 )%</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25,852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63,011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Calibri" w:cs="Calibri" w:eastAsia="Calibri" w:hAnsi="Calibri"/>
                <w:sz w:val="14"/>
                <w:szCs w:val="14"/>
                <w:b w:val="1"/>
                <w:bCs w:val="1"/>
                <w:color w:val="auto"/>
              </w:rPr>
              <w:t>(37,159 )</w:t>
            </w:r>
          </w:p>
        </w:tc>
        <w:tc>
          <w:tcPr>
            <w:tcW w:w="9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(59 )%</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Income tax expense (beneft)</w:t>
            </w: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4,290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2,595</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1,695</w:t>
            </w: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65 %</w:t>
            </w: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7,136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(21,605 )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28,741</w:t>
            </w: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133 %</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tcPr>
          <w:p>
            <w:pPr>
              <w:ind w:left="20"/>
              <w:spacing w:after="0"/>
              <w:rPr>
                <w:sz w:val="20"/>
                <w:szCs w:val="20"/>
                <w:color w:val="auto"/>
              </w:rPr>
            </w:pPr>
            <w:r>
              <w:rPr>
                <w:rFonts w:ascii="Calibri" w:cs="Calibri" w:eastAsia="Calibri" w:hAnsi="Calibri"/>
                <w:sz w:val="14"/>
                <w:szCs w:val="14"/>
                <w:b w:val="1"/>
                <w:bCs w:val="1"/>
                <w:color w:val="auto"/>
              </w:rPr>
              <w:t>Net income</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9,196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16,018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(6,822 )</w:t>
            </w:r>
          </w:p>
        </w:tc>
        <w:tc>
          <w:tcPr>
            <w:tcW w:w="110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(43 )%</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18,716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84,616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Calibri" w:cs="Calibri" w:eastAsia="Calibri" w:hAnsi="Calibri"/>
                <w:sz w:val="14"/>
                <w:szCs w:val="14"/>
                <w:b w:val="1"/>
                <w:bCs w:val="1"/>
                <w:color w:val="auto"/>
              </w:rPr>
              <w:t>(65,900 )</w:t>
            </w:r>
          </w:p>
        </w:tc>
        <w:tc>
          <w:tcPr>
            <w:tcW w:w="9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(78 )%</w:t>
            </w: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Calibri" w:cs="Calibri" w:eastAsia="Calibri" w:hAnsi="Calibri"/>
                <w:sz w:val="14"/>
                <w:szCs w:val="14"/>
                <w:color w:val="auto"/>
              </w:rPr>
              <w:t>Net income atributable to redeemable</w:t>
            </w: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Calibri" w:cs="Calibri" w:eastAsia="Calibri" w:hAnsi="Calibri"/>
                <w:sz w:val="14"/>
                <w:szCs w:val="14"/>
                <w:color w:val="auto"/>
              </w:rPr>
              <w:t>3,900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Calibri" w:cs="Calibri" w:eastAsia="Calibri" w:hAnsi="Calibri"/>
                <w:sz w:val="14"/>
                <w:szCs w:val="14"/>
                <w:color w:val="auto"/>
              </w:rPr>
              <w:t>9,341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(5,441 )</w:t>
            </w:r>
          </w:p>
        </w:tc>
        <w:tc>
          <w:tcPr>
            <w:tcW w:w="1100" w:type="dxa"/>
            <w:vAlign w:val="bottom"/>
            <w:gridSpan w:val="2"/>
            <w:vMerge w:val="restart"/>
          </w:tcPr>
          <w:p>
            <w:pPr>
              <w:jc w:val="right"/>
              <w:ind w:right="60"/>
              <w:spacing w:after="0"/>
              <w:rPr>
                <w:sz w:val="20"/>
                <w:szCs w:val="20"/>
                <w:color w:val="auto"/>
              </w:rPr>
            </w:pPr>
            <w:r>
              <w:rPr>
                <w:rFonts w:ascii="Calibri" w:cs="Calibri" w:eastAsia="Calibri" w:hAnsi="Calibri"/>
                <w:sz w:val="14"/>
                <w:szCs w:val="14"/>
                <w:color w:val="auto"/>
              </w:rPr>
              <w:t>(58 )%</w:t>
            </w: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Calibri" w:cs="Calibri" w:eastAsia="Calibri" w:hAnsi="Calibri"/>
                <w:sz w:val="14"/>
                <w:szCs w:val="14"/>
                <w:color w:val="auto"/>
              </w:rPr>
              <w:t>8,405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Calibri" w:cs="Calibri" w:eastAsia="Calibri" w:hAnsi="Calibri"/>
                <w:sz w:val="14"/>
                <w:szCs w:val="14"/>
                <w:color w:val="auto"/>
              </w:rPr>
              <w:t>35,045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ind w:right="180"/>
              <w:spacing w:after="0"/>
              <w:rPr>
                <w:sz w:val="20"/>
                <w:szCs w:val="20"/>
                <w:color w:val="auto"/>
              </w:rPr>
            </w:pPr>
            <w:r>
              <w:rPr>
                <w:rFonts w:ascii="Calibri" w:cs="Calibri" w:eastAsia="Calibri" w:hAnsi="Calibri"/>
                <w:sz w:val="14"/>
                <w:szCs w:val="14"/>
                <w:color w:val="auto"/>
              </w:rPr>
              <w:t>(26,640 )</w:t>
            </w:r>
          </w:p>
        </w:tc>
        <w:tc>
          <w:tcPr>
            <w:tcW w:w="900" w:type="dxa"/>
            <w:vAlign w:val="bottom"/>
            <w:gridSpan w:val="3"/>
            <w:vMerge w:val="restart"/>
          </w:tcPr>
          <w:p>
            <w:pPr>
              <w:jc w:val="right"/>
              <w:spacing w:after="0"/>
              <w:rPr>
                <w:sz w:val="20"/>
                <w:szCs w:val="20"/>
                <w:color w:val="auto"/>
              </w:rPr>
            </w:pPr>
            <w:r>
              <w:rPr>
                <w:rFonts w:ascii="Calibri" w:cs="Calibri" w:eastAsia="Calibri" w:hAnsi="Calibri"/>
                <w:sz w:val="14"/>
                <w:szCs w:val="14"/>
                <w:color w:val="auto"/>
              </w:rPr>
              <w:t>(76 )%</w:t>
            </w:r>
          </w:p>
        </w:tc>
        <w:tc>
          <w:tcPr>
            <w:tcW w:w="0" w:type="dxa"/>
            <w:vAlign w:val="bottom"/>
          </w:tcPr>
          <w:p>
            <w:pPr>
              <w:spacing w:after="0"/>
              <w:rPr>
                <w:sz w:val="1"/>
                <w:szCs w:val="1"/>
                <w:color w:val="auto"/>
              </w:rPr>
            </w:pPr>
          </w:p>
        </w:tc>
      </w:tr>
      <w:tr>
        <w:trPr>
          <w:trHeight w:val="176"/>
        </w:trPr>
        <w:tc>
          <w:tcPr>
            <w:tcW w:w="2940" w:type="dxa"/>
            <w:vAlign w:val="bottom"/>
          </w:tcPr>
          <w:p>
            <w:pPr>
              <w:ind w:left="20"/>
              <w:spacing w:after="0"/>
              <w:rPr>
                <w:sz w:val="20"/>
                <w:szCs w:val="20"/>
                <w:color w:val="auto"/>
              </w:rPr>
            </w:pPr>
            <w:r>
              <w:rPr>
                <w:rFonts w:ascii="Calibri" w:cs="Calibri" w:eastAsia="Calibri" w:hAnsi="Calibri"/>
                <w:sz w:val="14"/>
                <w:szCs w:val="14"/>
                <w:color w:val="auto"/>
              </w:rPr>
              <w:t>noncontrolling interests</w:t>
            </w: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Net income atributable to Class A common</w:t>
            </w: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vMerge w:val="continue"/>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5,296</w:t>
            </w:r>
          </w:p>
        </w:tc>
        <w:tc>
          <w:tcPr>
            <w:tcW w:w="24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6,677</w:t>
            </w:r>
          </w:p>
        </w:tc>
        <w:tc>
          <w:tcPr>
            <w:tcW w:w="2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800" w:type="dxa"/>
            <w:vAlign w:val="bottom"/>
            <w:gridSpan w:val="2"/>
            <w:vMerge w:val="restart"/>
          </w:tcPr>
          <w:p>
            <w:pPr>
              <w:jc w:val="right"/>
              <w:ind w:right="160"/>
              <w:spacing w:after="0"/>
              <w:rPr>
                <w:sz w:val="20"/>
                <w:szCs w:val="20"/>
                <w:color w:val="auto"/>
              </w:rPr>
            </w:pPr>
            <w:r>
              <w:rPr>
                <w:rFonts w:ascii="Calibri" w:cs="Calibri" w:eastAsia="Calibri" w:hAnsi="Calibri"/>
                <w:sz w:val="14"/>
                <w:szCs w:val="14"/>
                <w:b w:val="1"/>
                <w:bCs w:val="1"/>
                <w:color w:val="auto"/>
              </w:rPr>
              <w:t>(1,381 )</w:t>
            </w:r>
          </w:p>
        </w:tc>
        <w:tc>
          <w:tcPr>
            <w:tcW w:w="1260" w:type="dxa"/>
            <w:vAlign w:val="bottom"/>
            <w:gridSpan w:val="3"/>
            <w:vMerge w:val="restart"/>
          </w:tcPr>
          <w:p>
            <w:pPr>
              <w:jc w:val="right"/>
              <w:ind w:right="80"/>
              <w:spacing w:after="0"/>
              <w:rPr>
                <w:sz w:val="20"/>
                <w:szCs w:val="20"/>
                <w:color w:val="auto"/>
              </w:rPr>
            </w:pPr>
            <w:r>
              <w:rPr>
                <w:rFonts w:ascii="Calibri" w:cs="Calibri" w:eastAsia="Calibri" w:hAnsi="Calibri"/>
                <w:sz w:val="14"/>
                <w:szCs w:val="14"/>
                <w:b w:val="1"/>
                <w:bCs w:val="1"/>
                <w:color w:val="auto"/>
              </w:rPr>
              <w:t>(21 )% $</w:t>
            </w:r>
          </w:p>
        </w:tc>
        <w:tc>
          <w:tcPr>
            <w:tcW w:w="6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10,311</w:t>
            </w:r>
          </w:p>
        </w:tc>
        <w:tc>
          <w:tcPr>
            <w:tcW w:w="20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49,571</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900" w:type="dxa"/>
            <w:vAlign w:val="bottom"/>
            <w:gridSpan w:val="2"/>
            <w:vMerge w:val="restart"/>
          </w:tcPr>
          <w:p>
            <w:pPr>
              <w:jc w:val="right"/>
              <w:ind w:right="180"/>
              <w:spacing w:after="0"/>
              <w:rPr>
                <w:sz w:val="20"/>
                <w:szCs w:val="20"/>
                <w:color w:val="auto"/>
              </w:rPr>
            </w:pPr>
            <w:r>
              <w:rPr>
                <w:rFonts w:ascii="Calibri" w:cs="Calibri" w:eastAsia="Calibri" w:hAnsi="Calibri"/>
                <w:sz w:val="14"/>
                <w:szCs w:val="14"/>
                <w:b w:val="1"/>
                <w:bCs w:val="1"/>
                <w:color w:val="auto"/>
              </w:rPr>
              <w:t>(39,260 )</w:t>
            </w:r>
          </w:p>
        </w:tc>
        <w:tc>
          <w:tcPr>
            <w:tcW w:w="90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auto"/>
              </w:rPr>
              <w:t>(79 )%</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stockholders</w:t>
            </w: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-1405255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-1405255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-1405255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-1405255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-1405255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-1405255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-1405255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-1405255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-1010920</wp:posOffset>
            </wp:positionV>
            <wp:extent cx="691769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-616585</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-616585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-616585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-616585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-616585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-616585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-616585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-616585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-479425</wp:posOffset>
            </wp:positionV>
            <wp:extent cx="6917690" cy="2400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by segment (in thousands, except percentages):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248"/>
              <w:spacing w:after="0"/>
              <w:rPr>
                <w:sz w:val="20"/>
                <w:szCs w:val="20"/>
                <w:color w:val="auto"/>
              </w:rPr>
            </w:pPr>
            <w:r>
              <w:rPr>
                <w:rFonts w:ascii="Calibri" w:cs="Calibri" w:eastAsia="Calibri" w:hAnsi="Calibri"/>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248"/>
              <w:spacing w:after="0"/>
              <w:rPr>
                <w:sz w:val="20"/>
                <w:szCs w:val="20"/>
                <w:color w:val="auto"/>
              </w:rPr>
            </w:pPr>
            <w:r>
              <w:rPr>
                <w:rFonts w:ascii="Calibri" w:cs="Calibri" w:eastAsia="Calibri" w:hAnsi="Calibri"/>
                <w:sz w:val="14"/>
                <w:szCs w:val="14"/>
                <w:b w:val="1"/>
                <w:bCs w:val="1"/>
                <w:color w:val="auto"/>
              </w:rPr>
              <w:t>Nine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4"/>
          </w:tcPr>
          <w:p>
            <w:pPr>
              <w:jc w:val="right"/>
              <w:ind w:right="428"/>
              <w:spacing w:after="0"/>
              <w:rPr>
                <w:sz w:val="20"/>
                <w:szCs w:val="20"/>
                <w:color w:val="auto"/>
              </w:rPr>
            </w:pPr>
            <w:r>
              <w:rPr>
                <w:rFonts w:ascii="Calibri" w:cs="Calibri" w:eastAsia="Calibri" w:hAnsi="Calibri"/>
                <w:sz w:val="14"/>
                <w:szCs w:val="14"/>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right"/>
              <w:ind w:right="388"/>
              <w:spacing w:after="0"/>
              <w:rPr>
                <w:sz w:val="20"/>
                <w:szCs w:val="20"/>
                <w:color w:val="auto"/>
              </w:rPr>
            </w:pPr>
            <w:r>
              <w:rPr>
                <w:rFonts w:ascii="Calibri" w:cs="Calibri" w:eastAsia="Calibri" w:hAnsi="Calibri"/>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400"/>
              <w:spacing w:after="0"/>
              <w:rPr>
                <w:sz w:val="20"/>
                <w:szCs w:val="20"/>
                <w:color w:val="auto"/>
              </w:rPr>
            </w:pPr>
            <w:r>
              <w:rPr>
                <w:rFonts w:ascii="Calibri" w:cs="Calibri" w:eastAsia="Calibri" w:hAnsi="Calibri"/>
                <w:sz w:val="14"/>
                <w:szCs w:val="14"/>
                <w:b w:val="1"/>
                <w:bCs w:val="1"/>
                <w:color w:val="auto"/>
              </w:rPr>
              <w:t>Change</w:t>
            </w:r>
          </w:p>
        </w:tc>
        <w:tc>
          <w:tcPr>
            <w:tcW w:w="1000" w:type="dxa"/>
            <w:vAlign w:val="bottom"/>
            <w:gridSpan w:val="2"/>
            <w:vMerge w:val="restart"/>
          </w:tcPr>
          <w:p>
            <w:pPr>
              <w:jc w:val="right"/>
              <w:ind w:right="320"/>
              <w:spacing w:after="0"/>
              <w:rPr>
                <w:sz w:val="20"/>
                <w:szCs w:val="20"/>
                <w:color w:val="auto"/>
              </w:rPr>
            </w:pPr>
            <w:r>
              <w:rPr>
                <w:rFonts w:ascii="Calibri" w:cs="Calibri" w:eastAsia="Calibri" w:hAnsi="Calibri"/>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260" w:type="dxa"/>
            <w:vAlign w:val="bottom"/>
            <w:gridSpan w:val="3"/>
            <w:vMerge w:val="restart"/>
          </w:tcPr>
          <w:p>
            <w:pPr>
              <w:ind w:left="26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152,653</w:t>
            </w:r>
          </w:p>
        </w:tc>
        <w:tc>
          <w:tcPr>
            <w:tcW w:w="4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154,388</w:t>
            </w:r>
          </w:p>
        </w:tc>
        <w:tc>
          <w:tcPr>
            <w:tcW w:w="340" w:type="dxa"/>
            <w:vAlign w:val="bottom"/>
            <w:gridSpan w:val="3"/>
          </w:tcPr>
          <w:p>
            <w:pPr>
              <w:jc w:val="right"/>
              <w:ind w:right="40"/>
              <w:spacing w:after="0"/>
              <w:rPr>
                <w:sz w:val="20"/>
                <w:szCs w:val="20"/>
                <w:color w:val="auto"/>
              </w:rPr>
            </w:pPr>
            <w:r>
              <w:rPr>
                <w:rFonts w:ascii="Calibri" w:cs="Calibri" w:eastAsia="Calibri" w:hAnsi="Calibri"/>
                <w:sz w:val="14"/>
                <w:szCs w:val="14"/>
                <w:color w:val="auto"/>
              </w:rPr>
              <w:t>$</w:t>
            </w: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(1,735 )</w:t>
            </w:r>
          </w:p>
        </w:tc>
        <w:tc>
          <w:tcPr>
            <w:tcW w:w="1160" w:type="dxa"/>
            <w:vAlign w:val="bottom"/>
            <w:gridSpan w:val="3"/>
          </w:tcPr>
          <w:p>
            <w:pPr>
              <w:jc w:val="right"/>
              <w:ind w:right="80"/>
              <w:spacing w:after="0"/>
              <w:rPr>
                <w:sz w:val="20"/>
                <w:szCs w:val="20"/>
                <w:color w:val="auto"/>
              </w:rPr>
            </w:pPr>
            <w:r>
              <w:rPr>
                <w:rFonts w:ascii="Calibri" w:cs="Calibri" w:eastAsia="Calibri" w:hAnsi="Calibri"/>
                <w:sz w:val="14"/>
                <w:szCs w:val="14"/>
                <w:color w:val="auto"/>
              </w:rPr>
              <w:t>(1 )% $</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482,711</w:t>
            </w:r>
          </w:p>
        </w:tc>
        <w:tc>
          <w:tcPr>
            <w:tcW w:w="3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430,119</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52,592</w:t>
            </w:r>
          </w:p>
        </w:tc>
        <w:tc>
          <w:tcPr>
            <w:tcW w:w="1460" w:type="dxa"/>
            <w:vAlign w:val="bottom"/>
            <w:gridSpan w:val="3"/>
          </w:tcPr>
          <w:p>
            <w:pPr>
              <w:jc w:val="right"/>
              <w:spacing w:after="0"/>
              <w:rPr>
                <w:sz w:val="20"/>
                <w:szCs w:val="20"/>
                <w:color w:val="auto"/>
              </w:rPr>
            </w:pPr>
            <w:r>
              <w:rPr>
                <w:rFonts w:ascii="Calibri" w:cs="Calibri" w:eastAsia="Calibri" w:hAnsi="Calibri"/>
                <w:sz w:val="14"/>
                <w:szCs w:val="14"/>
                <w:color w:val="auto"/>
              </w:rPr>
              <w:t>12 %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33,952</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33,745</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207</w:t>
            </w: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1 %</w:t>
            </w: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93,062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84,457</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8,605</w:t>
            </w:r>
          </w:p>
        </w:tc>
        <w:tc>
          <w:tcPr>
            <w:tcW w:w="146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color w:val="auto"/>
              </w:rPr>
              <w:t>10 %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Pr>
          <w:p>
            <w:pPr>
              <w:ind w:left="20"/>
              <w:spacing w:after="0"/>
              <w:rPr>
                <w:sz w:val="20"/>
                <w:szCs w:val="20"/>
                <w:color w:val="auto"/>
              </w:rPr>
            </w:pPr>
            <w:r>
              <w:rPr>
                <w:rFonts w:ascii="Calibri" w:cs="Calibri" w:eastAsia="Calibri" w:hAnsi="Calibri"/>
                <w:sz w:val="14"/>
                <w:szCs w:val="14"/>
                <w:b w:val="1"/>
                <w:bCs w:val="1"/>
                <w:color w:val="auto"/>
              </w:rPr>
              <w:t>Total revenues</w:t>
            </w: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186,605</w:t>
            </w:r>
          </w:p>
        </w:tc>
        <w:tc>
          <w:tcPr>
            <w:tcW w:w="2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188,133</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(1,528 )</w:t>
            </w:r>
          </w:p>
        </w:tc>
        <w:tc>
          <w:tcPr>
            <w:tcW w:w="1160" w:type="dxa"/>
            <w:vAlign w:val="bottom"/>
            <w:gridSpan w:val="3"/>
          </w:tcPr>
          <w:p>
            <w:pPr>
              <w:jc w:val="right"/>
              <w:ind w:right="80"/>
              <w:spacing w:after="0"/>
              <w:rPr>
                <w:sz w:val="20"/>
                <w:szCs w:val="20"/>
                <w:color w:val="auto"/>
              </w:rPr>
            </w:pPr>
            <w:r>
              <w:rPr>
                <w:rFonts w:ascii="Calibri" w:cs="Calibri" w:eastAsia="Calibri" w:hAnsi="Calibri"/>
                <w:sz w:val="14"/>
                <w:szCs w:val="14"/>
                <w:b w:val="1"/>
                <w:bCs w:val="1"/>
                <w:color w:val="auto"/>
              </w:rPr>
              <w:t>(1 )% $</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575,773</w:t>
            </w:r>
          </w:p>
        </w:tc>
        <w:tc>
          <w:tcPr>
            <w:tcW w:w="38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514,576</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61,197</w:t>
            </w:r>
          </w:p>
        </w:tc>
        <w:tc>
          <w:tcPr>
            <w:tcW w:w="14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12 %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-161925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-161925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-161925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-161925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-161925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-161925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-161925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spacing w:after="0" w:line="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revenues decreased $1.5 million, or 1%, during the three months ended September 30, 2024 compared to the three months ended September 30, 2023. The decrease, which occurred only in our Marketplace segment, resulted primarily from a decrease in average order size and an increase in cancellatons, partally ofset by revenue from Vegas.com and Wavedash. Total revenues increased $61.2 million, or 12%, during the nine months ended September 30, 2024 compared to the nine months ended September 30, 2023. The increase, which occurred in both our Marketplace and Resale segments, resulted primarily from an increase in orders processed, which was due in part to the nine months ended September 30, 2024 including orders processed through Vegas.com and Wavedash.</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event category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248"/>
              <w:spacing w:after="0"/>
              <w:rPr>
                <w:sz w:val="20"/>
                <w:szCs w:val="20"/>
                <w:color w:val="auto"/>
              </w:rPr>
            </w:pPr>
            <w:r>
              <w:rPr>
                <w:rFonts w:ascii="Calibri" w:cs="Calibri" w:eastAsia="Calibri" w:hAnsi="Calibri"/>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248"/>
              <w:spacing w:after="0"/>
              <w:rPr>
                <w:sz w:val="20"/>
                <w:szCs w:val="20"/>
                <w:color w:val="auto"/>
              </w:rPr>
            </w:pPr>
            <w:r>
              <w:rPr>
                <w:rFonts w:ascii="Calibri" w:cs="Calibri" w:eastAsia="Calibri" w:hAnsi="Calibri"/>
                <w:sz w:val="14"/>
                <w:szCs w:val="14"/>
                <w:b w:val="1"/>
                <w:bCs w:val="1"/>
                <w:color w:val="auto"/>
              </w:rPr>
              <w:t>Nine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right"/>
              <w:ind w:right="428"/>
              <w:spacing w:after="0"/>
              <w:rPr>
                <w:sz w:val="20"/>
                <w:szCs w:val="20"/>
                <w:color w:val="auto"/>
              </w:rPr>
            </w:pPr>
            <w:r>
              <w:rPr>
                <w:rFonts w:ascii="Calibri" w:cs="Calibri" w:eastAsia="Calibri" w:hAnsi="Calibri"/>
                <w:sz w:val="14"/>
                <w:szCs w:val="14"/>
                <w:b w:val="1"/>
                <w:bCs w:val="1"/>
                <w:color w:val="auto"/>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right"/>
              <w:ind w:right="388"/>
              <w:spacing w:after="0"/>
              <w:rPr>
                <w:sz w:val="20"/>
                <w:szCs w:val="20"/>
                <w:color w:val="auto"/>
              </w:rPr>
            </w:pPr>
            <w:r>
              <w:rPr>
                <w:rFonts w:ascii="Calibri" w:cs="Calibri" w:eastAsia="Calibri" w:hAnsi="Calibri"/>
                <w:sz w:val="14"/>
                <w:szCs w:val="14"/>
                <w:b w:val="1"/>
                <w:bCs w:val="1"/>
                <w:color w:val="auto"/>
              </w:rPr>
              <w:t>September 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400"/>
              <w:spacing w:after="0"/>
              <w:rPr>
                <w:sz w:val="20"/>
                <w:szCs w:val="20"/>
                <w:color w:val="auto"/>
              </w:rPr>
            </w:pPr>
            <w:r>
              <w:rPr>
                <w:rFonts w:ascii="Calibri" w:cs="Calibri" w:eastAsia="Calibri" w:hAnsi="Calibri"/>
                <w:sz w:val="14"/>
                <w:szCs w:val="14"/>
                <w:b w:val="1"/>
                <w:bCs w:val="1"/>
                <w:color w:val="auto"/>
              </w:rPr>
              <w:t>Change</w:t>
            </w:r>
          </w:p>
        </w:tc>
        <w:tc>
          <w:tcPr>
            <w:tcW w:w="1000" w:type="dxa"/>
            <w:vAlign w:val="bottom"/>
            <w:gridSpan w:val="2"/>
            <w:vMerge w:val="restart"/>
          </w:tcPr>
          <w:p>
            <w:pPr>
              <w:jc w:val="right"/>
              <w:ind w:right="340"/>
              <w:spacing w:after="0"/>
              <w:rPr>
                <w:sz w:val="20"/>
                <w:szCs w:val="20"/>
                <w:color w:val="auto"/>
              </w:rPr>
            </w:pPr>
            <w:r>
              <w:rPr>
                <w:rFonts w:ascii="Calibri" w:cs="Calibri" w:eastAsia="Calibri" w:hAnsi="Calibri"/>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Change</w:t>
            </w:r>
          </w:p>
        </w:tc>
        <w:tc>
          <w:tcPr>
            <w:tcW w:w="1420" w:type="dxa"/>
            <w:vAlign w:val="bottom"/>
            <w:gridSpan w:val="3"/>
            <w:vMerge w:val="restart"/>
          </w:tcPr>
          <w:p>
            <w:pPr>
              <w:jc w:val="right"/>
              <w:ind w:right="50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Calibri" w:cs="Calibri" w:eastAsia="Calibri" w:hAnsi="Calibri"/>
                <w:sz w:val="14"/>
                <w:szCs w:val="14"/>
                <w:color w:val="auto"/>
              </w:rPr>
              <w:t>Concerts</w:t>
            </w:r>
          </w:p>
        </w:tc>
        <w:tc>
          <w:tcPr>
            <w:tcW w:w="180" w:type="dxa"/>
            <w:vAlign w:val="bottom"/>
          </w:tcPr>
          <w:p>
            <w:pPr>
              <w:jc w:val="right"/>
              <w:ind w:right="2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67,701</w:t>
            </w:r>
          </w:p>
        </w:tc>
        <w:tc>
          <w:tcPr>
            <w:tcW w:w="40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87,142</w:t>
            </w:r>
          </w:p>
        </w:tc>
        <w:tc>
          <w:tcPr>
            <w:tcW w:w="340" w:type="dxa"/>
            <w:vAlign w:val="bottom"/>
            <w:gridSpan w:val="3"/>
          </w:tcPr>
          <w:p>
            <w:pPr>
              <w:jc w:val="right"/>
              <w:ind w:right="40"/>
              <w:spacing w:after="0"/>
              <w:rPr>
                <w:sz w:val="20"/>
                <w:szCs w:val="20"/>
                <w:color w:val="auto"/>
              </w:rPr>
            </w:pPr>
            <w:r>
              <w:rPr>
                <w:rFonts w:ascii="Calibri" w:cs="Calibri" w:eastAsia="Calibri" w:hAnsi="Calibri"/>
                <w:sz w:val="14"/>
                <w:szCs w:val="14"/>
                <w:color w:val="auto"/>
              </w:rPr>
              <w:t>$</w:t>
            </w:r>
          </w:p>
        </w:tc>
        <w:tc>
          <w:tcPr>
            <w:tcW w:w="88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(19,441 )</w:t>
            </w:r>
          </w:p>
        </w:tc>
        <w:tc>
          <w:tcPr>
            <w:tcW w:w="116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(22 )% $</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216,533</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239,762</w:t>
            </w:r>
          </w:p>
        </w:tc>
        <w:tc>
          <w:tcPr>
            <w:tcW w:w="34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86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(23,229 )</w:t>
            </w:r>
          </w:p>
        </w:tc>
        <w:tc>
          <w:tcPr>
            <w:tcW w:w="1420" w:type="dxa"/>
            <w:vAlign w:val="bottom"/>
            <w:gridSpan w:val="3"/>
          </w:tcPr>
          <w:p>
            <w:pPr>
              <w:jc w:val="right"/>
              <w:spacing w:after="0"/>
              <w:rPr>
                <w:sz w:val="20"/>
                <w:szCs w:val="20"/>
                <w:color w:val="auto"/>
              </w:rPr>
            </w:pPr>
            <w:r>
              <w:rPr>
                <w:rFonts w:ascii="Calibri" w:cs="Calibri" w:eastAsia="Calibri" w:hAnsi="Calibri"/>
                <w:sz w:val="14"/>
                <w:szCs w:val="14"/>
                <w:color w:val="auto"/>
              </w:rPr>
              <w:t>(10 )%</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Sports</w:t>
            </w: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50,378</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52,169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(1,791 )</w:t>
            </w:r>
          </w:p>
        </w:tc>
        <w:tc>
          <w:tcPr>
            <w:tcW w:w="10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Calibri" w:cs="Calibri" w:eastAsia="Calibri" w:hAnsi="Calibri"/>
                <w:sz w:val="14"/>
                <w:szCs w:val="14"/>
                <w:color w:val="auto"/>
              </w:rPr>
              <w:t>(3 )%</w:t>
            </w: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149,183</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143,118</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6,065</w:t>
            </w:r>
          </w:p>
        </w:tc>
        <w:tc>
          <w:tcPr>
            <w:tcW w:w="20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4 %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Calibri" w:cs="Calibri" w:eastAsia="Calibri" w:hAnsi="Calibri"/>
                <w:sz w:val="14"/>
                <w:szCs w:val="14"/>
                <w:color w:val="auto"/>
              </w:rPr>
              <w:t>Theater</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28,705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14,788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13,917</w:t>
            </w:r>
          </w:p>
        </w:tc>
        <w:tc>
          <w:tcPr>
            <w:tcW w:w="2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94 %</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97,544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45,705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51,839</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4"/>
                <w:szCs w:val="14"/>
                <w:color w:val="auto"/>
              </w:rPr>
              <w:t>113 %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5,869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5,580</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1,931 %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19,451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1,534</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17,917</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1,168 %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5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152,653</w:t>
            </w:r>
          </w:p>
        </w:tc>
        <w:tc>
          <w:tcPr>
            <w:tcW w:w="2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154,388</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880" w:type="dxa"/>
            <w:vAlign w:val="bottom"/>
            <w:gridSpan w:val="2"/>
          </w:tcPr>
          <w:p>
            <w:pPr>
              <w:jc w:val="right"/>
              <w:ind w:right="180"/>
              <w:spacing w:after="0"/>
              <w:rPr>
                <w:sz w:val="20"/>
                <w:szCs w:val="20"/>
                <w:color w:val="auto"/>
              </w:rPr>
            </w:pPr>
            <w:r>
              <w:rPr>
                <w:rFonts w:ascii="Calibri" w:cs="Calibri" w:eastAsia="Calibri" w:hAnsi="Calibri"/>
                <w:sz w:val="14"/>
                <w:szCs w:val="14"/>
                <w:b w:val="1"/>
                <w:bCs w:val="1"/>
                <w:color w:val="auto"/>
              </w:rPr>
              <w:t>(1,735 )</w:t>
            </w:r>
          </w:p>
        </w:tc>
        <w:tc>
          <w:tcPr>
            <w:tcW w:w="1160" w:type="dxa"/>
            <w:vAlign w:val="bottom"/>
            <w:gridSpan w:val="3"/>
          </w:tcPr>
          <w:p>
            <w:pPr>
              <w:jc w:val="right"/>
              <w:ind w:right="80"/>
              <w:spacing w:after="0"/>
              <w:rPr>
                <w:sz w:val="20"/>
                <w:szCs w:val="20"/>
                <w:color w:val="auto"/>
              </w:rPr>
            </w:pPr>
            <w:r>
              <w:rPr>
                <w:rFonts w:ascii="Calibri" w:cs="Calibri" w:eastAsia="Calibri" w:hAnsi="Calibri"/>
                <w:sz w:val="14"/>
                <w:szCs w:val="14"/>
                <w:b w:val="1"/>
                <w:bCs w:val="1"/>
                <w:color w:val="auto"/>
              </w:rPr>
              <w:t>(1 )% $</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482,711</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430,119</w:t>
            </w:r>
          </w:p>
        </w:tc>
        <w:tc>
          <w:tcPr>
            <w:tcW w:w="34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52,592</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12 %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-162560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-162560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-162560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-162560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-162560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revenues decreased $1.7 million, or 1%, during the three months ended September 30, 2024 compared to the three months ended September 30, 2023. The decrease resulted primarily from a decrease in average order size for concert events, including due to a shif in venue mix away from stadiums, and an increase in cancellatons. Marketplace revenues increased $52.6 million, or 12%, during the nine months ended September 30, 2024 compared to the nine months ended September 30, 2023. The increase resulted primarily from an increase in Total Marketplace orders.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Marketplace orders decreased 0.1 million, or 2%, during the three months ended September 30, 2024 compared to the three months ended September 30, 2023. The decrease resulted primarily from an increase in cancellatons, partally ofset by orders from Vegas.com and Wavedash. Total marketplace orders increased 1.0 million, or 13%, during the nine months ended September 30, 2024 compared to the nine months ended September 30, 2023. The increase resulted primarily from an increase in the number of orders processed, partcularly for theater events, which was due in part to the nine months ended September 30, 2024 including orders processed through Vegas.com and Wavedash.</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Cancellaton charges, which are classifed as a reducton to revenues, represented a $7.3 million reducton to revenues for the three months ended September 30, 2024 compared to a $1.0 million increase to revenues for the three months ended September 30, 2023, and a $20.4 million reducton to revenues for the nine months ended September 30, 2024 compared to a $7.6 million reducton to revenues for the nine months ended September 30, 2023. The increase in cancellaton charges was primarily due to a higher number of event cancellatons, including certain large concert tour cancellatons, and lower revenue recognized from customer credit breakage.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business model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960" w:type="dxa"/>
            <w:vAlign w:val="bottom"/>
            <w:gridSpan w:val="5"/>
          </w:tcPr>
          <w:p>
            <w:pPr>
              <w:spacing w:after="0"/>
              <w:rPr>
                <w:sz w:val="20"/>
                <w:szCs w:val="20"/>
                <w:color w:val="auto"/>
              </w:rPr>
            </w:pPr>
            <w:r>
              <w:rPr>
                <w:rFonts w:ascii="Calibri" w:cs="Calibri" w:eastAsia="Calibri" w:hAnsi="Calibri"/>
                <w:sz w:val="14"/>
                <w:szCs w:val="14"/>
                <w:b w:val="1"/>
                <w:bCs w:val="1"/>
                <w:color w:val="auto"/>
              </w:rPr>
              <w:t>Three Months Ended September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248"/>
              <w:spacing w:after="0"/>
              <w:rPr>
                <w:sz w:val="20"/>
                <w:szCs w:val="20"/>
                <w:color w:val="auto"/>
              </w:rPr>
            </w:pPr>
            <w:r>
              <w:rPr>
                <w:rFonts w:ascii="Calibri" w:cs="Calibri" w:eastAsia="Calibri" w:hAnsi="Calibri"/>
                <w:sz w:val="14"/>
                <w:szCs w:val="14"/>
                <w:b w:val="1"/>
                <w:bCs w:val="1"/>
                <w:color w:val="auto"/>
              </w:rPr>
              <w:t>Nine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30,</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right"/>
              <w:ind w:right="388"/>
              <w:spacing w:after="0"/>
              <w:rPr>
                <w:sz w:val="20"/>
                <w:szCs w:val="20"/>
                <w:color w:val="auto"/>
              </w:rPr>
            </w:pPr>
            <w:r>
              <w:rPr>
                <w:rFonts w:ascii="Calibri" w:cs="Calibri" w:eastAsia="Calibri" w:hAnsi="Calibri"/>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400"/>
              <w:spacing w:after="0"/>
              <w:rPr>
                <w:sz w:val="20"/>
                <w:szCs w:val="20"/>
                <w:color w:val="auto"/>
              </w:rPr>
            </w:pPr>
            <w:r>
              <w:rPr>
                <w:rFonts w:ascii="Calibri" w:cs="Calibri" w:eastAsia="Calibri" w:hAnsi="Calibri"/>
                <w:sz w:val="14"/>
                <w:szCs w:val="14"/>
                <w:b w:val="1"/>
                <w:bCs w:val="1"/>
                <w:color w:val="auto"/>
              </w:rPr>
              <w:t>Change</w:t>
            </w:r>
          </w:p>
        </w:tc>
        <w:tc>
          <w:tcPr>
            <w:tcW w:w="110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Change</w:t>
            </w:r>
          </w:p>
        </w:tc>
        <w:tc>
          <w:tcPr>
            <w:tcW w:w="1200" w:type="dxa"/>
            <w:vAlign w:val="bottom"/>
            <w:gridSpan w:val="3"/>
            <w:vMerge w:val="restart"/>
          </w:tcPr>
          <w:p>
            <w:pPr>
              <w:jc w:val="right"/>
              <w:ind w:right="40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4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8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Calibri" w:cs="Calibri" w:eastAsia="Calibri" w:hAnsi="Calibri"/>
                <w:sz w:val="14"/>
                <w:szCs w:val="14"/>
                <w:color w:val="auto"/>
              </w:rPr>
              <w:t>Owned Propertes</w:t>
            </w:r>
          </w:p>
        </w:tc>
        <w:tc>
          <w:tcPr>
            <w:tcW w:w="180" w:type="dxa"/>
            <w:vAlign w:val="bottom"/>
          </w:tcPr>
          <w:p>
            <w:pPr>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129,159</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122,778</w:t>
            </w:r>
          </w:p>
        </w:tc>
        <w:tc>
          <w:tcPr>
            <w:tcW w:w="340" w:type="dxa"/>
            <w:vAlign w:val="bottom"/>
            <w:gridSpan w:val="3"/>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6,381</w:t>
            </w:r>
          </w:p>
        </w:tc>
        <w:tc>
          <w:tcPr>
            <w:tcW w:w="220" w:type="dxa"/>
            <w:vAlign w:val="bottom"/>
          </w:tcPr>
          <w:p>
            <w:pPr>
              <w:spacing w:after="0"/>
              <w:rPr>
                <w:sz w:val="14"/>
                <w:szCs w:val="14"/>
                <w:color w:val="auto"/>
              </w:rPr>
            </w:pPr>
          </w:p>
        </w:tc>
        <w:tc>
          <w:tcPr>
            <w:tcW w:w="1260" w:type="dxa"/>
            <w:vAlign w:val="bottom"/>
            <w:gridSpan w:val="3"/>
          </w:tcPr>
          <w:p>
            <w:pPr>
              <w:jc w:val="right"/>
              <w:ind w:right="80"/>
              <w:spacing w:after="0"/>
              <w:rPr>
                <w:sz w:val="20"/>
                <w:szCs w:val="20"/>
                <w:color w:val="auto"/>
              </w:rPr>
            </w:pPr>
            <w:r>
              <w:rPr>
                <w:rFonts w:ascii="Calibri" w:cs="Calibri" w:eastAsia="Calibri" w:hAnsi="Calibri"/>
                <w:sz w:val="14"/>
                <w:szCs w:val="14"/>
                <w:color w:val="auto"/>
              </w:rPr>
              <w:t>5 %  $</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394,317</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329,006</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65,311</w:t>
            </w:r>
          </w:p>
        </w:tc>
        <w:tc>
          <w:tcPr>
            <w:tcW w:w="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alibri" w:cs="Calibri" w:eastAsia="Calibri" w:hAnsi="Calibri"/>
                <w:sz w:val="14"/>
                <w:szCs w:val="14"/>
                <w:color w:val="auto"/>
              </w:rPr>
              <w:t>20 %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20"/>
              <w:spacing w:after="0"/>
              <w:rPr>
                <w:sz w:val="20"/>
                <w:szCs w:val="20"/>
                <w:color w:val="auto"/>
              </w:rPr>
            </w:pPr>
            <w:r>
              <w:rPr>
                <w:rFonts w:ascii="Calibri" w:cs="Calibri" w:eastAsia="Calibri" w:hAnsi="Calibri"/>
                <w:sz w:val="14"/>
                <w:szCs w:val="14"/>
                <w:color w:val="auto"/>
              </w:rPr>
              <w:t>Private Label</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23,494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31,610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(8,116 )</w:t>
            </w:r>
          </w:p>
        </w:tc>
        <w:tc>
          <w:tcPr>
            <w:tcW w:w="11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(26 )%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88,394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101,113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(12,719 )</w:t>
            </w:r>
          </w:p>
        </w:tc>
        <w:tc>
          <w:tcPr>
            <w:tcW w:w="1200" w:type="dxa"/>
            <w:vAlign w:val="bottom"/>
            <w:gridSpan w:val="3"/>
          </w:tcPr>
          <w:p>
            <w:pPr>
              <w:jc w:val="right"/>
              <w:spacing w:after="0"/>
              <w:rPr>
                <w:sz w:val="20"/>
                <w:szCs w:val="20"/>
                <w:color w:val="auto"/>
              </w:rPr>
            </w:pPr>
            <w:r>
              <w:rPr>
                <w:rFonts w:ascii="Calibri" w:cs="Calibri" w:eastAsia="Calibri" w:hAnsi="Calibri"/>
                <w:sz w:val="14"/>
                <w:szCs w:val="14"/>
                <w:color w:val="auto"/>
              </w:rPr>
              <w:t>(13 )%</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80" w:type="dxa"/>
            <w:vAlign w:val="bottom"/>
          </w:tcPr>
          <w:p>
            <w:pPr>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152,653</w:t>
            </w:r>
          </w:p>
        </w:tc>
        <w:tc>
          <w:tcPr>
            <w:tcW w:w="2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154,388</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(1,735 )</w:t>
            </w:r>
          </w:p>
        </w:tc>
        <w:tc>
          <w:tcPr>
            <w:tcW w:w="1260" w:type="dxa"/>
            <w:vAlign w:val="bottom"/>
            <w:gridSpan w:val="3"/>
          </w:tcPr>
          <w:p>
            <w:pPr>
              <w:jc w:val="right"/>
              <w:ind w:right="80"/>
              <w:spacing w:after="0"/>
              <w:rPr>
                <w:sz w:val="20"/>
                <w:szCs w:val="20"/>
                <w:color w:val="auto"/>
              </w:rPr>
            </w:pPr>
            <w:r>
              <w:rPr>
                <w:rFonts w:ascii="Calibri" w:cs="Calibri" w:eastAsia="Calibri" w:hAnsi="Calibri"/>
                <w:sz w:val="14"/>
                <w:szCs w:val="14"/>
                <w:b w:val="1"/>
                <w:bCs w:val="1"/>
                <w:color w:val="auto"/>
              </w:rPr>
              <w:t>(1 )% $</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482,711</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430,119</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52,592</w:t>
            </w:r>
          </w:p>
        </w:tc>
        <w:tc>
          <w:tcPr>
            <w:tcW w:w="220" w:type="dxa"/>
            <w:vAlign w:val="bottom"/>
          </w:tcPr>
          <w:p>
            <w:pPr>
              <w:spacing w:after="0"/>
              <w:rPr>
                <w:sz w:val="17"/>
                <w:szCs w:val="17"/>
                <w:color w:val="auto"/>
              </w:rPr>
            </w:pPr>
          </w:p>
        </w:tc>
        <w:tc>
          <w:tcPr>
            <w:tcW w:w="1200" w:type="dxa"/>
            <w:vAlign w:val="bottom"/>
            <w:gridSpan w:val="3"/>
          </w:tcPr>
          <w:p>
            <w:pPr>
              <w:jc w:val="right"/>
              <w:ind w:right="40"/>
              <w:spacing w:after="0"/>
              <w:rPr>
                <w:sz w:val="20"/>
                <w:szCs w:val="20"/>
                <w:color w:val="auto"/>
              </w:rPr>
            </w:pPr>
            <w:r>
              <w:rPr>
                <w:rFonts w:ascii="Calibri" w:cs="Calibri" w:eastAsia="Calibri" w:hAnsi="Calibri"/>
                <w:sz w:val="14"/>
                <w:szCs w:val="14"/>
                <w:b w:val="1"/>
                <w:bCs w:val="1"/>
                <w:color w:val="auto"/>
              </w:rPr>
              <w:t>12 %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-290830</wp:posOffset>
            </wp:positionV>
            <wp:extent cx="698627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increase in Owned Propertes revenues during the three and nine months ended September 30, 2024 compared to the three and nine months ended September 30, 2023 resulted primarily from an increase in the number of orders processed, which was due in part to the three and nine months ended September 30, 2024 including orders processed through Vegas.com and Wavedash.</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decrease in Private Label revenues during the three and nine months ended September 30, 2024 compared to the three and nine months ended September 30, 2023 resulted primarily from the negatve impact to revenue of decreased customer credit breakage.</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In our Marketplace segment, we also earn referral fee revenue by ofering event tcket insurance to tcket buyers using a third-party insurance provider. Our referral fee revenue was $6.0 million and $19.6 million during the three and nine months ended September 30, 2024, respectvely, and $7.3 million and $21.9 million during the three and nine months ended September 30, 2023, respectvely. The decrease was primarily due to a decline in the insurance atachment rate to orders.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Resale revenues increased $0.2 million, or 1%, during the three months ended September 30, 2024 compared to the three months ended September 30, 2023 and increased $8.6 million, or 10%, during the nine months ended September 30, 2024 compared to the nine months ended September 30, 2023. The increase resulted primarily from an increase in Total Resale orders.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Total Resale orders increased less than 0.1 million, or 5%, during the three months ended September 30, 2024 compared to the three months ended</w:t>
      </w:r>
    </w:p>
    <w:p>
      <w:pPr>
        <w:spacing w:after="0" w:line="235" w:lineRule="auto"/>
        <w:rPr>
          <w:sz w:val="20"/>
          <w:szCs w:val="20"/>
          <w:color w:val="auto"/>
        </w:rPr>
      </w:pPr>
      <w:r>
        <w:rPr>
          <w:rFonts w:ascii="Calibri" w:cs="Calibri" w:eastAsia="Calibri" w:hAnsi="Calibri"/>
          <w:sz w:val="18"/>
          <w:szCs w:val="18"/>
          <w:color w:val="auto"/>
        </w:rPr>
        <w:t>September 30, 2023 and increased less than 0.1 million, or 16%, during the nine months ended September 30, 2024 compared to the nine months ended</w:t>
      </w:r>
    </w:p>
    <w:p>
      <w:pPr>
        <w:spacing w:after="0" w:line="236" w:lineRule="auto"/>
        <w:rPr>
          <w:sz w:val="20"/>
          <w:szCs w:val="20"/>
          <w:color w:val="auto"/>
        </w:rPr>
      </w:pPr>
      <w:r>
        <w:rPr>
          <w:rFonts w:ascii="Calibri" w:cs="Calibri" w:eastAsia="Calibri" w:hAnsi="Calibri"/>
          <w:sz w:val="18"/>
          <w:szCs w:val="18"/>
          <w:color w:val="auto"/>
        </w:rPr>
        <w:t>September 30, 2023. The increase resulted primarily from higher order volume.</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Cancellaton charges, which are classifed as a reducton to revenues, negatvely impacted Resale revenues by $0.3 million and $1.1 million for the three and nine months ended September 30, 2024, respectvely, compared to $0.3 million and $1.0 million for the three and nine months ended September 30, 2023, respectvely.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 of Revenues (Exclusive of Depreciaton and Amortzaton)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cost of revenues by segment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68"/>
              <w:spacing w:after="0"/>
              <w:rPr>
                <w:sz w:val="20"/>
                <w:szCs w:val="20"/>
                <w:color w:val="auto"/>
              </w:rPr>
            </w:pPr>
            <w:r>
              <w:rPr>
                <w:rFonts w:ascii="Calibri" w:cs="Calibri" w:eastAsia="Calibri" w:hAnsi="Calibri"/>
                <w:sz w:val="14"/>
                <w:szCs w:val="14"/>
                <w:b w:val="1"/>
                <w:bCs w:val="1"/>
                <w:color w:val="auto"/>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248"/>
              <w:spacing w:after="0"/>
              <w:rPr>
                <w:sz w:val="20"/>
                <w:szCs w:val="20"/>
                <w:color w:val="auto"/>
              </w:rPr>
            </w:pPr>
            <w:r>
              <w:rPr>
                <w:rFonts w:ascii="Calibri" w:cs="Calibri" w:eastAsia="Calibri" w:hAnsi="Calibri"/>
                <w:sz w:val="14"/>
                <w:szCs w:val="14"/>
                <w:b w:val="1"/>
                <w:bCs w:val="1"/>
                <w:color w:val="auto"/>
              </w:rPr>
              <w:t>Nine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448"/>
              <w:spacing w:after="0"/>
              <w:rPr>
                <w:sz w:val="20"/>
                <w:szCs w:val="20"/>
                <w:color w:val="auto"/>
              </w:rPr>
            </w:pPr>
            <w:r>
              <w:rPr>
                <w:rFonts w:ascii="Calibri" w:cs="Calibri" w:eastAsia="Calibri" w:hAnsi="Calibri"/>
                <w:sz w:val="14"/>
                <w:szCs w:val="14"/>
                <w:b w:val="1"/>
                <w:bCs w:val="1"/>
                <w:color w:val="auto"/>
              </w:rPr>
              <w:t>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right"/>
              <w:ind w:right="388"/>
              <w:spacing w:after="0"/>
              <w:rPr>
                <w:sz w:val="20"/>
                <w:szCs w:val="20"/>
                <w:color w:val="auto"/>
              </w:rPr>
            </w:pPr>
            <w:r>
              <w:rPr>
                <w:rFonts w:ascii="Calibri" w:cs="Calibri" w:eastAsia="Calibri" w:hAnsi="Calibri"/>
                <w:sz w:val="14"/>
                <w:szCs w:val="14"/>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right"/>
              <w:ind w:right="420"/>
              <w:spacing w:after="0"/>
              <w:rPr>
                <w:sz w:val="20"/>
                <w:szCs w:val="20"/>
                <w:color w:val="auto"/>
              </w:rPr>
            </w:pPr>
            <w:r>
              <w:rPr>
                <w:rFonts w:ascii="Calibri" w:cs="Calibri" w:eastAsia="Calibri" w:hAnsi="Calibri"/>
                <w:sz w:val="14"/>
                <w:szCs w:val="14"/>
                <w:b w:val="1"/>
                <w:bCs w:val="1"/>
                <w:color w:val="auto"/>
              </w:rPr>
              <w:t>Change</w:t>
            </w:r>
          </w:p>
        </w:tc>
        <w:tc>
          <w:tcPr>
            <w:tcW w:w="108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280" w:type="dxa"/>
            <w:vAlign w:val="bottom"/>
            <w:gridSpan w:val="3"/>
            <w:vMerge w:val="restart"/>
          </w:tcPr>
          <w:p>
            <w:pPr>
              <w:ind w:left="2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Cost of revenues:</w:t>
            </w:r>
          </w:p>
        </w:tc>
        <w:tc>
          <w:tcPr>
            <w:tcW w:w="1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6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23,052</w:t>
            </w:r>
          </w:p>
        </w:tc>
        <w:tc>
          <w:tcPr>
            <w:tcW w:w="4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23,923</w:t>
            </w:r>
          </w:p>
        </w:tc>
        <w:tc>
          <w:tcPr>
            <w:tcW w:w="3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(871 )</w:t>
            </w:r>
          </w:p>
        </w:tc>
        <w:tc>
          <w:tcPr>
            <w:tcW w:w="10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(4 )%</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74,356</w:t>
            </w:r>
          </w:p>
        </w:tc>
        <w:tc>
          <w:tcPr>
            <w:tcW w:w="40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66,749</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7,607</w:t>
            </w:r>
          </w:p>
        </w:tc>
        <w:tc>
          <w:tcPr>
            <w:tcW w:w="1480" w:type="dxa"/>
            <w:vAlign w:val="bottom"/>
            <w:gridSpan w:val="3"/>
          </w:tcPr>
          <w:p>
            <w:pPr>
              <w:jc w:val="right"/>
              <w:spacing w:after="0"/>
              <w:rPr>
                <w:sz w:val="20"/>
                <w:szCs w:val="20"/>
                <w:color w:val="auto"/>
              </w:rPr>
            </w:pPr>
            <w:r>
              <w:rPr>
                <w:rFonts w:ascii="Calibri" w:cs="Calibri" w:eastAsia="Calibri" w:hAnsi="Calibri"/>
                <w:sz w:val="14"/>
                <w:szCs w:val="14"/>
                <w:color w:val="auto"/>
              </w:rPr>
              <w:t>11 %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27,977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26,539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1,438</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5 %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75,021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64,089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10,932</w:t>
            </w:r>
          </w:p>
        </w:tc>
        <w:tc>
          <w:tcPr>
            <w:tcW w:w="148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17 %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ind w:left="20"/>
              <w:spacing w:after="0"/>
              <w:rPr>
                <w:sz w:val="20"/>
                <w:szCs w:val="20"/>
                <w:color w:val="auto"/>
              </w:rPr>
            </w:pPr>
            <w:r>
              <w:rPr>
                <w:rFonts w:ascii="Calibri" w:cs="Calibri" w:eastAsia="Calibri" w:hAnsi="Calibri"/>
                <w:sz w:val="14"/>
                <w:szCs w:val="14"/>
                <w:b w:val="1"/>
                <w:bCs w:val="1"/>
                <w:color w:val="auto"/>
              </w:rPr>
              <w:t>Total cost of revenues</w:t>
            </w:r>
          </w:p>
        </w:tc>
        <w:tc>
          <w:tcPr>
            <w:tcW w:w="1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51,029</w:t>
            </w:r>
          </w:p>
        </w:tc>
        <w:tc>
          <w:tcPr>
            <w:tcW w:w="2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50,462</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567</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Calibri" w:cs="Calibri" w:eastAsia="Calibri" w:hAnsi="Calibri"/>
                <w:sz w:val="14"/>
                <w:szCs w:val="14"/>
                <w:b w:val="1"/>
                <w:bCs w:val="1"/>
                <w:color w:val="auto"/>
              </w:rPr>
              <w:t>1 %</w:t>
            </w: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149,377</w:t>
            </w:r>
          </w:p>
        </w:tc>
        <w:tc>
          <w:tcPr>
            <w:tcW w:w="40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130,838</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18,539</w:t>
            </w:r>
          </w:p>
        </w:tc>
        <w:tc>
          <w:tcPr>
            <w:tcW w:w="14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14 %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-161925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-161925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-161925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-161925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-161925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-161925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Total cost of revenues increased $0.6 million, or 1%, for the three months ended September 30, 2024 compared to the three months ended September 30, 2023. The increase resulted primarily from an increase in Total Resale orders. Total cost of revenues increased $18.5 million, or 14%, for the nine months ended September 30, 2024 compared to the nine months ended September 30, 2023. The increase resulted primarily from higher order volume in both our Marketplace and Resale segments.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Marketplace cost of revenues decreased $0.9 million, or 4%, for the three months ended September 30, 2024 compared to the three months ended September 30, 2023 and increased $7.6 million, or 11%, for the nine months ended September 30, 2024 compared to the nine months ended September 30, 2023. The changes were relatvely consistent with the changes in Marketplace GOV, which decreased by 13% and increased by 3% during the same respectve periods.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Resale cost of revenues increased $1.4 million, or 5%, for the three months ended September 30, 2024 compared to the three months ended September 30, 2023 and increased $10.9 million, or 17%, for the nine months ended September 30, 2024 compared to the nine months ended September 30, 2023. The increases were not consistent with the increases in Resale revenues, which increased by 1% and 10% during the same respectve periods, due to certain event categories with lower margins.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Marketng and Selling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marketng and selling expenses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Calibri" w:cs="Calibri" w:eastAsia="Calibri" w:hAnsi="Calibri"/>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tcPr>
          <w:p>
            <w:pPr>
              <w:jc w:val="right"/>
              <w:ind w:right="288"/>
              <w:spacing w:after="0"/>
              <w:rPr>
                <w:sz w:val="20"/>
                <w:szCs w:val="20"/>
                <w:color w:val="auto"/>
              </w:rPr>
            </w:pPr>
            <w:r>
              <w:rPr>
                <w:rFonts w:ascii="Calibri" w:cs="Calibri" w:eastAsia="Calibri" w:hAnsi="Calibri"/>
                <w:sz w:val="14"/>
                <w:szCs w:val="14"/>
                <w:b w:val="1"/>
                <w:bCs w:val="1"/>
                <w:color w:val="auto"/>
              </w:rPr>
              <w:t>Nine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428"/>
              <w:spacing w:after="0"/>
              <w:rPr>
                <w:sz w:val="20"/>
                <w:szCs w:val="20"/>
                <w:color w:val="auto"/>
              </w:rPr>
            </w:pPr>
            <w:r>
              <w:rPr>
                <w:rFonts w:ascii="Calibri" w:cs="Calibri" w:eastAsia="Calibri" w:hAnsi="Calibri"/>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tcPr>
          <w:p>
            <w:pPr>
              <w:jc w:val="right"/>
              <w:ind w:right="428"/>
              <w:spacing w:after="0"/>
              <w:rPr>
                <w:sz w:val="20"/>
                <w:szCs w:val="20"/>
                <w:color w:val="auto"/>
              </w:rPr>
            </w:pPr>
            <w:r>
              <w:rPr>
                <w:rFonts w:ascii="Calibri" w:cs="Calibri" w:eastAsia="Calibri" w:hAnsi="Calibri"/>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400"/>
              <w:spacing w:after="0"/>
              <w:rPr>
                <w:sz w:val="20"/>
                <w:szCs w:val="20"/>
                <w:color w:val="auto"/>
              </w:rPr>
            </w:pPr>
            <w:r>
              <w:rPr>
                <w:rFonts w:ascii="Calibri" w:cs="Calibri" w:eastAsia="Calibri" w:hAnsi="Calibri"/>
                <w:sz w:val="14"/>
                <w:szCs w:val="14"/>
                <w:b w:val="1"/>
                <w:bCs w:val="1"/>
                <w:color w:val="auto"/>
              </w:rPr>
              <w:t>Change</w:t>
            </w:r>
          </w:p>
        </w:tc>
        <w:tc>
          <w:tcPr>
            <w:tcW w:w="110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380"/>
              <w:spacing w:after="0"/>
              <w:rPr>
                <w:sz w:val="20"/>
                <w:szCs w:val="20"/>
                <w:color w:val="auto"/>
              </w:rPr>
            </w:pPr>
            <w:r>
              <w:rPr>
                <w:rFonts w:ascii="Calibri" w:cs="Calibri" w:eastAsia="Calibri" w:hAnsi="Calibri"/>
                <w:sz w:val="14"/>
                <w:szCs w:val="14"/>
                <w:b w:val="1"/>
                <w:bCs w:val="1"/>
                <w:color w:val="auto"/>
              </w:rPr>
              <w:t>Change</w:t>
            </w:r>
          </w:p>
        </w:tc>
        <w:tc>
          <w:tcPr>
            <w:tcW w:w="1160" w:type="dxa"/>
            <w:vAlign w:val="bottom"/>
            <w:gridSpan w:val="3"/>
            <w:vMerge w:val="restart"/>
          </w:tcPr>
          <w:p>
            <w:pPr>
              <w:jc w:val="right"/>
              <w:ind w:right="3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Marketng and selling:</w:t>
            </w:r>
          </w:p>
        </w:tc>
        <w:tc>
          <w:tcPr>
            <w:tcW w:w="1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0"/>
              <w:spacing w:after="0"/>
              <w:rPr>
                <w:sz w:val="20"/>
                <w:szCs w:val="20"/>
                <w:color w:val="auto"/>
              </w:rPr>
            </w:pPr>
            <w:r>
              <w:rPr>
                <w:rFonts w:ascii="Calibri" w:cs="Calibri" w:eastAsia="Calibri" w:hAnsi="Calibri"/>
                <w:sz w:val="14"/>
                <w:szCs w:val="14"/>
                <w:color w:val="auto"/>
              </w:rPr>
              <w:t>Online</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63,501</w:t>
            </w:r>
          </w:p>
        </w:tc>
        <w:tc>
          <w:tcPr>
            <w:tcW w:w="40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66,226</w:t>
            </w:r>
          </w:p>
        </w:tc>
        <w:tc>
          <w:tcPr>
            <w:tcW w:w="36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(2,725 )</w:t>
            </w:r>
          </w:p>
        </w:tc>
        <w:tc>
          <w:tcPr>
            <w:tcW w:w="1260" w:type="dxa"/>
            <w:vAlign w:val="bottom"/>
            <w:gridSpan w:val="3"/>
          </w:tcPr>
          <w:p>
            <w:pPr>
              <w:jc w:val="right"/>
              <w:ind w:right="80"/>
              <w:spacing w:after="0"/>
              <w:rPr>
                <w:sz w:val="20"/>
                <w:szCs w:val="20"/>
                <w:color w:val="auto"/>
              </w:rPr>
            </w:pPr>
            <w:r>
              <w:rPr>
                <w:rFonts w:ascii="Calibri" w:cs="Calibri" w:eastAsia="Calibri" w:hAnsi="Calibri"/>
                <w:sz w:val="14"/>
                <w:szCs w:val="14"/>
                <w:color w:val="auto"/>
              </w:rPr>
              <w:t>(4 )% $</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189,311</w:t>
            </w:r>
          </w:p>
        </w:tc>
        <w:tc>
          <w:tcPr>
            <w:tcW w:w="4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174,224</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15,087</w:t>
            </w: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alibri" w:cs="Calibri" w:eastAsia="Calibri" w:hAnsi="Calibri"/>
                <w:sz w:val="14"/>
                <w:szCs w:val="14"/>
                <w:color w:val="auto"/>
              </w:rPr>
              <w:t>9 %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Calibri" w:cs="Calibri" w:eastAsia="Calibri" w:hAnsi="Calibri"/>
                <w:sz w:val="14"/>
                <w:szCs w:val="14"/>
                <w:color w:val="auto"/>
              </w:rPr>
              <w:t>Ofine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4,334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10,780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(6,446 )</w:t>
            </w:r>
          </w:p>
        </w:tc>
        <w:tc>
          <w:tcPr>
            <w:tcW w:w="11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(60 )%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16,384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22,746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(6,362 )</w:t>
            </w:r>
          </w:p>
        </w:tc>
        <w:tc>
          <w:tcPr>
            <w:tcW w:w="1160" w:type="dxa"/>
            <w:vAlign w:val="bottom"/>
            <w:gridSpan w:val="3"/>
          </w:tcPr>
          <w:p>
            <w:pPr>
              <w:jc w:val="right"/>
              <w:spacing w:after="0"/>
              <w:rPr>
                <w:sz w:val="20"/>
                <w:szCs w:val="20"/>
                <w:color w:val="auto"/>
              </w:rPr>
            </w:pPr>
            <w:r>
              <w:rPr>
                <w:rFonts w:ascii="Calibri" w:cs="Calibri" w:eastAsia="Calibri" w:hAnsi="Calibri"/>
                <w:sz w:val="14"/>
                <w:szCs w:val="14"/>
                <w:color w:val="auto"/>
              </w:rPr>
              <w:t>(28 )%</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marketng and selling</w:t>
            </w: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67,835</w:t>
            </w:r>
          </w:p>
        </w:tc>
        <w:tc>
          <w:tcPr>
            <w:tcW w:w="2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77,006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880" w:type="dxa"/>
            <w:vAlign w:val="bottom"/>
            <w:gridSpan w:val="2"/>
          </w:tcPr>
          <w:p>
            <w:pPr>
              <w:jc w:val="right"/>
              <w:ind w:right="180"/>
              <w:spacing w:after="0"/>
              <w:rPr>
                <w:sz w:val="20"/>
                <w:szCs w:val="20"/>
                <w:color w:val="auto"/>
              </w:rPr>
            </w:pPr>
            <w:r>
              <w:rPr>
                <w:rFonts w:ascii="Calibri" w:cs="Calibri" w:eastAsia="Calibri" w:hAnsi="Calibri"/>
                <w:sz w:val="14"/>
                <w:szCs w:val="14"/>
                <w:b w:val="1"/>
                <w:bCs w:val="1"/>
                <w:color w:val="auto"/>
              </w:rPr>
              <w:t>(9,171 )</w:t>
            </w:r>
          </w:p>
        </w:tc>
        <w:tc>
          <w:tcPr>
            <w:tcW w:w="1260" w:type="dxa"/>
            <w:vAlign w:val="bottom"/>
            <w:gridSpan w:val="3"/>
          </w:tcPr>
          <w:p>
            <w:pPr>
              <w:jc w:val="right"/>
              <w:ind w:right="80"/>
              <w:spacing w:after="0"/>
              <w:rPr>
                <w:sz w:val="20"/>
                <w:szCs w:val="20"/>
                <w:color w:val="auto"/>
              </w:rPr>
            </w:pPr>
            <w:r>
              <w:rPr>
                <w:rFonts w:ascii="Calibri" w:cs="Calibri" w:eastAsia="Calibri" w:hAnsi="Calibri"/>
                <w:sz w:val="14"/>
                <w:szCs w:val="14"/>
                <w:b w:val="1"/>
                <w:bCs w:val="1"/>
                <w:color w:val="auto"/>
              </w:rPr>
              <w:t>(12 )% $</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205,695</w:t>
            </w:r>
          </w:p>
        </w:tc>
        <w:tc>
          <w:tcPr>
            <w:tcW w:w="40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196,970</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8,725</w:t>
            </w:r>
          </w:p>
        </w:tc>
        <w:tc>
          <w:tcPr>
            <w:tcW w:w="22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Calibri" w:cs="Calibri" w:eastAsia="Calibri" w:hAnsi="Calibri"/>
                <w:sz w:val="14"/>
                <w:szCs w:val="14"/>
                <w:b w:val="1"/>
                <w:bCs w:val="1"/>
                <w:color w:val="auto"/>
              </w:rPr>
              <w:t>4 %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-290830</wp:posOffset>
            </wp:positionV>
            <wp:extent cx="698627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Marketng and selling expenses, which are entrely atributable to our Marketplace segment, decreased $9.2 million, or 12%, during the three months ended September 30, 2024 compared to the three months ended September 30, 2023. The decrease primarily resulted from a decrease in ofine advertsing. Marketng and selling expenses increased $8.7 million, or 4%, during the nine months ended September 30, 2024 compared to the nine months ended September 30, 2023. The increase primarily resulted from higher spending on online advertsing, which increased by $15.1 million, or 9%, during the nine months ended September 30, 2024 compared to the nine months ended September 30, 2023. The increase in online advertsing spending was primarily driven by an increase in performance marketng channel spend. The changes in Marketng and selling expenses were relatvely consistent with the changes in Marketplace GOV, which decreased by 13% and increased by 3% during the same respectve periods.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and Administratve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general and administratve expenses (in thousands, except percentages):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268"/>
              <w:spacing w:after="0"/>
              <w:rPr>
                <w:sz w:val="20"/>
                <w:szCs w:val="20"/>
                <w:color w:val="auto"/>
              </w:rPr>
            </w:pPr>
            <w:r>
              <w:rPr>
                <w:rFonts w:ascii="Calibri" w:cs="Calibri" w:eastAsia="Calibri" w:hAnsi="Calibri"/>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right"/>
              <w:ind w:right="268"/>
              <w:spacing w:after="0"/>
              <w:rPr>
                <w:sz w:val="20"/>
                <w:szCs w:val="20"/>
                <w:color w:val="auto"/>
              </w:rPr>
            </w:pPr>
            <w:r>
              <w:rPr>
                <w:rFonts w:ascii="Calibri" w:cs="Calibri" w:eastAsia="Calibri" w:hAnsi="Calibri"/>
                <w:sz w:val="14"/>
                <w:szCs w:val="14"/>
                <w:b w:val="1"/>
                <w:bCs w:val="1"/>
                <w:color w:val="auto"/>
              </w:rPr>
              <w:t>Nine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428"/>
              <w:spacing w:after="0"/>
              <w:rPr>
                <w:sz w:val="20"/>
                <w:szCs w:val="20"/>
                <w:color w:val="auto"/>
              </w:rPr>
            </w:pPr>
            <w:r>
              <w:rPr>
                <w:rFonts w:ascii="Calibri" w:cs="Calibri" w:eastAsia="Calibri" w:hAnsi="Calibri"/>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right"/>
              <w:ind w:right="388"/>
              <w:spacing w:after="0"/>
              <w:rPr>
                <w:sz w:val="20"/>
                <w:szCs w:val="20"/>
                <w:color w:val="auto"/>
              </w:rPr>
            </w:pPr>
            <w:r>
              <w:rPr>
                <w:rFonts w:ascii="Calibri" w:cs="Calibri" w:eastAsia="Calibri" w:hAnsi="Calibri"/>
                <w:sz w:val="14"/>
                <w:szCs w:val="14"/>
                <w:b w:val="1"/>
                <w:bCs w:val="1"/>
                <w:color w:val="auto"/>
              </w:rPr>
              <w:t>September 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000" w:type="dxa"/>
            <w:vAlign w:val="bottom"/>
            <w:gridSpan w:val="2"/>
            <w:vMerge w:val="restart"/>
          </w:tcPr>
          <w:p>
            <w:pPr>
              <w:jc w:val="right"/>
              <w:ind w:right="340"/>
              <w:spacing w:after="0"/>
              <w:rPr>
                <w:sz w:val="20"/>
                <w:szCs w:val="20"/>
                <w:color w:val="auto"/>
              </w:rPr>
            </w:pPr>
            <w:r>
              <w:rPr>
                <w:rFonts w:ascii="Calibri" w:cs="Calibri" w:eastAsia="Calibri" w:hAnsi="Calibri"/>
                <w:sz w:val="14"/>
                <w:szCs w:val="14"/>
                <w:b w:val="1"/>
                <w:bCs w:val="1"/>
                <w:color w:val="auto"/>
              </w:rPr>
              <w:t>% Change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Change</w:t>
            </w:r>
          </w:p>
        </w:tc>
        <w:tc>
          <w:tcPr>
            <w:tcW w:w="200" w:type="dxa"/>
            <w:vAlign w:val="bottom"/>
          </w:tcPr>
          <w:p>
            <w:pPr>
              <w:spacing w:after="0"/>
              <w:rPr>
                <w:sz w:val="2"/>
                <w:szCs w:val="2"/>
                <w:color w:val="auto"/>
              </w:rPr>
            </w:pPr>
          </w:p>
        </w:tc>
        <w:tc>
          <w:tcPr>
            <w:tcW w:w="1480" w:type="dxa"/>
            <w:vAlign w:val="bottom"/>
            <w:gridSpan w:val="3"/>
            <w:vMerge w:val="restart"/>
          </w:tcPr>
          <w:p>
            <w:pPr>
              <w:ind w:left="3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General and administratve:</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Calibri" w:cs="Calibri" w:eastAsia="Calibri" w:hAnsi="Calibri"/>
                <w:sz w:val="14"/>
                <w:szCs w:val="14"/>
                <w:color w:val="auto"/>
              </w:rPr>
              <w:t>Personnel expenses</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32,157</w:t>
            </w:r>
          </w:p>
        </w:tc>
        <w:tc>
          <w:tcPr>
            <w:tcW w:w="4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27,740</w:t>
            </w:r>
          </w:p>
        </w:tc>
        <w:tc>
          <w:tcPr>
            <w:tcW w:w="34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4,417</w:t>
            </w:r>
          </w:p>
        </w:tc>
        <w:tc>
          <w:tcPr>
            <w:tcW w:w="1220" w:type="dxa"/>
            <w:vAlign w:val="bottom"/>
            <w:gridSpan w:val="3"/>
          </w:tcPr>
          <w:p>
            <w:pPr>
              <w:jc w:val="right"/>
              <w:ind w:right="120"/>
              <w:spacing w:after="0"/>
              <w:rPr>
                <w:sz w:val="20"/>
                <w:szCs w:val="20"/>
                <w:color w:val="auto"/>
              </w:rPr>
            </w:pPr>
            <w:r>
              <w:rPr>
                <w:rFonts w:ascii="Calibri" w:cs="Calibri" w:eastAsia="Calibri" w:hAnsi="Calibri"/>
                <w:sz w:val="14"/>
                <w:szCs w:val="14"/>
                <w:color w:val="auto"/>
              </w:rPr>
              <w:t>16 %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107,846</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78,791</w:t>
            </w:r>
          </w:p>
        </w:tc>
        <w:tc>
          <w:tcPr>
            <w:tcW w:w="34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29,055</w:t>
            </w:r>
          </w:p>
        </w:tc>
        <w:tc>
          <w:tcPr>
            <w:tcW w:w="1660" w:type="dxa"/>
            <w:vAlign w:val="bottom"/>
            <w:gridSpan w:val="3"/>
          </w:tcPr>
          <w:p>
            <w:pPr>
              <w:jc w:val="right"/>
              <w:spacing w:after="0"/>
              <w:rPr>
                <w:sz w:val="20"/>
                <w:szCs w:val="20"/>
                <w:color w:val="auto"/>
              </w:rPr>
            </w:pPr>
            <w:r>
              <w:rPr>
                <w:rFonts w:ascii="Calibri" w:cs="Calibri" w:eastAsia="Calibri" w:hAnsi="Calibri"/>
                <w:sz w:val="14"/>
                <w:szCs w:val="14"/>
                <w:color w:val="auto"/>
              </w:rPr>
              <w:t>37 %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Non-income tax expense</w:t>
            </w: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750</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472</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278</w:t>
            </w:r>
          </w:p>
        </w:tc>
        <w:tc>
          <w:tcPr>
            <w:tcW w:w="12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Calibri" w:cs="Calibri" w:eastAsia="Calibri" w:hAnsi="Calibri"/>
                <w:sz w:val="14"/>
                <w:szCs w:val="14"/>
                <w:color w:val="auto"/>
              </w:rPr>
              <w:t>59 %</w:t>
            </w: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3,893</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1,426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2,467</w:t>
            </w:r>
          </w:p>
        </w:tc>
        <w:tc>
          <w:tcPr>
            <w:tcW w:w="166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color w:val="auto"/>
              </w:rPr>
              <w:t>173 %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rPr>
                <w:sz w:val="20"/>
                <w:szCs w:val="20"/>
                <w:color w:val="auto"/>
              </w:rPr>
            </w:pPr>
            <w:r>
              <w:rPr>
                <w:rFonts w:ascii="Calibri" w:cs="Calibri" w:eastAsia="Calibri" w:hAnsi="Calibri"/>
                <w:sz w:val="14"/>
                <w:szCs w:val="14"/>
                <w:color w:val="auto"/>
              </w:rPr>
              <w:t>Other</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13,399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9,013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4,386</w:t>
            </w:r>
          </w:p>
        </w:tc>
        <w:tc>
          <w:tcPr>
            <w:tcW w:w="2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49 %</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37,986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27,704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10,282</w:t>
            </w:r>
          </w:p>
        </w:tc>
        <w:tc>
          <w:tcPr>
            <w:tcW w:w="1660" w:type="dxa"/>
            <w:vAlign w:val="bottom"/>
            <w:gridSpan w:val="3"/>
          </w:tcPr>
          <w:p>
            <w:pPr>
              <w:jc w:val="right"/>
              <w:spacing w:after="0"/>
              <w:rPr>
                <w:sz w:val="20"/>
                <w:szCs w:val="20"/>
                <w:color w:val="auto"/>
              </w:rPr>
            </w:pPr>
            <w:r>
              <w:rPr>
                <w:rFonts w:ascii="Calibri" w:cs="Calibri" w:eastAsia="Calibri" w:hAnsi="Calibri"/>
                <w:sz w:val="14"/>
                <w:szCs w:val="14"/>
                <w:color w:val="auto"/>
              </w:rPr>
              <w:t>37 %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general and administratve</w:t>
            </w:r>
          </w:p>
        </w:tc>
        <w:tc>
          <w:tcPr>
            <w:tcW w:w="160" w:type="dxa"/>
            <w:vAlign w:val="bottom"/>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46,306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37,225</w:t>
            </w:r>
          </w:p>
        </w:tc>
        <w:tc>
          <w:tcPr>
            <w:tcW w:w="3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9,081</w:t>
            </w:r>
          </w:p>
        </w:tc>
        <w:tc>
          <w:tcPr>
            <w:tcW w:w="1220" w:type="dxa"/>
            <w:vAlign w:val="bottom"/>
            <w:gridSpan w:val="3"/>
            <w:shd w:val="clear" w:color="auto" w:fill="CFF0FC"/>
          </w:tcPr>
          <w:p>
            <w:pPr>
              <w:jc w:val="right"/>
              <w:ind w:right="120"/>
              <w:spacing w:after="0"/>
              <w:rPr>
                <w:sz w:val="20"/>
                <w:szCs w:val="20"/>
                <w:color w:val="auto"/>
              </w:rPr>
            </w:pPr>
            <w:r>
              <w:rPr>
                <w:rFonts w:ascii="Calibri" w:cs="Calibri" w:eastAsia="Calibri" w:hAnsi="Calibri"/>
                <w:sz w:val="14"/>
                <w:szCs w:val="14"/>
                <w:b w:val="1"/>
                <w:bCs w:val="1"/>
                <w:color w:val="auto"/>
              </w:rPr>
              <w:t>24 %</w:t>
            </w:r>
          </w:p>
        </w:tc>
        <w:tc>
          <w:tcPr>
            <w:tcW w:w="1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149,725</w:t>
            </w:r>
          </w:p>
        </w:tc>
        <w:tc>
          <w:tcPr>
            <w:tcW w:w="36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107,921</w:t>
            </w:r>
          </w:p>
        </w:tc>
        <w:tc>
          <w:tcPr>
            <w:tcW w:w="3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41,804</w:t>
            </w:r>
          </w:p>
        </w:tc>
        <w:tc>
          <w:tcPr>
            <w:tcW w:w="166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-25400</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-8255</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-25400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-25400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Total general and administratve expenses increased $9.1 million, or 24%, for the three months ended September 30, 2024 compared to the three months ended September 30, 2023 and increased $41.8 million, or 39%, for the nine months ended September 30, 2024 compared to the nine months ended September 30, 2023. The increase was primarily due to higher personnel expenses from higher equity-based compensaton expense and higher employee headcount, including headcount added through our acquisitons of Vegas.com and Wavedash. The June 2024 repurchase and cancellaton by Hoya Topco </w:t>
      </w:r>
      <w:r>
        <w:rPr>
          <w:rFonts w:ascii="Calibri" w:cs="Calibri" w:eastAsia="Calibri" w:hAnsi="Calibri"/>
          <w:sz w:val="17"/>
          <w:szCs w:val="17"/>
          <w:color w:val="2B333D"/>
        </w:rPr>
        <w:t xml:space="preserve">(using its own funds) of all of its outstanding profts interests and phantom units held by our employees also contributed to higher equity-based compensaton expense during the nine months ended September 30, 2024 compared to the nine months ended September 30, 2023 (for more informaton, see Note 18, </w:t>
      </w:r>
      <w:r>
        <w:rPr>
          <w:rFonts w:ascii="Calibri" w:cs="Calibri" w:eastAsia="Calibri" w:hAnsi="Calibri"/>
          <w:sz w:val="17"/>
          <w:szCs w:val="17"/>
          <w:i w:val="1"/>
          <w:iCs w:val="1"/>
          <w:color w:val="2B333D"/>
        </w:rPr>
        <w:t>Equity-Based Compensaton</w:t>
      </w:r>
      <w:r>
        <w:rPr>
          <w:rFonts w:ascii="Calibri" w:cs="Calibri" w:eastAsia="Calibri" w:hAnsi="Calibri"/>
          <w:sz w:val="17"/>
          <w:szCs w:val="17"/>
          <w:color w:val="2B333D"/>
        </w:rPr>
        <w:t xml:space="preserve">, to our condensed consolidated fnancial statements included elsewhere in this Report). </w:t>
      </w:r>
      <w:r>
        <w:rPr>
          <w:rFonts w:ascii="Calibri" w:cs="Calibri" w:eastAsia="Calibri" w:hAnsi="Calibri"/>
          <w:sz w:val="17"/>
          <w:szCs w:val="17"/>
          <w:color w:val="000000"/>
        </w:rPr>
        <w:t>Non-income tax expense</w:t>
      </w:r>
      <w:r>
        <w:rPr>
          <w:rFonts w:ascii="Calibri" w:cs="Calibri" w:eastAsia="Calibri" w:hAnsi="Calibri"/>
          <w:sz w:val="17"/>
          <w:szCs w:val="17"/>
          <w:color w:val="2B333D"/>
        </w:rPr>
        <w:t xml:space="preserve"> </w:t>
      </w:r>
      <w:r>
        <w:rPr>
          <w:rFonts w:ascii="Calibri" w:cs="Calibri" w:eastAsia="Calibri" w:hAnsi="Calibri"/>
          <w:sz w:val="17"/>
          <w:szCs w:val="17"/>
          <w:color w:val="000000"/>
        </w:rPr>
        <w:t>increased as a result of accruing for sales and indirect taxes in jurisdictons where we believe it is probable we should remit but have not yet collected from customers. The increase in other expenses for the three and nine months ended September 30, 2024 compared to the three and nine months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spacing w:after="0" w:line="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ended September 30, 2023 was primarily driven by higher computer, telecom and ofce expenses and higher professional service fees, including expenses and fees incurred by Vegas.com and Wavedash.</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Depreciaton and Amortzaton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and amortzaton expenses increased $7.4 million, or 223%, during the three months ended September 30, 2024 compared to the three months ended September 30, 2023 and increased $23.1 million, or 268%, during the nine months ended September 30, 2024 compared to the nine months ended September 30, 2023. The increase was primarily due to the intangibles acquired as part of our acquisitons of Vegas.com and Wavedash and, to a lesser extent, an increase in capitalized development actvites related to our platorm.</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Expense (Income)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expense – net increased $3.8 million, or 148%, for the three months ended September 30, 2024 compared to the three months ended September 30, 2023 and increased $8.1 million, or 94%, for the nine months ended September 30, 2024 compared to the nine months ended September 30, 2023. The increase was primarily due to a higher amount of outstanding principal debt and lower interest income earned on cash balances.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income increased $8.0 million, or 769%, for the three months ended September 30, 2024 compared to the three months ended September 30, 2023 and increased $2.9 million, or 787%, for the nine months ended September 30, 2024 compared to the nine months ended September 30, 2023. The increase was primarily due to the fair value remeasurement of warrants and foreign currency revaluaton gains.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 Expense (Beneft)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Income tax expense increased $1.7 million during the three months ended September 30, 2024 compared to the three months ended September 30, 2023 and increased $28.7 million for the nine months ended September 30, 2024 compared to the nine months ended September 30, 2023. The increase was primarily due to the June 30, 2023 release of our previously recorded valuaton allowance on our U.S. tax atributes carryforward deferred tax assets, which produced a sizable income tax beneft for the nine months ended September 30,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historically fnanced our operatons primarily through cash generated from operatons.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primary source of funds is cash generated from operatons. Our existng cash and cash equivalents are sufcient to fund our liquidity needs for the next 12 months and thereafer for the foreseeable future. As of September 30, 2024, we had $202.3 million of cash and cash equivalents, which consist of interest-bearing deposit accounts, money market accounts managed by fnancial insttutons and highly liquid investments with maturites of three months or less. For the nine months ended September 30, 2024, we generated positve cash fows from our operatng actvites.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Loan Agreements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2017, we entered into a $575.0 million frst lien debt facility (the “June 2017 First Lien Loan”). We had an outstanding loan balance of $465.7 million under the June 2017 First Lien Loan as of December 31, 2021. In February 2022, we repaid $190.7 million of the outstanding June 2017 First Lien Loan. In February 2022, we also entered into an amendment which refnanced the remaining balance of the June 2017 First Lien Loan with a $275.0 million term loan (the “February 2022 First Lien Loan”), added a $100.0 million revolving credit facility (the “Revolving Facility”) with a maturity date of February 3, 2027, replaced the London Interbank Ofered Rate (“LIBOR”)-based foatng interest rate with a term SOFR-based foatng interest rate, and revised the springing fnancial covenant to require compliance with a frst lien net leverage rato when revolver borrowings exceed certain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both"/>
        <w:spacing w:after="0" w:line="235" w:lineRule="auto"/>
        <w:rPr>
          <w:sz w:val="20"/>
          <w:szCs w:val="20"/>
          <w:color w:val="auto"/>
        </w:rPr>
      </w:pPr>
      <w:r>
        <w:rPr>
          <w:rFonts w:ascii="Calibri" w:cs="Calibri" w:eastAsia="Calibri" w:hAnsi="Calibri"/>
          <w:sz w:val="18"/>
          <w:szCs w:val="18"/>
          <w:color w:val="auto"/>
        </w:rPr>
        <w:t xml:space="preserve">On June 14, 2024, we entered into an amendment which refnanced the remaining balance of the February 2022 First Lien Loan with a $395.0 million term loan (the “June 2024 First Lien Loan”) with a maturity date of February 3, 2029 and revised the term SOFR-based foatng interest rate. The June 2024 First Lien Loan requires quarterly amortzaton payments of $1.0 million. The Revolving Facility, which was unafected by the refnancing of the February 2022 First Lien Loan, does not require periodic payments. All obligatons under the June 2024 First Lien Loan are secured, subject to permited liens and other exceptons, by frst-priority perfected security interests in substantally all of our and the applicable guarantors’ assets. The June 2024 First Lien Loan carries an interest rate of SOFR (subject to a 0.5% foor) plus a margin of 3.00%;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such margin may be reduced to 2.75% if the corporate ratng assigned to us by Moody’s Investors Service, Inc. and S&amp;P Global Ratngs is at least Ba3/BB- (in each case, stable or beter).</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our acquisiton of Wavedash, we assumed long-term debt owed to Shoko Chukin Bank (the “Shoko Chukin Bank Loan”) of JPY 458.3 million (approximately $3.1 million), which had an original maturity date of June 24, 2026 and was subject to a fxed interest rate of 1.27% per annum. On April 4, 2024, we paid of the Shoko Chukin Bank Loan balance in its entrety.</w:t>
      </w:r>
    </w:p>
    <w:p>
      <w:pPr>
        <w:spacing w:after="0" w:line="111" w:lineRule="exact"/>
        <w:rPr>
          <w:sz w:val="20"/>
          <w:szCs w:val="20"/>
          <w:color w:val="auto"/>
        </w:rPr>
      </w:pPr>
    </w:p>
    <w:p>
      <w:pPr>
        <w:ind w:right="1500"/>
        <w:spacing w:after="0" w:line="348" w:lineRule="auto"/>
        <w:rPr>
          <w:sz w:val="20"/>
          <w:szCs w:val="20"/>
          <w:color w:val="auto"/>
        </w:rPr>
      </w:pPr>
      <w:r>
        <w:rPr>
          <w:rFonts w:ascii="Calibri" w:cs="Calibri" w:eastAsia="Calibri" w:hAnsi="Calibri"/>
          <w:sz w:val="18"/>
          <w:szCs w:val="18"/>
          <w:color w:val="auto"/>
        </w:rPr>
        <w:t xml:space="preserve">As of September 30, 2024, we had the June 2024 First Lien Loan outstanding and no outstanding borrowings under the Revolving Facility. </w:t>
      </w:r>
      <w:r>
        <w:rPr>
          <w:rFonts w:ascii="Calibri" w:cs="Calibri" w:eastAsia="Calibri" w:hAnsi="Calibri"/>
          <w:sz w:val="18"/>
          <w:szCs w:val="18"/>
          <w:i w:val="1"/>
          <w:iCs w:val="1"/>
          <w:color w:val="auto"/>
        </w:rPr>
        <w:t>Share Repurchase Programs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29, 2024, our Board of Directors (our “Board”) authorized a share repurchase program for up to $100.0 million of our Class A common stock, which program was publicly announced on March 5, 2024 and does not have a fxed expiraton date (the “2024 Share Repurchase Program”). As of September 30, 2024, we had repurchased approximately 4.1 million shares of our Class A common stock for approximately $22.8 million under the 2024 Share Repurchase Program, for which we had recorded approximately $0.3 million in commissions and excise taxes. As of September 30, 2024, approximately $77.2 million remained available for future repurchases under the 2024 Share Repurchase Program.</w:t>
      </w:r>
    </w:p>
    <w:p>
      <w:pPr>
        <w:spacing w:after="0" w:line="112"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In May 2022, our Board authorized a share repurchase program for up to $40.0 million of our Class A common stock, which program was publicly announced on May 26, 2022 (the “2022 Share Repurchase Program”). The 2022 Share Repurchase Program’s authorizaton was fully utlized during 2022 and the three months ended March 31, 2023. Cumulatvely, we repurchased approximately 5.3 million shares of our Class A common stock for approximately $40.0 million under the 2022 Share Repurchase Program, for which we recorded approximately $0.1 million in commissions and excise taxes.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color w:val="auto"/>
        </w:rPr>
        <w:t>Share repurchases are accounted for as Treasury stock in the Condensed Consolidated Balance Sheets.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Distributons to Redeemable Noncontrolling Interests</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Per its Limited Liability Company Agreement, Hoya Intermediate is required to make pro-rata tax distributons to its members, of which $2.8 million and $9.3 million was distributed to redeemable noncontrolling interests in the three and nine months ended September 30, 2024,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a Tax Receivable Agreement (the “TRA”) with the existng Hoya Intermediate unitholders that provides for our payment to such unitholders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September 30, 2024, we estmate that the tax savings associated with all tax atributes described above would require us to pay $165.7 million, primarily over the next 15 years. As of September 30, 2024, $3.5 million is expected to be due within the next 12 months.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80" w:type="dxa"/>
            <w:vAlign w:val="bottom"/>
          </w:tcPr>
          <w:p>
            <w:pPr>
              <w:spacing w:after="0"/>
              <w:rPr>
                <w:sz w:val="20"/>
                <w:szCs w:val="20"/>
                <w:color w:val="auto"/>
              </w:rPr>
            </w:pPr>
            <w:r>
              <w:rPr>
                <w:rFonts w:ascii="Calibri" w:cs="Calibri" w:eastAsia="Calibri" w:hAnsi="Calibri"/>
                <w:sz w:val="18"/>
                <w:szCs w:val="18"/>
                <w:b w:val="1"/>
                <w:bCs w:val="1"/>
                <w:color w:val="auto"/>
              </w:rPr>
              <w:t>Cash Flows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8080" w:type="dxa"/>
            <w:vAlign w:val="bottom"/>
          </w:tcPr>
          <w:p>
            <w:pPr>
              <w:spacing w:after="0"/>
              <w:rPr>
                <w:sz w:val="20"/>
                <w:szCs w:val="20"/>
                <w:color w:val="auto"/>
              </w:rPr>
            </w:pPr>
            <w:r>
              <w:rPr>
                <w:rFonts w:ascii="Calibri" w:cs="Calibri" w:eastAsia="Calibri" w:hAnsi="Calibri"/>
                <w:sz w:val="18"/>
                <w:szCs w:val="18"/>
                <w:color w:val="auto"/>
              </w:rPr>
              <w:t>The following table summarizes our cash fows (in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jc w:val="right"/>
              <w:ind w:right="360"/>
              <w:spacing w:after="0"/>
              <w:rPr>
                <w:sz w:val="20"/>
                <w:szCs w:val="20"/>
                <w:color w:val="auto"/>
              </w:rPr>
            </w:pPr>
            <w:r>
              <w:rPr>
                <w:rFonts w:ascii="Calibri" w:cs="Calibri" w:eastAsia="Calibri" w:hAnsi="Calibri"/>
                <w:sz w:val="18"/>
                <w:szCs w:val="18"/>
                <w:b w:val="1"/>
                <w:bCs w:val="1"/>
                <w:color w:val="auto"/>
                <w:w w:val="99"/>
              </w:rPr>
              <w:t>Nine Months Ended September 30,</w:t>
            </w:r>
          </w:p>
        </w:tc>
      </w:tr>
      <w:tr>
        <w:trPr>
          <w:trHeight w:val="37"/>
        </w:trPr>
        <w:tc>
          <w:tcPr>
            <w:tcW w:w="8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cash provided by operatng actvites</w:t>
            </w: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6,135</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114,386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08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(17,838 )</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(71,032 )</w:t>
            </w:r>
          </w:p>
        </w:tc>
      </w:tr>
      <w:tr>
        <w:trPr>
          <w:trHeight w:val="28"/>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cash provided by (used in) fnancing actvites</w:t>
            </w: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87,881</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(26,696 )</w:t>
            </w:r>
          </w:p>
        </w:tc>
      </w:tr>
      <w:tr>
        <w:trPr>
          <w:trHeight w:val="215"/>
        </w:trPr>
        <w:tc>
          <w:tcPr>
            <w:tcW w:w="8080" w:type="dxa"/>
            <w:vAlign w:val="bottom"/>
          </w:tcPr>
          <w:p>
            <w:pPr>
              <w:ind w:left="20"/>
              <w:spacing w:after="0" w:line="215" w:lineRule="exact"/>
              <w:rPr>
                <w:sz w:val="20"/>
                <w:szCs w:val="20"/>
                <w:color w:val="auto"/>
              </w:rPr>
            </w:pPr>
            <w:r>
              <w:rPr>
                <w:rFonts w:ascii="Calibri" w:cs="Calibri" w:eastAsia="Calibri" w:hAnsi="Calibri"/>
                <w:sz w:val="18"/>
                <w:szCs w:val="18"/>
                <w:color w:val="auto"/>
              </w:rPr>
              <w:t>Impact of foreign exchange on cash, cash equivalents, and restricted cash</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(151 )</w:t>
            </w:r>
          </w:p>
        </w:tc>
        <w:tc>
          <w:tcPr>
            <w:tcW w:w="30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786</w:t>
            </w:r>
          </w:p>
        </w:tc>
        <w:tc>
          <w:tcPr>
            <w:tcW w:w="100" w:type="dxa"/>
            <w:vAlign w:val="bottom"/>
          </w:tcPr>
          <w:p>
            <w:pPr>
              <w:spacing w:after="0"/>
              <w:rPr>
                <w:sz w:val="18"/>
                <w:szCs w:val="18"/>
                <w:color w:val="auto"/>
              </w:rPr>
            </w:pPr>
          </w:p>
        </w:tc>
      </w:tr>
      <w:tr>
        <w:trPr>
          <w:trHeight w:val="28"/>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80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increase in cash, cash equivalents, and restricted cash</w:t>
            </w: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76,027</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17,444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0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Net Cash Provided by Operatng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$6.1 million for the nine months ended September 30, 2024 due to $18.7 million in net income, net non-cash charges of $70.2 million and net cash outlows from a $82.8 million change in net operatng assets. The net cash outlows from the change in net operatng assets were primarily due to decreases in Accounts payable and Accrued expenses and other current liabilites. The decrease in Accounts payable was due to a decrease in amounts payable to tcket sellers as a result of lower Marketplace GOV. The decrease in Accrued expenses and other current liabilites was also due to lower Marketplace GOV, as well as the tming of disbursements.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$114.4 million for the nine months ended September 30, 2023 due to $84.6 million in net income, net non-cash charges of $6.1 million and net cash infows from a $23.6 million change in net operatng assets. The net cash infows from the change in net operatng assets were primarily due to an increase in amounts payable to tcket sellers as a result of higher order volumes.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Net Cash Used in Investng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was $17.8 million for the nine months ended September 30, 2024, which was primarily related to capital spending on development actvites related to our platorm.</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Net cash used in investng actvites was $71.0 million for the nine months ended September 30, 2023, which was primarily related to the acquisiton of Wavedash and capital spending on development actvites related to our platorm.</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Net Cash Provided By (Used In) Financing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fnancing actvites was $87.9 million for the nine months ended September 30, 2024, which was primarily related to the refnancing of the February 2022 First Lien Loan with the June 2024 First Lien Loan on June 14, 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was $26.7 million for the nine months ended September 30, 2023, which was primarily related to the 2022 Share Repurchase Program and tax distributons to redeemable noncontrolling interests.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condensed consolidated fnancial statements are prepared in accordance with US GAAP, which requires us to make estmates and assumptons that afect the reported amounts of assets, liabilites, revenue, costs and expenses, and related disclosures. On an ongoing basis, we evaluate our estmates and assumptons. Actual results may difer from these estmates under diferent assumptons or conditons. The estmates and assumptons associated with revenue recogniton, equity-based compensaton, warrants and earnouts, recoverability of our goodwill, indefnite-lived intangible assets, defnite-lived intangible assets, long-lived assets and valuaton allowances have the greatest potental impact on our consolidated fnancial statements. Accordingly, these are the policies that are the most critcal to aid in fully understanding and evaluatng our condensed consolidated fnancial statements. See our 2023 Form 10-K for a descripton of our critcal accountng policies and estmates. There have been no material changes to the critcal accountng policies disclosed in our 2023 Form 10-K.</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2, </w:t>
      </w:r>
      <w:r>
        <w:rPr>
          <w:rFonts w:ascii="Calibri" w:cs="Calibri" w:eastAsia="Calibri" w:hAnsi="Calibri"/>
          <w:sz w:val="18"/>
          <w:szCs w:val="18"/>
          <w:i w:val="1"/>
          <w:iCs w:val="1"/>
          <w:color w:val="auto"/>
        </w:rPr>
        <w:t>New Accountng Standards</w:t>
      </w:r>
      <w:r>
        <w:rPr>
          <w:rFonts w:ascii="Calibri" w:cs="Calibri" w:eastAsia="Calibri" w:hAnsi="Calibri"/>
          <w:sz w:val="18"/>
          <w:szCs w:val="18"/>
          <w:color w:val="auto"/>
        </w:rPr>
        <w:t>, to our condensed consolidated fnancial statements included elsewhere in this Report for a descripton of recently adopted accountng pronouncements and issued accountng pronouncements not yet adopted.</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market risk is afected by changes in interest rates. The June 2024 First Lien Loan (our only outstanding debt) bears a foatng interest rate based on market rates plus an applicable spread. We will be susceptble to fuctuatons in interest rates if we do not hedge the interest rate exposure arising from our foatng-rate debt, which may adversely impact our fnancial results. A hypothetcal 1% change in interest rates, assuming rates are above our interest rate foor, would have impacted our interest expense by $1.0 million and $2.4 million for the three and nine months ended September 30, 2024, respectvely, based on amounts outstanding under the June 2024 First Lien Loan.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Foreign Currency Exchange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reportng currency is the U.S. dollar, while certain of our internatonal subsidiaries’ functonal currency is their local currency. Our internatonal revenue, as well as costs and expenses denominated in foreign currencies, expose us to the risk of fuctuatons in foreign currency exchange rates against the U.S. dollar. Accordingly, we are subject to foreign currency risk, which may adversely impact our fnancial results.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also exposed to foreign exchange rate fuctuatons as we translate the fnancial statements of our foreign subsidiaries into U.S. dollars during consolidaton. We have not entered into derivatve or hedging transactons, but we may do so in the future if our exposure to foreign currency becomes more signifcant.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fuctuatons in exchange rates resultng from the current macroeconomic environment, we may experience negatve impacts on the translaton adjustments resultng from the conversion of the fnancial statements of our foreign subsidiaries into U.S. dollars, as well as the revaluaton adjustments on U.S. dollar denominated intercompany loans. Our foreign currency translaton adjustment included in the Condensed Consolidated Statements of Comprehensive Income resulted in a gain of $2.9 million and a loss of $0.2 million, respectvely, for the three and nine months ended September 30, 2024. As of September 30, 2024, a hypothetcal 10% change in foreign currency exchange rates applicable to our business would have impacted our foreign currency revaluaton loss (gain), which is refected in the Condensed Consolidated Statements of Operatons, by $3.6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4460"/>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 rules and forms, and that such informaton is accumulated and communicated to management, including our principal executve and principal fnancial ofcers, as appropriate, to allow tmely decisions regarding required disclosures.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with the partcipaton of our principal executve and principal fnancial ofcers, has evaluated the efectveness of our disclosure controls and procedures (as defned in Rules 13a-15(e) and 15d-15(e) under the Exchange Act) as of the end of the period covered by this Report. Based on such evaluaton, our principal executve and principal fnancial ofcers concluded that our disclosure controls and procedures were not efectve at the reasonable assurance level as of September 30, 2024 due to the material weakness in our internal control over fnancial reportng described below.</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Material Weakness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audit of our consolidated fnancial statements as of December 31, 2023, 2022 and 2021, we identfed a material weakness in our internal control over fnancial reportng related to the implementaton of segregaton of dutes as part of our control actvites, the establishment of clearly defned roles within our fnance and accountng functons and the number of personnel in those functons with an appropriate level of technical accountng and SEC reportng experience which, in the aggregate, consttute a material weakness.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Remediaton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contnue to strengthen our internal control over fnancial reportng and are commited to ensuring that such controls are designed and operatng efectvely. During the three months ended September 30, 2024, we contnued to review our internal control procedures, to implement new controls and processes, to hire additonal qualifed personnel and to establish more robust processes to support our internal control over fnancial reportng, including by creatng clearly defned roles and responsibilites and the appropriate segregaton of dutes. These actons are contnuing to be validated through testng and, when fully implemented, we believe they will be efectve in remediatng the material weakness. However, additonal tme is required to complete implementng the enhanced procedures and to test and ensure the efectveness and sustainability of the improved controls. The material weakness will not be considered remediated untl the applicable controls have been in place and operatng for a sufcient period of tme and management has concluded, through testng, that these controls are efectve. We contnue to devote signifcant tme and atenton to these eforts.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with respect to the contnuing remediaton actvites described above, there were no changes in our internal control over fnancial reportng (as defned in Rules 13a-15(f) and 15d-15(f) under the Exchange Act) during the quarter ended September 30, 2024 that have materially afected, or are reasonably likely to materially afect, our internal control over fnancial reportng. We are contnuing to review the internal control structures of Wavedash and Vegas.com and, if necessary, will make appropriate changes as we contnue to integrate such businesses into our overall internal control over fnancial reportng.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ind w:left="4680"/>
        <w:spacing w:after="0"/>
        <w:rPr>
          <w:sz w:val="20"/>
          <w:szCs w:val="20"/>
          <w:color w:val="auto"/>
        </w:rPr>
      </w:pPr>
      <w:r>
        <w:rPr>
          <w:rFonts w:ascii="Calibri" w:cs="Calibri" w:eastAsia="Calibri" w:hAnsi="Calibri"/>
          <w:sz w:val="18"/>
          <w:szCs w:val="18"/>
          <w:b w:val="1"/>
          <w:bCs w:val="1"/>
          <w:color w:val="auto"/>
        </w:rPr>
        <w:t xml:space="preserve">Part II </w:t>
      </w:r>
      <w:r>
        <w:rPr>
          <w:rFonts w:ascii="Times New Roman" w:cs="Times New Roman" w:eastAsia="Times New Roman" w:hAnsi="Times New Roman"/>
          <w:sz w:val="18"/>
          <w:szCs w:val="18"/>
          <w:b w:val="1"/>
          <w:bCs w:val="1"/>
          <w:color w:val="auto"/>
        </w:rPr>
        <w:t>-</w:t>
      </w:r>
      <w:r>
        <w:rPr>
          <w:rFonts w:ascii="Calibri" w:cs="Calibri" w:eastAsia="Calibri" w:hAnsi="Calibri"/>
          <w:sz w:val="18"/>
          <w:szCs w:val="18"/>
          <w:b w:val="1"/>
          <w:bCs w:val="1"/>
          <w:color w:val="auto"/>
        </w:rPr>
        <w:t xml:space="preserve"> Other Informaton</w:t>
      </w:r>
    </w:p>
    <w:p>
      <w:pPr>
        <w:spacing w:after="0" w:line="113" w:lineRule="exact"/>
        <w:rPr>
          <w:sz w:val="20"/>
          <w:szCs w:val="20"/>
          <w:color w:val="auto"/>
        </w:rPr>
      </w:pPr>
    </w:p>
    <w:p>
      <w:pPr>
        <w:ind w:left="4700"/>
        <w:spacing w:after="0"/>
        <w:rPr>
          <w:sz w:val="20"/>
          <w:szCs w:val="20"/>
          <w:color w:val="auto"/>
        </w:rPr>
      </w:pPr>
      <w:r>
        <w:rPr>
          <w:rFonts w:ascii="Calibri" w:cs="Calibri" w:eastAsia="Calibri" w:hAnsi="Calibri"/>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1A. Risk Factors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the other informaton set forth in this Report, you should carefully consider the risks and uncertaintes discussed in the “Risk Factors” secton of our 2023 Form 10-K. These risks and uncertaintes could cause actual results to difer materially from historical results or the results contemplated by the forward-looking statements contained in this Report. There have been no material changes to the risk factors disclosed in our 2023 Form 10-K.</w:t>
      </w:r>
    </w:p>
    <w:p>
      <w:pPr>
        <w:spacing w:after="0" w:line="111" w:lineRule="exact"/>
        <w:rPr>
          <w:sz w:val="20"/>
          <w:szCs w:val="20"/>
          <w:color w:val="auto"/>
        </w:rPr>
      </w:pPr>
    </w:p>
    <w:p>
      <w:pPr>
        <w:ind w:right="3180" w:firstLine="3188"/>
        <w:spacing w:after="0" w:line="348" w:lineRule="auto"/>
        <w:rPr>
          <w:sz w:val="20"/>
          <w:szCs w:val="20"/>
          <w:color w:val="auto"/>
        </w:rPr>
      </w:pPr>
      <w:r>
        <w:rPr>
          <w:rFonts w:ascii="Calibri" w:cs="Calibri" w:eastAsia="Calibri" w:hAnsi="Calibri"/>
          <w:sz w:val="18"/>
          <w:szCs w:val="18"/>
          <w:b w:val="1"/>
          <w:bCs w:val="1"/>
          <w:color w:val="auto"/>
        </w:rPr>
        <w:t xml:space="preserve">Item 2. Unregistered Sales of Equity Securites and Use of Proceeds </w:t>
      </w:r>
      <w:r>
        <w:rPr>
          <w:rFonts w:ascii="Calibri" w:cs="Calibri" w:eastAsia="Calibri" w:hAnsi="Calibri"/>
          <w:sz w:val="18"/>
          <w:szCs w:val="18"/>
          <w:i w:val="1"/>
          <w:iCs w:val="1"/>
          <w:color w:val="auto"/>
        </w:rPr>
        <w:t>Purchases of Equity Securites by the Issuer and Afliated Purchasers</w:t>
      </w:r>
    </w:p>
    <w:p>
      <w:pPr>
        <w:spacing w:after="0" w:line="1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following table provides informaton about repurchases of our common stock during the three months ended September 30, 2024 (in thousands, except share and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Total Number of Shares</w:t>
            </w:r>
          </w:p>
        </w:tc>
        <w:tc>
          <w:tcPr>
            <w:tcW w:w="300" w:type="dxa"/>
            <w:vAlign w:val="bottom"/>
          </w:tcPr>
          <w:p>
            <w:pPr>
              <w:spacing w:after="0"/>
              <w:rPr>
                <w:sz w:val="16"/>
                <w:szCs w:val="16"/>
                <w:color w:val="auto"/>
              </w:rPr>
            </w:pPr>
          </w:p>
        </w:tc>
        <w:tc>
          <w:tcPr>
            <w:tcW w:w="2580" w:type="dxa"/>
            <w:vAlign w:val="bottom"/>
            <w:gridSpan w:val="3"/>
          </w:tcPr>
          <w:p>
            <w:pPr>
              <w:ind w:left="20"/>
              <w:spacing w:after="0"/>
              <w:rPr>
                <w:sz w:val="20"/>
                <w:szCs w:val="20"/>
                <w:color w:val="auto"/>
              </w:rPr>
            </w:pPr>
            <w:r>
              <w:rPr>
                <w:rFonts w:ascii="Calibri" w:cs="Calibri" w:eastAsia="Calibri" w:hAnsi="Calibri"/>
                <w:sz w:val="16"/>
                <w:szCs w:val="16"/>
                <w:b w:val="1"/>
                <w:bCs w:val="1"/>
                <w:color w:val="auto"/>
              </w:rPr>
              <w:t>Approximate Dollar Value of Shares</w:t>
            </w:r>
          </w:p>
        </w:tc>
      </w:tr>
      <w:tr>
        <w:trPr>
          <w:trHeight w:val="183"/>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239"/>
              <w:spacing w:after="0" w:line="183" w:lineRule="exact"/>
              <w:rPr>
                <w:sz w:val="20"/>
                <w:szCs w:val="20"/>
                <w:color w:val="auto"/>
              </w:rPr>
            </w:pPr>
            <w:r>
              <w:rPr>
                <w:rFonts w:ascii="Calibri" w:cs="Calibri" w:eastAsia="Calibri" w:hAnsi="Calibri"/>
                <w:sz w:val="16"/>
                <w:szCs w:val="16"/>
                <w:b w:val="1"/>
                <w:bCs w:val="1"/>
                <w:color w:val="auto"/>
              </w:rPr>
              <w:t>Total Number of</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ind w:right="159"/>
              <w:spacing w:after="0" w:line="183" w:lineRule="exact"/>
              <w:rPr>
                <w:sz w:val="20"/>
                <w:szCs w:val="20"/>
                <w:color w:val="auto"/>
              </w:rPr>
            </w:pPr>
            <w:r>
              <w:rPr>
                <w:rFonts w:ascii="Calibri" w:cs="Calibri" w:eastAsia="Calibri" w:hAnsi="Calibri"/>
                <w:sz w:val="16"/>
                <w:szCs w:val="16"/>
                <w:b w:val="1"/>
                <w:bCs w:val="1"/>
                <w:color w:val="auto"/>
              </w:rPr>
              <w:t>Average Price Paid</w:t>
            </w:r>
          </w:p>
        </w:tc>
        <w:tc>
          <w:tcPr>
            <w:tcW w:w="260" w:type="dxa"/>
            <w:vAlign w:val="bottom"/>
          </w:tcPr>
          <w:p>
            <w:pPr>
              <w:spacing w:after="0"/>
              <w:rPr>
                <w:sz w:val="15"/>
                <w:szCs w:val="15"/>
                <w:color w:val="auto"/>
              </w:rPr>
            </w:pPr>
          </w:p>
        </w:tc>
        <w:tc>
          <w:tcPr>
            <w:tcW w:w="2200" w:type="dxa"/>
            <w:vAlign w:val="bottom"/>
          </w:tcPr>
          <w:p>
            <w:pPr>
              <w:jc w:val="center"/>
              <w:spacing w:after="0" w:line="183" w:lineRule="exact"/>
              <w:rPr>
                <w:sz w:val="20"/>
                <w:szCs w:val="20"/>
                <w:color w:val="auto"/>
              </w:rPr>
            </w:pPr>
            <w:r>
              <w:rPr>
                <w:rFonts w:ascii="Calibri" w:cs="Calibri" w:eastAsia="Calibri" w:hAnsi="Calibri"/>
                <w:sz w:val="16"/>
                <w:szCs w:val="16"/>
                <w:b w:val="1"/>
                <w:bCs w:val="1"/>
                <w:color w:val="auto"/>
              </w:rPr>
              <w:t>Purchased As Part of Publicly</w:t>
            </w:r>
          </w:p>
        </w:tc>
        <w:tc>
          <w:tcPr>
            <w:tcW w:w="300" w:type="dxa"/>
            <w:vAlign w:val="bottom"/>
          </w:tcPr>
          <w:p>
            <w:pPr>
              <w:spacing w:after="0"/>
              <w:rPr>
                <w:sz w:val="15"/>
                <w:szCs w:val="15"/>
                <w:color w:val="auto"/>
              </w:rPr>
            </w:pPr>
          </w:p>
        </w:tc>
        <w:tc>
          <w:tcPr>
            <w:tcW w:w="2580" w:type="dxa"/>
            <w:vAlign w:val="bottom"/>
            <w:gridSpan w:val="3"/>
          </w:tcPr>
          <w:p>
            <w:pPr>
              <w:ind w:left="80"/>
              <w:spacing w:after="0" w:line="183" w:lineRule="exact"/>
              <w:rPr>
                <w:sz w:val="20"/>
                <w:szCs w:val="20"/>
                <w:color w:val="auto"/>
              </w:rPr>
            </w:pPr>
            <w:r>
              <w:rPr>
                <w:rFonts w:ascii="Calibri" w:cs="Calibri" w:eastAsia="Calibri" w:hAnsi="Calibri"/>
                <w:sz w:val="16"/>
                <w:szCs w:val="16"/>
                <w:b w:val="1"/>
                <w:bCs w:val="1"/>
                <w:color w:val="auto"/>
              </w:rPr>
              <w:t>That May Yet Be Purchased Under</w:t>
            </w:r>
          </w:p>
        </w:tc>
      </w:tr>
      <w:tr>
        <w:trPr>
          <w:trHeight w:val="257"/>
        </w:trPr>
        <w:tc>
          <w:tcPr>
            <w:tcW w:w="2040" w:type="dxa"/>
            <w:vAlign w:val="bottom"/>
            <w:tcBorders>
              <w:bottom w:val="single" w:sz="8" w:color="auto"/>
            </w:tcBorders>
          </w:tcPr>
          <w:p>
            <w:pPr>
              <w:ind w:left="800"/>
              <w:spacing w:after="0"/>
              <w:rPr>
                <w:sz w:val="20"/>
                <w:szCs w:val="20"/>
                <w:color w:val="auto"/>
              </w:rPr>
            </w:pPr>
            <w:r>
              <w:rPr>
                <w:rFonts w:ascii="Calibri" w:cs="Calibri" w:eastAsia="Calibri" w:hAnsi="Calibri"/>
                <w:sz w:val="16"/>
                <w:szCs w:val="16"/>
                <w:b w:val="1"/>
                <w:bCs w:val="1"/>
                <w:color w:val="auto"/>
              </w:rPr>
              <w:t>Period</w:t>
            </w:r>
          </w:p>
        </w:tc>
        <w:tc>
          <w:tcPr>
            <w:tcW w:w="120" w:type="dxa"/>
            <w:vAlign w:val="bottom"/>
          </w:tcPr>
          <w:p>
            <w:pPr>
              <w:spacing w:after="0"/>
              <w:rPr>
                <w:sz w:val="22"/>
                <w:szCs w:val="22"/>
                <w:color w:val="auto"/>
              </w:rPr>
            </w:pPr>
          </w:p>
        </w:tc>
        <w:tc>
          <w:tcPr>
            <w:tcW w:w="1720" w:type="dxa"/>
            <w:vAlign w:val="bottom"/>
            <w:tcBorders>
              <w:bottom w:val="single" w:sz="8" w:color="auto"/>
            </w:tcBorders>
          </w:tcPr>
          <w:p>
            <w:pPr>
              <w:jc w:val="right"/>
              <w:ind w:right="199"/>
              <w:spacing w:after="0"/>
              <w:rPr>
                <w:sz w:val="20"/>
                <w:szCs w:val="20"/>
                <w:color w:val="auto"/>
              </w:rPr>
            </w:pPr>
            <w:r>
              <w:rPr>
                <w:rFonts w:ascii="Calibri" w:cs="Calibri" w:eastAsia="Calibri" w:hAnsi="Calibri"/>
                <w:sz w:val="16"/>
                <w:szCs w:val="16"/>
                <w:b w:val="1"/>
                <w:bCs w:val="1"/>
                <w:color w:val="auto"/>
              </w:rPr>
              <w:t>Shares Purchased</w:t>
            </w:r>
          </w:p>
        </w:tc>
        <w:tc>
          <w:tcPr>
            <w:tcW w:w="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79"/>
              <w:spacing w:after="0" w:line="249" w:lineRule="exact"/>
              <w:rPr>
                <w:sz w:val="20"/>
                <w:szCs w:val="20"/>
                <w:color w:val="auto"/>
              </w:rPr>
            </w:pPr>
            <w:r>
              <w:rPr>
                <w:rFonts w:ascii="Calibri" w:cs="Calibri" w:eastAsia="Calibri" w:hAnsi="Calibri"/>
                <w:sz w:val="16"/>
                <w:szCs w:val="16"/>
                <w:b w:val="1"/>
                <w:bCs w:val="1"/>
                <w:color w:val="auto"/>
              </w:rPr>
              <w:t>Per Share</w:t>
            </w:r>
            <w:r>
              <w:rPr>
                <w:rFonts w:ascii="Calibri" w:cs="Calibri" w:eastAsia="Calibri" w:hAnsi="Calibri"/>
                <w:sz w:val="21"/>
                <w:szCs w:val="21"/>
                <w:b w:val="1"/>
                <w:bCs w:val="1"/>
                <w:color w:val="auto"/>
                <w:vertAlign w:val="superscript"/>
              </w:rPr>
              <w:t>(1)</w:t>
            </w:r>
          </w:p>
        </w:tc>
        <w:tc>
          <w:tcPr>
            <w:tcW w:w="260" w:type="dxa"/>
            <w:vAlign w:val="bottom"/>
          </w:tcPr>
          <w:p>
            <w:pPr>
              <w:spacing w:after="0"/>
              <w:rPr>
                <w:sz w:val="22"/>
                <w:szCs w:val="22"/>
                <w:color w:val="auto"/>
              </w:rPr>
            </w:pPr>
          </w:p>
        </w:tc>
        <w:tc>
          <w:tcPr>
            <w:tcW w:w="220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Announced Plans or Programs</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359"/>
              <w:spacing w:after="0" w:line="249" w:lineRule="exact"/>
              <w:rPr>
                <w:sz w:val="20"/>
                <w:szCs w:val="20"/>
                <w:color w:val="auto"/>
              </w:rPr>
            </w:pPr>
            <w:r>
              <w:rPr>
                <w:rFonts w:ascii="Calibri" w:cs="Calibri" w:eastAsia="Calibri" w:hAnsi="Calibri"/>
                <w:sz w:val="16"/>
                <w:szCs w:val="16"/>
                <w:b w:val="1"/>
                <w:bCs w:val="1"/>
                <w:color w:val="auto"/>
              </w:rPr>
              <w:t>the Plans or Programs</w:t>
            </w:r>
            <w:r>
              <w:rPr>
                <w:rFonts w:ascii="Calibri" w:cs="Calibri" w:eastAsia="Calibri" w:hAnsi="Calibri"/>
                <w:sz w:val="21"/>
                <w:szCs w:val="21"/>
                <w:b w:val="1"/>
                <w:bCs w:val="1"/>
                <w:color w:val="auto"/>
                <w:vertAlign w:val="superscript"/>
              </w:rPr>
              <w:t>(2)</w:t>
            </w:r>
          </w:p>
        </w:tc>
        <w:tc>
          <w:tcPr>
            <w:tcW w:w="100" w:type="dxa"/>
            <w:vAlign w:val="bottom"/>
          </w:tcPr>
          <w:p>
            <w:pPr>
              <w:spacing w:after="0"/>
              <w:rPr>
                <w:sz w:val="22"/>
                <w:szCs w:val="22"/>
                <w:color w:val="auto"/>
              </w:rPr>
            </w:pPr>
          </w:p>
        </w:tc>
      </w:tr>
      <w:tr>
        <w:trPr>
          <w:trHeight w:val="209"/>
        </w:trPr>
        <w:tc>
          <w:tcPr>
            <w:tcW w:w="20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July 1-31, 2024</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48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5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560" w:type="dxa"/>
            <w:vAlign w:val="bottom"/>
            <w:tcBorders>
              <w:bottom w:val="single" w:sz="8" w:color="CFF0FC"/>
            </w:tcBorders>
            <w:gridSpan w:val="2"/>
            <w:shd w:val="clear" w:color="auto" w:fill="CFF0FC"/>
          </w:tcPr>
          <w:p>
            <w:pPr>
              <w:ind w:left="320"/>
              <w:spacing w:after="0" w:line="193" w:lineRule="exact"/>
              <w:rPr>
                <w:sz w:val="20"/>
                <w:szCs w:val="20"/>
                <w:color w:val="auto"/>
              </w:rPr>
            </w:pPr>
            <w:r>
              <w:rPr>
                <w:rFonts w:ascii="Calibri" w:cs="Calibri" w:eastAsia="Calibri" w:hAnsi="Calibri"/>
                <w:sz w:val="16"/>
                <w:szCs w:val="16"/>
                <w:color w:val="auto"/>
              </w:rPr>
              <w:t>$</w:t>
            </w:r>
          </w:p>
        </w:tc>
        <w:tc>
          <w:tcPr>
            <w:tcW w:w="22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2040" w:type="dxa"/>
            <w:vAlign w:val="bottom"/>
          </w:tcPr>
          <w:p>
            <w:pPr>
              <w:ind w:left="20"/>
              <w:spacing w:after="0" w:line="193" w:lineRule="exact"/>
              <w:rPr>
                <w:sz w:val="20"/>
                <w:szCs w:val="20"/>
                <w:color w:val="auto"/>
              </w:rPr>
            </w:pPr>
            <w:r>
              <w:rPr>
                <w:rFonts w:ascii="Calibri" w:cs="Calibri" w:eastAsia="Calibri" w:hAnsi="Calibri"/>
                <w:sz w:val="16"/>
                <w:szCs w:val="16"/>
                <w:color w:val="auto"/>
              </w:rPr>
              <w:t>August 1-31, 2024</w:t>
            </w:r>
          </w:p>
        </w:tc>
        <w:tc>
          <w:tcPr>
            <w:tcW w:w="1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683,596</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4.07</w:t>
            </w:r>
          </w:p>
        </w:tc>
        <w:tc>
          <w:tcPr>
            <w:tcW w:w="24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683,596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jc w:val="right"/>
              <w:spacing w:after="0" w:line="193" w:lineRule="exact"/>
              <w:rPr>
                <w:sz w:val="20"/>
                <w:szCs w:val="20"/>
                <w:color w:val="auto"/>
              </w:rPr>
            </w:pPr>
            <w:r>
              <w:rPr>
                <w:rFonts w:ascii="Calibri" w:cs="Calibri" w:eastAsia="Calibri" w:hAnsi="Calibri"/>
                <w:sz w:val="16"/>
                <w:szCs w:val="16"/>
                <w:color w:val="auto"/>
              </w:rPr>
              <w:t>77,221</w:t>
            </w:r>
          </w:p>
        </w:tc>
        <w:tc>
          <w:tcPr>
            <w:tcW w:w="100" w:type="dxa"/>
            <w:vAlign w:val="bottom"/>
          </w:tcPr>
          <w:p>
            <w:pPr>
              <w:spacing w:after="0"/>
              <w:rPr>
                <w:sz w:val="16"/>
                <w:szCs w:val="16"/>
                <w:color w:val="auto"/>
              </w:rPr>
            </w:pPr>
          </w:p>
        </w:tc>
      </w:tr>
      <w:tr>
        <w:trPr>
          <w:trHeight w:val="36"/>
        </w:trPr>
        <w:tc>
          <w:tcPr>
            <w:tcW w:w="2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4"/>
        </w:trPr>
        <w:tc>
          <w:tcPr>
            <w:tcW w:w="20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September 1-30, 2024</w:t>
            </w:r>
          </w:p>
        </w:tc>
        <w:tc>
          <w:tcPr>
            <w:tcW w:w="1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77,221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040" w:type="dxa"/>
            <w:vAlign w:val="bottom"/>
            <w:tcBorders>
              <w:top w:val="single" w:sz="8" w:color="CFF0FC"/>
            </w:tcBorders>
          </w:tcPr>
          <w:p>
            <w:pPr>
              <w:ind w:left="20"/>
              <w:spacing w:after="0"/>
              <w:rPr>
                <w:sz w:val="20"/>
                <w:szCs w:val="20"/>
                <w:color w:val="auto"/>
              </w:rPr>
            </w:pPr>
            <w:r>
              <w:rPr>
                <w:rFonts w:ascii="Calibri" w:cs="Calibri" w:eastAsia="Calibri" w:hAnsi="Calibri"/>
                <w:sz w:val="16"/>
                <w:szCs w:val="16"/>
                <w:color w:val="auto"/>
              </w:rPr>
              <w:t>Total</w:t>
            </w:r>
          </w:p>
        </w:tc>
        <w:tc>
          <w:tcPr>
            <w:tcW w:w="120" w:type="dxa"/>
            <w:vAlign w:val="bottom"/>
            <w:tcBorders>
              <w:top w:val="single" w:sz="8" w:color="CFF0FC"/>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683,596</w:t>
            </w:r>
          </w:p>
        </w:tc>
        <w:tc>
          <w:tcPr>
            <w:tcW w:w="3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4.07</w:t>
            </w:r>
          </w:p>
        </w:tc>
        <w:tc>
          <w:tcPr>
            <w:tcW w:w="260" w:type="dxa"/>
            <w:vAlign w:val="bottom"/>
            <w:tcBorders>
              <w:top w:val="single" w:sz="8" w:color="CFF0FC"/>
            </w:tcBorders>
          </w:tcPr>
          <w:p>
            <w:pPr>
              <w:spacing w:after="0"/>
              <w:rPr>
                <w:sz w:val="19"/>
                <w:szCs w:val="19"/>
                <w:color w:val="auto"/>
              </w:rPr>
            </w:pPr>
          </w:p>
        </w:tc>
        <w:tc>
          <w:tcPr>
            <w:tcW w:w="22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683,596</w:t>
            </w: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w:t>
            </w:r>
          </w:p>
        </w:tc>
        <w:tc>
          <w:tcPr>
            <w:tcW w:w="22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77,221</w:t>
            </w:r>
          </w:p>
        </w:tc>
        <w:tc>
          <w:tcPr>
            <w:tcW w:w="100" w:type="dxa"/>
            <w:vAlign w:val="bottom"/>
            <w:tcBorders>
              <w:top w:val="single" w:sz="8" w:color="CFF0FC"/>
            </w:tcBorders>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-179070</wp:posOffset>
            </wp:positionV>
            <wp:extent cx="774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-179070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-179070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ind w:left="320" w:hanging="312"/>
        <w:spacing w:after="0"/>
        <w:tabs>
          <w:tab w:leader="none" w:pos="3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Excludes brokerage commissions, excise taxes and other costs of executon.</w:t>
      </w:r>
    </w:p>
    <w:p>
      <w:pPr>
        <w:spacing w:after="0" w:line="109" w:lineRule="exact"/>
        <w:rPr>
          <w:rFonts w:ascii="Calibri" w:cs="Calibri" w:eastAsia="Calibri" w:hAnsi="Calibri"/>
          <w:sz w:val="18"/>
          <w:szCs w:val="18"/>
          <w:color w:val="auto"/>
        </w:rPr>
      </w:pPr>
    </w:p>
    <w:p>
      <w:pPr>
        <w:jc w:val="both"/>
        <w:ind w:left="300" w:hanging="292"/>
        <w:spacing w:after="0" w:line="235" w:lineRule="auto"/>
        <w:tabs>
          <w:tab w:leader="none" w:pos="318"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On February 29, 2024, our Board authorized the 2024 Share Repurchase Program for up to $100.0 million of our Class A common stock. The 2024 Share Repurchase Program was publicly announced on March 5, 2024, does not have a fxed expiraton date and does not obligate us to purchase any minimum number of shares. Under the 2024 Share Repurchase Program, we may repurchase shares in privately negotated or open market transactons, including under plans complying with Rule 10b5-1 under the Exchange Act.</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5. Other Informaton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13"/>
          </w:tcPr>
          <w:p>
            <w:pPr>
              <w:ind w:left="380"/>
              <w:spacing w:after="0"/>
              <w:rPr>
                <w:sz w:val="20"/>
                <w:szCs w:val="20"/>
                <w:color w:val="auto"/>
              </w:rPr>
            </w:pPr>
            <w:r>
              <w:rPr>
                <w:rFonts w:ascii="Calibri" w:cs="Calibri" w:eastAsia="Calibri" w:hAnsi="Calibri"/>
                <w:sz w:val="18"/>
                <w:szCs w:val="18"/>
                <w:b w:val="1"/>
                <w:bCs w:val="1"/>
                <w:color w:val="auto"/>
              </w:rPr>
              <w:t>Item 6. Exhibits</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3"/>
          </w:tcPr>
          <w:p>
            <w:pPr>
              <w:ind w:left="380"/>
              <w:spacing w:after="0"/>
              <w:rPr>
                <w:sz w:val="20"/>
                <w:szCs w:val="20"/>
                <w:color w:val="auto"/>
              </w:rPr>
            </w:pPr>
            <w:r>
              <w:rPr>
                <w:rFonts w:ascii="Calibri" w:cs="Calibri" w:eastAsia="Calibri" w:hAnsi="Calibri"/>
                <w:sz w:val="18"/>
                <w:szCs w:val="18"/>
                <w:b w:val="1"/>
                <w:bCs w:val="1"/>
                <w:color w:val="auto"/>
              </w:rPr>
              <w:t>Incorporated by Reference</w:t>
            </w:r>
          </w:p>
        </w:tc>
        <w:tc>
          <w:tcPr>
            <w:tcW w:w="1120" w:type="dxa"/>
            <w:vAlign w:val="bottom"/>
          </w:tcPr>
          <w:p>
            <w:pPr>
              <w:jc w:val="center"/>
              <w:spacing w:after="0"/>
              <w:rPr>
                <w:sz w:val="20"/>
                <w:szCs w:val="20"/>
                <w:color w:val="auto"/>
              </w:rPr>
            </w:pPr>
            <w:r>
              <w:rPr>
                <w:rFonts w:ascii="Calibri" w:cs="Calibri" w:eastAsia="Calibri" w:hAnsi="Calibri"/>
                <w:sz w:val="18"/>
                <w:szCs w:val="18"/>
                <w:b w:val="1"/>
                <w:bCs w:val="1"/>
                <w:color w:val="auto"/>
              </w:rPr>
              <w:t>Filed /</w:t>
            </w:r>
          </w:p>
        </w:tc>
        <w:tc>
          <w:tcPr>
            <w:tcW w:w="0" w:type="dxa"/>
            <w:vAlign w:val="bottom"/>
          </w:tcPr>
          <w:p>
            <w:pPr>
              <w:spacing w:after="0"/>
              <w:rPr>
                <w:sz w:val="1"/>
                <w:szCs w:val="1"/>
                <w:color w:val="auto"/>
              </w:rPr>
            </w:pPr>
          </w:p>
        </w:tc>
      </w:tr>
      <w:tr>
        <w:trPr>
          <w:trHeight w:val="131"/>
        </w:trPr>
        <w:tc>
          <w:tcPr>
            <w:tcW w:w="1040" w:type="dxa"/>
            <w:vAlign w:val="bottom"/>
            <w:vMerge w:val="restart"/>
          </w:tcPr>
          <w:p>
            <w:pPr>
              <w:ind w:left="20"/>
              <w:spacing w:after="0" w:line="216" w:lineRule="exact"/>
              <w:rPr>
                <w:sz w:val="20"/>
                <w:szCs w:val="20"/>
                <w:color w:val="auto"/>
              </w:rPr>
            </w:pPr>
            <w:r>
              <w:rPr>
                <w:rFonts w:ascii="Calibri" w:cs="Calibri" w:eastAsia="Calibri" w:hAnsi="Calibri"/>
                <w:sz w:val="18"/>
                <w:szCs w:val="18"/>
                <w:b w:val="1"/>
                <w:bCs w:val="1"/>
                <w:color w:val="auto"/>
              </w:rPr>
              <w:t>Exhibit</w:t>
            </w:r>
          </w:p>
        </w:tc>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2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7"/>
              </w:rPr>
              <w:t>Furnished</w:t>
            </w:r>
          </w:p>
        </w:tc>
        <w:tc>
          <w:tcPr>
            <w:tcW w:w="0" w:type="dxa"/>
            <w:vAlign w:val="bottom"/>
          </w:tcPr>
          <w:p>
            <w:pPr>
              <w:spacing w:after="0"/>
              <w:rPr>
                <w:sz w:val="1"/>
                <w:szCs w:val="1"/>
                <w:color w:val="auto"/>
              </w:rPr>
            </w:pPr>
          </w:p>
        </w:tc>
      </w:tr>
      <w:tr>
        <w:trPr>
          <w:trHeight w:val="65"/>
        </w:trPr>
        <w:tc>
          <w:tcPr>
            <w:tcW w:w="104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rPr>
              <w:t>Number</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0" w:type="dxa"/>
            <w:vAlign w:val="bottom"/>
            <w:gridSpan w:val="16"/>
          </w:tcPr>
          <w:p>
            <w:pPr>
              <w:ind w:left="580"/>
              <w:spacing w:after="0" w:line="216" w:lineRule="exact"/>
              <w:rPr>
                <w:sz w:val="20"/>
                <w:szCs w:val="20"/>
                <w:color w:val="auto"/>
              </w:rPr>
            </w:pPr>
            <w:r>
              <w:rPr>
                <w:rFonts w:ascii="Calibri" w:cs="Calibri" w:eastAsia="Calibri" w:hAnsi="Calibri"/>
                <w:sz w:val="18"/>
                <w:szCs w:val="18"/>
                <w:b w:val="1"/>
                <w:bCs w:val="1"/>
                <w:color w:val="auto"/>
              </w:rPr>
              <w:t>Descripton</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Form</w:t>
            </w:r>
          </w:p>
        </w:tc>
        <w:tc>
          <w:tcPr>
            <w:tcW w:w="84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Exhibit</w:t>
            </w:r>
          </w:p>
        </w:tc>
        <w:tc>
          <w:tcPr>
            <w:tcW w:w="1220" w:type="dxa"/>
            <w:vAlign w:val="bottom"/>
          </w:tcPr>
          <w:p>
            <w:pPr>
              <w:ind w:left="220"/>
              <w:spacing w:after="0" w:line="216" w:lineRule="exact"/>
              <w:rPr>
                <w:sz w:val="20"/>
                <w:szCs w:val="20"/>
                <w:color w:val="auto"/>
              </w:rPr>
            </w:pPr>
            <w:r>
              <w:rPr>
                <w:rFonts w:ascii="Calibri" w:cs="Calibri" w:eastAsia="Calibri" w:hAnsi="Calibri"/>
                <w:sz w:val="18"/>
                <w:szCs w:val="18"/>
                <w:b w:val="1"/>
                <w:bCs w:val="1"/>
                <w:color w:val="auto"/>
              </w:rPr>
              <w:t>Filing Date</w:t>
            </w:r>
          </w:p>
        </w:tc>
        <w:tc>
          <w:tcPr>
            <w:tcW w:w="11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Herewith</w:t>
            </w:r>
          </w:p>
        </w:tc>
        <w:tc>
          <w:tcPr>
            <w:tcW w:w="0" w:type="dxa"/>
            <w:vAlign w:val="bottom"/>
          </w:tcPr>
          <w:p>
            <w:pPr>
              <w:spacing w:after="0"/>
              <w:rPr>
                <w:sz w:val="1"/>
                <w:szCs w:val="1"/>
                <w:color w:val="auto"/>
              </w:rPr>
            </w:pPr>
          </w:p>
        </w:tc>
      </w:tr>
      <w:tr>
        <w:trPr>
          <w:trHeight w:val="37"/>
        </w:trPr>
        <w:tc>
          <w:tcPr>
            <w:tcW w:w="1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Calibri" w:cs="Calibri" w:eastAsia="Calibri" w:hAnsi="Calibri"/>
                <w:sz w:val="18"/>
                <w:szCs w:val="18"/>
                <w:color w:val="auto"/>
              </w:rPr>
              <w:t>2.1</w:t>
            </w:r>
          </w:p>
        </w:tc>
        <w:tc>
          <w:tcPr>
            <w:tcW w:w="6280" w:type="dxa"/>
            <w:vAlign w:val="bottom"/>
            <w:tcBorders>
              <w:bottom w:val="single" w:sz="8" w:color="0000FF"/>
            </w:tcBorders>
            <w:gridSpan w:val="15"/>
          </w:tcPr>
          <w:p>
            <w:pPr>
              <w:spacing w:after="0" w:line="196" w:lineRule="exact"/>
              <w:rPr>
                <w:rFonts w:ascii="Calibri" w:cs="Calibri" w:eastAsia="Calibri" w:hAnsi="Calibri"/>
                <w:sz w:val="18"/>
                <w:szCs w:val="18"/>
                <w:color w:val="0000FF"/>
              </w:rPr>
            </w:pPr>
            <w:hyperlink r:id="rId395">
              <w:r>
                <w:rPr>
                  <w:rFonts w:ascii="Calibri" w:cs="Calibri" w:eastAsia="Calibri" w:hAnsi="Calibri"/>
                  <w:sz w:val="18"/>
                  <w:szCs w:val="18"/>
                  <w:color w:val="0000FF"/>
                </w:rPr>
                <w:t>Transacton Agreement, dated April 21, 2021, among Horizon Acquisiton Corporaton,</w:t>
              </w:r>
            </w:hyperlink>
          </w:p>
        </w:tc>
        <w:tc>
          <w:tcPr>
            <w:tcW w:w="120" w:type="dxa"/>
            <w:vAlign w:val="bottom"/>
            <w:gridSpan w:val="3"/>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Calibri" w:cs="Calibri" w:eastAsia="Calibri" w:hAnsi="Calibri"/>
                <w:sz w:val="18"/>
                <w:szCs w:val="18"/>
                <w:color w:val="auto"/>
              </w:rPr>
              <w:t>S-4</w:t>
            </w:r>
          </w:p>
        </w:tc>
        <w:tc>
          <w:tcPr>
            <w:tcW w:w="8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2.1</w:t>
            </w:r>
          </w:p>
        </w:tc>
        <w:tc>
          <w:tcPr>
            <w:tcW w:w="12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5/28/2021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18"/>
          </w:tcPr>
          <w:p>
            <w:pPr>
              <w:spacing w:after="0" w:line="196" w:lineRule="exact"/>
              <w:rPr>
                <w:rFonts w:ascii="Calibri" w:cs="Calibri" w:eastAsia="Calibri" w:hAnsi="Calibri"/>
                <w:sz w:val="18"/>
                <w:szCs w:val="18"/>
                <w:color w:val="0000FF"/>
              </w:rPr>
            </w:pPr>
            <w:hyperlink r:id="rId395">
              <w:r>
                <w:rPr>
                  <w:rFonts w:ascii="Calibri" w:cs="Calibri" w:eastAsia="Calibri" w:hAnsi="Calibri"/>
                  <w:sz w:val="18"/>
                  <w:szCs w:val="18"/>
                  <w:color w:val="0000FF"/>
                </w:rPr>
                <w:t>Horizon Sponsor, LLC, Hoya Topco, LLC, Hoya Intermediate, LLC and Vivid Seats Inc.</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2.2</w:t>
            </w:r>
          </w:p>
        </w:tc>
        <w:tc>
          <w:tcPr>
            <w:tcW w:w="6240" w:type="dxa"/>
            <w:vAlign w:val="bottom"/>
            <w:tcBorders>
              <w:bottom w:val="single" w:sz="8" w:color="0000FF"/>
            </w:tcBorders>
            <w:gridSpan w:val="13"/>
          </w:tcPr>
          <w:p>
            <w:pPr>
              <w:spacing w:after="0"/>
              <w:rPr>
                <w:rFonts w:ascii="Calibri" w:cs="Calibri" w:eastAsia="Calibri" w:hAnsi="Calibri"/>
                <w:sz w:val="18"/>
                <w:szCs w:val="18"/>
                <w:color w:val="0000FF"/>
                <w:w w:val="99"/>
              </w:rPr>
            </w:pPr>
            <w:hyperlink r:id="rId396">
              <w:r>
                <w:rPr>
                  <w:rFonts w:ascii="Calibri" w:cs="Calibri" w:eastAsia="Calibri" w:hAnsi="Calibri"/>
                  <w:sz w:val="18"/>
                  <w:szCs w:val="18"/>
                  <w:color w:val="0000FF"/>
                  <w:w w:val="99"/>
                </w:rPr>
                <w:t>Purchase, Sale and Redempton Agreement, dated April 21, 2021, among Hoya Topco,</w:t>
              </w:r>
            </w:hyperlink>
          </w:p>
        </w:tc>
        <w:tc>
          <w:tcPr>
            <w:tcW w:w="20" w:type="dxa"/>
            <w:vAlign w:val="bottom"/>
            <w:tcBorders>
              <w:bottom w:val="single" w:sz="8" w:color="0000EE"/>
            </w:tcBorders>
          </w:tcPr>
          <w:p>
            <w:pPr>
              <w:spacing w:after="0"/>
              <w:rPr>
                <w:sz w:val="21"/>
                <w:szCs w:val="21"/>
                <w:color w:val="auto"/>
              </w:rPr>
            </w:pPr>
          </w:p>
        </w:tc>
        <w:tc>
          <w:tcPr>
            <w:tcW w:w="140" w:type="dxa"/>
            <w:vAlign w:val="bottom"/>
            <w:gridSpan w:val="4"/>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rPr>
              <w:t>S-4</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2.2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5/28/2021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60" w:type="dxa"/>
            <w:vAlign w:val="bottom"/>
            <w:tcBorders>
              <w:bottom w:val="single" w:sz="8" w:color="0000FF"/>
            </w:tcBorders>
            <w:gridSpan w:val="14"/>
          </w:tcPr>
          <w:p>
            <w:pPr>
              <w:spacing w:after="0" w:line="196" w:lineRule="exact"/>
              <w:rPr>
                <w:rFonts w:ascii="Calibri" w:cs="Calibri" w:eastAsia="Calibri" w:hAnsi="Calibri"/>
                <w:sz w:val="18"/>
                <w:szCs w:val="18"/>
                <w:color w:val="0000FF"/>
              </w:rPr>
            </w:pPr>
            <w:hyperlink r:id="rId396">
              <w:r>
                <w:rPr>
                  <w:rFonts w:ascii="Calibri" w:cs="Calibri" w:eastAsia="Calibri" w:hAnsi="Calibri"/>
                  <w:sz w:val="18"/>
                  <w:szCs w:val="18"/>
                  <w:color w:val="0000FF"/>
                </w:rPr>
                <w:t>LLC, Hoya Intermediate, LLC, Vivid Seats Inc., Crescent Mezzanine Partners VIB, L.P.,</w:t>
              </w:r>
            </w:hyperlink>
          </w:p>
        </w:tc>
        <w:tc>
          <w:tcPr>
            <w:tcW w:w="20" w:type="dxa"/>
            <w:vAlign w:val="bottom"/>
            <w:tcBorders>
              <w:bottom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20" w:type="dxa"/>
            <w:vAlign w:val="bottom"/>
            <w:tcBorders>
              <w:bottom w:val="single" w:sz="8" w:color="0000FF"/>
            </w:tcBorders>
            <w:gridSpan w:val="17"/>
          </w:tcPr>
          <w:p>
            <w:pPr>
              <w:spacing w:after="0" w:line="196" w:lineRule="exact"/>
              <w:rPr>
                <w:rFonts w:ascii="Calibri" w:cs="Calibri" w:eastAsia="Calibri" w:hAnsi="Calibri"/>
                <w:sz w:val="18"/>
                <w:szCs w:val="18"/>
                <w:color w:val="0000FF"/>
                <w:w w:val="99"/>
              </w:rPr>
            </w:pPr>
            <w:hyperlink r:id="rId396">
              <w:r>
                <w:rPr>
                  <w:rFonts w:ascii="Calibri" w:cs="Calibri" w:eastAsia="Calibri" w:hAnsi="Calibri"/>
                  <w:sz w:val="18"/>
                  <w:szCs w:val="18"/>
                  <w:color w:val="0000FF"/>
                  <w:w w:val="99"/>
                </w:rPr>
                <w:t>Crescent Mezzanine Partners VIC, L.P., NPS/Crescent Strategic Partnership II, LP, CM7C</w:t>
              </w:r>
            </w:hyperlink>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60" w:type="dxa"/>
            <w:vAlign w:val="bottom"/>
            <w:tcBorders>
              <w:bottom w:val="single" w:sz="8" w:color="0000FF"/>
            </w:tcBorders>
            <w:gridSpan w:val="14"/>
          </w:tcPr>
          <w:p>
            <w:pPr>
              <w:spacing w:after="0" w:line="196" w:lineRule="exact"/>
              <w:rPr>
                <w:rFonts w:ascii="Calibri" w:cs="Calibri" w:eastAsia="Calibri" w:hAnsi="Calibri"/>
                <w:sz w:val="18"/>
                <w:szCs w:val="18"/>
                <w:color w:val="0000FF"/>
                <w:w w:val="98"/>
              </w:rPr>
            </w:pPr>
            <w:hyperlink r:id="rId396">
              <w:r>
                <w:rPr>
                  <w:rFonts w:ascii="Calibri" w:cs="Calibri" w:eastAsia="Calibri" w:hAnsi="Calibri"/>
                  <w:sz w:val="18"/>
                  <w:szCs w:val="18"/>
                  <w:color w:val="0000FF"/>
                  <w:w w:val="98"/>
                </w:rPr>
                <w:t>VS Equity Holdings, LP, Crescent Mezzanine Partners VIIB, L.P., CM6B Vivid Equity, Inc.,</w:t>
              </w:r>
            </w:hyperlink>
          </w:p>
        </w:tc>
        <w:tc>
          <w:tcPr>
            <w:tcW w:w="20" w:type="dxa"/>
            <w:vAlign w:val="bottom"/>
            <w:tcBorders>
              <w:bottom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00" w:type="dxa"/>
            <w:vAlign w:val="bottom"/>
            <w:tcBorders>
              <w:bottom w:val="single" w:sz="8" w:color="0000FF"/>
            </w:tcBorders>
            <w:gridSpan w:val="16"/>
          </w:tcPr>
          <w:p>
            <w:pPr>
              <w:spacing w:after="0" w:line="196" w:lineRule="exact"/>
              <w:rPr>
                <w:rFonts w:ascii="Calibri" w:cs="Calibri" w:eastAsia="Calibri" w:hAnsi="Calibri"/>
                <w:sz w:val="18"/>
                <w:szCs w:val="18"/>
                <w:color w:val="0000FF"/>
                <w:w w:val="97"/>
              </w:rPr>
            </w:pPr>
            <w:hyperlink r:id="rId396">
              <w:r>
                <w:rPr>
                  <w:rFonts w:ascii="Calibri" w:cs="Calibri" w:eastAsia="Calibri" w:hAnsi="Calibri"/>
                  <w:sz w:val="18"/>
                  <w:szCs w:val="18"/>
                  <w:color w:val="0000FF"/>
                  <w:w w:val="97"/>
                </w:rPr>
                <w:t>CM6C Vivid Equity, Inc., CM7C VS Equity, LLC, CM7B VS Equity, LLC, Crescent Mezzanine</w:t>
              </w:r>
            </w:hyperlink>
          </w:p>
        </w:tc>
        <w:tc>
          <w:tcPr>
            <w:tcW w:w="1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60" w:type="dxa"/>
            <w:vAlign w:val="bottom"/>
            <w:tcBorders>
              <w:bottom w:val="single" w:sz="8" w:color="0000FF"/>
            </w:tcBorders>
            <w:gridSpan w:val="14"/>
          </w:tcPr>
          <w:p>
            <w:pPr>
              <w:spacing w:after="0" w:line="196" w:lineRule="exact"/>
              <w:rPr>
                <w:rFonts w:ascii="Calibri" w:cs="Calibri" w:eastAsia="Calibri" w:hAnsi="Calibri"/>
                <w:sz w:val="18"/>
                <w:szCs w:val="18"/>
                <w:color w:val="0000FF"/>
                <w:w w:val="97"/>
              </w:rPr>
            </w:pPr>
            <w:hyperlink r:id="rId396">
              <w:r>
                <w:rPr>
                  <w:rFonts w:ascii="Calibri" w:cs="Calibri" w:eastAsia="Calibri" w:hAnsi="Calibri"/>
                  <w:sz w:val="18"/>
                  <w:szCs w:val="18"/>
                  <w:color w:val="0000FF"/>
                  <w:w w:val="97"/>
                </w:rPr>
                <w:t>Partners VI, L.P., Crescent Mezzanine Partners VII, L.P., Crescent Mezzanine Partners VII</w:t>
              </w:r>
            </w:hyperlink>
          </w:p>
        </w:tc>
        <w:tc>
          <w:tcPr>
            <w:tcW w:w="20" w:type="dxa"/>
            <w:vAlign w:val="bottom"/>
            <w:tcBorders>
              <w:bottom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80" w:type="dxa"/>
            <w:vAlign w:val="bottom"/>
            <w:tcBorders>
              <w:bottom w:val="single" w:sz="8" w:color="0000FF"/>
            </w:tcBorders>
            <w:gridSpan w:val="15"/>
          </w:tcPr>
          <w:p>
            <w:pPr>
              <w:spacing w:after="0" w:line="196" w:lineRule="exact"/>
              <w:rPr>
                <w:rFonts w:ascii="Calibri" w:cs="Calibri" w:eastAsia="Calibri" w:hAnsi="Calibri"/>
                <w:sz w:val="18"/>
                <w:szCs w:val="18"/>
                <w:color w:val="0000FF"/>
              </w:rPr>
            </w:pPr>
            <w:hyperlink r:id="rId396">
              <w:r>
                <w:rPr>
                  <w:rFonts w:ascii="Calibri" w:cs="Calibri" w:eastAsia="Calibri" w:hAnsi="Calibri"/>
                  <w:sz w:val="18"/>
                  <w:szCs w:val="18"/>
                  <w:color w:val="0000FF"/>
                </w:rPr>
                <w:t>(LTL), L.P., CBDC Universal Equity, Inc., Crescent Capital Group, LP and Horizon</w:t>
              </w:r>
            </w:hyperlink>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18"/>
          </w:tcPr>
          <w:p>
            <w:pPr>
              <w:spacing w:after="0" w:line="196" w:lineRule="exact"/>
              <w:rPr>
                <w:rFonts w:ascii="Calibri" w:cs="Calibri" w:eastAsia="Calibri" w:hAnsi="Calibri"/>
                <w:sz w:val="18"/>
                <w:szCs w:val="18"/>
                <w:color w:val="0000FF"/>
              </w:rPr>
            </w:pPr>
            <w:hyperlink r:id="rId396">
              <w:r>
                <w:rPr>
                  <w:rFonts w:ascii="Calibri" w:cs="Calibri" w:eastAsia="Calibri" w:hAnsi="Calibri"/>
                  <w:sz w:val="18"/>
                  <w:szCs w:val="18"/>
                  <w:color w:val="0000FF"/>
                </w:rPr>
                <w:t>Acquisiton Corporaton</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2.3</w:t>
            </w:r>
          </w:p>
        </w:tc>
        <w:tc>
          <w:tcPr>
            <w:tcW w:w="6280" w:type="dxa"/>
            <w:vAlign w:val="bottom"/>
            <w:tcBorders>
              <w:bottom w:val="single" w:sz="8" w:color="0000FF"/>
            </w:tcBorders>
            <w:gridSpan w:val="15"/>
          </w:tcPr>
          <w:p>
            <w:pPr>
              <w:spacing w:after="0"/>
              <w:rPr>
                <w:rFonts w:ascii="Calibri" w:cs="Calibri" w:eastAsia="Calibri" w:hAnsi="Calibri"/>
                <w:sz w:val="18"/>
                <w:szCs w:val="18"/>
                <w:color w:val="0000FF"/>
              </w:rPr>
            </w:pPr>
            <w:hyperlink r:id="rId397">
              <w:r>
                <w:rPr>
                  <w:rFonts w:ascii="Calibri" w:cs="Calibri" w:eastAsia="Calibri" w:hAnsi="Calibri"/>
                  <w:sz w:val="18"/>
                  <w:szCs w:val="18"/>
                  <w:color w:val="0000FF"/>
                </w:rPr>
                <w:t>Plan of Merger, dated October 18, 2021, among Horizon Acquisiton Corporaton,</w:t>
              </w:r>
            </w:hyperlink>
          </w:p>
        </w:tc>
        <w:tc>
          <w:tcPr>
            <w:tcW w:w="120" w:type="dxa"/>
            <w:vAlign w:val="bottom"/>
            <w:gridSpan w:val="3"/>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2.3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11/15/2021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18"/>
          </w:tcPr>
          <w:p>
            <w:pPr>
              <w:spacing w:after="0" w:line="196" w:lineRule="exact"/>
              <w:rPr>
                <w:rFonts w:ascii="Calibri" w:cs="Calibri" w:eastAsia="Calibri" w:hAnsi="Calibri"/>
                <w:sz w:val="18"/>
                <w:szCs w:val="18"/>
                <w:color w:val="0000FF"/>
              </w:rPr>
            </w:pPr>
            <w:hyperlink r:id="rId397">
              <w:r>
                <w:rPr>
                  <w:rFonts w:ascii="Calibri" w:cs="Calibri" w:eastAsia="Calibri" w:hAnsi="Calibri"/>
                  <w:sz w:val="18"/>
                  <w:szCs w:val="18"/>
                  <w:color w:val="0000FF"/>
                </w:rPr>
                <w:t>Horizon Sponsor, LLC, Hoya Topco, LLC, Hoya Intermediate, LLC and Vivid Seats Inc.</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3.1</w:t>
            </w:r>
          </w:p>
        </w:tc>
        <w:tc>
          <w:tcPr>
            <w:tcW w:w="5860" w:type="dxa"/>
            <w:vAlign w:val="bottom"/>
            <w:tcBorders>
              <w:top w:val="single" w:sz="8" w:color="0000FF"/>
            </w:tcBorders>
            <w:gridSpan w:val="12"/>
          </w:tcPr>
          <w:p>
            <w:pPr>
              <w:spacing w:after="0"/>
              <w:rPr>
                <w:rFonts w:ascii="Calibri" w:cs="Calibri" w:eastAsia="Calibri" w:hAnsi="Calibri"/>
                <w:sz w:val="18"/>
                <w:szCs w:val="18"/>
                <w:color w:val="0000FF"/>
              </w:rPr>
            </w:pPr>
            <w:hyperlink r:id="rId398">
              <w:r>
                <w:rPr>
                  <w:rFonts w:ascii="Calibri" w:cs="Calibri" w:eastAsia="Calibri" w:hAnsi="Calibri"/>
                  <w:sz w:val="18"/>
                  <w:szCs w:val="18"/>
                  <w:color w:val="0000FF"/>
                </w:rPr>
                <w:t>Amended and Restated Certfcate of Incorporaton</w:t>
              </w:r>
            </w:hyperlink>
          </w:p>
        </w:tc>
        <w:tc>
          <w:tcPr>
            <w:tcW w:w="540" w:type="dxa"/>
            <w:vAlign w:val="bottom"/>
            <w:gridSpan w:val="6"/>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3.1</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6400" w:type="dxa"/>
            <w:vAlign w:val="bottom"/>
            <w:gridSpan w:val="18"/>
          </w:tcPr>
          <w:p>
            <w:pPr>
              <w:spacing w:after="0"/>
              <w:rPr>
                <w:rFonts w:ascii="Calibri" w:cs="Calibri" w:eastAsia="Calibri" w:hAnsi="Calibri"/>
                <w:sz w:val="18"/>
                <w:szCs w:val="18"/>
                <w:color w:val="0000FF"/>
              </w:rPr>
            </w:pPr>
            <w:hyperlink r:id="rId399">
              <w:r>
                <w:rPr>
                  <w:rFonts w:ascii="Calibri" w:cs="Calibri" w:eastAsia="Calibri" w:hAnsi="Calibri"/>
                  <w:sz w:val="18"/>
                  <w:szCs w:val="18"/>
                  <w:color w:val="0000FF"/>
                </w:rPr>
                <w:t>First Amendment to Amended and Restated Bylaws</w:t>
              </w:r>
            </w:hyperlink>
          </w:p>
        </w:tc>
        <w:tc>
          <w:tcPr>
            <w:tcW w:w="62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5/10/2022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3.3</w:t>
            </w:r>
          </w:p>
        </w:tc>
        <w:tc>
          <w:tcPr>
            <w:tcW w:w="3640" w:type="dxa"/>
            <w:vAlign w:val="bottom"/>
            <w:tcBorders>
              <w:top w:val="single" w:sz="8" w:color="0000FF"/>
            </w:tcBorders>
            <w:gridSpan w:val="5"/>
          </w:tcPr>
          <w:p>
            <w:pPr>
              <w:spacing w:after="0"/>
              <w:rPr>
                <w:rFonts w:ascii="Calibri" w:cs="Calibri" w:eastAsia="Calibri" w:hAnsi="Calibri"/>
                <w:sz w:val="18"/>
                <w:szCs w:val="18"/>
                <w:color w:val="0000FF"/>
              </w:rPr>
            </w:pPr>
            <w:hyperlink r:id="rId400">
              <w:r>
                <w:rPr>
                  <w:rFonts w:ascii="Calibri" w:cs="Calibri" w:eastAsia="Calibri" w:hAnsi="Calibri"/>
                  <w:sz w:val="18"/>
                  <w:szCs w:val="18"/>
                  <w:color w:val="0000FF"/>
                </w:rPr>
                <w:t>Amended and Restated Bylaws</w:t>
              </w:r>
            </w:hyperlink>
          </w:p>
        </w:tc>
        <w:tc>
          <w:tcPr>
            <w:tcW w:w="2760" w:type="dxa"/>
            <w:vAlign w:val="bottom"/>
            <w:gridSpan w:val="13"/>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6280" w:type="dxa"/>
            <w:vAlign w:val="bottom"/>
            <w:tcBorders>
              <w:bottom w:val="single" w:sz="8" w:color="0000FF"/>
            </w:tcBorders>
            <w:gridSpan w:val="15"/>
          </w:tcPr>
          <w:p>
            <w:pPr>
              <w:spacing w:after="0"/>
              <w:rPr>
                <w:rFonts w:ascii="Calibri" w:cs="Calibri" w:eastAsia="Calibri" w:hAnsi="Calibri"/>
                <w:sz w:val="18"/>
                <w:szCs w:val="18"/>
                <w:color w:val="0000FF"/>
                <w:w w:val="97"/>
              </w:rPr>
            </w:pPr>
            <w:hyperlink r:id="rId401">
              <w:r>
                <w:rPr>
                  <w:rFonts w:ascii="Calibri" w:cs="Calibri" w:eastAsia="Calibri" w:hAnsi="Calibri"/>
                  <w:sz w:val="18"/>
                  <w:szCs w:val="18"/>
                  <w:color w:val="0000FF"/>
                  <w:w w:val="97"/>
                </w:rPr>
                <w:t>Amended and Restated Warrant Agreement, dated October 14, 2021, between Horizon</w:t>
              </w:r>
            </w:hyperlink>
          </w:p>
        </w:tc>
        <w:tc>
          <w:tcPr>
            <w:tcW w:w="120" w:type="dxa"/>
            <w:vAlign w:val="bottom"/>
            <w:gridSpan w:val="3"/>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3"/>
              </w:rPr>
              <w:t>10.7</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160" w:type="dxa"/>
            <w:vAlign w:val="bottom"/>
            <w:tcBorders>
              <w:bottom w:val="single" w:sz="8" w:color="0000FF"/>
            </w:tcBorders>
            <w:gridSpan w:val="11"/>
          </w:tcPr>
          <w:p>
            <w:pPr>
              <w:spacing w:after="0" w:line="196" w:lineRule="exact"/>
              <w:rPr>
                <w:rFonts w:ascii="Calibri" w:cs="Calibri" w:eastAsia="Calibri" w:hAnsi="Calibri"/>
                <w:sz w:val="18"/>
                <w:szCs w:val="18"/>
                <w:color w:val="0000FF"/>
                <w:w w:val="98"/>
              </w:rPr>
            </w:pPr>
            <w:hyperlink r:id="rId401">
              <w:r>
                <w:rPr>
                  <w:rFonts w:ascii="Calibri" w:cs="Calibri" w:eastAsia="Calibri" w:hAnsi="Calibri"/>
                  <w:sz w:val="18"/>
                  <w:szCs w:val="18"/>
                  <w:color w:val="0000FF"/>
                  <w:w w:val="98"/>
                </w:rPr>
                <w:t>Acquisiton Corporaton and Contnental Stock Transfer &amp; Trust Company</w:t>
              </w:r>
            </w:hyperlink>
          </w:p>
        </w:tc>
        <w:tc>
          <w:tcPr>
            <w:tcW w:w="124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6400" w:type="dxa"/>
            <w:vAlign w:val="bottom"/>
            <w:gridSpan w:val="18"/>
          </w:tcPr>
          <w:p>
            <w:pPr>
              <w:spacing w:after="0"/>
              <w:rPr>
                <w:rFonts w:ascii="Calibri" w:cs="Calibri" w:eastAsia="Calibri" w:hAnsi="Calibri"/>
                <w:sz w:val="18"/>
                <w:szCs w:val="18"/>
                <w:color w:val="0000FF"/>
              </w:rPr>
            </w:pPr>
            <w:hyperlink r:id="rId402">
              <w:r>
                <w:rPr>
                  <w:rFonts w:ascii="Calibri" w:cs="Calibri" w:eastAsia="Calibri" w:hAnsi="Calibri"/>
                  <w:sz w:val="18"/>
                  <w:szCs w:val="18"/>
                  <w:color w:val="0000FF"/>
                </w:rPr>
                <w:t>Specimen Class A Common Stock Certfcate of Vivid Seats Inc.</w:t>
              </w:r>
            </w:hyperlink>
          </w:p>
        </w:tc>
        <w:tc>
          <w:tcPr>
            <w:tcW w:w="62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3380" w:type="dxa"/>
            <w:vAlign w:val="bottom"/>
            <w:tcBorders>
              <w:top w:val="single" w:sz="8" w:color="0000FF"/>
              <w:bottom w:val="single" w:sz="8" w:color="0000FF"/>
            </w:tcBorders>
            <w:gridSpan w:val="3"/>
          </w:tcPr>
          <w:p>
            <w:pPr>
              <w:spacing w:after="0"/>
              <w:rPr>
                <w:rFonts w:ascii="Calibri" w:cs="Calibri" w:eastAsia="Calibri" w:hAnsi="Calibri"/>
                <w:sz w:val="18"/>
                <w:szCs w:val="18"/>
                <w:color w:val="0000FF"/>
                <w:w w:val="98"/>
              </w:rPr>
            </w:pPr>
            <w:hyperlink r:id="rId403">
              <w:r>
                <w:rPr>
                  <w:rFonts w:ascii="Calibri" w:cs="Calibri" w:eastAsia="Calibri" w:hAnsi="Calibri"/>
                  <w:sz w:val="18"/>
                  <w:szCs w:val="18"/>
                  <w:color w:val="0000FF"/>
                  <w:w w:val="98"/>
                </w:rPr>
                <w:t>Specimen Warrant Certfcate of Vivid Seats Inc.</w:t>
              </w:r>
            </w:hyperlink>
          </w:p>
        </w:tc>
        <w:tc>
          <w:tcPr>
            <w:tcW w:w="20" w:type="dxa"/>
            <w:vAlign w:val="bottom"/>
            <w:tcBorders>
              <w:top w:val="single" w:sz="8" w:color="0000FF"/>
              <w:bottom w:val="single" w:sz="8" w:color="0000EE"/>
            </w:tcBorders>
          </w:tcPr>
          <w:p>
            <w:pPr>
              <w:spacing w:after="0"/>
              <w:rPr>
                <w:sz w:val="21"/>
                <w:szCs w:val="21"/>
                <w:color w:val="auto"/>
              </w:rPr>
            </w:pPr>
          </w:p>
        </w:tc>
        <w:tc>
          <w:tcPr>
            <w:tcW w:w="1000" w:type="dxa"/>
            <w:vAlign w:val="bottom"/>
            <w:tcBorders>
              <w:top w:val="single" w:sz="8" w:color="0000FF"/>
            </w:tcBorders>
            <w:gridSpan w:val="2"/>
          </w:tcPr>
          <w:p>
            <w:pPr>
              <w:spacing w:after="0"/>
              <w:rPr>
                <w:sz w:val="21"/>
                <w:szCs w:val="21"/>
                <w:color w:val="auto"/>
              </w:rPr>
            </w:pPr>
          </w:p>
        </w:tc>
        <w:tc>
          <w:tcPr>
            <w:tcW w:w="2000" w:type="dxa"/>
            <w:vAlign w:val="bottom"/>
            <w:gridSpan w:val="12"/>
          </w:tcPr>
          <w:p>
            <w:pPr>
              <w:spacing w:after="0"/>
              <w:rPr>
                <w:sz w:val="21"/>
                <w:szCs w:val="21"/>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4.3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31.1</w:t>
            </w:r>
          </w:p>
        </w:tc>
        <w:tc>
          <w:tcPr>
            <w:tcW w:w="4780" w:type="dxa"/>
            <w:vAlign w:val="bottom"/>
            <w:tcBorders>
              <w:bottom w:val="single" w:sz="8" w:color="0000FF"/>
            </w:tcBorders>
            <w:gridSpan w:val="10"/>
          </w:tcPr>
          <w:p>
            <w:pPr>
              <w:spacing w:after="0"/>
              <w:rPr>
                <w:sz w:val="20"/>
                <w:szCs w:val="20"/>
                <w:color w:val="auto"/>
              </w:rPr>
            </w:pPr>
            <w:r>
              <w:rPr>
                <w:rFonts w:ascii="Calibri" w:cs="Calibri" w:eastAsia="Calibri" w:hAnsi="Calibri"/>
                <w:sz w:val="18"/>
                <w:szCs w:val="18"/>
                <w:color w:val="0000FF"/>
              </w:rPr>
              <w:t>Rule 13a-14(a)/15d-14(a) Certfcaton of Principal Executve Ofcer</w:t>
            </w:r>
          </w:p>
        </w:tc>
        <w:tc>
          <w:tcPr>
            <w:tcW w:w="1620" w:type="dxa"/>
            <w:vAlign w:val="bottom"/>
            <w:gridSpan w:val="8"/>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31.2</w:t>
            </w:r>
          </w:p>
        </w:tc>
        <w:tc>
          <w:tcPr>
            <w:tcW w:w="4740" w:type="dxa"/>
            <w:vAlign w:val="bottom"/>
            <w:tcBorders>
              <w:bottom w:val="single" w:sz="8" w:color="0000FF"/>
            </w:tcBorders>
            <w:gridSpan w:val="9"/>
          </w:tcPr>
          <w:p>
            <w:pPr>
              <w:spacing w:after="0"/>
              <w:rPr>
                <w:sz w:val="20"/>
                <w:szCs w:val="20"/>
                <w:color w:val="auto"/>
              </w:rPr>
            </w:pPr>
            <w:r>
              <w:rPr>
                <w:rFonts w:ascii="Calibri" w:cs="Calibri" w:eastAsia="Calibri" w:hAnsi="Calibri"/>
                <w:sz w:val="18"/>
                <w:szCs w:val="18"/>
                <w:color w:val="0000FF"/>
              </w:rPr>
              <w:t>Rule 13a-14(a)/15d-14(a) Certfcaton of Principal Financial Ofcer</w:t>
            </w:r>
          </w:p>
        </w:tc>
        <w:tc>
          <w:tcPr>
            <w:tcW w:w="1660" w:type="dxa"/>
            <w:vAlign w:val="bottom"/>
            <w:gridSpan w:val="9"/>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32.1</w:t>
            </w:r>
          </w:p>
        </w:tc>
        <w:tc>
          <w:tcPr>
            <w:tcW w:w="6400" w:type="dxa"/>
            <w:vAlign w:val="bottom"/>
            <w:gridSpan w:val="18"/>
          </w:tcPr>
          <w:p>
            <w:pPr>
              <w:spacing w:after="0"/>
              <w:rPr>
                <w:sz w:val="20"/>
                <w:szCs w:val="20"/>
                <w:color w:val="auto"/>
              </w:rPr>
            </w:pPr>
            <w:r>
              <w:rPr>
                <w:rFonts w:ascii="Calibri" w:cs="Calibri" w:eastAsia="Calibri" w:hAnsi="Calibri"/>
                <w:sz w:val="18"/>
                <w:szCs w:val="18"/>
                <w:color w:val="0000FF"/>
              </w:rPr>
              <w:t>18 U.S.C. Secton 1350 Certfcaton of Principal Executve Ofcer</w:t>
            </w: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Calibri" w:cs="Calibri" w:eastAsia="Calibri" w:hAnsi="Calibri"/>
                <w:sz w:val="18"/>
                <w:szCs w:val="18"/>
                <w:color w:val="auto"/>
              </w:rPr>
              <w:t>32.2</w:t>
            </w:r>
          </w:p>
        </w:tc>
        <w:tc>
          <w:tcPr>
            <w:tcW w:w="4560" w:type="dxa"/>
            <w:vAlign w:val="bottom"/>
            <w:tcBorders>
              <w:top w:val="single" w:sz="8" w:color="0000FF"/>
            </w:tcBorders>
            <w:gridSpan w:val="8"/>
          </w:tcPr>
          <w:p>
            <w:pPr>
              <w:spacing w:after="0"/>
              <w:rPr>
                <w:sz w:val="20"/>
                <w:szCs w:val="20"/>
                <w:color w:val="auto"/>
              </w:rPr>
            </w:pPr>
            <w:r>
              <w:rPr>
                <w:rFonts w:ascii="Calibri" w:cs="Calibri" w:eastAsia="Calibri" w:hAnsi="Calibri"/>
                <w:sz w:val="18"/>
                <w:szCs w:val="18"/>
                <w:color w:val="0000FF"/>
              </w:rPr>
              <w:t>18 U.S.C. Secton 1350 Certfcaton of Principal Financial Ofcer</w:t>
            </w:r>
          </w:p>
        </w:tc>
        <w:tc>
          <w:tcPr>
            <w:tcW w:w="1840" w:type="dxa"/>
            <w:vAlign w:val="bottom"/>
            <w:gridSpan w:val="10"/>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40" w:type="dxa"/>
            <w:vAlign w:val="bottom"/>
            <w:tcBorders>
              <w:right w:val="single" w:sz="8" w:color="0000EE"/>
            </w:tcBorders>
            <w:gridSpan w:val="7"/>
            <w:shd w:val="clear" w:color="auto" w:fill="0000FF"/>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040" w:type="dxa"/>
            <w:vAlign w:val="bottom"/>
          </w:tcPr>
          <w:p>
            <w:pPr>
              <w:ind w:left="20"/>
              <w:spacing w:after="0"/>
              <w:rPr>
                <w:sz w:val="20"/>
                <w:szCs w:val="20"/>
                <w:color w:val="auto"/>
              </w:rPr>
            </w:pPr>
            <w:r>
              <w:rPr>
                <w:rFonts w:ascii="Calibri" w:cs="Calibri" w:eastAsia="Calibri" w:hAnsi="Calibri"/>
                <w:sz w:val="18"/>
                <w:szCs w:val="18"/>
                <w:color w:val="auto"/>
              </w:rPr>
              <w:t>101.INS</w:t>
            </w:r>
          </w:p>
        </w:tc>
        <w:tc>
          <w:tcPr>
            <w:tcW w:w="6400" w:type="dxa"/>
            <w:vAlign w:val="bottom"/>
            <w:gridSpan w:val="18"/>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0" w:type="dxa"/>
            <w:vAlign w:val="bottom"/>
            <w:gridSpan w:val="18"/>
          </w:tcPr>
          <w:p>
            <w:pPr>
              <w:spacing w:after="0" w:line="216" w:lineRule="exact"/>
              <w:rPr>
                <w:sz w:val="20"/>
                <w:szCs w:val="20"/>
                <w:color w:val="auto"/>
              </w:rPr>
            </w:pPr>
            <w:r>
              <w:rPr>
                <w:rFonts w:ascii="Calibri" w:cs="Calibri" w:eastAsia="Calibri" w:hAnsi="Calibri"/>
                <w:sz w:val="18"/>
                <w:szCs w:val="18"/>
                <w:color w:val="auto"/>
              </w:rPr>
              <w:t>Interactve Data File because XBRL tags are embedded within the Inline XBRL document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101.SCH</w:t>
            </w:r>
          </w:p>
        </w:tc>
        <w:tc>
          <w:tcPr>
            <w:tcW w:w="6400" w:type="dxa"/>
            <w:vAlign w:val="bottom"/>
            <w:gridSpan w:val="18"/>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101.CAL</w:t>
            </w:r>
          </w:p>
        </w:tc>
        <w:tc>
          <w:tcPr>
            <w:tcW w:w="6400" w:type="dxa"/>
            <w:vAlign w:val="bottom"/>
            <w:gridSpan w:val="18"/>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101.DEF</w:t>
            </w:r>
          </w:p>
        </w:tc>
        <w:tc>
          <w:tcPr>
            <w:tcW w:w="6400" w:type="dxa"/>
            <w:vAlign w:val="bottom"/>
            <w:gridSpan w:val="18"/>
          </w:tcPr>
          <w:p>
            <w:pPr>
              <w:spacing w:after="0"/>
              <w:rPr>
                <w:sz w:val="20"/>
                <w:szCs w:val="20"/>
                <w:color w:val="auto"/>
              </w:rPr>
            </w:pPr>
            <w:r>
              <w:rPr>
                <w:rFonts w:ascii="Calibri" w:cs="Calibri" w:eastAsia="Calibri" w:hAnsi="Calibri"/>
                <w:sz w:val="18"/>
                <w:szCs w:val="18"/>
                <w:color w:val="auto"/>
              </w:rPr>
              <w:t>Inline XBRL Taxonomy Extension Defniton Linkbase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101.LAB</w:t>
            </w:r>
          </w:p>
        </w:tc>
        <w:tc>
          <w:tcPr>
            <w:tcW w:w="6400" w:type="dxa"/>
            <w:vAlign w:val="bottom"/>
            <w:gridSpan w:val="18"/>
          </w:tcPr>
          <w:p>
            <w:pPr>
              <w:spacing w:after="0"/>
              <w:rPr>
                <w:sz w:val="20"/>
                <w:szCs w:val="20"/>
                <w:color w:val="auto"/>
              </w:rPr>
            </w:pPr>
            <w:r>
              <w:rPr>
                <w:rFonts w:ascii="Calibri" w:cs="Calibri" w:eastAsia="Calibri" w:hAnsi="Calibri"/>
                <w:sz w:val="18"/>
                <w:szCs w:val="18"/>
                <w:color w:val="auto"/>
              </w:rPr>
              <w:t>Inline XBRL Taxonomy Extension Label Linkbase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101.PRE</w:t>
            </w:r>
          </w:p>
        </w:tc>
        <w:tc>
          <w:tcPr>
            <w:tcW w:w="6400" w:type="dxa"/>
            <w:vAlign w:val="bottom"/>
            <w:gridSpan w:val="18"/>
          </w:tcPr>
          <w:p>
            <w:pPr>
              <w:spacing w:after="0"/>
              <w:rPr>
                <w:sz w:val="20"/>
                <w:szCs w:val="20"/>
                <w:color w:val="auto"/>
              </w:rPr>
            </w:pPr>
            <w:r>
              <w:rPr>
                <w:rFonts w:ascii="Calibri" w:cs="Calibri" w:eastAsia="Calibri" w:hAnsi="Calibri"/>
                <w:sz w:val="18"/>
                <w:szCs w:val="18"/>
                <w:color w:val="auto"/>
              </w:rPr>
              <w:t>Inline XBRL Taxonomy Extension Presentaton Linkbase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Calibri" w:cs="Calibri" w:eastAsia="Calibri" w:hAnsi="Calibri"/>
                <w:sz w:val="18"/>
                <w:szCs w:val="18"/>
                <w:color w:val="auto"/>
              </w:rPr>
              <w:t>104</w:t>
            </w:r>
          </w:p>
        </w:tc>
        <w:tc>
          <w:tcPr>
            <w:tcW w:w="6400" w:type="dxa"/>
            <w:vAlign w:val="bottom"/>
            <w:gridSpan w:val="18"/>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20" w:hanging="312"/>
        <w:spacing w:after="0"/>
        <w:tabs>
          <w:tab w:leader="none" w:pos="3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spacing w:after="0"/>
        <w:tabs>
          <w:tab w:leader="none" w:pos="30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Furnished herewith.</w:t>
      </w:r>
    </w:p>
    <w:p>
      <w:pPr>
        <w:ind w:left="320" w:hanging="312"/>
        <w:spacing w:after="0" w:line="235" w:lineRule="auto"/>
        <w:tabs>
          <w:tab w:leader="none" w:pos="32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Indicates management contract or compensatory plan.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documents fled as exhibits to this Report are not intended to provide factual informaton other than with respect to the terms of the documents themselves, and should not be relied on for that purpose. In partcular, any representatons and warrantes contained in any such document were made solely within the context of such document and do not apply in any other context or at any tme other than the date on which they were made.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05" w:lineRule="exact"/>
        <w:rPr>
          <w:sz w:val="20"/>
          <w:szCs w:val="20"/>
          <w:color w:val="auto"/>
        </w:rPr>
      </w:pPr>
    </w:p>
    <w:p>
      <w:pPr>
        <w:ind w:left="5680"/>
        <w:spacing w:after="0"/>
        <w:rPr>
          <w:sz w:val="20"/>
          <w:szCs w:val="20"/>
          <w:color w:val="auto"/>
        </w:rPr>
      </w:pPr>
      <w:r>
        <w:rPr>
          <w:rFonts w:ascii="Calibri" w:cs="Calibri" w:eastAsia="Calibri" w:hAnsi="Calibri"/>
          <w:sz w:val="18"/>
          <w:szCs w:val="18"/>
          <w:color w:val="auto"/>
        </w:rPr>
        <w:t>Vivid Seats Inc.</w:t>
      </w:r>
    </w:p>
    <w:p>
      <w:pPr>
        <w:spacing w:after="0" w:line="239"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Stanley Chia</w:t>
      </w:r>
    </w:p>
    <w:p>
      <w:pPr>
        <w:spacing w:after="0" w:line="23"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rPr>
          <w:sz w:val="20"/>
          <w:szCs w:val="20"/>
          <w:color w:val="auto"/>
        </w:rPr>
      </w:pPr>
      <w:r>
        <w:rPr>
          <w:rFonts w:ascii="Calibri" w:cs="Calibri" w:eastAsia="Calibri" w:hAnsi="Calibri"/>
          <w:sz w:val="18"/>
          <w:szCs w:val="18"/>
          <w:color w:val="auto"/>
        </w:rPr>
        <w:t>Chief Executve Ofcer</w:t>
      </w:r>
    </w:p>
    <w:p>
      <w:pPr>
        <w:spacing w:after="0" w:line="10"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November 7, 2024</w:t>
      </w:r>
    </w:p>
    <w:p>
      <w:pPr>
        <w:spacing w:after="0" w:line="239"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Lawrence Fey</w:t>
      </w:r>
    </w:p>
    <w:p>
      <w:pPr>
        <w:spacing w:after="0" w:line="23"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rPr>
          <w:sz w:val="20"/>
          <w:szCs w:val="20"/>
          <w:color w:val="auto"/>
        </w:rPr>
      </w:pPr>
      <w:r>
        <w:rPr>
          <w:rFonts w:ascii="Calibri" w:cs="Calibri" w:eastAsia="Calibri" w:hAnsi="Calibri"/>
          <w:sz w:val="18"/>
          <w:szCs w:val="18"/>
          <w:color w:val="auto"/>
        </w:rPr>
        <w:t>Chief Financial Ofcer</w:t>
      </w:r>
    </w:p>
    <w:p>
      <w:pPr>
        <w:spacing w:after="0" w:line="10"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November 7,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104" w:lineRule="exact"/>
        <w:rPr>
          <w:sz w:val="20"/>
          <w:szCs w:val="20"/>
          <w:color w:val="auto"/>
        </w:rPr>
      </w:pPr>
    </w:p>
    <w:p>
      <w:pPr>
        <w:ind w:left="520" w:hanging="512"/>
        <w:spacing w:after="0"/>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Vivid Seats Inc.;</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9"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8" w:name="page49"/>
    <w:bookmarkEnd w:id="48"/>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104" w:lineRule="exact"/>
        <w:rPr>
          <w:sz w:val="20"/>
          <w:szCs w:val="20"/>
          <w:color w:val="auto"/>
        </w:rPr>
      </w:pPr>
    </w:p>
    <w:p>
      <w:pPr>
        <w:ind w:left="520" w:hanging="512"/>
        <w:spacing w:after="0"/>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Vivid Seats Inc.;</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9"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9" w:name="page50"/>
    <w:bookmarkEnd w:id="49"/>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04" w:lineRule="exact"/>
        <w:rPr>
          <w:sz w:val="20"/>
          <w:szCs w:val="20"/>
          <w:color w:val="auto"/>
        </w:rPr>
      </w:pPr>
    </w:p>
    <w:p>
      <w:pPr>
        <w:ind w:left="4540"/>
        <w:spacing w:after="0"/>
        <w:rPr>
          <w:sz w:val="20"/>
          <w:szCs w:val="20"/>
          <w:color w:val="auto"/>
        </w:rPr>
      </w:pPr>
      <w:r>
        <w:rPr>
          <w:rFonts w:ascii="Calibri" w:cs="Calibri" w:eastAsia="Calibri" w:hAnsi="Calibri"/>
          <w:sz w:val="18"/>
          <w:szCs w:val="18"/>
          <w:b w:val="1"/>
          <w:bCs w:val="1"/>
          <w:color w:val="auto"/>
        </w:rPr>
        <w:t>CERTIFICATION PURSUANT TO</w:t>
      </w:r>
    </w:p>
    <w:p>
      <w:pPr>
        <w:spacing w:after="0" w:line="8" w:lineRule="exact"/>
        <w:rPr>
          <w:sz w:val="20"/>
          <w:szCs w:val="20"/>
          <w:color w:val="auto"/>
        </w:rPr>
      </w:pPr>
    </w:p>
    <w:p>
      <w:pPr>
        <w:ind w:left="3980"/>
        <w:spacing w:after="0"/>
        <w:rPr>
          <w:sz w:val="20"/>
          <w:szCs w:val="20"/>
          <w:color w:val="auto"/>
        </w:rPr>
      </w:pPr>
      <w:r>
        <w:rPr>
          <w:rFonts w:ascii="Calibri" w:cs="Calibri" w:eastAsia="Calibri" w:hAnsi="Calibri"/>
          <w:sz w:val="18"/>
          <w:szCs w:val="18"/>
          <w:b w:val="1"/>
          <w:bCs w:val="1"/>
          <w:color w:val="auto"/>
        </w:rPr>
        <w:t xml:space="preserve">18 U.S.C. </w:t>
      </w:r>
      <w:r>
        <w:rPr>
          <w:rFonts w:ascii="Calibri" w:cs="Calibri" w:eastAsia="Calibri" w:hAnsi="Calibri"/>
          <w:sz w:val="21"/>
          <w:szCs w:val="21"/>
          <w:b w:val="1"/>
          <w:bCs w:val="1"/>
          <w:color w:val="auto"/>
        </w:rPr>
        <w:t>§</w:t>
      </w:r>
      <w:r>
        <w:rPr>
          <w:rFonts w:ascii="Calibri" w:cs="Calibri" w:eastAsia="Calibri" w:hAnsi="Calibri"/>
          <w:sz w:val="18"/>
          <w:szCs w:val="18"/>
          <w:b w:val="1"/>
          <w:bCs w:val="1"/>
          <w:color w:val="auto"/>
        </w:rPr>
        <w:t xml:space="preserve"> 1350, AS ADOPTED PURSUANT TO</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SECTION 906 OF THE SARBANES-OXLEY ACT OF 2002</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Quarterly Report on Form 10-Q of Vivid Seats Inc. (the “Company”) for the period ended September 30, 2024 as fled with the Securites and Exchange Commission on the date hereof (the “Report”), I, Stanley Chia, Chief Executve Ofcer of the Company, certfy, pursuant to 18 U.S.C. § 1350, as adopted pursuant to Secton 906 of the Sarbanes-Oxley Act of 2002, that:</w:t>
      </w:r>
    </w:p>
    <w:p>
      <w:pPr>
        <w:spacing w:after="0" w:line="106" w:lineRule="exact"/>
        <w:rPr>
          <w:sz w:val="20"/>
          <w:szCs w:val="20"/>
          <w:color w:val="auto"/>
        </w:rPr>
      </w:pPr>
    </w:p>
    <w:p>
      <w:pPr>
        <w:ind w:left="520" w:hanging="512"/>
        <w:spacing w:after="0"/>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4" w:lineRule="exact"/>
        <w:rPr>
          <w:rFonts w:ascii="Calibri" w:cs="Calibri" w:eastAsia="Calibri" w:hAnsi="Calibri"/>
          <w:sz w:val="18"/>
          <w:szCs w:val="18"/>
          <w:color w:val="auto"/>
        </w:rPr>
      </w:pPr>
    </w:p>
    <w:p>
      <w:pPr>
        <w:ind w:left="520" w:hanging="512"/>
        <w:spacing w:after="0"/>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12"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Executve Ofcer)</w:t>
      </w:r>
    </w:p>
    <w:p>
      <w:pPr>
        <w:spacing w:after="0" w:line="1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This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0" w:name="page51"/>
    <w:bookmarkEnd w:id="50"/>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04" w:lineRule="exact"/>
        <w:rPr>
          <w:sz w:val="20"/>
          <w:szCs w:val="20"/>
          <w:color w:val="auto"/>
        </w:rPr>
      </w:pPr>
    </w:p>
    <w:p>
      <w:pPr>
        <w:ind w:left="4540"/>
        <w:spacing w:after="0"/>
        <w:rPr>
          <w:sz w:val="20"/>
          <w:szCs w:val="20"/>
          <w:color w:val="auto"/>
        </w:rPr>
      </w:pPr>
      <w:r>
        <w:rPr>
          <w:rFonts w:ascii="Calibri" w:cs="Calibri" w:eastAsia="Calibri" w:hAnsi="Calibri"/>
          <w:sz w:val="18"/>
          <w:szCs w:val="18"/>
          <w:b w:val="1"/>
          <w:bCs w:val="1"/>
          <w:color w:val="auto"/>
        </w:rPr>
        <w:t>CERTIFICATION PURSUANT TO</w:t>
      </w:r>
    </w:p>
    <w:p>
      <w:pPr>
        <w:spacing w:after="0" w:line="8" w:lineRule="exact"/>
        <w:rPr>
          <w:sz w:val="20"/>
          <w:szCs w:val="20"/>
          <w:color w:val="auto"/>
        </w:rPr>
      </w:pPr>
    </w:p>
    <w:p>
      <w:pPr>
        <w:ind w:left="3980"/>
        <w:spacing w:after="0"/>
        <w:rPr>
          <w:sz w:val="20"/>
          <w:szCs w:val="20"/>
          <w:color w:val="auto"/>
        </w:rPr>
      </w:pPr>
      <w:r>
        <w:rPr>
          <w:rFonts w:ascii="Calibri" w:cs="Calibri" w:eastAsia="Calibri" w:hAnsi="Calibri"/>
          <w:sz w:val="18"/>
          <w:szCs w:val="18"/>
          <w:b w:val="1"/>
          <w:bCs w:val="1"/>
          <w:color w:val="auto"/>
        </w:rPr>
        <w:t xml:space="preserve">18 U.S.C. </w:t>
      </w:r>
      <w:r>
        <w:rPr>
          <w:rFonts w:ascii="Calibri" w:cs="Calibri" w:eastAsia="Calibri" w:hAnsi="Calibri"/>
          <w:sz w:val="21"/>
          <w:szCs w:val="21"/>
          <w:b w:val="1"/>
          <w:bCs w:val="1"/>
          <w:color w:val="auto"/>
        </w:rPr>
        <w:t>§</w:t>
      </w:r>
      <w:r>
        <w:rPr>
          <w:rFonts w:ascii="Calibri" w:cs="Calibri" w:eastAsia="Calibri" w:hAnsi="Calibri"/>
          <w:sz w:val="18"/>
          <w:szCs w:val="18"/>
          <w:b w:val="1"/>
          <w:bCs w:val="1"/>
          <w:color w:val="auto"/>
        </w:rPr>
        <w:t xml:space="preserve"> 1350, AS ADOPTED PURSUANT TO</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SECTION 906 OF THE SARBANES-OXLEY ACT OF 2002</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Quarterly Report on Form 10-Q of Vivid Seats Inc. (the “Company”) for the period ended September 30, 2024 as fled with the Securites and Exchange Commission on the date hereof (the “Report”), I, Lawrence Fey, Chief Financial Ofcer of the Company, certfy, pursuant to 18 U.S.C. § 1350, as adopted pursuant to Secton 906 of the Sarbanes-Oxley Act of 2002, that:</w:t>
      </w:r>
    </w:p>
    <w:p>
      <w:pPr>
        <w:spacing w:after="0" w:line="106" w:lineRule="exact"/>
        <w:rPr>
          <w:sz w:val="20"/>
          <w:szCs w:val="20"/>
          <w:color w:val="auto"/>
        </w:rPr>
      </w:pPr>
    </w:p>
    <w:p>
      <w:pPr>
        <w:ind w:left="520" w:hanging="512"/>
        <w:spacing w:after="0"/>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4" w:lineRule="exact"/>
        <w:rPr>
          <w:rFonts w:ascii="Calibri" w:cs="Calibri" w:eastAsia="Calibri" w:hAnsi="Calibri"/>
          <w:sz w:val="18"/>
          <w:szCs w:val="18"/>
          <w:color w:val="auto"/>
        </w:rPr>
      </w:pPr>
    </w:p>
    <w:p>
      <w:pPr>
        <w:ind w:left="520" w:hanging="512"/>
        <w:spacing w:after="0"/>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12"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November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Financial Ofcer)</w:t>
      </w:r>
    </w:p>
    <w:p>
      <w:pPr>
        <w:spacing w:after="0" w:line="1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This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395" Type="http://schemas.openxmlformats.org/officeDocument/2006/relationships/hyperlink" Target="https://www.sec.gov/Archives/edgar/data/0001856031/000119312521175583/d447259ds4.htm#ii447259_10" TargetMode="External"/><Relationship Id="rId396" Type="http://schemas.openxmlformats.org/officeDocument/2006/relationships/hyperlink" Target="https://www.sec.gov/Archives/edgar/data/1856031/000119312521175583/d447259dex22.htm" TargetMode="External"/><Relationship Id="rId397" Type="http://schemas.openxmlformats.org/officeDocument/2006/relationships/hyperlink" Target="https://www.sec.gov/Archives/edgar/data/0001856031/000095017021004585/seat-ex2_3.htm" TargetMode="External"/><Relationship Id="rId398" Type="http://schemas.openxmlformats.org/officeDocument/2006/relationships/hyperlink" Target="https://www.sec.gov/Archives/edgar/data/0001856031/000119312521305506/d216055dex31.htm" TargetMode="External"/><Relationship Id="rId399" Type="http://schemas.openxmlformats.org/officeDocument/2006/relationships/hyperlink" Target="https://www.sec.gov/Archives/edgar/data/1856031/000095017022008705/seat-ex3_2.htm" TargetMode="External"/><Relationship Id="rId400" Type="http://schemas.openxmlformats.org/officeDocument/2006/relationships/hyperlink" Target="https://www.sec.gov/Archives/edgar/data/0001856031/000119312521305506/d216055dex32.htm" TargetMode="External"/><Relationship Id="rId401" Type="http://schemas.openxmlformats.org/officeDocument/2006/relationships/hyperlink" Target="https://www.sec.gov/Archives/edgar/data/0001856031/000119312521305506/d216055dex107.htm" TargetMode="External"/><Relationship Id="rId402" Type="http://schemas.openxmlformats.org/officeDocument/2006/relationships/hyperlink" Target="https://www.sec.gov/Archives/edgar/data/1856031/000095017022003749/seat-ex4_2.htm" TargetMode="External"/><Relationship Id="rId403" Type="http://schemas.openxmlformats.org/officeDocument/2006/relationships/hyperlink" Target="https://www.sec.gov/Archives/edgar/data/1856031/000095017022003749/seat-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2024-11-07T06:18:25Z</dcterms:created>
  <dcterms:modified xsi:type="dcterms:W3CDTF">2024-11-07T06:18:25Z</dcterms:modified>
</cp:coreProperties>
</file>