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jc w:val="center"/>
        <w:spacing w:after="0" w:line="237" w:lineRule="auto"/>
        <w:rPr>
          <w:sz w:val="20"/>
          <w:szCs w:val="20"/>
          <w:color w:val="auto"/>
        </w:rPr>
      </w:pPr>
      <w:r>
        <w:rPr>
          <w:rFonts w:ascii="Calibri" w:cs="Calibri" w:eastAsia="Calibri" w:hAnsi="Calibri"/>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Calibri" w:cs="Calibri" w:eastAsia="Calibri" w:hAnsi="Calibri"/>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5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4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TRANSITION REPORT PURSUANT TO SECTION 13 OR 15(d) OF THE SECURITIES EXCHANGE ACT OF 1934</w:t>
      </w:r>
    </w:p>
    <w:p>
      <w:pPr>
        <w:spacing w:after="0" w:line="86" w:lineRule="exact"/>
        <w:rPr>
          <w:sz w:val="24"/>
          <w:szCs w:val="24"/>
          <w:color w:val="auto"/>
        </w:rPr>
      </w:pPr>
    </w:p>
    <w:p>
      <w:pPr>
        <w:ind w:left="3900"/>
        <w:spacing w:after="0"/>
        <w:rPr>
          <w:sz w:val="20"/>
          <w:szCs w:val="20"/>
          <w:color w:val="auto"/>
        </w:rPr>
      </w:pPr>
      <w:r>
        <w:rPr>
          <w:rFonts w:ascii="Calibri" w:cs="Calibri" w:eastAsia="Calibri" w:hAnsi="Calibri"/>
          <w:sz w:val="14"/>
          <w:szCs w:val="14"/>
          <w:b w:val="1"/>
          <w:bCs w:val="1"/>
          <w:color w:val="auto"/>
        </w:rPr>
        <w:t>For the transiton period from __________ to __________</w:t>
      </w:r>
    </w:p>
    <w:p>
      <w:pPr>
        <w:spacing w:after="0" w:line="113"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Commission File Number: 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Calibri" w:cs="Calibri" w:eastAsia="Calibri" w:hAnsi="Calibri"/>
          <w:sz w:val="36"/>
          <w:szCs w:val="36"/>
          <w:b w:val="1"/>
          <w:bCs w:val="1"/>
          <w:color w:val="auto"/>
        </w:rPr>
        <w:t>Vivid Seats Inc.</w:t>
      </w:r>
    </w:p>
    <w:p>
      <w:pPr>
        <w:spacing w:after="0" w:line="32"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Delaware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jc w:val="right"/>
              <w:ind w:right="2388"/>
              <w:spacing w:after="0"/>
              <w:rPr>
                <w:sz w:val="20"/>
                <w:szCs w:val="20"/>
                <w:color w:val="auto"/>
              </w:rPr>
            </w:pPr>
            <w:r>
              <w:rPr>
                <w:rFonts w:ascii="Calibri" w:cs="Calibri" w:eastAsia="Calibri" w:hAnsi="Calibri"/>
                <w:sz w:val="14"/>
                <w:szCs w:val="14"/>
                <w:b w:val="1"/>
                <w:bCs w:val="1"/>
                <w:color w:val="auto"/>
              </w:rPr>
              <w:t>86-3355184</w:t>
            </w:r>
          </w:p>
        </w:tc>
      </w:tr>
      <w:tr>
        <w:trPr>
          <w:trHeight w:val="189"/>
        </w:trPr>
        <w:tc>
          <w:tcPr>
            <w:tcW w:w="7300" w:type="dxa"/>
            <w:vAlign w:val="bottom"/>
            <w:gridSpan w:val="6"/>
          </w:tcPr>
          <w:p>
            <w:pPr>
              <w:jc w:val="center"/>
              <w:ind w:right="1660"/>
              <w:spacing w:after="0"/>
              <w:rPr>
                <w:sz w:val="20"/>
                <w:szCs w:val="20"/>
                <w:color w:val="auto"/>
              </w:rPr>
            </w:pPr>
            <w:r>
              <w:rPr>
                <w:rFonts w:ascii="Calibri" w:cs="Calibri" w:eastAsia="Calibri" w:hAnsi="Calibri"/>
                <w:sz w:val="14"/>
                <w:szCs w:val="14"/>
                <w:color w:val="auto"/>
              </w:rPr>
              <w:t>(State or other jurisdicton of incorporaton or organizaton)</w:t>
            </w:r>
          </w:p>
        </w:tc>
        <w:tc>
          <w:tcPr>
            <w:tcW w:w="3940" w:type="dxa"/>
            <w:vAlign w:val="bottom"/>
          </w:tcPr>
          <w:p>
            <w:pPr>
              <w:jc w:val="center"/>
              <w:ind w:right="1608"/>
              <w:spacing w:after="0"/>
              <w:rPr>
                <w:sz w:val="20"/>
                <w:szCs w:val="20"/>
                <w:color w:val="auto"/>
              </w:rPr>
            </w:pPr>
            <w:r>
              <w:rPr>
                <w:rFonts w:ascii="Calibri" w:cs="Calibri" w:eastAsia="Calibri" w:hAnsi="Calibri"/>
                <w:sz w:val="14"/>
                <w:szCs w:val="14"/>
                <w:color w:val="auto"/>
              </w:rPr>
              <w:t>(I.R.S. Employer Identfcaton No.)</w:t>
            </w:r>
          </w:p>
        </w:tc>
      </w:tr>
      <w:tr>
        <w:trPr>
          <w:trHeight w:val="297"/>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24 E. Washington Street, Suite 900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75"/>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Chicago, Illinois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right"/>
              <w:ind w:right="2548"/>
              <w:spacing w:after="0"/>
              <w:rPr>
                <w:sz w:val="20"/>
                <w:szCs w:val="20"/>
                <w:color w:val="auto"/>
              </w:rPr>
            </w:pPr>
            <w:r>
              <w:rPr>
                <w:rFonts w:ascii="Calibri" w:cs="Calibri" w:eastAsia="Calibri" w:hAnsi="Calibri"/>
                <w:sz w:val="14"/>
                <w:szCs w:val="14"/>
                <w:b w:val="1"/>
                <w:bCs w:val="1"/>
                <w:color w:val="auto"/>
              </w:rPr>
              <w:t>60602</w:t>
            </w:r>
          </w:p>
        </w:tc>
      </w:tr>
      <w:tr>
        <w:trPr>
          <w:trHeight w:val="189"/>
        </w:trPr>
        <w:tc>
          <w:tcPr>
            <w:tcW w:w="4020" w:type="dxa"/>
            <w:vAlign w:val="bottom"/>
          </w:tcPr>
          <w:p>
            <w:pPr>
              <w:jc w:val="center"/>
              <w:ind w:left="1548"/>
              <w:spacing w:after="0"/>
              <w:rPr>
                <w:sz w:val="20"/>
                <w:szCs w:val="20"/>
                <w:color w:val="auto"/>
              </w:rPr>
            </w:pPr>
            <w:r>
              <w:rPr>
                <w:rFonts w:ascii="Calibri" w:cs="Calibri" w:eastAsia="Calibri" w:hAnsi="Calibri"/>
                <w:sz w:val="14"/>
                <w:szCs w:val="14"/>
                <w:color w:val="auto"/>
              </w:rPr>
              <w:t>(Address of principal executve ofces)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jc w:val="center"/>
              <w:ind w:right="1588"/>
              <w:spacing w:after="0"/>
              <w:rPr>
                <w:sz w:val="20"/>
                <w:szCs w:val="20"/>
                <w:color w:val="auto"/>
              </w:rPr>
            </w:pPr>
            <w:r>
              <w:rPr>
                <w:rFonts w:ascii="Calibri" w:cs="Calibri" w:eastAsia="Calibri" w:hAnsi="Calibri"/>
                <w:sz w:val="14"/>
                <w:szCs w:val="14"/>
                <w:color w:val="auto"/>
              </w:rPr>
              <w:t>(Zip Code)</w:t>
            </w:r>
          </w:p>
        </w:tc>
      </w:tr>
      <w:tr>
        <w:trPr>
          <w:trHeight w:val="297"/>
        </w:trPr>
        <w:tc>
          <w:tcPr>
            <w:tcW w:w="40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(312) 291-9966</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75"/>
        </w:trPr>
        <w:tc>
          <w:tcPr>
            <w:tcW w:w="4020" w:type="dxa"/>
            <w:vAlign w:val="bottom"/>
          </w:tcPr>
          <w:p>
            <w:pPr>
              <w:spacing w:after="0"/>
              <w:rPr>
                <w:sz w:val="15"/>
                <w:szCs w:val="15"/>
                <w:color w:val="auto"/>
              </w:rPr>
            </w:pPr>
          </w:p>
        </w:tc>
        <w:tc>
          <w:tcPr>
            <w:tcW w:w="3280" w:type="dxa"/>
            <w:vAlign w:val="bottom"/>
            <w:gridSpan w:val="5"/>
          </w:tcPr>
          <w:p>
            <w:pPr>
              <w:jc w:val="center"/>
              <w:ind w:right="80"/>
              <w:spacing w:after="0"/>
              <w:rPr>
                <w:sz w:val="20"/>
                <w:szCs w:val="20"/>
                <w:color w:val="auto"/>
              </w:rPr>
            </w:pPr>
            <w:r>
              <w:rPr>
                <w:rFonts w:ascii="Calibri" w:cs="Calibri" w:eastAsia="Calibri" w:hAnsi="Calibri"/>
                <w:sz w:val="14"/>
                <w:szCs w:val="14"/>
                <w:color w:val="auto"/>
              </w:rPr>
              <w:t>(Registrant’s telephone number, including area code)</w:t>
            </w:r>
          </w:p>
        </w:tc>
        <w:tc>
          <w:tcPr>
            <w:tcW w:w="3940" w:type="dxa"/>
            <w:vAlign w:val="bottom"/>
          </w:tcPr>
          <w:p>
            <w:pPr>
              <w:spacing w:after="0"/>
              <w:rPr>
                <w:sz w:val="15"/>
                <w:szCs w:val="15"/>
                <w:color w:val="auto"/>
              </w:rPr>
            </w:pPr>
          </w:p>
        </w:tc>
      </w:tr>
      <w:tr>
        <w:trPr>
          <w:trHeight w:val="168"/>
        </w:trPr>
        <w:tc>
          <w:tcPr>
            <w:tcW w:w="4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r>
      <w:tr>
        <w:trPr>
          <w:trHeight w:val="257"/>
        </w:trPr>
        <w:tc>
          <w:tcPr>
            <w:tcW w:w="4020" w:type="dxa"/>
            <w:vAlign w:val="bottom"/>
          </w:tcPr>
          <w:p>
            <w:pPr>
              <w:spacing w:after="0"/>
              <w:rPr>
                <w:sz w:val="20"/>
                <w:szCs w:val="20"/>
                <w:color w:val="auto"/>
              </w:rPr>
            </w:pPr>
            <w:r>
              <w:rPr>
                <w:rFonts w:ascii="Calibri" w:cs="Calibri" w:eastAsia="Calibri" w:hAnsi="Calibri"/>
                <w:sz w:val="14"/>
                <w:szCs w:val="14"/>
                <w:color w:val="auto"/>
              </w:rPr>
              <w:t>Securites registered pursuant to Secton 12(b) of the Act: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84"/>
        </w:trPr>
        <w:tc>
          <w:tcPr>
            <w:tcW w:w="4020" w:type="dxa"/>
            <w:vAlign w:val="bottom"/>
          </w:tcPr>
          <w:p>
            <w:pPr>
              <w:jc w:val="center"/>
              <w:ind w:left="208"/>
              <w:spacing w:after="0"/>
              <w:rPr>
                <w:sz w:val="20"/>
                <w:szCs w:val="20"/>
                <w:color w:val="auto"/>
              </w:rPr>
            </w:pPr>
            <w:r>
              <w:rPr>
                <w:rFonts w:ascii="Calibri" w:cs="Calibri" w:eastAsia="Calibri" w:hAnsi="Calibri"/>
                <w:sz w:val="14"/>
                <w:szCs w:val="14"/>
                <w:color w:val="auto"/>
              </w:rPr>
              <w:t>Title of each class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color w:val="auto"/>
              </w:rPr>
              <w:t>Trading Symbol(s)</w:t>
            </w:r>
          </w:p>
        </w:tc>
        <w:tc>
          <w:tcPr>
            <w:tcW w:w="3940" w:type="dxa"/>
            <w:vAlign w:val="bottom"/>
          </w:tcPr>
          <w:p>
            <w:pPr>
              <w:jc w:val="center"/>
              <w:ind w:right="1048"/>
              <w:spacing w:after="0"/>
              <w:rPr>
                <w:sz w:val="20"/>
                <w:szCs w:val="20"/>
                <w:color w:val="auto"/>
              </w:rPr>
            </w:pPr>
            <w:r>
              <w:rPr>
                <w:rFonts w:ascii="Calibri" w:cs="Calibri" w:eastAsia="Calibri" w:hAnsi="Calibri"/>
                <w:sz w:val="14"/>
                <w:szCs w:val="14"/>
                <w:color w:val="auto"/>
              </w:rPr>
              <w:t>Name of each exchange on which registered</w:t>
            </w:r>
          </w:p>
        </w:tc>
      </w:tr>
      <w:tr>
        <w:trPr>
          <w:trHeight w:val="33"/>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03"/>
        </w:trPr>
        <w:tc>
          <w:tcPr>
            <w:tcW w:w="4020" w:type="dxa"/>
            <w:vAlign w:val="bottom"/>
          </w:tcPr>
          <w:p>
            <w:pPr>
              <w:jc w:val="center"/>
              <w:ind w:left="228"/>
              <w:spacing w:after="0"/>
              <w:rPr>
                <w:sz w:val="20"/>
                <w:szCs w:val="20"/>
                <w:color w:val="auto"/>
              </w:rPr>
            </w:pPr>
            <w:r>
              <w:rPr>
                <w:rFonts w:ascii="Calibri" w:cs="Calibri" w:eastAsia="Calibri" w:hAnsi="Calibri"/>
                <w:sz w:val="14"/>
                <w:szCs w:val="14"/>
                <w:b w:val="1"/>
                <w:bCs w:val="1"/>
                <w:color w:val="auto"/>
              </w:rPr>
              <w:t>Class A common stock, par value $0.0001 per share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3"/>
          </w:tcPr>
          <w:p>
            <w:pPr>
              <w:jc w:val="center"/>
              <w:ind w:right="1240"/>
              <w:spacing w:after="0"/>
              <w:rPr>
                <w:sz w:val="20"/>
                <w:szCs w:val="20"/>
                <w:color w:val="auto"/>
              </w:rPr>
            </w:pPr>
            <w:r>
              <w:rPr>
                <w:rFonts w:ascii="Calibri" w:cs="Calibri" w:eastAsia="Calibri" w:hAnsi="Calibri"/>
                <w:sz w:val="14"/>
                <w:szCs w:val="14"/>
                <w:b w:val="1"/>
                <w:bCs w:val="1"/>
                <w:color w:val="auto"/>
              </w:rPr>
              <w:t>SEAT</w:t>
            </w:r>
          </w:p>
        </w:tc>
        <w:tc>
          <w:tcPr>
            <w:tcW w:w="3940" w:type="dxa"/>
            <w:vAlign w:val="bottom"/>
          </w:tcPr>
          <w:p>
            <w:pPr>
              <w:jc w:val="center"/>
              <w:ind w:right="1068"/>
              <w:spacing w:after="0"/>
              <w:rPr>
                <w:sz w:val="20"/>
                <w:szCs w:val="20"/>
                <w:color w:val="auto"/>
              </w:rPr>
            </w:pPr>
            <w:r>
              <w:rPr>
                <w:rFonts w:ascii="Calibri" w:cs="Calibri" w:eastAsia="Calibri" w:hAnsi="Calibri"/>
                <w:sz w:val="14"/>
                <w:szCs w:val="14"/>
                <w:b w:val="1"/>
                <w:bCs w:val="1"/>
                <w:color w:val="auto"/>
              </w:rPr>
              <w:t>The Nasdaq Stock Market LLC</w:t>
            </w:r>
          </w:p>
        </w:tc>
      </w:tr>
      <w:tr>
        <w:trPr>
          <w:trHeight w:val="243"/>
        </w:trPr>
        <w:tc>
          <w:tcPr>
            <w:tcW w:w="4020" w:type="dxa"/>
            <w:vAlign w:val="bottom"/>
          </w:tcPr>
          <w:p>
            <w:pPr>
              <w:jc w:val="center"/>
              <w:ind w:left="208"/>
              <w:spacing w:after="0"/>
              <w:rPr>
                <w:sz w:val="20"/>
                <w:szCs w:val="20"/>
                <w:color w:val="auto"/>
              </w:rPr>
            </w:pPr>
            <w:r>
              <w:rPr>
                <w:rFonts w:ascii="Calibri" w:cs="Calibri" w:eastAsia="Calibri" w:hAnsi="Calibri"/>
                <w:sz w:val="14"/>
                <w:szCs w:val="14"/>
                <w:b w:val="1"/>
                <w:bCs w:val="1"/>
                <w:color w:val="auto"/>
              </w:rPr>
              <w:t>Warrants to purchase one share of Class A common stock</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3"/>
          </w:tcPr>
          <w:p>
            <w:pPr>
              <w:jc w:val="center"/>
              <w:ind w:right="1200"/>
              <w:spacing w:after="0"/>
              <w:rPr>
                <w:sz w:val="20"/>
                <w:szCs w:val="20"/>
                <w:color w:val="auto"/>
              </w:rPr>
            </w:pPr>
            <w:r>
              <w:rPr>
                <w:rFonts w:ascii="Calibri" w:cs="Calibri" w:eastAsia="Calibri" w:hAnsi="Calibri"/>
                <w:sz w:val="14"/>
                <w:szCs w:val="14"/>
                <w:b w:val="1"/>
                <w:bCs w:val="1"/>
                <w:color w:val="auto"/>
              </w:rPr>
              <w:t>SEATW</w:t>
            </w:r>
          </w:p>
        </w:tc>
        <w:tc>
          <w:tcPr>
            <w:tcW w:w="3940" w:type="dxa"/>
            <w:vAlign w:val="bottom"/>
          </w:tcPr>
          <w:p>
            <w:pPr>
              <w:jc w:val="center"/>
              <w:ind w:right="1068"/>
              <w:spacing w:after="0"/>
              <w:rPr>
                <w:sz w:val="20"/>
                <w:szCs w:val="20"/>
                <w:color w:val="auto"/>
              </w:rPr>
            </w:pPr>
            <w:r>
              <w:rPr>
                <w:rFonts w:ascii="Calibri" w:cs="Calibri" w:eastAsia="Calibri" w:hAnsi="Calibri"/>
                <w:sz w:val="14"/>
                <w:szCs w:val="14"/>
                <w:b w:val="1"/>
                <w:bCs w:val="1"/>
                <w:color w:val="auto"/>
              </w:rPr>
              <w:t>The Nasdaq Stock Market LLC</w:t>
            </w:r>
          </w:p>
        </w:tc>
      </w:tr>
    </w:tbl>
    <w:p>
      <w:pPr>
        <w:spacing w:after="0" w:line="127" w:lineRule="exact"/>
        <w:rPr>
          <w:sz w:val="24"/>
          <w:szCs w:val="24"/>
          <w:color w:val="auto"/>
        </w:rPr>
      </w:pPr>
    </w:p>
    <w:p>
      <w:pPr>
        <w:jc w:val="both"/>
        <w:spacing w:after="0" w:line="196"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245"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3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Accelerated fler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96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3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Smaller reportng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00" w:type="dxa"/>
            <w:vAlign w:val="bottom"/>
          </w:tcPr>
          <w:p>
            <w:pPr>
              <w:ind w:left="2600"/>
              <w:spacing w:after="0"/>
              <w:rPr>
                <w:sz w:val="20"/>
                <w:szCs w:val="20"/>
                <w:color w:val="auto"/>
              </w:rPr>
            </w:pPr>
            <w:r>
              <w:rPr>
                <w:rFonts w:ascii="Calibri" w:cs="Calibri" w:eastAsia="Calibri" w:hAnsi="Calibri"/>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5" w:lineRule="exact"/>
        <w:rPr>
          <w:sz w:val="24"/>
          <w:szCs w:val="24"/>
          <w:color w:val="auto"/>
        </w:rPr>
      </w:pPr>
    </w:p>
    <w:p>
      <w:pPr>
        <w:spacing w:after="0" w:line="196"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71" w:lineRule="exact"/>
        <w:rPr>
          <w:sz w:val="20"/>
          <w:szCs w:val="20"/>
          <w:color w:val="auto"/>
        </w:rPr>
      </w:pPr>
      <w:r>
        <w:rPr>
          <w:rFonts w:ascii="Calibri" w:cs="Calibri" w:eastAsia="Calibri" w:hAnsi="Calibri"/>
          <w:sz w:val="14"/>
          <w:szCs w:val="14"/>
          <w:color w:val="auto"/>
        </w:rPr>
        <w:t>Indicate by check mark whether the registrant is a shell company (as defned in Rule 12b-2 of the Exchange Act). Yes </w:t>
      </w:r>
      <w:r>
        <w:rPr>
          <w:rFonts w:ascii="MS PGothic" w:cs="MS PGothic" w:eastAsia="MS PGothic" w:hAnsi="MS PGothic"/>
          <w:sz w:val="14"/>
          <w:szCs w:val="14"/>
          <w:color w:val="auto"/>
        </w:rPr>
        <w:t>☐</w:t>
      </w:r>
      <w:r>
        <w:rPr>
          <w:rFonts w:ascii="Calibri" w:cs="Calibri" w:eastAsia="Calibri" w:hAnsi="Calibri"/>
          <w:sz w:val="14"/>
          <w:szCs w:val="14"/>
          <w:color w:val="auto"/>
        </w:rPr>
        <w:t> No </w:t>
      </w:r>
      <w:r>
        <w:rPr>
          <w:rFonts w:ascii="MS PGothic" w:cs="MS PGothic" w:eastAsia="MS PGothic" w:hAnsi="MS PGothic"/>
          <w:sz w:val="14"/>
          <w:szCs w:val="14"/>
          <w:color w:val="auto"/>
        </w:rPr>
        <w:t>☒</w:t>
      </w:r>
    </w:p>
    <w:p>
      <w:pPr>
        <w:spacing w:after="0" w:line="152" w:lineRule="exact"/>
        <w:rPr>
          <w:sz w:val="24"/>
          <w:szCs w:val="24"/>
          <w:color w:val="auto"/>
        </w:rPr>
      </w:pPr>
    </w:p>
    <w:p>
      <w:pPr>
        <w:spacing w:after="0" w:line="245" w:lineRule="auto"/>
        <w:rPr>
          <w:sz w:val="20"/>
          <w:szCs w:val="20"/>
          <w:color w:val="auto"/>
        </w:rPr>
      </w:pPr>
      <w:r>
        <w:rPr>
          <w:rFonts w:ascii="Calibri" w:cs="Calibri" w:eastAsia="Calibri" w:hAnsi="Calibri"/>
          <w:sz w:val="14"/>
          <w:szCs w:val="14"/>
          <w:color w:val="auto"/>
        </w:rPr>
        <w:t>As of April 30, 2024, the registrant had outstanding 131,426,561 shares of Class A common stock, $0.0001 par value per share, net of treasury shares, and 76,225,000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0"/>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80" w:type="dxa"/>
            <w:vAlign w:val="bottom"/>
            <w:gridSpan w:val="7"/>
          </w:tcPr>
          <w:p>
            <w:pPr>
              <w:ind w:left="80"/>
              <w:spacing w:after="0"/>
              <w:rPr>
                <w:sz w:val="20"/>
                <w:szCs w:val="20"/>
                <w:color w:val="auto"/>
              </w:rPr>
            </w:pPr>
            <w:r>
              <w:rPr>
                <w:rFonts w:ascii="Calibri" w:cs="Calibri" w:eastAsia="Calibri" w:hAnsi="Calibri"/>
                <w:sz w:val="18"/>
                <w:szCs w:val="18"/>
                <w:b w:val="1"/>
                <w:bCs w:val="1"/>
                <w:color w:val="auto"/>
              </w:rPr>
              <w:t>TABLE OF CONTENTS</w:t>
            </w:r>
          </w:p>
        </w:tc>
        <w:tc>
          <w:tcPr>
            <w:tcW w:w="560" w:type="dxa"/>
            <w:vAlign w:val="bottom"/>
          </w:tcPr>
          <w:p>
            <w:pPr>
              <w:spacing w:after="0"/>
              <w:rPr>
                <w:sz w:val="19"/>
                <w:szCs w:val="19"/>
                <w:color w:val="auto"/>
              </w:rPr>
            </w:pPr>
          </w:p>
        </w:tc>
      </w:tr>
      <w:tr>
        <w:trPr>
          <w:trHeight w:val="864"/>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Page</w:t>
            </w:r>
          </w:p>
        </w:tc>
      </w:tr>
      <w:tr>
        <w:trPr>
          <w:trHeight w:val="37"/>
        </w:trPr>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304"/>
        </w:trPr>
        <w:tc>
          <w:tcPr>
            <w:tcW w:w="10680" w:type="dxa"/>
            <w:vAlign w:val="bottom"/>
            <w:gridSpan w:val="21"/>
          </w:tcPr>
          <w:p>
            <w:pPr>
              <w:ind w:left="20"/>
              <w:spacing w:after="0"/>
              <w:rPr>
                <w:sz w:val="20"/>
                <w:szCs w:val="20"/>
                <w:color w:val="auto"/>
              </w:rPr>
            </w:pPr>
            <w:r>
              <w:rPr>
                <w:rFonts w:ascii="Calibri" w:cs="Calibri" w:eastAsia="Calibri" w:hAnsi="Calibri"/>
                <w:sz w:val="18"/>
                <w:szCs w:val="18"/>
                <w:color w:val="0000FF"/>
              </w:rPr>
              <w:t>Forward-Looking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PART 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Statements (Unaudited)</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Balance Sheets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Operatons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Comprehensive Income</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4</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Equity (Defcit)</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Condensed Consolidated Statements of Cash Flows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6</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Notes to Condensed Consolidated Financial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34</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Controls and Procedures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PART II.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Legal Proceedings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1A.</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Risk Factors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Defaults Upon Senior Securites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Mine Safety Disclosures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8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5.</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Calibri" w:cs="Calibri" w:eastAsia="Calibri" w:hAnsi="Calibri"/>
                <w:sz w:val="18"/>
                <w:szCs w:val="18"/>
                <w:color w:val="auto"/>
              </w:rPr>
              <w:t>Item 6.</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Exhibits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38</w:t>
            </w:r>
          </w:p>
        </w:tc>
      </w:tr>
      <w:tr>
        <w:trPr>
          <w:trHeight w:val="358"/>
        </w:trPr>
        <w:tc>
          <w:tcPr>
            <w:tcW w:w="1180" w:type="dxa"/>
            <w:vAlign w:val="bottom"/>
            <w:gridSpan w:val="2"/>
          </w:tcPr>
          <w:p>
            <w:pPr>
              <w:ind w:left="20"/>
              <w:spacing w:after="0"/>
              <w:rPr>
                <w:sz w:val="20"/>
                <w:szCs w:val="20"/>
                <w:color w:val="auto"/>
              </w:rPr>
            </w:pPr>
            <w:r>
              <w:rPr>
                <w:rFonts w:ascii="Calibri" w:cs="Calibri" w:eastAsia="Calibri" w:hAnsi="Calibri"/>
                <w:sz w:val="18"/>
                <w:szCs w:val="18"/>
                <w:color w:val="0000FF"/>
              </w:rPr>
              <w:t>Signatures</w:t>
            </w:r>
          </w:p>
        </w:tc>
        <w:tc>
          <w:tcPr>
            <w:tcW w:w="5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1675"/>
        </w:trPr>
        <w:tc>
          <w:tcPr>
            <w:tcW w:w="7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FORWARD-LOOKING STATEMENTS</w:t>
      </w:r>
    </w:p>
    <w:p>
      <w:pPr>
        <w:spacing w:after="0" w:line="200" w:lineRule="exact"/>
        <w:rPr>
          <w:sz w:val="20"/>
          <w:szCs w:val="20"/>
          <w:color w:val="auto"/>
        </w:rPr>
      </w:pP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Quarterly Report on Form 10-Q (this “Report”) contains “forward-looking statements” (within the meaning of Secton 27A of the Securites Act of 1933, as amended, and Secton 21E of the Securites Exchange Act of 1934, as amended (the “Exchange Act”)) regarding future events and the future results of Vivid Seats Inc. and its subsidiaries (collectvely, “we,” “us” and “our”). Words such as “antcipate,” “believe,” “can,” “contnue,” “could,” “designed,” “estmate,” “expect,” “forecast,” “future,” “goal,” “intend,” “likely,” “may,” “plan,” “project,” “propose,” “seek,” “should,” “target,” “will” and “would,” as well as similar expressions which predict or indicate future events and trends or which do not relate to historical maters, are intended to identfy such forward-looking statements.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example, we may use forward-looking statements when addressing topics such as our future fnancial performance, including our ability to generate sufcient cash fows or to raise additonal capital when necessary or desirable, our success in atractng, hiring, motvatng and retaining our senior management team, key technical employees and other highly skilled personnel, our ability to declare and pay dividends on our Class A common stock and other topics relatng to our business, operatons and fnancial performance such as:</w:t>
      </w:r>
    </w:p>
    <w:p>
      <w:pPr>
        <w:spacing w:after="0" w:line="12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supply and demand of live concert, sportng and theater events;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adverse economic conditons afectng discretonary consumer and corporate spending;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maintain and develop our relatonships with tcket buyers, sellers and partners;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compete in the tcketng industry;</w:t>
      </w:r>
    </w:p>
    <w:p>
      <w:pPr>
        <w:spacing w:after="0" w:line="122"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contnue to maintain and improve our platorm and develop successful new solutons and enhancements or improve existng ones;</w:t>
      </w:r>
    </w:p>
    <w:p>
      <w:pPr>
        <w:spacing w:after="0" w:line="11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extraordinary events, including disease epidemics and pandemics;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identfy suitable acquisiton targets and to complete and realize the expected benefts of planned acquisitons;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comply with applicable regulatory regimes;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unfavorable legislatve outcomes, or unfavorable outcomes in legal proceedings; and</w:t>
      </w:r>
    </w:p>
    <w:p>
      <w:pPr>
        <w:spacing w:after="0" w:line="122"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maintain the integrity of our informaton systems and infrastructure, and to identfy, assess and manage relevant cybersecurity risks.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based these forward-looking statements largely on our current expectatons, estmates, forecasts and projectons about future events and fnancial trends that we believe may afect our business, fnancial conditon and results of operatons.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Forward-looking statements are not guarantees of future performance, conditons or results, and are subject to risks, uncertaintes and assumptons that can be difcult to predict and/or are outside of our control. Therefore, actual results may difer materially from those contemplated by any forward-looking statements. You are cautoned not to place undue reliance on these forward-looking statements, which speak only as of the date of this Report or, in the case of statements incorporated by reference herein, as of the date of the incorporated document.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Important factors that could cause or contribute to such diferences include, but are not limited to, those discussed in the “Risk Factors” and “Management’s Discussion and Analysis of Financial Conditon and Results of Operatons” sectons of this Report and our Annual Report on Form 10-K for the fscal year ended December 31, 2023, which was fled with the Securites and Exchange Commission (the “SEC”) on March 8, 2024 (our “2023 Form 10-K”), as well as in our press releases and other flings with the SEC. Except as required by applicable law, we undertake no obligaton to update or revise any forward-looking statements contained in this Report, whether as a result of new informaton, future events or otherwise.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per share data) (Unaudited)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740"/>
              <w:spacing w:after="0"/>
              <w:rPr>
                <w:sz w:val="20"/>
                <w:szCs w:val="20"/>
                <w:color w:val="auto"/>
              </w:rPr>
            </w:pPr>
            <w:r>
              <w:rPr>
                <w:rFonts w:ascii="Calibri" w:cs="Calibri" w:eastAsia="Calibri" w:hAnsi="Calibri"/>
                <w:sz w:val="18"/>
                <w:szCs w:val="18"/>
                <w:b w:val="1"/>
                <w:bCs w:val="1"/>
                <w:color w:val="auto"/>
              </w:rPr>
              <w:t>March 31,</w:t>
            </w:r>
          </w:p>
        </w:tc>
        <w:tc>
          <w:tcPr>
            <w:tcW w:w="200" w:type="dxa"/>
            <w:vAlign w:val="bottom"/>
          </w:tcPr>
          <w:p>
            <w:pPr>
              <w:spacing w:after="0"/>
              <w:rPr>
                <w:sz w:val="19"/>
                <w:szCs w:val="19"/>
                <w:color w:val="auto"/>
              </w:rPr>
            </w:pPr>
          </w:p>
        </w:tc>
        <w:tc>
          <w:tcPr>
            <w:tcW w:w="1520" w:type="dxa"/>
            <w:vAlign w:val="bottom"/>
            <w:gridSpan w:val="2"/>
          </w:tcPr>
          <w:p>
            <w:pPr>
              <w:jc w:val="right"/>
              <w:ind w:right="42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7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550"/>
              <w:spacing w:after="0"/>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5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75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5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28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and cash equivalents</w:t>
            </w:r>
          </w:p>
        </w:tc>
        <w:tc>
          <w:tcPr>
            <w:tcW w:w="28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154,028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125,484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8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6,851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6,950</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receivable – net</w:t>
            </w: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69,649</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58,481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80" w:type="dxa"/>
            <w:vAlign w:val="bottom"/>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29,505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21,018</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58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Prepaid expenses and other current assets</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36,822</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34,061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58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current assets</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296,855</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245,994</w:t>
            </w:r>
          </w:p>
        </w:tc>
        <w:tc>
          <w:tcPr>
            <w:tcW w:w="100" w:type="dxa"/>
            <w:vAlign w:val="bottom"/>
            <w:tcBorders>
              <w:top w:val="single" w:sz="8" w:color="CFF0FC"/>
            </w:tcBorders>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Property and equipment – net</w:t>
            </w: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9,831</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Right-of-use assets – net</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9,287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9,826</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Intangible assets – net</w:t>
            </w: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233,719</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241,155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944,129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947,359</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Deferred tax assets</w:t>
            </w: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84,727</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85,564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Investments</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7,190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6,993</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non-current assets</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3,502</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w w:val="87"/>
              </w:rPr>
              <w:t>$</w:t>
            </w:r>
          </w:p>
        </w:tc>
        <w:tc>
          <w:tcPr>
            <w:tcW w:w="13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1,589,240</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1,550,099</w:t>
            </w:r>
          </w:p>
        </w:tc>
        <w:tc>
          <w:tcPr>
            <w:tcW w:w="100" w:type="dxa"/>
            <w:vAlign w:val="bottom"/>
            <w:tcBorders>
              <w:top w:val="single" w:sz="8" w:color="CFF0FC"/>
            </w:tcBorders>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58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Liabilites and equity</w:t>
            </w:r>
          </w:p>
        </w:tc>
        <w:tc>
          <w:tcPr>
            <w:tcW w:w="28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payable</w:t>
            </w:r>
          </w:p>
        </w:tc>
        <w:tc>
          <w:tcPr>
            <w:tcW w:w="28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307,399</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257,514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8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181,207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191,642</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Deferred revenue</w:t>
            </w: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32,983</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580" w:type="dxa"/>
            <w:vAlign w:val="bottom"/>
          </w:tcPr>
          <w:p>
            <w:pPr>
              <w:ind w:left="120"/>
              <w:spacing w:after="0"/>
              <w:rPr>
                <w:sz w:val="20"/>
                <w:szCs w:val="20"/>
                <w:color w:val="auto"/>
              </w:rPr>
            </w:pPr>
            <w:r>
              <w:rPr>
                <w:rFonts w:ascii="Calibri" w:cs="Calibri" w:eastAsia="Calibri" w:hAnsi="Calibri"/>
                <w:sz w:val="18"/>
                <w:szCs w:val="18"/>
                <w:color w:val="auto"/>
              </w:rPr>
              <w:t>Current maturites of long-term debt</w:t>
            </w:r>
          </w:p>
        </w:tc>
        <w:tc>
          <w:tcPr>
            <w:tcW w:w="28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3,577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3,933</w:t>
            </w:r>
          </w:p>
        </w:tc>
        <w:tc>
          <w:tcPr>
            <w:tcW w:w="100" w:type="dxa"/>
            <w:vAlign w:val="bottom"/>
          </w:tcPr>
          <w:p>
            <w:pPr>
              <w:spacing w:after="0"/>
              <w:rPr>
                <w:sz w:val="19"/>
                <w:szCs w:val="19"/>
                <w:color w:val="auto"/>
              </w:rPr>
            </w:pPr>
          </w:p>
        </w:tc>
      </w:tr>
      <w:tr>
        <w:trPr>
          <w:trHeight w:val="23"/>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Total current liabilites</w:t>
            </w:r>
          </w:p>
        </w:tc>
        <w:tc>
          <w:tcPr>
            <w:tcW w:w="28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525,166</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487,763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 net</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264,008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264,632</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Long-term lease liabilites</w:t>
            </w: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15,653</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16,215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TRA liability</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160,213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165,699</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liabilites</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28,061</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29,031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58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Total long-term liabilites</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467,935</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475,577</w:t>
            </w:r>
          </w:p>
        </w:tc>
        <w:tc>
          <w:tcPr>
            <w:tcW w:w="100" w:type="dxa"/>
            <w:vAlign w:val="bottom"/>
            <w:tcBorders>
              <w:top w:val="single" w:sz="8" w:color="CFF0FC"/>
            </w:tcBorders>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Commitments and contngencies (Note 15)</w:t>
            </w: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456,588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481,742</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Shareholders' equity</w:t>
            </w:r>
          </w:p>
        </w:tc>
        <w:tc>
          <w:tcPr>
            <w:tcW w:w="2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7"/>
        </w:trPr>
        <w:tc>
          <w:tcPr>
            <w:tcW w:w="7580" w:type="dxa"/>
            <w:vAlign w:val="bottom"/>
          </w:tcPr>
          <w:p>
            <w:pPr>
              <w:ind w:left="120"/>
              <w:spacing w:after="0" w:line="207" w:lineRule="exact"/>
              <w:rPr>
                <w:sz w:val="20"/>
                <w:szCs w:val="20"/>
                <w:color w:val="auto"/>
              </w:rPr>
            </w:pPr>
            <w:r>
              <w:rPr>
                <w:rFonts w:ascii="Calibri" w:cs="Calibri" w:eastAsia="Calibri" w:hAnsi="Calibri"/>
                <w:sz w:val="18"/>
                <w:szCs w:val="18"/>
                <w:color w:val="auto"/>
              </w:rPr>
              <w:t>Class A common stock, $0.0001 par value; 500,000,000 shares authorized, 142,048,979 and</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80" w:type="dxa"/>
            <w:vAlign w:val="bottom"/>
          </w:tcPr>
          <w:p>
            <w:pPr>
              <w:ind w:left="120"/>
              <w:spacing w:after="0" w:line="215" w:lineRule="exact"/>
              <w:rPr>
                <w:sz w:val="20"/>
                <w:szCs w:val="20"/>
                <w:color w:val="auto"/>
              </w:rPr>
            </w:pPr>
            <w:r>
              <w:rPr>
                <w:rFonts w:ascii="Calibri" w:cs="Calibri" w:eastAsia="Calibri" w:hAnsi="Calibri"/>
                <w:sz w:val="18"/>
                <w:szCs w:val="18"/>
                <w:color w:val="auto"/>
              </w:rPr>
              <w:t>141,167,311 shares issued and outstanding at March 31, 2024 and December 31, 2023, respectvely</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r>
      <w:tr>
        <w:trPr>
          <w:trHeight w:val="37"/>
        </w:trPr>
        <w:tc>
          <w:tcPr>
            <w:tcW w:w="7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7"/>
        </w:trPr>
        <w:tc>
          <w:tcPr>
            <w:tcW w:w="758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Class B common stock, $0.0001 par value; 250,000,000 shares authorized, 76,225,000 issued and</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5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outstanding at March 31, 2024 and December 31, 2023</w:t>
            </w:r>
          </w:p>
        </w:tc>
        <w:tc>
          <w:tcPr>
            <w:tcW w:w="28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580" w:type="dxa"/>
            <w:vAlign w:val="bottom"/>
          </w:tcPr>
          <w:p>
            <w:pPr>
              <w:ind w:left="120"/>
              <w:spacing w:after="0" w:line="215" w:lineRule="exact"/>
              <w:rPr>
                <w:sz w:val="20"/>
                <w:szCs w:val="20"/>
                <w:color w:val="auto"/>
              </w:rPr>
            </w:pPr>
            <w:r>
              <w:rPr>
                <w:rFonts w:ascii="Calibri" w:cs="Calibri" w:eastAsia="Calibri" w:hAnsi="Calibri"/>
                <w:sz w:val="18"/>
                <w:szCs w:val="18"/>
                <w:color w:val="auto"/>
              </w:rPr>
              <w:t>Additonal paid-in capital</w:t>
            </w: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1,130,137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1,096,430</w:t>
            </w:r>
          </w:p>
        </w:tc>
        <w:tc>
          <w:tcPr>
            <w:tcW w:w="100" w:type="dxa"/>
            <w:vAlign w:val="bottom"/>
          </w:tcPr>
          <w:p>
            <w:pPr>
              <w:spacing w:after="0"/>
              <w:rPr>
                <w:sz w:val="18"/>
                <w:szCs w:val="18"/>
                <w:color w:val="auto"/>
              </w:rPr>
            </w:pP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58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Treasury stock, at cost, 8,006,497 and 7,291,497 shares at March 31, 2024 and December 31, 2023,</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5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respectvely</w:t>
            </w:r>
          </w:p>
        </w:tc>
        <w:tc>
          <w:tcPr>
            <w:tcW w:w="2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(56,706 )</w:t>
            </w:r>
          </w:p>
        </w:tc>
        <w:tc>
          <w:tcPr>
            <w:tcW w:w="2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(52,586 )</w:t>
            </w:r>
          </w:p>
        </w:tc>
      </w:tr>
      <w:tr>
        <w:trPr>
          <w:trHeight w:val="215"/>
        </w:trPr>
        <w:tc>
          <w:tcPr>
            <w:tcW w:w="758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defcit</w:t>
            </w:r>
          </w:p>
        </w:tc>
        <w:tc>
          <w:tcPr>
            <w:tcW w:w="280" w:type="dxa"/>
            <w:vAlign w:val="bottom"/>
          </w:tcPr>
          <w:p>
            <w:pPr>
              <w:spacing w:after="0"/>
              <w:rPr>
                <w:sz w:val="18"/>
                <w:szCs w:val="18"/>
                <w:color w:val="auto"/>
              </w:rPr>
            </w:pPr>
          </w:p>
        </w:tc>
        <w:tc>
          <w:tcPr>
            <w:tcW w:w="16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(933,519 )</w:t>
            </w:r>
          </w:p>
        </w:tc>
        <w:tc>
          <w:tcPr>
            <w:tcW w:w="200" w:type="dxa"/>
            <w:vAlign w:val="bottom"/>
          </w:tcPr>
          <w:p>
            <w:pPr>
              <w:spacing w:after="0"/>
              <w:rPr>
                <w:sz w:val="18"/>
                <w:szCs w:val="18"/>
                <w:color w:val="auto"/>
              </w:rPr>
            </w:pPr>
          </w:p>
        </w:tc>
        <w:tc>
          <w:tcPr>
            <w:tcW w:w="15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(939,596 )</w:t>
            </w:r>
          </w:p>
        </w:tc>
      </w:tr>
      <w:tr>
        <w:trPr>
          <w:trHeight w:val="28"/>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58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Accumulated other comprehensive income (loss)</w:t>
            </w:r>
          </w:p>
        </w:tc>
        <w:tc>
          <w:tcPr>
            <w:tcW w:w="2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(383 )</w:t>
            </w: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580" w:type="dxa"/>
            <w:vAlign w:val="bottom"/>
            <w:tcBorders>
              <w:top w:val="single" w:sz="8" w:color="CFF0FC"/>
            </w:tcBorders>
          </w:tcPr>
          <w:p>
            <w:pPr>
              <w:ind w:left="120"/>
              <w:spacing w:after="0" w:line="213" w:lineRule="exact"/>
              <w:rPr>
                <w:sz w:val="20"/>
                <w:szCs w:val="20"/>
                <w:color w:val="auto"/>
              </w:rPr>
            </w:pPr>
            <w:r>
              <w:rPr>
                <w:rFonts w:ascii="Calibri" w:cs="Calibri" w:eastAsia="Calibri" w:hAnsi="Calibri"/>
                <w:sz w:val="18"/>
                <w:szCs w:val="18"/>
                <w:color w:val="auto"/>
              </w:rPr>
              <w:t>Total Shareholders' equity</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139,551</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105,017</w:t>
            </w:r>
          </w:p>
        </w:tc>
        <w:tc>
          <w:tcPr>
            <w:tcW w:w="100" w:type="dxa"/>
            <w:vAlign w:val="bottom"/>
            <w:tcBorders>
              <w:top w:val="single" w:sz="8" w:color="CFF0FC"/>
            </w:tcBorders>
          </w:tcPr>
          <w:p>
            <w:pPr>
              <w:spacing w:after="0"/>
              <w:rPr>
                <w:sz w:val="18"/>
                <w:szCs w:val="18"/>
                <w:color w:val="auto"/>
              </w:rPr>
            </w:pPr>
          </w:p>
        </w:tc>
      </w:tr>
      <w:tr>
        <w:trPr>
          <w:trHeight w:val="24"/>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liabilites, Redeemable noncontrolling interests, and Shareholders' equity</w:t>
            </w:r>
          </w:p>
        </w:tc>
        <w:tc>
          <w:tcPr>
            <w:tcW w:w="280" w:type="dxa"/>
            <w:vAlign w:val="bottom"/>
            <w:tcBorders>
              <w:bottom w:val="single" w:sz="8" w:color="auto"/>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b w:val="1"/>
                <w:bCs w:val="1"/>
                <w:color w:val="auto"/>
                <w:w w:val="87"/>
              </w:rPr>
              <w:t>$</w:t>
            </w:r>
          </w:p>
        </w:tc>
        <w:tc>
          <w:tcPr>
            <w:tcW w:w="1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1,589,240</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1,550,099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-5451475</wp:posOffset>
            </wp:positionV>
            <wp:extent cx="76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-5451475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-4208145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-2313940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-351155</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7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 w:name="page5"/>
    <w:bookmarkEnd w:id="4"/>
    <w:p>
      <w:pPr>
        <w:jc w:val="center"/>
        <w:spacing w:after="0"/>
        <w:rPr>
          <w:sz w:val="20"/>
          <w:szCs w:val="20"/>
          <w:color w:val="auto"/>
        </w:rPr>
      </w:pPr>
      <w:r>
        <w:rPr>
          <w:rFonts w:ascii="Calibri" w:cs="Calibri" w:eastAsia="Calibri" w:hAnsi="Calibri"/>
          <w:sz w:val="18"/>
          <w:szCs w:val="18"/>
          <w:b w:val="1"/>
          <w:bCs w:val="1"/>
          <w:color w:val="auto"/>
        </w:rPr>
        <w:t>VIVID SEATS INC.</w:t>
      </w:r>
    </w:p>
    <w:p>
      <w:pPr>
        <w:ind w:left="3480"/>
        <w:spacing w:after="0" w:line="235" w:lineRule="auto"/>
        <w:rPr>
          <w:sz w:val="20"/>
          <w:szCs w:val="20"/>
          <w:color w:val="auto"/>
        </w:rPr>
      </w:pPr>
      <w:r>
        <w:rPr>
          <w:rFonts w:ascii="Calibri" w:cs="Calibri" w:eastAsia="Calibri" w:hAnsi="Calibri"/>
          <w:sz w:val="18"/>
          <w:szCs w:val="18"/>
          <w:b w:val="1"/>
          <w:bCs w:val="1"/>
          <w:color w:val="auto"/>
        </w:rPr>
        <w:t>CONDENSED CONSOLIDATED STATEMENTS OF OPERATIONS</w:t>
      </w:r>
    </w:p>
    <w:p>
      <w:pPr>
        <w:ind w:left="3440"/>
        <w:spacing w:after="0" w:line="236" w:lineRule="auto"/>
        <w:rPr>
          <w:sz w:val="20"/>
          <w:szCs w:val="20"/>
          <w:color w:val="auto"/>
        </w:rPr>
      </w:pPr>
      <w:r>
        <w:rPr>
          <w:rFonts w:ascii="Calibri" w:cs="Calibri" w:eastAsia="Calibri" w:hAnsi="Calibri"/>
          <w:sz w:val="18"/>
          <w:szCs w:val="18"/>
          <w:b w:val="1"/>
          <w:bCs w:val="1"/>
          <w:color w:val="auto"/>
        </w:rPr>
        <w:t>(in thousands, except share and per share data) (Unaudited)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gridSpan w:val="5"/>
          </w:tcPr>
          <w:p>
            <w:pPr>
              <w:jc w:val="right"/>
              <w:ind w:right="680"/>
              <w:spacing w:after="0"/>
              <w:rPr>
                <w:sz w:val="20"/>
                <w:szCs w:val="20"/>
                <w:color w:val="auto"/>
              </w:rPr>
            </w:pPr>
            <w:r>
              <w:rPr>
                <w:rFonts w:ascii="Calibri" w:cs="Calibri" w:eastAsia="Calibri" w:hAnsi="Calibri"/>
                <w:sz w:val="18"/>
                <w:szCs w:val="18"/>
                <w:b w:val="1"/>
                <w:bCs w:val="1"/>
                <w:color w:val="auto"/>
              </w:rPr>
              <w:t>Three Months Ended March 31,</w:t>
            </w:r>
          </w:p>
        </w:tc>
      </w:tr>
      <w:tr>
        <w:trPr>
          <w:trHeight w:val="37"/>
        </w:trPr>
        <w:tc>
          <w:tcPr>
            <w:tcW w:w="7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7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590"/>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Revenues</w:t>
            </w:r>
          </w:p>
        </w:tc>
        <w:tc>
          <w:tcPr>
            <w:tcW w:w="34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190,852</w:t>
            </w:r>
          </w:p>
        </w:tc>
        <w:tc>
          <w:tcPr>
            <w:tcW w:w="58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161,063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Costs and expenses:</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Cost of revenues (exclusive of depreciaton and amortzaton shown separately below)</w:t>
            </w:r>
          </w:p>
        </w:tc>
        <w:tc>
          <w:tcPr>
            <w:tcW w:w="3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49,583</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37,760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00" w:type="dxa"/>
            <w:vAlign w:val="bottom"/>
          </w:tcPr>
          <w:p>
            <w:pPr>
              <w:ind w:left="120"/>
              <w:spacing w:after="0" w:line="215" w:lineRule="exact"/>
              <w:rPr>
                <w:sz w:val="20"/>
                <w:szCs w:val="20"/>
                <w:color w:val="auto"/>
              </w:rPr>
            </w:pPr>
            <w:r>
              <w:rPr>
                <w:rFonts w:ascii="Calibri" w:cs="Calibri" w:eastAsia="Calibri" w:hAnsi="Calibri"/>
                <w:sz w:val="18"/>
                <w:szCs w:val="18"/>
                <w:color w:val="auto"/>
              </w:rPr>
              <w:t>Marketng and selling</w:t>
            </w:r>
          </w:p>
        </w:tc>
        <w:tc>
          <w:tcPr>
            <w:tcW w:w="3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67,745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54,772</w:t>
            </w:r>
          </w:p>
        </w:tc>
        <w:tc>
          <w:tcPr>
            <w:tcW w:w="100" w:type="dxa"/>
            <w:vAlign w:val="bottom"/>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General and administratve</w:t>
            </w:r>
          </w:p>
        </w:tc>
        <w:tc>
          <w:tcPr>
            <w:tcW w:w="3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42,366</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32,389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0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3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10,483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2,598</w:t>
            </w:r>
          </w:p>
        </w:tc>
        <w:tc>
          <w:tcPr>
            <w:tcW w:w="100" w:type="dxa"/>
            <w:vAlign w:val="bottom"/>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0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Change in fair value of contngent consideraton</w:t>
            </w:r>
          </w:p>
        </w:tc>
        <w:tc>
          <w:tcPr>
            <w:tcW w:w="3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Income from operatons</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20,675</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33,510</w:t>
            </w:r>
          </w:p>
        </w:tc>
        <w:tc>
          <w:tcPr>
            <w:tcW w:w="100" w:type="dxa"/>
            <w:vAlign w:val="bottom"/>
            <w:tcBorders>
              <w:top w:val="single" w:sz="8" w:color="CFF0FC"/>
            </w:tcBorders>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Other (income) expense:</w:t>
            </w:r>
          </w:p>
        </w:tc>
        <w:tc>
          <w:tcPr>
            <w:tcW w:w="3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0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 expense – net</w:t>
            </w:r>
          </w:p>
        </w:tc>
        <w:tc>
          <w:tcPr>
            <w:tcW w:w="3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5,082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3,280</w:t>
            </w:r>
          </w:p>
        </w:tc>
        <w:tc>
          <w:tcPr>
            <w:tcW w:w="100" w:type="dxa"/>
            <w:vAlign w:val="bottom"/>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0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Other (income) expense</w:t>
            </w:r>
          </w:p>
        </w:tc>
        <w:tc>
          <w:tcPr>
            <w:tcW w:w="3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2,582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(327 )</w:t>
            </w:r>
          </w:p>
        </w:tc>
      </w:tr>
      <w:tr>
        <w:trPr>
          <w:trHeight w:val="208"/>
        </w:trPr>
        <w:tc>
          <w:tcPr>
            <w:tcW w:w="77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Income before income taxes</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13,011</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30,557</w:t>
            </w:r>
          </w:p>
        </w:tc>
        <w:tc>
          <w:tcPr>
            <w:tcW w:w="100" w:type="dxa"/>
            <w:vAlign w:val="bottom"/>
            <w:tcBorders>
              <w:top w:val="single" w:sz="8" w:color="CFF0FC"/>
            </w:tcBorders>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Income tax expense</w:t>
            </w:r>
          </w:p>
        </w:tc>
        <w:tc>
          <w:tcPr>
            <w:tcW w:w="3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2,269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Net income</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10,742</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30,272</w:t>
            </w:r>
          </w:p>
        </w:tc>
        <w:tc>
          <w:tcPr>
            <w:tcW w:w="100" w:type="dxa"/>
            <w:vAlign w:val="bottom"/>
            <w:tcBorders>
              <w:top w:val="single" w:sz="8" w:color="CFF0FC"/>
            </w:tcBorders>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Net income atributable to redeemable noncontrolling interests</w:t>
            </w:r>
          </w:p>
        </w:tc>
        <w:tc>
          <w:tcPr>
            <w:tcW w:w="3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4,665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18,090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Net income atributable to Class A Common Stockholders</w:t>
            </w:r>
          </w:p>
        </w:tc>
        <w:tc>
          <w:tcPr>
            <w:tcW w:w="340" w:type="dxa"/>
            <w:vAlign w:val="bottom"/>
            <w:tcBorders>
              <w:top w:val="single" w:sz="8" w:color="auto"/>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b w:val="1"/>
                <w:bCs w:val="1"/>
                <w:color w:val="auto"/>
                <w:w w:val="87"/>
              </w:rPr>
              <w:t>$</w:t>
            </w:r>
          </w:p>
        </w:tc>
        <w:tc>
          <w:tcPr>
            <w:tcW w:w="14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6,077</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b w:val="1"/>
                <w:bCs w:val="1"/>
                <w:color w:val="auto"/>
                <w:w w:val="87"/>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12,182</w:t>
            </w:r>
          </w:p>
        </w:tc>
        <w:tc>
          <w:tcPr>
            <w:tcW w:w="100" w:type="dxa"/>
            <w:vAlign w:val="bottom"/>
            <w:tcBorders>
              <w:top w:val="single" w:sz="8" w:color="CFF0FC"/>
            </w:tcBorders>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Income per Class A common stock:</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Basic</w:t>
            </w:r>
          </w:p>
        </w:tc>
        <w:tc>
          <w:tcPr>
            <w:tcW w:w="340" w:type="dxa"/>
            <w:vAlign w:val="bottom"/>
            <w:tcBorders>
              <w:bottom w:val="single" w:sz="8" w:color="CFF0FC"/>
            </w:tcBorders>
            <w:shd w:val="clear" w:color="auto" w:fill="CFF0FC"/>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0.05</w:t>
            </w:r>
          </w:p>
        </w:tc>
        <w:tc>
          <w:tcPr>
            <w:tcW w:w="5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00" w:type="dxa"/>
            <w:vAlign w:val="bottom"/>
          </w:tcPr>
          <w:p>
            <w:pPr>
              <w:ind w:left="20"/>
              <w:spacing w:after="0" w:line="215" w:lineRule="exact"/>
              <w:rPr>
                <w:sz w:val="20"/>
                <w:szCs w:val="20"/>
                <w:color w:val="auto"/>
              </w:rPr>
            </w:pPr>
            <w:r>
              <w:rPr>
                <w:rFonts w:ascii="Calibri" w:cs="Calibri" w:eastAsia="Calibri" w:hAnsi="Calibri"/>
                <w:sz w:val="18"/>
                <w:szCs w:val="18"/>
                <w:color w:val="auto"/>
              </w:rPr>
              <w:t>Diluted</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0.04</w:t>
            </w:r>
          </w:p>
        </w:tc>
        <w:tc>
          <w:tcPr>
            <w:tcW w:w="58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0.15</w:t>
            </w:r>
          </w:p>
        </w:tc>
        <w:tc>
          <w:tcPr>
            <w:tcW w:w="100" w:type="dxa"/>
            <w:vAlign w:val="bottom"/>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Weighted average Class A common stock outstanding:</w:t>
            </w:r>
          </w:p>
        </w:tc>
        <w:tc>
          <w:tcPr>
            <w:tcW w:w="3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00" w:type="dxa"/>
            <w:vAlign w:val="bottom"/>
          </w:tcPr>
          <w:p>
            <w:pPr>
              <w:ind w:left="20"/>
              <w:spacing w:after="0" w:line="215" w:lineRule="exact"/>
              <w:rPr>
                <w:sz w:val="20"/>
                <w:szCs w:val="20"/>
                <w:color w:val="auto"/>
              </w:rPr>
            </w:pPr>
            <w:r>
              <w:rPr>
                <w:rFonts w:ascii="Calibri" w:cs="Calibri" w:eastAsia="Calibri" w:hAnsi="Calibri"/>
                <w:sz w:val="18"/>
                <w:szCs w:val="18"/>
                <w:color w:val="auto"/>
              </w:rPr>
              <w:t>Basic</w:t>
            </w:r>
          </w:p>
        </w:tc>
        <w:tc>
          <w:tcPr>
            <w:tcW w:w="34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134,068,276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77,410,820</w:t>
            </w:r>
          </w:p>
        </w:tc>
        <w:tc>
          <w:tcPr>
            <w:tcW w:w="100" w:type="dxa"/>
            <w:vAlign w:val="bottom"/>
          </w:tcPr>
          <w:p>
            <w:pPr>
              <w:spacing w:after="0"/>
              <w:rPr>
                <w:sz w:val="18"/>
                <w:szCs w:val="18"/>
                <w:color w:val="auto"/>
              </w:rPr>
            </w:pPr>
          </w:p>
        </w:tc>
      </w:tr>
      <w:tr>
        <w:trPr>
          <w:trHeight w:val="28"/>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77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Diluted</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210,909,861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195,823,982</w:t>
            </w:r>
          </w:p>
        </w:tc>
        <w:tc>
          <w:tcPr>
            <w:tcW w:w="100" w:type="dxa"/>
            <w:vAlign w:val="bottom"/>
            <w:shd w:val="clear" w:color="auto" w:fill="CFF0FC"/>
          </w:tcPr>
          <w:p>
            <w:pPr>
              <w:spacing w:after="0"/>
              <w:rPr>
                <w:sz w:val="18"/>
                <w:szCs w:val="18"/>
                <w:color w:val="auto"/>
              </w:rPr>
            </w:pPr>
          </w:p>
        </w:tc>
      </w:tr>
      <w:tr>
        <w:trPr>
          <w:trHeight w:val="28"/>
        </w:trPr>
        <w:tc>
          <w:tcPr>
            <w:tcW w:w="77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-2528570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-1902460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-1585595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-1268095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STATEMENTS OF COMPREHENSIVE INCOME</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80" w:type="dxa"/>
            <w:vAlign w:val="bottom"/>
          </w:tcPr>
          <w:p>
            <w:pPr>
              <w:spacing w:after="0"/>
              <w:rPr>
                <w:sz w:val="19"/>
                <w:szCs w:val="19"/>
                <w:color w:val="auto"/>
              </w:rPr>
            </w:pPr>
          </w:p>
        </w:tc>
        <w:tc>
          <w:tcPr>
            <w:tcW w:w="3160" w:type="dxa"/>
            <w:vAlign w:val="bottom"/>
            <w:gridSpan w:val="4"/>
          </w:tcPr>
          <w:p>
            <w:pPr>
              <w:jc w:val="right"/>
              <w:ind w:right="50"/>
              <w:spacing w:after="0"/>
              <w:rPr>
                <w:sz w:val="20"/>
                <w:szCs w:val="20"/>
                <w:color w:val="auto"/>
              </w:rPr>
            </w:pPr>
            <w:r>
              <w:rPr>
                <w:rFonts w:ascii="Calibri" w:cs="Calibri" w:eastAsia="Calibri" w:hAnsi="Calibri"/>
                <w:sz w:val="18"/>
                <w:szCs w:val="18"/>
                <w:b w:val="1"/>
                <w:bCs w:val="1"/>
                <w:color w:val="auto"/>
              </w:rPr>
              <w:t>Three Months Ended March 31,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73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7380" w:type="dxa"/>
            <w:vAlign w:val="bottom"/>
          </w:tcPr>
          <w:p>
            <w:pPr>
              <w:spacing w:after="0"/>
              <w:rPr>
                <w:sz w:val="18"/>
                <w:szCs w:val="18"/>
                <w:color w:val="auto"/>
              </w:rPr>
            </w:pPr>
          </w:p>
        </w:tc>
        <w:tc>
          <w:tcPr>
            <w:tcW w:w="1160" w:type="dxa"/>
            <w:vAlign w:val="bottom"/>
          </w:tcPr>
          <w:p>
            <w:pPr>
              <w:jc w:val="right"/>
              <w:ind w:right="10"/>
              <w:spacing w:after="0" w:line="208" w:lineRule="exact"/>
              <w:rPr>
                <w:sz w:val="20"/>
                <w:szCs w:val="20"/>
                <w:color w:val="auto"/>
              </w:rPr>
            </w:pPr>
            <w:r>
              <w:rPr>
                <w:rFonts w:ascii="Calibri" w:cs="Calibri" w:eastAsia="Calibri" w:hAnsi="Calibri"/>
                <w:sz w:val="18"/>
                <w:szCs w:val="18"/>
                <w:b w:val="1"/>
                <w:bCs w:val="1"/>
                <w:color w:val="auto"/>
              </w:rPr>
              <w:t>2024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10"/>
              <w:spacing w:after="0" w:line="208" w:lineRule="exact"/>
              <w:rPr>
                <w:sz w:val="20"/>
                <w:szCs w:val="20"/>
                <w:color w:val="auto"/>
              </w:rPr>
            </w:pPr>
            <w:r>
              <w:rPr>
                <w:rFonts w:ascii="Calibri" w:cs="Calibri" w:eastAsia="Calibri" w:hAnsi="Calibri"/>
                <w:sz w:val="18"/>
                <w:szCs w:val="18"/>
                <w:b w:val="1"/>
                <w:bCs w:val="1"/>
                <w:color w:val="auto"/>
              </w:rPr>
              <w:t>2023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3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3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income</w:t>
            </w:r>
          </w:p>
        </w:tc>
        <w:tc>
          <w:tcPr>
            <w:tcW w:w="1160" w:type="dxa"/>
            <w:vAlign w:val="bottom"/>
            <w:tcBorders>
              <w:bottom w:val="single" w:sz="8" w:color="CFF0FC"/>
            </w:tcBorders>
            <w:shd w:val="clear" w:color="auto" w:fill="CFF0FC"/>
          </w:tcPr>
          <w:p>
            <w:pPr>
              <w:jc w:val="right"/>
              <w:ind w:right="970"/>
              <w:spacing w:after="0" w:line="208" w:lineRule="exact"/>
              <w:rPr>
                <w:sz w:val="20"/>
                <w:szCs w:val="20"/>
                <w:color w:val="auto"/>
              </w:rPr>
            </w:pPr>
            <w:r>
              <w:rPr>
                <w:rFonts w:ascii="Calibri" w:cs="Calibri" w:eastAsia="Calibri" w:hAnsi="Calibri"/>
                <w:sz w:val="18"/>
                <w:szCs w:val="18"/>
                <w:b w:val="1"/>
                <w:bCs w:val="1"/>
                <w:color w:val="auto"/>
                <w:w w:val="87"/>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10,742</w:t>
            </w:r>
          </w:p>
        </w:tc>
        <w:tc>
          <w:tcPr>
            <w:tcW w:w="2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950"/>
              <w:spacing w:after="0" w:line="208" w:lineRule="exact"/>
              <w:rPr>
                <w:sz w:val="20"/>
                <w:szCs w:val="20"/>
                <w:color w:val="auto"/>
              </w:rPr>
            </w:pPr>
            <w:r>
              <w:rPr>
                <w:rFonts w:ascii="Calibri" w:cs="Calibri" w:eastAsia="Calibri" w:hAnsi="Calibri"/>
                <w:sz w:val="18"/>
                <w:szCs w:val="18"/>
                <w:b w:val="1"/>
                <w:bCs w:val="1"/>
                <w:color w:val="auto"/>
                <w:w w:val="87"/>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30,272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3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comprehensive income:</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11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(1,865 )</w:t>
            </w:r>
          </w:p>
        </w:tc>
        <w:tc>
          <w:tcPr>
            <w:tcW w:w="1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20"/>
        </w:trPr>
        <w:tc>
          <w:tcPr>
            <w:tcW w:w="7380" w:type="dxa"/>
            <w:vAlign w:val="bottom"/>
          </w:tcPr>
          <w:p>
            <w:pPr>
              <w:ind w:left="120"/>
              <w:spacing w:after="0"/>
              <w:rPr>
                <w:sz w:val="20"/>
                <w:szCs w:val="20"/>
                <w:color w:val="auto"/>
              </w:rPr>
            </w:pPr>
            <w:r>
              <w:rPr>
                <w:rFonts w:ascii="Calibri" w:cs="Calibri" w:eastAsia="Calibri" w:hAnsi="Calibri"/>
                <w:sz w:val="18"/>
                <w:szCs w:val="18"/>
                <w:color w:val="auto"/>
              </w:rPr>
              <w:t>Unrealized gain on investments</w:t>
            </w:r>
          </w:p>
        </w:tc>
        <w:tc>
          <w:tcPr>
            <w:tcW w:w="116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92</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73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3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Comprehensive income</w:t>
            </w:r>
          </w:p>
        </w:tc>
        <w:tc>
          <w:tcPr>
            <w:tcW w:w="1160" w:type="dxa"/>
            <w:vAlign w:val="bottom"/>
            <w:tcBorders>
              <w:bottom w:val="single" w:sz="8" w:color="CFF0FC"/>
            </w:tcBorders>
            <w:shd w:val="clear" w:color="auto" w:fill="CFF0FC"/>
          </w:tcPr>
          <w:p>
            <w:pPr>
              <w:jc w:val="right"/>
              <w:ind w:right="970"/>
              <w:spacing w:after="0" w:line="208" w:lineRule="exact"/>
              <w:rPr>
                <w:sz w:val="20"/>
                <w:szCs w:val="20"/>
                <w:color w:val="auto"/>
              </w:rPr>
            </w:pPr>
            <w:r>
              <w:rPr>
                <w:rFonts w:ascii="Calibri" w:cs="Calibri" w:eastAsia="Calibri" w:hAnsi="Calibri"/>
                <w:sz w:val="18"/>
                <w:szCs w:val="18"/>
                <w:b w:val="1"/>
                <w:bCs w:val="1"/>
                <w:color w:val="auto"/>
                <w:w w:val="87"/>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8,969</w:t>
            </w:r>
          </w:p>
        </w:tc>
        <w:tc>
          <w:tcPr>
            <w:tcW w:w="2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950"/>
              <w:spacing w:after="0" w:line="208" w:lineRule="exact"/>
              <w:rPr>
                <w:sz w:val="20"/>
                <w:szCs w:val="20"/>
                <w:color w:val="auto"/>
              </w:rPr>
            </w:pPr>
            <w:r>
              <w:rPr>
                <w:rFonts w:ascii="Calibri" w:cs="Calibri" w:eastAsia="Calibri" w:hAnsi="Calibri"/>
                <w:sz w:val="18"/>
                <w:szCs w:val="18"/>
                <w:b w:val="1"/>
                <w:bCs w:val="1"/>
                <w:color w:val="auto"/>
                <w:w w:val="87"/>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30,272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38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atributable to redeemable noncontrolling interests</w:t>
            </w:r>
          </w:p>
        </w:tc>
        <w:tc>
          <w:tcPr>
            <w:tcW w:w="116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4,665</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18,090</w:t>
            </w:r>
          </w:p>
        </w:tc>
        <w:tc>
          <w:tcPr>
            <w:tcW w:w="100" w:type="dxa"/>
            <w:vAlign w:val="bottom"/>
          </w:tcPr>
          <w:p>
            <w:pPr>
              <w:spacing w:after="0"/>
              <w:rPr>
                <w:sz w:val="18"/>
                <w:szCs w:val="18"/>
                <w:color w:val="auto"/>
              </w:rPr>
            </w:pPr>
          </w:p>
        </w:tc>
      </w:tr>
      <w:tr>
        <w:trPr>
          <w:trHeight w:val="28"/>
        </w:trPr>
        <w:tc>
          <w:tcPr>
            <w:tcW w:w="7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Foreign currency translaton adjustment atributable to redeemable noncontrolling interests</w:t>
            </w:r>
          </w:p>
        </w:tc>
        <w:tc>
          <w:tcPr>
            <w:tcW w:w="11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(676 )</w:t>
            </w:r>
          </w:p>
        </w:tc>
        <w:tc>
          <w:tcPr>
            <w:tcW w:w="1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9"/>
        </w:trPr>
        <w:tc>
          <w:tcPr>
            <w:tcW w:w="7380" w:type="dxa"/>
            <w:vAlign w:val="bottom"/>
          </w:tcPr>
          <w:p>
            <w:pPr>
              <w:ind w:left="120"/>
              <w:spacing w:after="0"/>
              <w:rPr>
                <w:sz w:val="20"/>
                <w:szCs w:val="20"/>
                <w:color w:val="auto"/>
              </w:rPr>
            </w:pPr>
            <w:r>
              <w:rPr>
                <w:rFonts w:ascii="Calibri" w:cs="Calibri" w:eastAsia="Calibri" w:hAnsi="Calibri"/>
                <w:sz w:val="18"/>
                <w:szCs w:val="18"/>
                <w:color w:val="auto"/>
              </w:rPr>
              <w:t>Unrealized gain on investments atributable to redeemable noncontrolling interests</w:t>
            </w:r>
          </w:p>
        </w:tc>
        <w:tc>
          <w:tcPr>
            <w:tcW w:w="116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33</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73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73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Comprehensive income atributable to Class A Common Stockholders</w:t>
            </w:r>
          </w:p>
        </w:tc>
        <w:tc>
          <w:tcPr>
            <w:tcW w:w="1160" w:type="dxa"/>
            <w:vAlign w:val="bottom"/>
            <w:tcBorders>
              <w:bottom w:val="single" w:sz="8" w:color="auto"/>
            </w:tcBorders>
            <w:shd w:val="clear" w:color="auto" w:fill="CFF0FC"/>
          </w:tcPr>
          <w:p>
            <w:pPr>
              <w:jc w:val="right"/>
              <w:ind w:right="970"/>
              <w:spacing w:after="0" w:line="215" w:lineRule="exact"/>
              <w:rPr>
                <w:sz w:val="20"/>
                <w:szCs w:val="20"/>
                <w:color w:val="auto"/>
              </w:rPr>
            </w:pPr>
            <w:r>
              <w:rPr>
                <w:rFonts w:ascii="Calibri" w:cs="Calibri" w:eastAsia="Calibri" w:hAnsi="Calibri"/>
                <w:sz w:val="18"/>
                <w:szCs w:val="18"/>
                <w:b w:val="1"/>
                <w:bCs w:val="1"/>
                <w:color w:val="auto"/>
                <w:w w:val="87"/>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4,947</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50"/>
              <w:spacing w:after="0" w:line="215" w:lineRule="exact"/>
              <w:rPr>
                <w:sz w:val="20"/>
                <w:szCs w:val="20"/>
                <w:color w:val="auto"/>
              </w:rPr>
            </w:pPr>
            <w:r>
              <w:rPr>
                <w:rFonts w:ascii="Calibri" w:cs="Calibri" w:eastAsia="Calibri" w:hAnsi="Calibri"/>
                <w:sz w:val="18"/>
                <w:szCs w:val="18"/>
                <w:b w:val="1"/>
                <w:bCs w:val="1"/>
                <w:color w:val="auto"/>
                <w:w w:val="87"/>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12,182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STATEMENTS OF EQUITY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data) (Unaudited)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7"/>
          </w:tcPr>
          <w:p>
            <w:pPr>
              <w:jc w:val="right"/>
              <w:spacing w:after="0"/>
              <w:rPr>
                <w:sz w:val="20"/>
                <w:szCs w:val="20"/>
                <w:color w:val="auto"/>
              </w:rPr>
            </w:pPr>
            <w:r>
              <w:rPr>
                <w:rFonts w:ascii="Calibri" w:cs="Calibri" w:eastAsia="Calibri" w:hAnsi="Calibri"/>
                <w:sz w:val="14"/>
                <w:szCs w:val="14"/>
                <w:b w:val="1"/>
                <w:bCs w:val="1"/>
                <w:color w:val="auto"/>
              </w:rPr>
              <w:t>Class A Common Stock</w:t>
            </w:r>
          </w:p>
        </w:tc>
        <w:tc>
          <w:tcPr>
            <w:tcW w:w="140" w:type="dxa"/>
            <w:vAlign w:val="bottom"/>
          </w:tcPr>
          <w:p>
            <w:pPr>
              <w:spacing w:after="0"/>
              <w:rPr>
                <w:sz w:val="14"/>
                <w:szCs w:val="14"/>
                <w:color w:val="auto"/>
              </w:rPr>
            </w:pPr>
          </w:p>
        </w:tc>
        <w:tc>
          <w:tcPr>
            <w:tcW w:w="1440" w:type="dxa"/>
            <w:vAlign w:val="bottom"/>
            <w:gridSpan w:val="7"/>
          </w:tcPr>
          <w:p>
            <w:pPr>
              <w:jc w:val="right"/>
              <w:spacing w:after="0"/>
              <w:rPr>
                <w:sz w:val="20"/>
                <w:szCs w:val="20"/>
                <w:color w:val="auto"/>
              </w:rPr>
            </w:pPr>
            <w:r>
              <w:rPr>
                <w:rFonts w:ascii="Calibri" w:cs="Calibri" w:eastAsia="Calibri" w:hAnsi="Calibri"/>
                <w:sz w:val="14"/>
                <w:szCs w:val="14"/>
                <w:b w:val="1"/>
                <w:bCs w:val="1"/>
                <w:color w:val="auto"/>
              </w:rPr>
              <w:t>Class B Common Stock</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7"/>
          </w:tcPr>
          <w:p>
            <w:pPr>
              <w:jc w:val="right"/>
              <w:ind w:right="208"/>
              <w:spacing w:after="0"/>
              <w:rPr>
                <w:sz w:val="20"/>
                <w:szCs w:val="20"/>
                <w:color w:val="auto"/>
              </w:rPr>
            </w:pPr>
            <w:r>
              <w:rPr>
                <w:rFonts w:ascii="Calibri" w:cs="Calibri" w:eastAsia="Calibri" w:hAnsi="Calibri"/>
                <w:sz w:val="14"/>
                <w:szCs w:val="14"/>
                <w:b w:val="1"/>
                <w:bCs w:val="1"/>
                <w:color w:val="auto"/>
              </w:rPr>
              <w:t>Treasury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restart"/>
          </w:tcPr>
          <w:p>
            <w:pPr>
              <w:jc w:val="center"/>
              <w:ind w:right="120"/>
              <w:spacing w:after="0"/>
              <w:rPr>
                <w:sz w:val="20"/>
                <w:szCs w:val="20"/>
                <w:color w:val="auto"/>
              </w:rPr>
            </w:pPr>
            <w:r>
              <w:rPr>
                <w:rFonts w:ascii="Calibri" w:cs="Calibri" w:eastAsia="Calibri" w:hAnsi="Calibri"/>
                <w:sz w:val="14"/>
                <w:szCs w:val="14"/>
                <w:b w:val="1"/>
                <w:bCs w:val="1"/>
                <w:color w:val="auto"/>
              </w:rPr>
              <w:t>Accumulat</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5"/>
              </w:rPr>
              <w:t>ed</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5"/>
          </w:tcPr>
          <w:p>
            <w:pPr>
              <w:jc w:val="center"/>
              <w:ind w:right="120"/>
              <w:spacing w:after="0"/>
              <w:rPr>
                <w:sz w:val="20"/>
                <w:szCs w:val="20"/>
                <w:color w:val="auto"/>
              </w:rPr>
            </w:pPr>
            <w:r>
              <w:rPr>
                <w:rFonts w:ascii="Calibri" w:cs="Calibri" w:eastAsia="Calibri" w:hAnsi="Calibri"/>
                <w:sz w:val="14"/>
                <w:szCs w:val="14"/>
                <w:b w:val="1"/>
                <w:bCs w:val="1"/>
                <w:color w:val="auto"/>
              </w:rPr>
              <w:t>Redeemabl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other</w:t>
            </w:r>
          </w:p>
        </w:tc>
        <w:tc>
          <w:tcPr>
            <w:tcW w:w="8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4"/>
              </w:rPr>
              <w:t>Total</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center"/>
              <w:ind w:left="48"/>
              <w:spacing w:after="0"/>
              <w:rPr>
                <w:sz w:val="20"/>
                <w:szCs w:val="20"/>
                <w:color w:val="auto"/>
              </w:rPr>
            </w:pPr>
            <w:r>
              <w:rPr>
                <w:rFonts w:ascii="Calibri" w:cs="Calibri" w:eastAsia="Calibri" w:hAnsi="Calibri"/>
                <w:sz w:val="14"/>
                <w:szCs w:val="14"/>
                <w:b w:val="1"/>
                <w:bCs w:val="1"/>
                <w:color w:val="auto"/>
                <w:w w:val="84"/>
              </w:rPr>
              <w:t>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Calibri" w:cs="Calibri" w:eastAsia="Calibri" w:hAnsi="Calibri"/>
                <w:sz w:val="14"/>
                <w:szCs w:val="14"/>
                <w:b w:val="1"/>
                <w:bCs w:val="1"/>
                <w:color w:val="auto"/>
              </w:rPr>
              <w:t>comprehen</w:t>
            </w:r>
          </w:p>
        </w:tc>
        <w:tc>
          <w:tcPr>
            <w:tcW w:w="74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sharehold</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5"/>
          </w:tcPr>
          <w:p>
            <w:pPr>
              <w:jc w:val="center"/>
              <w:ind w:right="100"/>
              <w:spacing w:after="0"/>
              <w:rPr>
                <w:sz w:val="20"/>
                <w:szCs w:val="20"/>
                <w:color w:val="auto"/>
              </w:rPr>
            </w:pPr>
            <w:r>
              <w:rPr>
                <w:rFonts w:ascii="Calibri" w:cs="Calibri" w:eastAsia="Calibri" w:hAnsi="Calibri"/>
                <w:sz w:val="14"/>
                <w:szCs w:val="14"/>
                <w:b w:val="1"/>
                <w:bCs w:val="1"/>
                <w:color w:val="auto"/>
              </w:rPr>
              <w:t>noncontrol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Additon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sive</w:t>
            </w:r>
          </w:p>
        </w:tc>
        <w:tc>
          <w:tcPr>
            <w:tcW w:w="8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5"/>
              </w:rPr>
              <w:t>ers'</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center"/>
              <w:ind w:left="48"/>
              <w:spacing w:after="0"/>
              <w:rPr>
                <w:sz w:val="20"/>
                <w:szCs w:val="20"/>
                <w:color w:val="auto"/>
              </w:rPr>
            </w:pPr>
            <w:r>
              <w:rPr>
                <w:rFonts w:ascii="Calibri" w:cs="Calibri" w:eastAsia="Calibri" w:hAnsi="Calibri"/>
                <w:sz w:val="14"/>
                <w:szCs w:val="14"/>
                <w:b w:val="1"/>
                <w:bCs w:val="1"/>
                <w:color w:val="auto"/>
              </w:rPr>
              <w:t>ling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al paid-in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5"/>
          </w:tcPr>
          <w:p>
            <w:pPr>
              <w:jc w:val="right"/>
              <w:ind w:right="168"/>
              <w:spacing w:after="0"/>
              <w:rPr>
                <w:sz w:val="20"/>
                <w:szCs w:val="20"/>
                <w:color w:val="auto"/>
              </w:rPr>
            </w:pPr>
            <w:r>
              <w:rPr>
                <w:rFonts w:ascii="Calibri" w:cs="Calibri" w:eastAsia="Calibri" w:hAnsi="Calibri"/>
                <w:sz w:val="14"/>
                <w:szCs w:val="14"/>
                <w:b w:val="1"/>
                <w:bCs w:val="1"/>
                <w:color w:val="auto"/>
              </w:rPr>
              <w:t>Accumula</w:t>
            </w:r>
          </w:p>
        </w:tc>
        <w:tc>
          <w:tcPr>
            <w:tcW w:w="7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income</w:t>
            </w:r>
          </w:p>
        </w:tc>
        <w:tc>
          <w:tcPr>
            <w:tcW w:w="8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center"/>
              <w:ind w:right="220"/>
              <w:spacing w:after="0"/>
              <w:rPr>
                <w:sz w:val="20"/>
                <w:szCs w:val="20"/>
                <w:color w:val="auto"/>
              </w:rPr>
            </w:pPr>
            <w:r>
              <w:rPr>
                <w:rFonts w:ascii="Calibri" w:cs="Calibri" w:eastAsia="Calibri" w:hAnsi="Calibri"/>
                <w:sz w:val="14"/>
                <w:szCs w:val="14"/>
                <w:b w:val="1"/>
                <w:bCs w:val="1"/>
                <w:color w:val="auto"/>
              </w:rPr>
              <w:t>interests</w:t>
            </w:r>
          </w:p>
        </w:tc>
        <w:tc>
          <w:tcPr>
            <w:tcW w:w="700" w:type="dxa"/>
            <w:vAlign w:val="bottom"/>
            <w:gridSpan w:val="3"/>
          </w:tcPr>
          <w:p>
            <w:pPr>
              <w:jc w:val="right"/>
              <w:ind w:right="68"/>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Amount</w:t>
            </w:r>
          </w:p>
        </w:tc>
        <w:tc>
          <w:tcPr>
            <w:tcW w:w="140" w:type="dxa"/>
            <w:vAlign w:val="bottom"/>
          </w:tcPr>
          <w:p>
            <w:pPr>
              <w:spacing w:after="0"/>
              <w:rPr>
                <w:sz w:val="15"/>
                <w:szCs w:val="15"/>
                <w:color w:val="auto"/>
              </w:rPr>
            </w:pPr>
          </w:p>
        </w:tc>
        <w:tc>
          <w:tcPr>
            <w:tcW w:w="700" w:type="dxa"/>
            <w:vAlign w:val="bottom"/>
            <w:gridSpan w:val="3"/>
          </w:tcPr>
          <w:p>
            <w:pPr>
              <w:jc w:val="right"/>
              <w:ind w:right="88"/>
              <w:spacing w:after="0"/>
              <w:rPr>
                <w:sz w:val="20"/>
                <w:szCs w:val="20"/>
                <w:color w:val="auto"/>
              </w:rPr>
            </w:pPr>
            <w:r>
              <w:rPr>
                <w:rFonts w:ascii="Calibri" w:cs="Calibri" w:eastAsia="Calibri" w:hAnsi="Calibri"/>
                <w:sz w:val="14"/>
                <w:szCs w:val="14"/>
                <w:b w:val="1"/>
                <w:bCs w:val="1"/>
                <w:color w:val="auto"/>
              </w:rPr>
              <w:t>Shares</w:t>
            </w:r>
          </w:p>
        </w:tc>
        <w:tc>
          <w:tcPr>
            <w:tcW w:w="100" w:type="dxa"/>
            <w:vAlign w:val="bottom"/>
          </w:tcPr>
          <w:p>
            <w:pPr>
              <w:spacing w:after="0"/>
              <w:rPr>
                <w:sz w:val="15"/>
                <w:szCs w:val="15"/>
                <w:color w:val="auto"/>
              </w:rPr>
            </w:pPr>
          </w:p>
        </w:tc>
        <w:tc>
          <w:tcPr>
            <w:tcW w:w="640" w:type="dxa"/>
            <w:vAlign w:val="bottom"/>
            <w:gridSpan w:val="3"/>
          </w:tcPr>
          <w:p>
            <w:pPr>
              <w:jc w:val="right"/>
              <w:ind w:right="8"/>
              <w:spacing w:after="0"/>
              <w:rPr>
                <w:sz w:val="20"/>
                <w:szCs w:val="20"/>
                <w:color w:val="auto"/>
              </w:rPr>
            </w:pPr>
            <w:r>
              <w:rPr>
                <w:rFonts w:ascii="Calibri" w:cs="Calibri" w:eastAsia="Calibri" w:hAnsi="Calibri"/>
                <w:sz w:val="14"/>
                <w:szCs w:val="14"/>
                <w:b w:val="1"/>
                <w:bCs w:val="1"/>
                <w:color w:val="auto"/>
              </w:rPr>
              <w:t>Amount</w:t>
            </w:r>
          </w:p>
        </w:tc>
        <w:tc>
          <w:tcPr>
            <w:tcW w:w="100" w:type="dxa"/>
            <w:vAlign w:val="bottom"/>
          </w:tcPr>
          <w:p>
            <w:pPr>
              <w:spacing w:after="0"/>
              <w:rPr>
                <w:sz w:val="15"/>
                <w:szCs w:val="15"/>
                <w:color w:val="auto"/>
              </w:rPr>
            </w:pPr>
          </w:p>
        </w:tc>
        <w:tc>
          <w:tcPr>
            <w:tcW w:w="60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capital</w:t>
            </w:r>
          </w:p>
        </w:tc>
        <w:tc>
          <w:tcPr>
            <w:tcW w:w="100" w:type="dxa"/>
            <w:vAlign w:val="bottom"/>
          </w:tcPr>
          <w:p>
            <w:pPr>
              <w:spacing w:after="0"/>
              <w:rPr>
                <w:sz w:val="15"/>
                <w:szCs w:val="15"/>
                <w:color w:val="auto"/>
              </w:rPr>
            </w:pPr>
          </w:p>
        </w:tc>
        <w:tc>
          <w:tcPr>
            <w:tcW w:w="780" w:type="dxa"/>
            <w:vAlign w:val="bottom"/>
            <w:gridSpan w:val="5"/>
          </w:tcPr>
          <w:p>
            <w:pPr>
              <w:jc w:val="right"/>
              <w:ind w:right="168"/>
              <w:spacing w:after="0"/>
              <w:rPr>
                <w:sz w:val="20"/>
                <w:szCs w:val="20"/>
                <w:color w:val="auto"/>
              </w:rPr>
            </w:pPr>
            <w:r>
              <w:rPr>
                <w:rFonts w:ascii="Calibri" w:cs="Calibri" w:eastAsia="Calibri" w:hAnsi="Calibri"/>
                <w:sz w:val="14"/>
                <w:szCs w:val="14"/>
                <w:b w:val="1"/>
                <w:bCs w:val="1"/>
                <w:color w:val="auto"/>
              </w:rPr>
              <w:t>Shares</w:t>
            </w:r>
          </w:p>
        </w:tc>
        <w:tc>
          <w:tcPr>
            <w:tcW w:w="640" w:type="dxa"/>
            <w:vAlign w:val="bottom"/>
            <w:gridSpan w:val="2"/>
          </w:tcPr>
          <w:p>
            <w:pPr>
              <w:jc w:val="right"/>
              <w:ind w:right="8"/>
              <w:spacing w:after="0"/>
              <w:rPr>
                <w:sz w:val="20"/>
                <w:szCs w:val="20"/>
                <w:color w:val="auto"/>
              </w:rPr>
            </w:pPr>
            <w:r>
              <w:rPr>
                <w:rFonts w:ascii="Calibri" w:cs="Calibri" w:eastAsia="Calibri" w:hAnsi="Calibri"/>
                <w:sz w:val="14"/>
                <w:szCs w:val="14"/>
                <w:b w:val="1"/>
                <w:bCs w:val="1"/>
                <w:color w:val="auto"/>
              </w:rPr>
              <w:t>Amount</w:t>
            </w:r>
          </w:p>
        </w:tc>
        <w:tc>
          <w:tcPr>
            <w:tcW w:w="120" w:type="dxa"/>
            <w:vAlign w:val="bottom"/>
          </w:tcPr>
          <w:p>
            <w:pPr>
              <w:spacing w:after="0"/>
              <w:rPr>
                <w:sz w:val="15"/>
                <w:szCs w:val="15"/>
                <w:color w:val="auto"/>
              </w:rPr>
            </w:pPr>
          </w:p>
        </w:tc>
        <w:tc>
          <w:tcPr>
            <w:tcW w:w="840" w:type="dxa"/>
            <w:vAlign w:val="bottom"/>
            <w:gridSpan w:val="5"/>
          </w:tcPr>
          <w:p>
            <w:pPr>
              <w:jc w:val="right"/>
              <w:ind w:right="148"/>
              <w:spacing w:after="0"/>
              <w:rPr>
                <w:sz w:val="20"/>
                <w:szCs w:val="20"/>
                <w:color w:val="auto"/>
              </w:rPr>
            </w:pPr>
            <w:r>
              <w:rPr>
                <w:rFonts w:ascii="Calibri" w:cs="Calibri" w:eastAsia="Calibri" w:hAnsi="Calibri"/>
                <w:sz w:val="14"/>
                <w:szCs w:val="14"/>
                <w:b w:val="1"/>
                <w:bCs w:val="1"/>
                <w:color w:val="auto"/>
              </w:rPr>
              <w:t>ted defcit</w:t>
            </w:r>
          </w:p>
        </w:tc>
        <w:tc>
          <w:tcPr>
            <w:tcW w:w="7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(loss)</w:t>
            </w:r>
          </w:p>
        </w:tc>
        <w:tc>
          <w:tcPr>
            <w:tcW w:w="8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(defcit)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3"/>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82,410,7</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4"/>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118,200,</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4"/>
            <w:shd w:val="clear" w:color="auto" w:fill="CFF0FC"/>
          </w:tcPr>
          <w:p>
            <w:pPr>
              <w:jc w:val="right"/>
              <w:ind w:right="20"/>
              <w:spacing w:after="0" w:line="164" w:lineRule="exact"/>
              <w:rPr>
                <w:sz w:val="20"/>
                <w:szCs w:val="20"/>
                <w:color w:val="auto"/>
              </w:rPr>
            </w:pPr>
            <w:r>
              <w:rPr>
                <w:rFonts w:ascii="Calibri" w:cs="Calibri" w:eastAsia="Calibri" w:hAnsi="Calibri"/>
                <w:sz w:val="14"/>
                <w:szCs w:val="14"/>
                <w:b w:val="1"/>
                <w:bCs w:val="1"/>
                <w:color w:val="auto"/>
              </w:rPr>
              <w:t>663,90</w:t>
            </w:r>
          </w:p>
        </w:tc>
        <w:tc>
          <w:tcPr>
            <w:tcW w:w="780" w:type="dxa"/>
            <w:vAlign w:val="bottom"/>
            <w:gridSpan w:val="5"/>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(4,342,4</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20"/>
              <w:spacing w:after="0" w:line="164" w:lineRule="exact"/>
              <w:rPr>
                <w:sz w:val="20"/>
                <w:szCs w:val="20"/>
                <w:color w:val="auto"/>
              </w:rPr>
            </w:pPr>
            <w:r>
              <w:rPr>
                <w:rFonts w:ascii="Calibri" w:cs="Calibri" w:eastAsia="Calibri" w:hAnsi="Calibri"/>
                <w:sz w:val="14"/>
                <w:szCs w:val="14"/>
                <w:b w:val="1"/>
                <w:bCs w:val="1"/>
                <w:color w:val="auto"/>
              </w:rPr>
              <w:t>(1,014,1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(382,69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Balances at January 1, 2023</w:t>
            </w: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62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862,860</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74</w:t>
            </w:r>
          </w:p>
        </w:tc>
        <w:tc>
          <w:tcPr>
            <w:tcW w:w="42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Calibri" w:cs="Calibri" w:eastAsia="Calibri" w:hAnsi="Calibri"/>
                <w:sz w:val="14"/>
                <w:szCs w:val="14"/>
                <w:b w:val="1"/>
                <w:bCs w:val="1"/>
                <w:color w:val="auto"/>
              </w:rPr>
              <w:t>$</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8</w:t>
            </w:r>
          </w:p>
        </w:tc>
        <w:tc>
          <w:tcPr>
            <w:tcW w:w="1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000</w:t>
            </w:r>
          </w:p>
        </w:tc>
        <w:tc>
          <w:tcPr>
            <w:tcW w:w="46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Calibri" w:cs="Calibri" w:eastAsia="Calibri" w:hAnsi="Calibri"/>
                <w:sz w:val="14"/>
                <w:szCs w:val="14"/>
                <w:b w:val="1"/>
                <w:bCs w:val="1"/>
                <w:color w:val="auto"/>
              </w:rPr>
              <w:t>$</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12</w:t>
            </w:r>
          </w:p>
        </w:tc>
        <w:tc>
          <w:tcPr>
            <w:tcW w:w="460" w:type="dxa"/>
            <w:vAlign w:val="bottom"/>
            <w:tcBorders>
              <w:bottom w:val="single" w:sz="8" w:color="CFF0FC"/>
            </w:tcBorders>
            <w:gridSpan w:val="2"/>
            <w:shd w:val="clear" w:color="auto" w:fill="CFF0FC"/>
          </w:tcPr>
          <w:p>
            <w:pPr>
              <w:jc w:val="center"/>
              <w:ind w:right="68"/>
              <w:spacing w:after="0"/>
              <w:rPr>
                <w:sz w:val="20"/>
                <w:szCs w:val="20"/>
                <w:color w:val="auto"/>
              </w:rPr>
            </w:pPr>
            <w:r>
              <w:rPr>
                <w:rFonts w:ascii="Calibri" w:cs="Calibri" w:eastAsia="Calibri" w:hAnsi="Calibri"/>
                <w:sz w:val="14"/>
                <w:szCs w:val="14"/>
                <w:b w:val="1"/>
                <w:bCs w:val="1"/>
                <w:color w:val="auto"/>
              </w:rPr>
              <w:t>$</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4"/>
                <w:szCs w:val="14"/>
                <w:b w:val="1"/>
                <w:bCs w:val="1"/>
                <w:color w:val="auto"/>
              </w:rPr>
              <w:t>8</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gridSpan w:val="8"/>
            <w:shd w:val="clear" w:color="auto" w:fill="CFF0FC"/>
          </w:tcPr>
          <w:p>
            <w:pPr>
              <w:jc w:val="right"/>
              <w:spacing w:after="0"/>
              <w:rPr>
                <w:sz w:val="20"/>
                <w:szCs w:val="20"/>
                <w:color w:val="auto"/>
              </w:rPr>
            </w:pPr>
            <w:r>
              <w:rPr>
                <w:rFonts w:ascii="Calibri" w:cs="Calibri" w:eastAsia="Calibri" w:hAnsi="Calibri"/>
                <w:sz w:val="14"/>
                <w:szCs w:val="14"/>
                <w:b w:val="1"/>
                <w:bCs w:val="1"/>
                <w:color w:val="auto"/>
              </w:rPr>
              <w:t>77 ) $ (32,494 ) $</w:t>
            </w:r>
          </w:p>
        </w:tc>
        <w:tc>
          <w:tcPr>
            <w:tcW w:w="740" w:type="dxa"/>
            <w:vAlign w:val="bottom"/>
            <w:tcBorders>
              <w:bottom w:val="single" w:sz="8" w:color="CFF0FC"/>
            </w:tcBorders>
            <w:gridSpan w:val="4"/>
            <w:shd w:val="clear" w:color="auto" w:fill="CFF0FC"/>
          </w:tcPr>
          <w:p>
            <w:pPr>
              <w:jc w:val="right"/>
              <w:spacing w:after="0"/>
              <w:rPr>
                <w:sz w:val="20"/>
                <w:szCs w:val="20"/>
                <w:color w:val="auto"/>
              </w:rPr>
            </w:pPr>
            <w:r>
              <w:rPr>
                <w:rFonts w:ascii="Calibri" w:cs="Calibri" w:eastAsia="Calibri" w:hAnsi="Calibri"/>
                <w:sz w:val="14"/>
                <w:szCs w:val="14"/>
                <w:b w:val="1"/>
                <w:bCs w:val="1"/>
                <w:color w:val="auto"/>
              </w:rPr>
              <w:t>32 ) $</w:t>
            </w:r>
          </w:p>
        </w:tc>
        <w:tc>
          <w:tcPr>
            <w:tcW w:w="72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b w:val="1"/>
                <w:bCs w:val="1"/>
                <w:color w:val="auto"/>
                <w:w w:val="70"/>
              </w:rPr>
              <w:t>$</w:t>
            </w:r>
          </w:p>
        </w:tc>
        <w:tc>
          <w:tcPr>
            <w:tcW w:w="6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4"/>
                <w:szCs w:val="14"/>
                <w:b w:val="1"/>
                <w:bCs w:val="1"/>
                <w:color w:val="auto"/>
              </w:rPr>
              <w:t>8 )</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Net income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Calibri" w:cs="Calibri" w:eastAsia="Calibri" w:hAnsi="Calibri"/>
                <w:sz w:val="14"/>
                <w:szCs w:val="14"/>
                <w:color w:val="auto"/>
              </w:rPr>
              <w:t>18,090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w w:val="94"/>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3"/>
          </w:tcPr>
          <w:p>
            <w:pPr>
              <w:jc w:val="right"/>
              <w:ind w:right="48"/>
              <w:spacing w:after="0"/>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Calibri" w:cs="Calibri" w:eastAsia="Calibri" w:hAnsi="Calibri"/>
                <w:sz w:val="14"/>
                <w:szCs w:val="14"/>
                <w:color w:val="auto"/>
              </w:rPr>
              <w:t>12,182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12,182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Issuance of shares</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70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color w:val="auto"/>
              </w:rPr>
              <w:t>491,502</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1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94"/>
              </w:rPr>
              <w:t>—</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gridSpan w:val="3"/>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4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4"/>
            <w:shd w:val="clear" w:color="auto" w:fill="CFF0FC"/>
          </w:tcPr>
          <w:p>
            <w:pPr>
              <w:jc w:val="right"/>
              <w:ind w:right="14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20"/>
              <w:spacing w:after="0"/>
              <w:rPr>
                <w:sz w:val="20"/>
                <w:szCs w:val="20"/>
                <w:color w:val="auto"/>
              </w:rPr>
            </w:pPr>
            <w:r>
              <w:rPr>
                <w:rFonts w:ascii="Calibri" w:cs="Calibri" w:eastAsia="Calibri" w:hAnsi="Calibri"/>
                <w:sz w:val="14"/>
                <w:szCs w:val="14"/>
                <w:color w:val="auto"/>
              </w:rPr>
              <w:t>Deemed contributon from former parent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alibri" w:cs="Calibri" w:eastAsia="Calibri" w:hAnsi="Calibri"/>
                <w:sz w:val="14"/>
                <w:szCs w:val="14"/>
                <w:color w:val="auto"/>
              </w:rPr>
              <w:t>577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w w:val="94"/>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Calibri" w:cs="Calibri" w:eastAsia="Calibri" w:hAnsi="Calibri"/>
                <w:sz w:val="14"/>
                <w:szCs w:val="14"/>
                <w:color w:val="auto"/>
                <w:w w:val="93"/>
              </w:rPr>
              <w:t>391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3"/>
          </w:tcPr>
          <w:p>
            <w:pPr>
              <w:jc w:val="right"/>
              <w:ind w:right="48"/>
              <w:spacing w:after="0"/>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right"/>
              <w:ind w:right="148"/>
              <w:spacing w:after="0"/>
              <w:rPr>
                <w:sz w:val="20"/>
                <w:szCs w:val="20"/>
                <w:color w:val="auto"/>
              </w:rPr>
            </w:pPr>
            <w:r>
              <w:rPr>
                <w:rFonts w:ascii="Calibri" w:cs="Calibri" w:eastAsia="Calibri" w:hAnsi="Calibri"/>
                <w:sz w:val="14"/>
                <w:szCs w:val="14"/>
                <w:color w:val="auto"/>
              </w:rPr>
              <w:t>—</w:t>
            </w:r>
          </w:p>
        </w:tc>
        <w:tc>
          <w:tcPr>
            <w:tcW w:w="7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391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Equity-based compensaton</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3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94"/>
              </w:rPr>
              <w:t>—</w:t>
            </w:r>
          </w:p>
        </w:tc>
        <w:tc>
          <w:tcPr>
            <w:tcW w:w="700" w:type="dxa"/>
            <w:vAlign w:val="bottom"/>
            <w:tcBorders>
              <w:bottom w:val="single" w:sz="8" w:color="CFF0FC"/>
            </w:tcBorders>
            <w:gridSpan w:val="4"/>
            <w:shd w:val="clear" w:color="auto" w:fill="CFF0FC"/>
          </w:tcPr>
          <w:p>
            <w:pPr>
              <w:jc w:val="right"/>
              <w:ind w:right="20"/>
              <w:spacing w:after="0"/>
              <w:rPr>
                <w:sz w:val="20"/>
                <w:szCs w:val="20"/>
                <w:color w:val="auto"/>
              </w:rPr>
            </w:pPr>
            <w:r>
              <w:rPr>
                <w:rFonts w:ascii="Calibri" w:cs="Calibri" w:eastAsia="Calibri" w:hAnsi="Calibri"/>
                <w:sz w:val="14"/>
                <w:szCs w:val="14"/>
                <w:color w:val="auto"/>
              </w:rPr>
              <w:t>4,615</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gridSpan w:val="3"/>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4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4"/>
            <w:shd w:val="clear" w:color="auto" w:fill="CFF0FC"/>
          </w:tcPr>
          <w:p>
            <w:pPr>
              <w:jc w:val="right"/>
              <w:ind w:right="14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4,615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Repurchases of 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Calibri" w:cs="Calibri" w:eastAsia="Calibri" w:hAnsi="Calibri"/>
                <w:sz w:val="14"/>
                <w:szCs w:val="14"/>
                <w:color w:val="auto"/>
              </w:rPr>
              <w:t>—</w:t>
            </w:r>
          </w:p>
        </w:tc>
        <w:tc>
          <w:tcPr>
            <w:tcW w:w="880" w:type="dxa"/>
            <w:vAlign w:val="bottom"/>
            <w:gridSpan w:val="6"/>
          </w:tcPr>
          <w:p>
            <w:pPr>
              <w:jc w:val="right"/>
              <w:spacing w:after="0"/>
              <w:rPr>
                <w:sz w:val="20"/>
                <w:szCs w:val="20"/>
                <w:color w:val="auto"/>
              </w:rPr>
            </w:pPr>
            <w:r>
              <w:rPr>
                <w:rFonts w:ascii="Calibri" w:cs="Calibri" w:eastAsia="Calibri" w:hAnsi="Calibri"/>
                <w:sz w:val="14"/>
                <w:szCs w:val="14"/>
                <w:color w:val="auto"/>
              </w:rPr>
              <w:t>(949,020 )</w:t>
            </w:r>
          </w:p>
        </w:tc>
        <w:tc>
          <w:tcPr>
            <w:tcW w:w="760" w:type="dxa"/>
            <w:vAlign w:val="bottom"/>
            <w:gridSpan w:val="3"/>
          </w:tcPr>
          <w:p>
            <w:pPr>
              <w:jc w:val="right"/>
              <w:spacing w:after="0"/>
              <w:rPr>
                <w:sz w:val="20"/>
                <w:szCs w:val="20"/>
                <w:color w:val="auto"/>
              </w:rPr>
            </w:pPr>
            <w:r>
              <w:rPr>
                <w:rFonts w:ascii="Calibri" w:cs="Calibri" w:eastAsia="Calibri" w:hAnsi="Calibri"/>
                <w:sz w:val="14"/>
                <w:szCs w:val="14"/>
                <w:color w:val="auto"/>
              </w:rPr>
              <w:t>(7,612 )</w:t>
            </w:r>
          </w:p>
        </w:tc>
        <w:tc>
          <w:tcPr>
            <w:tcW w:w="100" w:type="dxa"/>
            <w:vAlign w:val="bottom"/>
          </w:tcPr>
          <w:p>
            <w:pPr>
              <w:spacing w:after="0"/>
              <w:rPr>
                <w:sz w:val="14"/>
                <w:szCs w:val="14"/>
                <w:color w:val="auto"/>
              </w:rPr>
            </w:pPr>
          </w:p>
        </w:tc>
        <w:tc>
          <w:tcPr>
            <w:tcW w:w="740" w:type="dxa"/>
            <w:vAlign w:val="bottom"/>
            <w:gridSpan w:val="4"/>
          </w:tcPr>
          <w:p>
            <w:pPr>
              <w:jc w:val="right"/>
              <w:ind w:right="148"/>
              <w:spacing w:after="0"/>
              <w:rPr>
                <w:sz w:val="20"/>
                <w:szCs w:val="20"/>
                <w:color w:val="auto"/>
              </w:rPr>
            </w:pPr>
            <w:r>
              <w:rPr>
                <w:rFonts w:ascii="Calibri" w:cs="Calibri" w:eastAsia="Calibri" w:hAnsi="Calibri"/>
                <w:sz w:val="14"/>
                <w:szCs w:val="14"/>
                <w:color w:val="auto"/>
              </w:rPr>
              <w:t>—</w:t>
            </w:r>
          </w:p>
        </w:tc>
        <w:tc>
          <w:tcPr>
            <w:tcW w:w="7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(7,612 )</w:t>
            </w:r>
          </w:p>
        </w:tc>
        <w:tc>
          <w:tcPr>
            <w:tcW w:w="0" w:type="dxa"/>
            <w:vAlign w:val="bottom"/>
          </w:tcPr>
          <w:p>
            <w:pPr>
              <w:spacing w:after="0"/>
              <w:rPr>
                <w:sz w:val="1"/>
                <w:szCs w:val="1"/>
                <w:color w:val="auto"/>
              </w:rPr>
            </w:pPr>
          </w:p>
        </w:tc>
      </w:tr>
      <w:tr>
        <w:trPr>
          <w:trHeight w:val="33"/>
        </w:trPr>
        <w:tc>
          <w:tcPr>
            <w:tcW w:w="2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tcBorders>
              <w:bottom w:val="single" w:sz="8" w:color="CFF0FC"/>
            </w:tcBorders>
            <w:gridSpan w:val="2"/>
            <w:shd w:val="clear" w:color="auto" w:fill="CFF0FC"/>
          </w:tcPr>
          <w:p>
            <w:pPr>
              <w:ind w:left="20"/>
              <w:spacing w:after="0"/>
              <w:rPr>
                <w:sz w:val="20"/>
                <w:szCs w:val="20"/>
                <w:color w:val="auto"/>
              </w:rPr>
            </w:pPr>
            <w:r>
              <w:rPr>
                <w:rFonts w:ascii="Calibri" w:cs="Calibri" w:eastAsia="Calibri" w:hAnsi="Calibri"/>
                <w:sz w:val="14"/>
                <w:szCs w:val="14"/>
                <w:color w:val="auto"/>
              </w:rPr>
              <w:t>Distributons to non-controlling interests</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4"/>
            <w:shd w:val="clear" w:color="auto" w:fill="CFF0FC"/>
          </w:tcPr>
          <w:p>
            <w:pPr>
              <w:jc w:val="right"/>
              <w:ind w:right="60"/>
              <w:spacing w:after="0"/>
              <w:rPr>
                <w:sz w:val="20"/>
                <w:szCs w:val="20"/>
                <w:color w:val="auto"/>
              </w:rPr>
            </w:pPr>
            <w:r>
              <w:rPr>
                <w:rFonts w:ascii="Calibri" w:cs="Calibri" w:eastAsia="Calibri" w:hAnsi="Calibri"/>
                <w:sz w:val="14"/>
                <w:szCs w:val="14"/>
                <w:color w:val="auto"/>
              </w:rPr>
              <w:t>(3,816 )</w:t>
            </w:r>
          </w:p>
        </w:tc>
        <w:tc>
          <w:tcPr>
            <w:tcW w:w="3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gridSpan w:val="3"/>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4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4"/>
            <w:shd w:val="clear" w:color="auto" w:fill="CFF0FC"/>
          </w:tcPr>
          <w:p>
            <w:pPr>
              <w:jc w:val="right"/>
              <w:ind w:right="14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2840" w:type="dxa"/>
            <w:vAlign w:val="bottom"/>
            <w:gridSpan w:val="4"/>
          </w:tcPr>
          <w:p>
            <w:pPr>
              <w:ind w:left="20"/>
              <w:spacing w:after="0"/>
              <w:rPr>
                <w:sz w:val="20"/>
                <w:szCs w:val="20"/>
                <w:color w:val="auto"/>
              </w:rPr>
            </w:pPr>
            <w:r>
              <w:rPr>
                <w:rFonts w:ascii="Calibri" w:cs="Calibri" w:eastAsia="Calibri" w:hAnsi="Calibri"/>
                <w:sz w:val="14"/>
                <w:szCs w:val="14"/>
                <w:color w:val="auto"/>
              </w:rPr>
              <w:t>Subsequent remeasurement of Redeemable</w:t>
            </w:r>
          </w:p>
        </w:tc>
        <w:tc>
          <w:tcPr>
            <w:tcW w:w="620" w:type="dxa"/>
            <w:vAlign w:val="bottom"/>
            <w:gridSpan w:val="3"/>
            <w:vMerge w:val="restart"/>
          </w:tcPr>
          <w:p>
            <w:pPr>
              <w:jc w:val="right"/>
              <w:spacing w:after="0"/>
              <w:rPr>
                <w:sz w:val="20"/>
                <w:szCs w:val="20"/>
                <w:color w:val="auto"/>
              </w:rPr>
            </w:pPr>
            <w:r>
              <w:rPr>
                <w:rFonts w:ascii="Calibri" w:cs="Calibri" w:eastAsia="Calibri" w:hAnsi="Calibri"/>
                <w:sz w:val="14"/>
                <w:szCs w:val="14"/>
                <w:color w:val="auto"/>
              </w:rPr>
              <w:t>24,155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alibri" w:cs="Calibri" w:eastAsia="Calibri" w:hAnsi="Calibri"/>
                <w:sz w:val="14"/>
                <w:szCs w:val="14"/>
                <w:color w:val="auto"/>
                <w:w w:val="94"/>
              </w:rPr>
              <w:t>—</w:t>
            </w:r>
          </w:p>
        </w:tc>
        <w:tc>
          <w:tcPr>
            <w:tcW w:w="100" w:type="dxa"/>
            <w:vAlign w:val="bottom"/>
            <w:vMerge w:val="restart"/>
          </w:tcPr>
          <w:p>
            <w:pPr>
              <w:spacing w:after="0"/>
              <w:rPr>
                <w:sz w:val="14"/>
                <w:szCs w:val="14"/>
                <w:color w:val="auto"/>
              </w:rPr>
            </w:pPr>
          </w:p>
        </w:tc>
        <w:tc>
          <w:tcPr>
            <w:tcW w:w="700" w:type="dxa"/>
            <w:vAlign w:val="bottom"/>
            <w:gridSpan w:val="4"/>
            <w:vMerge w:val="restart"/>
          </w:tcPr>
          <w:p>
            <w:pPr>
              <w:jc w:val="right"/>
              <w:spacing w:after="0"/>
              <w:rPr>
                <w:sz w:val="20"/>
                <w:szCs w:val="20"/>
                <w:color w:val="auto"/>
              </w:rPr>
            </w:pPr>
            <w:r>
              <w:rPr>
                <w:rFonts w:ascii="Calibri" w:cs="Calibri" w:eastAsia="Calibri" w:hAnsi="Calibri"/>
                <w:sz w:val="14"/>
                <w:szCs w:val="14"/>
                <w:color w:val="auto"/>
              </w:rPr>
              <w:t>(24,155 )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3"/>
            <w:vMerge w:val="restart"/>
          </w:tcPr>
          <w:p>
            <w:pPr>
              <w:jc w:val="right"/>
              <w:ind w:right="48"/>
              <w:spacing w:after="0"/>
              <w:rPr>
                <w:sz w:val="20"/>
                <w:szCs w:val="20"/>
                <w:color w:val="auto"/>
              </w:rPr>
            </w:pPr>
            <w:r>
              <w:rPr>
                <w:rFonts w:ascii="Calibri" w:cs="Calibri" w:eastAsia="Calibri" w:hAnsi="Calibri"/>
                <w:sz w:val="14"/>
                <w:szCs w:val="14"/>
                <w:color w:val="auto"/>
              </w:rPr>
              <w:t>—</w:t>
            </w:r>
          </w:p>
        </w:tc>
        <w:tc>
          <w:tcPr>
            <w:tcW w:w="4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vMerge w:val="restart"/>
          </w:tcPr>
          <w:p>
            <w:pPr>
              <w:jc w:val="right"/>
              <w:ind w:right="148"/>
              <w:spacing w:after="0"/>
              <w:rPr>
                <w:sz w:val="20"/>
                <w:szCs w:val="20"/>
                <w:color w:val="auto"/>
              </w:rPr>
            </w:pPr>
            <w:r>
              <w:rPr>
                <w:rFonts w:ascii="Calibri" w:cs="Calibri" w:eastAsia="Calibri" w:hAnsi="Calibri"/>
                <w:sz w:val="14"/>
                <w:szCs w:val="14"/>
                <w:color w:val="auto"/>
              </w:rPr>
              <w:t>—</w:t>
            </w:r>
          </w:p>
        </w:tc>
        <w:tc>
          <w:tcPr>
            <w:tcW w:w="72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660" w:type="dxa"/>
            <w:vAlign w:val="bottom"/>
            <w:gridSpan w:val="2"/>
            <w:vMerge w:val="restart"/>
          </w:tcPr>
          <w:p>
            <w:pPr>
              <w:jc w:val="right"/>
              <w:ind w:right="60"/>
              <w:spacing w:after="0"/>
              <w:rPr>
                <w:sz w:val="20"/>
                <w:szCs w:val="20"/>
                <w:color w:val="auto"/>
              </w:rPr>
            </w:pPr>
            <w:r>
              <w:rPr>
                <w:rFonts w:ascii="Calibri" w:cs="Calibri" w:eastAsia="Calibri" w:hAnsi="Calibri"/>
                <w:sz w:val="14"/>
                <w:szCs w:val="14"/>
                <w:color w:val="auto"/>
              </w:rPr>
              <w:t>(24,155 )</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Calibri" w:cs="Calibri" w:eastAsia="Calibri" w:hAnsi="Calibri"/>
                <w:sz w:val="14"/>
                <w:szCs w:val="14"/>
                <w:color w:val="auto"/>
              </w:rPr>
              <w:t>noncontrolling interests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right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top w:val="single" w:sz="8" w:color="auto"/>
            </w:tcBorders>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82,902,2</w:t>
            </w: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tcBorders>
              <w:top w:val="single" w:sz="8" w:color="auto"/>
            </w:tcBorders>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118,200,</w:t>
            </w:r>
          </w:p>
        </w:tc>
        <w:tc>
          <w:tcPr>
            <w:tcW w:w="10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top w:val="single" w:sz="8" w:color="auto"/>
            </w:tcBorders>
            <w:gridSpan w:val="3"/>
            <w:shd w:val="clear" w:color="auto" w:fill="CFF0FC"/>
          </w:tcPr>
          <w:p>
            <w:pPr>
              <w:jc w:val="right"/>
              <w:ind w:right="20"/>
              <w:spacing w:after="0"/>
              <w:rPr>
                <w:sz w:val="20"/>
                <w:szCs w:val="20"/>
                <w:color w:val="auto"/>
              </w:rPr>
            </w:pPr>
            <w:r>
              <w:rPr>
                <w:rFonts w:ascii="Calibri" w:cs="Calibri" w:eastAsia="Calibri" w:hAnsi="Calibri"/>
                <w:sz w:val="14"/>
                <w:szCs w:val="14"/>
                <w:b w:val="1"/>
                <w:bCs w:val="1"/>
                <w:color w:val="auto"/>
              </w:rPr>
              <w:t>644,75</w:t>
            </w:r>
          </w:p>
        </w:tc>
        <w:tc>
          <w:tcPr>
            <w:tcW w:w="100" w:type="dxa"/>
            <w:vAlign w:val="bottom"/>
            <w:shd w:val="clear" w:color="auto" w:fill="CFF0FC"/>
          </w:tcPr>
          <w:p>
            <w:pPr>
              <w:spacing w:after="0"/>
              <w:rPr>
                <w:sz w:val="14"/>
                <w:szCs w:val="14"/>
                <w:color w:val="auto"/>
              </w:rPr>
            </w:pPr>
          </w:p>
        </w:tc>
        <w:tc>
          <w:tcPr>
            <w:tcW w:w="680" w:type="dxa"/>
            <w:vAlign w:val="bottom"/>
            <w:tcBorders>
              <w:top w:val="single" w:sz="8" w:color="auto"/>
            </w:tcBorders>
            <w:gridSpan w:val="4"/>
            <w:shd w:val="clear" w:color="auto" w:fill="CFF0FC"/>
          </w:tcPr>
          <w:p>
            <w:pPr>
              <w:jc w:val="right"/>
              <w:spacing w:after="0"/>
              <w:rPr>
                <w:sz w:val="20"/>
                <w:szCs w:val="20"/>
                <w:color w:val="auto"/>
              </w:rPr>
            </w:pPr>
            <w:r>
              <w:rPr>
                <w:rFonts w:ascii="Calibri" w:cs="Calibri" w:eastAsia="Calibri" w:hAnsi="Calibri"/>
                <w:sz w:val="14"/>
                <w:szCs w:val="14"/>
                <w:b w:val="1"/>
                <w:bCs w:val="1"/>
                <w:color w:val="auto"/>
              </w:rPr>
              <w:t>(5,291,4</w:t>
            </w:r>
          </w:p>
        </w:tc>
        <w:tc>
          <w:tcPr>
            <w:tcW w:w="100" w:type="dxa"/>
            <w:vAlign w:val="bottom"/>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4"/>
                <w:szCs w:val="14"/>
                <w:b w:val="1"/>
                <w:bCs w:val="1"/>
                <w:color w:val="auto"/>
              </w:rPr>
              <w:t>(1,001,9</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(397,27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Balances at March 31, 2023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62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901,866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b w:val="1"/>
                <w:bCs w:val="1"/>
                <w:color w:val="auto"/>
              </w:rPr>
              <w:t>$</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000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b w:val="1"/>
                <w:bCs w:val="1"/>
                <w:color w:val="auto"/>
                <w:w w:val="83"/>
              </w:rPr>
              <w:t>$</w:t>
            </w:r>
          </w:p>
        </w:tc>
        <w:tc>
          <w:tcPr>
            <w:tcW w:w="2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12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center"/>
              <w:ind w:right="168"/>
              <w:spacing w:after="0"/>
              <w:rPr>
                <w:sz w:val="20"/>
                <w:szCs w:val="20"/>
                <w:color w:val="auto"/>
              </w:rPr>
            </w:pPr>
            <w:r>
              <w:rPr>
                <w:rFonts w:ascii="Calibri" w:cs="Calibri" w:eastAsia="Calibri" w:hAnsi="Calibri"/>
                <w:sz w:val="14"/>
                <w:szCs w:val="14"/>
                <w:b w:val="1"/>
                <w:bCs w:val="1"/>
                <w:color w:val="auto"/>
              </w:rPr>
              <w:t>$</w:t>
            </w:r>
          </w:p>
        </w:tc>
        <w:tc>
          <w:tcPr>
            <w:tcW w:w="240" w:type="dxa"/>
            <w:vAlign w:val="bottom"/>
            <w:gridSpan w:val="2"/>
            <w:shd w:val="clear" w:color="auto" w:fill="CFF0FC"/>
          </w:tcPr>
          <w:p>
            <w:pPr>
              <w:jc w:val="right"/>
              <w:ind w:right="20"/>
              <w:spacing w:after="0"/>
              <w:rPr>
                <w:sz w:val="20"/>
                <w:szCs w:val="20"/>
                <w:color w:val="auto"/>
              </w:rPr>
            </w:pPr>
            <w:r>
              <w:rPr>
                <w:rFonts w:ascii="Calibri" w:cs="Calibri" w:eastAsia="Calibri" w:hAnsi="Calibri"/>
                <w:sz w:val="14"/>
                <w:szCs w:val="14"/>
                <w:b w:val="1"/>
                <w:bCs w:val="1"/>
                <w:color w:val="auto"/>
              </w:rPr>
              <w:t>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8"/>
            <w:shd w:val="clear" w:color="auto" w:fill="CFF0FC"/>
          </w:tcPr>
          <w:p>
            <w:pPr>
              <w:jc w:val="right"/>
              <w:spacing w:after="0"/>
              <w:rPr>
                <w:sz w:val="20"/>
                <w:szCs w:val="20"/>
                <w:color w:val="auto"/>
              </w:rPr>
            </w:pPr>
            <w:r>
              <w:rPr>
                <w:rFonts w:ascii="Calibri" w:cs="Calibri" w:eastAsia="Calibri" w:hAnsi="Calibri"/>
                <w:sz w:val="14"/>
                <w:szCs w:val="14"/>
                <w:b w:val="1"/>
                <w:bCs w:val="1"/>
                <w:color w:val="auto"/>
              </w:rPr>
              <w:t>97 ) $ (40,106 ) $</w:t>
            </w:r>
          </w:p>
        </w:tc>
        <w:tc>
          <w:tcPr>
            <w:tcW w:w="740" w:type="dxa"/>
            <w:vAlign w:val="bottom"/>
            <w:gridSpan w:val="4"/>
            <w:shd w:val="clear" w:color="auto" w:fill="CFF0FC"/>
          </w:tcPr>
          <w:p>
            <w:pPr>
              <w:jc w:val="right"/>
              <w:spacing w:after="0"/>
              <w:rPr>
                <w:sz w:val="20"/>
                <w:szCs w:val="20"/>
                <w:color w:val="auto"/>
              </w:rPr>
            </w:pPr>
            <w:r>
              <w:rPr>
                <w:rFonts w:ascii="Calibri" w:cs="Calibri" w:eastAsia="Calibri" w:hAnsi="Calibri"/>
                <w:sz w:val="14"/>
                <w:szCs w:val="14"/>
                <w:b w:val="1"/>
                <w:bCs w:val="1"/>
                <w:color w:val="auto"/>
              </w:rPr>
              <w:t>50 ) $</w:t>
            </w: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80" w:type="dxa"/>
            <w:vAlign w:val="bottom"/>
            <w:shd w:val="clear" w:color="auto" w:fill="CFF0FC"/>
          </w:tcPr>
          <w:p>
            <w:pPr>
              <w:ind w:left="20"/>
              <w:spacing w:after="0"/>
              <w:rPr>
                <w:sz w:val="20"/>
                <w:szCs w:val="20"/>
                <w:color w:val="auto"/>
              </w:rPr>
            </w:pPr>
            <w:r>
              <w:rPr>
                <w:rFonts w:ascii="Calibri" w:cs="Calibri" w:eastAsia="Calibri" w:hAnsi="Calibri"/>
                <w:sz w:val="11"/>
                <w:szCs w:val="11"/>
                <w:b w:val="1"/>
                <w:bCs w:val="1"/>
                <w:color w:val="auto"/>
                <w:w w:val="70"/>
              </w:rPr>
              <w:t>$</w:t>
            </w:r>
          </w:p>
        </w:tc>
        <w:tc>
          <w:tcPr>
            <w:tcW w:w="660" w:type="dxa"/>
            <w:vAlign w:val="bottom"/>
            <w:gridSpan w:val="2"/>
            <w:shd w:val="clear" w:color="auto" w:fill="CFF0FC"/>
          </w:tcPr>
          <w:p>
            <w:pPr>
              <w:jc w:val="right"/>
              <w:ind w:right="40"/>
              <w:spacing w:after="0"/>
              <w:rPr>
                <w:sz w:val="20"/>
                <w:szCs w:val="20"/>
                <w:color w:val="auto"/>
              </w:rPr>
            </w:pPr>
            <w:r>
              <w:rPr>
                <w:rFonts w:ascii="Calibri" w:cs="Calibri" w:eastAsia="Calibri" w:hAnsi="Calibri"/>
                <w:sz w:val="14"/>
                <w:szCs w:val="14"/>
                <w:b w:val="1"/>
                <w:bCs w:val="1"/>
                <w:color w:val="auto"/>
              </w:rPr>
              <w:t>6 )</w:t>
            </w: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7"/>
          </w:tcPr>
          <w:p>
            <w:pPr>
              <w:jc w:val="right"/>
              <w:ind w:right="8"/>
              <w:spacing w:after="0"/>
              <w:rPr>
                <w:sz w:val="20"/>
                <w:szCs w:val="20"/>
                <w:color w:val="auto"/>
              </w:rPr>
            </w:pPr>
            <w:r>
              <w:rPr>
                <w:rFonts w:ascii="Calibri" w:cs="Calibri" w:eastAsia="Calibri" w:hAnsi="Calibri"/>
                <w:sz w:val="14"/>
                <w:szCs w:val="14"/>
                <w:b w:val="1"/>
                <w:bCs w:val="1"/>
                <w:color w:val="auto"/>
              </w:rPr>
              <w:t>Class A Common Stock</w:t>
            </w:r>
          </w:p>
        </w:tc>
        <w:tc>
          <w:tcPr>
            <w:tcW w:w="120" w:type="dxa"/>
            <w:vAlign w:val="bottom"/>
          </w:tcPr>
          <w:p>
            <w:pPr>
              <w:spacing w:after="0"/>
              <w:rPr>
                <w:sz w:val="24"/>
                <w:szCs w:val="24"/>
                <w:color w:val="auto"/>
              </w:rPr>
            </w:pPr>
          </w:p>
        </w:tc>
        <w:tc>
          <w:tcPr>
            <w:tcW w:w="1500" w:type="dxa"/>
            <w:vAlign w:val="bottom"/>
            <w:gridSpan w:val="7"/>
          </w:tcPr>
          <w:p>
            <w:pPr>
              <w:jc w:val="right"/>
              <w:ind w:right="8"/>
              <w:spacing w:after="0"/>
              <w:rPr>
                <w:sz w:val="20"/>
                <w:szCs w:val="20"/>
                <w:color w:val="auto"/>
              </w:rPr>
            </w:pPr>
            <w:r>
              <w:rPr>
                <w:rFonts w:ascii="Calibri" w:cs="Calibri" w:eastAsia="Calibri" w:hAnsi="Calibri"/>
                <w:sz w:val="14"/>
                <w:szCs w:val="14"/>
                <w:b w:val="1"/>
                <w:bCs w:val="1"/>
                <w:color w:val="auto"/>
              </w:rPr>
              <w:t>Class B Common Stock</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7"/>
          </w:tcPr>
          <w:p>
            <w:pPr>
              <w:jc w:val="right"/>
              <w:ind w:right="388"/>
              <w:spacing w:after="0"/>
              <w:rPr>
                <w:sz w:val="20"/>
                <w:szCs w:val="20"/>
                <w:color w:val="auto"/>
              </w:rPr>
            </w:pPr>
            <w:r>
              <w:rPr>
                <w:rFonts w:ascii="Calibri" w:cs="Calibri" w:eastAsia="Calibri" w:hAnsi="Calibri"/>
                <w:sz w:val="14"/>
                <w:szCs w:val="14"/>
                <w:b w:val="1"/>
                <w:bCs w:val="1"/>
                <w:color w:val="auto"/>
              </w:rPr>
              <w:t>Treasury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4"/>
            <w:vMerge w:val="restart"/>
          </w:tcPr>
          <w:p>
            <w:pPr>
              <w:jc w:val="center"/>
              <w:ind w:right="180"/>
              <w:spacing w:after="0"/>
              <w:rPr>
                <w:sz w:val="20"/>
                <w:szCs w:val="20"/>
                <w:color w:val="auto"/>
              </w:rPr>
            </w:pPr>
            <w:r>
              <w:rPr>
                <w:rFonts w:ascii="Calibri" w:cs="Calibri" w:eastAsia="Calibri" w:hAnsi="Calibri"/>
                <w:sz w:val="14"/>
                <w:szCs w:val="14"/>
                <w:b w:val="1"/>
                <w:bCs w:val="1"/>
                <w:color w:val="auto"/>
              </w:rPr>
              <w:t>Accumulate</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w w:val="79"/>
              </w:rPr>
              <w:t>d</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900" w:type="dxa"/>
            <w:vAlign w:val="bottom"/>
            <w:gridSpan w:val="5"/>
          </w:tcPr>
          <w:p>
            <w:pPr>
              <w:ind w:left="40"/>
              <w:spacing w:after="0"/>
              <w:rPr>
                <w:sz w:val="20"/>
                <w:szCs w:val="20"/>
                <w:color w:val="auto"/>
              </w:rPr>
            </w:pPr>
            <w:r>
              <w:rPr>
                <w:rFonts w:ascii="Calibri" w:cs="Calibri" w:eastAsia="Calibri" w:hAnsi="Calibri"/>
                <w:sz w:val="14"/>
                <w:szCs w:val="14"/>
                <w:b w:val="1"/>
                <w:bCs w:val="1"/>
                <w:color w:val="auto"/>
              </w:rPr>
              <w:t>Redeemabl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other</w:t>
            </w:r>
          </w:p>
        </w:tc>
        <w:tc>
          <w:tcPr>
            <w:tcW w:w="8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w w:val="94"/>
              </w:rPr>
              <w:t>Total</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tcPr>
          <w:p>
            <w:pPr>
              <w:jc w:val="right"/>
              <w:ind w:right="48"/>
              <w:spacing w:after="0"/>
              <w:rPr>
                <w:sz w:val="20"/>
                <w:szCs w:val="20"/>
                <w:color w:val="auto"/>
              </w:rPr>
            </w:pPr>
            <w:r>
              <w:rPr>
                <w:rFonts w:ascii="Calibri" w:cs="Calibri" w:eastAsia="Calibri" w:hAnsi="Calibri"/>
                <w:sz w:val="14"/>
                <w:szCs w:val="14"/>
                <w:b w:val="1"/>
                <w:bCs w:val="1"/>
                <w:color w:val="auto"/>
              </w:rPr>
              <w:t>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Additona</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center"/>
              <w:ind w:right="180"/>
              <w:spacing w:after="0"/>
              <w:rPr>
                <w:sz w:val="20"/>
                <w:szCs w:val="20"/>
                <w:color w:val="auto"/>
              </w:rPr>
            </w:pPr>
            <w:r>
              <w:rPr>
                <w:rFonts w:ascii="Calibri" w:cs="Calibri" w:eastAsia="Calibri" w:hAnsi="Calibri"/>
                <w:sz w:val="14"/>
                <w:szCs w:val="14"/>
                <w:b w:val="1"/>
                <w:bCs w:val="1"/>
                <w:color w:val="auto"/>
              </w:rPr>
              <w:t>comprehens</w:t>
            </w:r>
          </w:p>
        </w:tc>
        <w:tc>
          <w:tcPr>
            <w:tcW w:w="74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rPr>
              <w:t>sharehold</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900" w:type="dxa"/>
            <w:vAlign w:val="bottom"/>
            <w:gridSpan w:val="5"/>
          </w:tcPr>
          <w:p>
            <w:pPr>
              <w:ind w:left="20"/>
              <w:spacing w:after="0"/>
              <w:rPr>
                <w:sz w:val="20"/>
                <w:szCs w:val="20"/>
                <w:color w:val="auto"/>
              </w:rPr>
            </w:pPr>
            <w:r>
              <w:rPr>
                <w:rFonts w:ascii="Calibri" w:cs="Calibri" w:eastAsia="Calibri" w:hAnsi="Calibri"/>
                <w:sz w:val="14"/>
                <w:szCs w:val="14"/>
                <w:b w:val="1"/>
                <w:bCs w:val="1"/>
                <w:color w:val="auto"/>
              </w:rPr>
              <w:t>noncontrolli</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l 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8"/>
          </w:tcPr>
          <w:p>
            <w:pPr>
              <w:jc w:val="right"/>
              <w:ind w:right="240"/>
              <w:spacing w:after="0"/>
              <w:rPr>
                <w:sz w:val="20"/>
                <w:szCs w:val="20"/>
                <w:color w:val="auto"/>
              </w:rPr>
            </w:pPr>
            <w:r>
              <w:rPr>
                <w:rFonts w:ascii="Calibri" w:cs="Calibri" w:eastAsia="Calibri" w:hAnsi="Calibri"/>
                <w:sz w:val="14"/>
                <w:szCs w:val="14"/>
                <w:b w:val="1"/>
                <w:bCs w:val="1"/>
                <w:color w:val="auto"/>
              </w:rPr>
              <w:t>Accumulat   ive income</w:t>
            </w:r>
          </w:p>
        </w:tc>
        <w:tc>
          <w:tcPr>
            <w:tcW w:w="74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w w:val="98"/>
              </w:rPr>
              <w:t>ers' equity</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900" w:type="dxa"/>
            <w:vAlign w:val="bottom"/>
            <w:gridSpan w:val="5"/>
          </w:tcPr>
          <w:p>
            <w:pPr>
              <w:ind w:left="20"/>
              <w:spacing w:after="0"/>
              <w:rPr>
                <w:sz w:val="20"/>
                <w:szCs w:val="20"/>
                <w:color w:val="auto"/>
              </w:rPr>
            </w:pPr>
            <w:r>
              <w:rPr>
                <w:rFonts w:ascii="Calibri" w:cs="Calibri" w:eastAsia="Calibri" w:hAnsi="Calibri"/>
                <w:sz w:val="14"/>
                <w:szCs w:val="14"/>
                <w:b w:val="1"/>
                <w:bCs w:val="1"/>
                <w:color w:val="auto"/>
              </w:rPr>
              <w:t>ng interests</w:t>
            </w:r>
          </w:p>
        </w:tc>
        <w:tc>
          <w:tcPr>
            <w:tcW w:w="820" w:type="dxa"/>
            <w:vAlign w:val="bottom"/>
            <w:gridSpan w:val="4"/>
          </w:tcPr>
          <w:p>
            <w:pPr>
              <w:jc w:val="right"/>
              <w:ind w:right="280"/>
              <w:spacing w:after="0"/>
              <w:rPr>
                <w:sz w:val="20"/>
                <w:szCs w:val="20"/>
                <w:color w:val="auto"/>
              </w:rPr>
            </w:pPr>
            <w:r>
              <w:rPr>
                <w:rFonts w:ascii="Calibri" w:cs="Calibri" w:eastAsia="Calibri" w:hAnsi="Calibri"/>
                <w:sz w:val="14"/>
                <w:szCs w:val="14"/>
                <w:b w:val="1"/>
                <w:bCs w:val="1"/>
                <w:color w:val="auto"/>
              </w:rPr>
              <w:t>Shares</w:t>
            </w:r>
          </w:p>
        </w:tc>
        <w:tc>
          <w:tcPr>
            <w:tcW w:w="660" w:type="dxa"/>
            <w:vAlign w:val="bottom"/>
            <w:gridSpan w:val="3"/>
          </w:tcPr>
          <w:p>
            <w:pPr>
              <w:jc w:val="right"/>
              <w:ind w:right="8"/>
              <w:spacing w:after="0"/>
              <w:rPr>
                <w:sz w:val="20"/>
                <w:szCs w:val="20"/>
                <w:color w:val="auto"/>
              </w:rPr>
            </w:pPr>
            <w:r>
              <w:rPr>
                <w:rFonts w:ascii="Calibri" w:cs="Calibri" w:eastAsia="Calibri" w:hAnsi="Calibri"/>
                <w:sz w:val="14"/>
                <w:szCs w:val="14"/>
                <w:b w:val="1"/>
                <w:bCs w:val="1"/>
                <w:color w:val="auto"/>
              </w:rPr>
              <w:t>Amount</w:t>
            </w:r>
          </w:p>
        </w:tc>
        <w:tc>
          <w:tcPr>
            <w:tcW w:w="120" w:type="dxa"/>
            <w:vAlign w:val="bottom"/>
          </w:tcPr>
          <w:p>
            <w:pPr>
              <w:spacing w:after="0"/>
              <w:rPr>
                <w:sz w:val="15"/>
                <w:szCs w:val="15"/>
                <w:color w:val="auto"/>
              </w:rPr>
            </w:pPr>
          </w:p>
        </w:tc>
        <w:tc>
          <w:tcPr>
            <w:tcW w:w="720" w:type="dxa"/>
            <w:vAlign w:val="bottom"/>
            <w:gridSpan w:val="3"/>
          </w:tcPr>
          <w:p>
            <w:pPr>
              <w:jc w:val="right"/>
              <w:ind w:right="88"/>
              <w:spacing w:after="0"/>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660" w:type="dxa"/>
            <w:vAlign w:val="bottom"/>
            <w:gridSpan w:val="3"/>
          </w:tcPr>
          <w:p>
            <w:pPr>
              <w:jc w:val="right"/>
              <w:ind w:right="8"/>
              <w:spacing w:after="0"/>
              <w:rPr>
                <w:sz w:val="20"/>
                <w:szCs w:val="20"/>
                <w:color w:val="auto"/>
              </w:rPr>
            </w:pPr>
            <w:r>
              <w:rPr>
                <w:rFonts w:ascii="Calibri" w:cs="Calibri" w:eastAsia="Calibri" w:hAnsi="Calibri"/>
                <w:sz w:val="14"/>
                <w:szCs w:val="14"/>
                <w:b w:val="1"/>
                <w:bCs w:val="1"/>
                <w:color w:val="auto"/>
              </w:rPr>
              <w:t>Amount</w:t>
            </w:r>
          </w:p>
        </w:tc>
        <w:tc>
          <w:tcPr>
            <w:tcW w:w="120" w:type="dxa"/>
            <w:vAlign w:val="bottom"/>
          </w:tcPr>
          <w:p>
            <w:pPr>
              <w:spacing w:after="0"/>
              <w:rPr>
                <w:sz w:val="15"/>
                <w:szCs w:val="15"/>
                <w:color w:val="auto"/>
              </w:rPr>
            </w:pPr>
          </w:p>
        </w:tc>
        <w:tc>
          <w:tcPr>
            <w:tcW w:w="6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8"/>
              <w:spacing w:after="0"/>
              <w:rPr>
                <w:sz w:val="20"/>
                <w:szCs w:val="20"/>
                <w:color w:val="auto"/>
              </w:rPr>
            </w:pPr>
            <w:r>
              <w:rPr>
                <w:rFonts w:ascii="Calibri" w:cs="Calibri" w:eastAsia="Calibri" w:hAnsi="Calibri"/>
                <w:sz w:val="14"/>
                <w:szCs w:val="14"/>
                <w:b w:val="1"/>
                <w:bCs w:val="1"/>
                <w:color w:val="auto"/>
                <w:w w:val="97"/>
              </w:rPr>
              <w:t>Amount</w:t>
            </w:r>
          </w:p>
        </w:tc>
        <w:tc>
          <w:tcPr>
            <w:tcW w:w="960" w:type="dxa"/>
            <w:vAlign w:val="bottom"/>
            <w:gridSpan w:val="6"/>
          </w:tcPr>
          <w:p>
            <w:pPr>
              <w:jc w:val="right"/>
              <w:ind w:right="328"/>
              <w:spacing w:after="0"/>
              <w:rPr>
                <w:sz w:val="20"/>
                <w:szCs w:val="20"/>
                <w:color w:val="auto"/>
              </w:rPr>
            </w:pPr>
            <w:r>
              <w:rPr>
                <w:rFonts w:ascii="Calibri" w:cs="Calibri" w:eastAsia="Calibri" w:hAnsi="Calibri"/>
                <w:sz w:val="14"/>
                <w:szCs w:val="14"/>
                <w:b w:val="1"/>
                <w:bCs w:val="1"/>
                <w:color w:val="auto"/>
              </w:rPr>
              <w:t>ed defcit</w:t>
            </w:r>
          </w:p>
        </w:tc>
        <w:tc>
          <w:tcPr>
            <w:tcW w:w="72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w w:val="96"/>
              </w:rPr>
              <w:t>(loss)</w:t>
            </w:r>
          </w:p>
        </w:tc>
        <w:tc>
          <w:tcPr>
            <w:tcW w:w="740" w:type="dxa"/>
            <w:vAlign w:val="bottom"/>
            <w:gridSpan w:val="3"/>
          </w:tcPr>
          <w:p>
            <w:pPr>
              <w:jc w:val="center"/>
              <w:ind w:right="160"/>
              <w:spacing w:after="0"/>
              <w:rPr>
                <w:sz w:val="20"/>
                <w:szCs w:val="20"/>
                <w:color w:val="auto"/>
              </w:rPr>
            </w:pPr>
            <w:r>
              <w:rPr>
                <w:rFonts w:ascii="Calibri" w:cs="Calibri" w:eastAsia="Calibri" w:hAnsi="Calibri"/>
                <w:sz w:val="14"/>
                <w:szCs w:val="14"/>
                <w:b w:val="1"/>
                <w:bCs w:val="1"/>
                <w:color w:val="auto"/>
              </w:rPr>
              <w:t>(defcit)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3"/>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141,167,</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w w:val="96"/>
              </w:rPr>
              <w:t>76,225,0</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rPr>
              <w:t>1,096,4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spacing w:after="0" w:line="164" w:lineRule="exact"/>
              <w:rPr>
                <w:sz w:val="20"/>
                <w:szCs w:val="20"/>
                <w:color w:val="auto"/>
              </w:rPr>
            </w:pPr>
            <w:r>
              <w:rPr>
                <w:rFonts w:ascii="Calibri" w:cs="Calibri" w:eastAsia="Calibri" w:hAnsi="Calibri"/>
                <w:sz w:val="14"/>
                <w:szCs w:val="14"/>
                <w:b w:val="1"/>
                <w:bCs w:val="1"/>
                <w:color w:val="auto"/>
                <w:w w:val="99"/>
              </w:rPr>
              <w:t>(7,291,49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Balances at January 1, 2024</w:t>
            </w:r>
          </w:p>
        </w:tc>
        <w:tc>
          <w:tcPr>
            <w:tcW w:w="2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w:t>
            </w:r>
          </w:p>
        </w:tc>
        <w:tc>
          <w:tcPr>
            <w:tcW w:w="56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481,742</w:t>
            </w: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311</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14</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00</w:t>
            </w:r>
          </w:p>
        </w:tc>
        <w:tc>
          <w:tcPr>
            <w:tcW w:w="320" w:type="dxa"/>
            <w:vAlign w:val="bottom"/>
            <w:tcBorders>
              <w:bottom w:val="single" w:sz="8" w:color="CFF0FC"/>
            </w:tcBorders>
            <w:gridSpan w:val="2"/>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8</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30</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7 ) $</w:t>
            </w:r>
          </w:p>
        </w:tc>
        <w:tc>
          <w:tcPr>
            <w:tcW w:w="10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gridSpan w:val="7"/>
            <w:shd w:val="clear" w:color="auto" w:fill="CFF0FC"/>
          </w:tcPr>
          <w:p>
            <w:pPr>
              <w:jc w:val="right"/>
              <w:spacing w:after="0"/>
              <w:rPr>
                <w:sz w:val="20"/>
                <w:szCs w:val="20"/>
                <w:color w:val="auto"/>
              </w:rPr>
            </w:pPr>
            <w:r>
              <w:rPr>
                <w:rFonts w:ascii="Calibri" w:cs="Calibri" w:eastAsia="Calibri" w:hAnsi="Calibri"/>
                <w:sz w:val="14"/>
                <w:szCs w:val="14"/>
                <w:b w:val="1"/>
                <w:bCs w:val="1"/>
                <w:color w:val="auto"/>
              </w:rPr>
              <w:t>(52,586 ) $ (939,596 ) $</w:t>
            </w:r>
          </w:p>
        </w:tc>
        <w:tc>
          <w:tcPr>
            <w:tcW w:w="1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747</w:t>
            </w:r>
          </w:p>
        </w:tc>
        <w:tc>
          <w:tcPr>
            <w:tcW w:w="120" w:type="dxa"/>
            <w:vAlign w:val="bottom"/>
            <w:tcBorders>
              <w:bottom w:val="single" w:sz="8" w:color="CFF0FC"/>
              <w:right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5"/>
                <w:szCs w:val="5"/>
                <w:b w:val="1"/>
                <w:bCs w:val="1"/>
                <w:color w:val="auto"/>
                <w:w w:val="76"/>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105,017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Net income</w:t>
            </w:r>
          </w:p>
        </w:tc>
        <w:tc>
          <w:tcPr>
            <w:tcW w:w="20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Calibri" w:cs="Calibri" w:eastAsia="Calibri" w:hAnsi="Calibri"/>
                <w:sz w:val="14"/>
                <w:szCs w:val="14"/>
                <w:color w:val="auto"/>
              </w:rPr>
              <w:t>4,665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4"/>
          </w:tcPr>
          <w:p>
            <w:pPr>
              <w:jc w:val="right"/>
              <w:ind w:right="248"/>
              <w:spacing w:after="0"/>
              <w:rPr>
                <w:sz w:val="20"/>
                <w:szCs w:val="20"/>
                <w:color w:val="auto"/>
              </w:rPr>
            </w:pPr>
            <w:r>
              <w:rPr>
                <w:rFonts w:ascii="Calibri" w:cs="Calibri" w:eastAsia="Calibri" w:hAnsi="Calibri"/>
                <w:sz w:val="14"/>
                <w:szCs w:val="14"/>
                <w:color w:val="auto"/>
                <w:w w:val="78"/>
              </w:rPr>
              <w:t>—</w:t>
            </w:r>
          </w:p>
        </w:tc>
        <w:tc>
          <w:tcPr>
            <w:tcW w:w="640" w:type="dxa"/>
            <w:vAlign w:val="bottom"/>
            <w:gridSpan w:val="2"/>
          </w:tcPr>
          <w:p>
            <w:pPr>
              <w:jc w:val="right"/>
              <w:ind w:right="10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alibri" w:cs="Calibri" w:eastAsia="Calibri" w:hAnsi="Calibri"/>
                <w:sz w:val="14"/>
                <w:szCs w:val="14"/>
                <w:color w:val="auto"/>
              </w:rPr>
              <w:t>6,077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6,077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Issuance of shares</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w:t>
            </w:r>
          </w:p>
        </w:tc>
        <w:tc>
          <w:tcPr>
            <w:tcW w:w="70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4"/>
                <w:szCs w:val="14"/>
                <w:color w:val="auto"/>
              </w:rPr>
              <w:t>961,573</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gridSpan w:val="4"/>
            <w:shd w:val="clear" w:color="auto" w:fill="CFF0FC"/>
          </w:tcPr>
          <w:p>
            <w:pPr>
              <w:jc w:val="right"/>
              <w:ind w:right="248"/>
              <w:spacing w:after="0"/>
              <w:rPr>
                <w:sz w:val="20"/>
                <w:szCs w:val="20"/>
                <w:color w:val="auto"/>
              </w:rPr>
            </w:pPr>
            <w:r>
              <w:rPr>
                <w:rFonts w:ascii="Calibri" w:cs="Calibri" w:eastAsia="Calibri" w:hAnsi="Calibri"/>
                <w:sz w:val="14"/>
                <w:szCs w:val="14"/>
                <w:color w:val="auto"/>
                <w:w w:val="78"/>
              </w:rPr>
              <w:t>—</w:t>
            </w:r>
          </w:p>
        </w:tc>
        <w:tc>
          <w:tcPr>
            <w:tcW w:w="640" w:type="dxa"/>
            <w:vAlign w:val="bottom"/>
            <w:tcBorders>
              <w:bottom w:val="single" w:sz="8" w:color="CFF0FC"/>
              <w:right w:val="single" w:sz="8" w:color="CFF0FC"/>
            </w:tcBorders>
            <w:gridSpan w:val="2"/>
            <w:shd w:val="clear" w:color="auto" w:fill="CFF0FC"/>
          </w:tcPr>
          <w:p>
            <w:pPr>
              <w:jc w:val="right"/>
              <w:ind w:right="108"/>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4"/>
            <w:shd w:val="clear" w:color="auto" w:fill="CFF0FC"/>
          </w:tcPr>
          <w:p>
            <w:pPr>
              <w:jc w:val="right"/>
              <w:ind w:right="26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Net setlement of equity incentve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Calibri" w:cs="Calibri" w:eastAsia="Calibri" w:hAnsi="Calibri"/>
                <w:sz w:val="14"/>
                <w:szCs w:val="14"/>
                <w:color w:val="auto"/>
              </w:rPr>
              <w:t>awards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820" w:type="dxa"/>
            <w:vAlign w:val="bottom"/>
            <w:gridSpan w:val="4"/>
          </w:tcPr>
          <w:p>
            <w:pPr>
              <w:jc w:val="right"/>
              <w:ind w:right="60"/>
              <w:spacing w:after="0"/>
              <w:rPr>
                <w:sz w:val="20"/>
                <w:szCs w:val="20"/>
                <w:color w:val="auto"/>
              </w:rPr>
            </w:pPr>
            <w:r>
              <w:rPr>
                <w:rFonts w:ascii="Calibri" w:cs="Calibri" w:eastAsia="Calibri" w:hAnsi="Calibri"/>
                <w:sz w:val="14"/>
                <w:szCs w:val="14"/>
                <w:color w:val="auto"/>
              </w:rPr>
              <w:t>(79,905 )</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Calibri" w:cs="Calibri" w:eastAsia="Calibri" w:hAnsi="Calibri"/>
                <w:sz w:val="14"/>
                <w:szCs w:val="14"/>
                <w:color w:val="auto"/>
              </w:rPr>
              <w:t>(462 )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4"/>
          </w:tcPr>
          <w:p>
            <w:pPr>
              <w:jc w:val="right"/>
              <w:ind w:right="248"/>
              <w:spacing w:after="0"/>
              <w:rPr>
                <w:sz w:val="20"/>
                <w:szCs w:val="20"/>
                <w:color w:val="auto"/>
              </w:rPr>
            </w:pPr>
            <w:r>
              <w:rPr>
                <w:rFonts w:ascii="Calibri" w:cs="Calibri" w:eastAsia="Calibri" w:hAnsi="Calibri"/>
                <w:sz w:val="14"/>
                <w:szCs w:val="14"/>
                <w:color w:val="auto"/>
                <w:w w:val="78"/>
              </w:rPr>
              <w:t>—</w:t>
            </w:r>
          </w:p>
        </w:tc>
        <w:tc>
          <w:tcPr>
            <w:tcW w:w="640" w:type="dxa"/>
            <w:vAlign w:val="bottom"/>
            <w:gridSpan w:val="2"/>
          </w:tcPr>
          <w:p>
            <w:pPr>
              <w:jc w:val="right"/>
              <w:ind w:right="10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right"/>
              <w:ind w:right="268"/>
              <w:spacing w:after="0"/>
              <w:rPr>
                <w:sz w:val="20"/>
                <w:szCs w:val="20"/>
                <w:color w:val="auto"/>
              </w:rPr>
            </w:pPr>
            <w:r>
              <w:rPr>
                <w:rFonts w:ascii="Calibri" w:cs="Calibri" w:eastAsia="Calibri" w:hAnsi="Calibri"/>
                <w:sz w:val="14"/>
                <w:szCs w:val="14"/>
                <w:color w:val="auto"/>
              </w:rPr>
              <w:t>—</w:t>
            </w:r>
          </w:p>
        </w:tc>
        <w:tc>
          <w:tcPr>
            <w:tcW w:w="7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(462 )</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Deemed contributon from former</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parent</w:t>
            </w:r>
          </w:p>
        </w:tc>
        <w:tc>
          <w:tcPr>
            <w:tcW w:w="2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75</w:t>
            </w: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133</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gridSpan w:val="4"/>
            <w:shd w:val="clear" w:color="auto" w:fill="CFF0FC"/>
          </w:tcPr>
          <w:p>
            <w:pPr>
              <w:jc w:val="right"/>
              <w:ind w:right="248"/>
              <w:spacing w:after="0"/>
              <w:rPr>
                <w:sz w:val="20"/>
                <w:szCs w:val="20"/>
                <w:color w:val="auto"/>
              </w:rPr>
            </w:pPr>
            <w:r>
              <w:rPr>
                <w:rFonts w:ascii="Calibri" w:cs="Calibri" w:eastAsia="Calibri" w:hAnsi="Calibri"/>
                <w:sz w:val="14"/>
                <w:szCs w:val="14"/>
                <w:color w:val="auto"/>
                <w:w w:val="78"/>
              </w:rPr>
              <w:t>—</w:t>
            </w:r>
          </w:p>
        </w:tc>
        <w:tc>
          <w:tcPr>
            <w:tcW w:w="640" w:type="dxa"/>
            <w:vAlign w:val="bottom"/>
            <w:tcBorders>
              <w:bottom w:val="single" w:sz="8" w:color="CFF0FC"/>
              <w:right w:val="single" w:sz="8" w:color="CFF0FC"/>
            </w:tcBorders>
            <w:gridSpan w:val="2"/>
            <w:shd w:val="clear" w:color="auto" w:fill="CFF0FC"/>
          </w:tcPr>
          <w:p>
            <w:pPr>
              <w:jc w:val="right"/>
              <w:ind w:right="108"/>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gridSpan w:val="4"/>
            <w:shd w:val="clear" w:color="auto" w:fill="CFF0FC"/>
          </w:tcPr>
          <w:p>
            <w:pPr>
              <w:jc w:val="right"/>
              <w:ind w:right="26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133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Equity-based compensaton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Calibri" w:cs="Calibri" w:eastAsia="Calibri" w:hAnsi="Calibri"/>
                <w:sz w:val="14"/>
                <w:szCs w:val="14"/>
                <w:color w:val="auto"/>
              </w:rPr>
              <w:t>8,439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4"/>
          </w:tcPr>
          <w:p>
            <w:pPr>
              <w:jc w:val="right"/>
              <w:ind w:right="248"/>
              <w:spacing w:after="0"/>
              <w:rPr>
                <w:sz w:val="20"/>
                <w:szCs w:val="20"/>
                <w:color w:val="auto"/>
              </w:rPr>
            </w:pPr>
            <w:r>
              <w:rPr>
                <w:rFonts w:ascii="Calibri" w:cs="Calibri" w:eastAsia="Calibri" w:hAnsi="Calibri"/>
                <w:sz w:val="14"/>
                <w:szCs w:val="14"/>
                <w:color w:val="auto"/>
                <w:w w:val="78"/>
              </w:rPr>
              <w:t>—</w:t>
            </w:r>
          </w:p>
        </w:tc>
        <w:tc>
          <w:tcPr>
            <w:tcW w:w="640" w:type="dxa"/>
            <w:vAlign w:val="bottom"/>
            <w:gridSpan w:val="2"/>
          </w:tcPr>
          <w:p>
            <w:pPr>
              <w:jc w:val="right"/>
              <w:ind w:right="10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right"/>
              <w:ind w:right="268"/>
              <w:spacing w:after="0"/>
              <w:rPr>
                <w:sz w:val="20"/>
                <w:szCs w:val="20"/>
                <w:color w:val="auto"/>
              </w:rPr>
            </w:pPr>
            <w:r>
              <w:rPr>
                <w:rFonts w:ascii="Calibri" w:cs="Calibri" w:eastAsia="Calibri" w:hAnsi="Calibri"/>
                <w:sz w:val="14"/>
                <w:szCs w:val="14"/>
                <w:color w:val="auto"/>
              </w:rPr>
              <w:t>—</w:t>
            </w:r>
          </w:p>
        </w:tc>
        <w:tc>
          <w:tcPr>
            <w:tcW w:w="7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8,439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Repurchases of common stock</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gridSpan w:val="4"/>
            <w:shd w:val="clear" w:color="auto" w:fill="CFF0FC"/>
          </w:tcPr>
          <w:p>
            <w:pPr>
              <w:jc w:val="right"/>
              <w:spacing w:after="0"/>
              <w:rPr>
                <w:sz w:val="20"/>
                <w:szCs w:val="20"/>
                <w:color w:val="auto"/>
              </w:rPr>
            </w:pPr>
            <w:r>
              <w:rPr>
                <w:rFonts w:ascii="Calibri" w:cs="Calibri" w:eastAsia="Calibri" w:hAnsi="Calibri"/>
                <w:sz w:val="14"/>
                <w:szCs w:val="14"/>
                <w:color w:val="auto"/>
              </w:rPr>
              <w:t>(715,000 )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right w:val="single" w:sz="8" w:color="CFF0FC"/>
            </w:tcBorders>
            <w:gridSpan w:val="2"/>
            <w:shd w:val="clear" w:color="auto" w:fill="CFF0FC"/>
          </w:tcPr>
          <w:p>
            <w:pPr>
              <w:jc w:val="right"/>
              <w:ind w:right="28"/>
              <w:spacing w:after="0"/>
              <w:rPr>
                <w:sz w:val="20"/>
                <w:szCs w:val="20"/>
                <w:color w:val="auto"/>
              </w:rPr>
            </w:pPr>
            <w:r>
              <w:rPr>
                <w:rFonts w:ascii="Calibri" w:cs="Calibri" w:eastAsia="Calibri" w:hAnsi="Calibri"/>
                <w:sz w:val="14"/>
                <w:szCs w:val="14"/>
                <w:color w:val="auto"/>
              </w:rPr>
              <w:t>(4,120 )</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4"/>
            <w:shd w:val="clear" w:color="auto" w:fill="CFF0FC"/>
          </w:tcPr>
          <w:p>
            <w:pPr>
              <w:jc w:val="right"/>
              <w:ind w:right="26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(4,120 )</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Distributons to non-controlling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Calibri" w:cs="Calibri" w:eastAsia="Calibri" w:hAnsi="Calibri"/>
                <w:sz w:val="14"/>
                <w:szCs w:val="14"/>
                <w:color w:val="auto"/>
              </w:rPr>
              <w:t>interests</w:t>
            </w:r>
          </w:p>
        </w:tc>
        <w:tc>
          <w:tcPr>
            <w:tcW w:w="200" w:type="dxa"/>
            <w:vAlign w:val="bottom"/>
          </w:tcPr>
          <w:p>
            <w:pPr>
              <w:spacing w:after="0"/>
              <w:rPr>
                <w:sz w:val="15"/>
                <w:szCs w:val="15"/>
                <w:color w:val="auto"/>
              </w:rPr>
            </w:pPr>
          </w:p>
        </w:tc>
        <w:tc>
          <w:tcPr>
            <w:tcW w:w="700" w:type="dxa"/>
            <w:vAlign w:val="bottom"/>
            <w:gridSpan w:val="4"/>
          </w:tcPr>
          <w:p>
            <w:pPr>
              <w:jc w:val="right"/>
              <w:ind w:right="100"/>
              <w:spacing w:after="0"/>
              <w:rPr>
                <w:sz w:val="20"/>
                <w:szCs w:val="20"/>
                <w:color w:val="auto"/>
              </w:rPr>
            </w:pPr>
            <w:r>
              <w:rPr>
                <w:rFonts w:ascii="Calibri" w:cs="Calibri" w:eastAsia="Calibri" w:hAnsi="Calibri"/>
                <w:sz w:val="14"/>
                <w:szCs w:val="14"/>
                <w:color w:val="auto"/>
              </w:rPr>
              <w:t>(3,654 )</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4"/>
          </w:tcPr>
          <w:p>
            <w:pPr>
              <w:jc w:val="right"/>
              <w:ind w:right="248"/>
              <w:spacing w:after="0"/>
              <w:rPr>
                <w:sz w:val="20"/>
                <w:szCs w:val="20"/>
                <w:color w:val="auto"/>
              </w:rPr>
            </w:pPr>
            <w:r>
              <w:rPr>
                <w:rFonts w:ascii="Calibri" w:cs="Calibri" w:eastAsia="Calibri" w:hAnsi="Calibri"/>
                <w:sz w:val="14"/>
                <w:szCs w:val="14"/>
                <w:color w:val="auto"/>
                <w:w w:val="78"/>
              </w:rPr>
              <w:t>—</w:t>
            </w:r>
          </w:p>
        </w:tc>
        <w:tc>
          <w:tcPr>
            <w:tcW w:w="640" w:type="dxa"/>
            <w:vAlign w:val="bottom"/>
            <w:gridSpan w:val="2"/>
          </w:tcPr>
          <w:p>
            <w:pPr>
              <w:jc w:val="right"/>
              <w:ind w:right="10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right"/>
              <w:ind w:right="268"/>
              <w:spacing w:after="0"/>
              <w:rPr>
                <w:sz w:val="20"/>
                <w:szCs w:val="20"/>
                <w:color w:val="auto"/>
              </w:rPr>
            </w:pPr>
            <w:r>
              <w:rPr>
                <w:rFonts w:ascii="Calibri" w:cs="Calibri" w:eastAsia="Calibri" w:hAnsi="Calibri"/>
                <w:sz w:val="14"/>
                <w:szCs w:val="14"/>
                <w:color w:val="auto"/>
              </w:rPr>
              <w:t>—</w:t>
            </w:r>
          </w:p>
        </w:tc>
        <w:tc>
          <w:tcPr>
            <w:tcW w:w="7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Other comprehensive income</w:t>
            </w:r>
          </w:p>
        </w:tc>
        <w:tc>
          <w:tcPr>
            <w:tcW w:w="2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right w:val="single" w:sz="8" w:color="CFF0FC"/>
            </w:tcBorders>
            <w:gridSpan w:val="4"/>
            <w:shd w:val="clear" w:color="auto" w:fill="CFF0FC"/>
          </w:tcPr>
          <w:p>
            <w:pPr>
              <w:jc w:val="right"/>
              <w:ind w:right="100"/>
              <w:spacing w:after="0"/>
              <w:rPr>
                <w:sz w:val="20"/>
                <w:szCs w:val="20"/>
                <w:color w:val="auto"/>
              </w:rPr>
            </w:pPr>
            <w:r>
              <w:rPr>
                <w:rFonts w:ascii="Calibri" w:cs="Calibri" w:eastAsia="Calibri" w:hAnsi="Calibri"/>
                <w:sz w:val="14"/>
                <w:szCs w:val="14"/>
                <w:color w:val="auto"/>
              </w:rPr>
              <w:t>(643 )</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gridSpan w:val="4"/>
            <w:shd w:val="clear" w:color="auto" w:fill="CFF0FC"/>
          </w:tcPr>
          <w:p>
            <w:pPr>
              <w:jc w:val="right"/>
              <w:ind w:right="248"/>
              <w:spacing w:after="0"/>
              <w:rPr>
                <w:sz w:val="20"/>
                <w:szCs w:val="20"/>
                <w:color w:val="auto"/>
              </w:rPr>
            </w:pPr>
            <w:r>
              <w:rPr>
                <w:rFonts w:ascii="Calibri" w:cs="Calibri" w:eastAsia="Calibri" w:hAnsi="Calibri"/>
                <w:sz w:val="14"/>
                <w:szCs w:val="14"/>
                <w:color w:val="auto"/>
                <w:w w:val="78"/>
              </w:rPr>
              <w:t>—</w:t>
            </w:r>
          </w:p>
        </w:tc>
        <w:tc>
          <w:tcPr>
            <w:tcW w:w="640" w:type="dxa"/>
            <w:vAlign w:val="bottom"/>
            <w:tcBorders>
              <w:bottom w:val="single" w:sz="8" w:color="CFF0FC"/>
              <w:right w:val="single" w:sz="8" w:color="CFF0FC"/>
            </w:tcBorders>
            <w:gridSpan w:val="2"/>
            <w:shd w:val="clear" w:color="auto" w:fill="CFF0FC"/>
          </w:tcPr>
          <w:p>
            <w:pPr>
              <w:jc w:val="right"/>
              <w:ind w:right="108"/>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gridSpan w:val="4"/>
            <w:shd w:val="clear" w:color="auto" w:fill="CFF0FC"/>
          </w:tcPr>
          <w:p>
            <w:pPr>
              <w:jc w:val="right"/>
              <w:ind w:right="26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CFF0FC"/>
              <w:right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(1,130 )</w:t>
            </w:r>
          </w:p>
        </w:tc>
        <w:tc>
          <w:tcPr>
            <w:tcW w:w="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(1,130 )</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Subsequent remeasurement of</w:t>
            </w:r>
          </w:p>
        </w:tc>
        <w:tc>
          <w:tcPr>
            <w:tcW w:w="200" w:type="dxa"/>
            <w:vAlign w:val="bottom"/>
          </w:tcPr>
          <w:p>
            <w:pPr>
              <w:spacing w:after="0"/>
              <w:rPr>
                <w:sz w:val="14"/>
                <w:szCs w:val="14"/>
                <w:color w:val="auto"/>
              </w:rPr>
            </w:pPr>
          </w:p>
        </w:tc>
        <w:tc>
          <w:tcPr>
            <w:tcW w:w="700" w:type="dxa"/>
            <w:vAlign w:val="bottom"/>
            <w:gridSpan w:val="4"/>
            <w:vMerge w:val="restart"/>
          </w:tcPr>
          <w:p>
            <w:pPr>
              <w:jc w:val="right"/>
              <w:ind w:right="100"/>
              <w:spacing w:after="0"/>
              <w:rPr>
                <w:sz w:val="20"/>
                <w:szCs w:val="20"/>
                <w:color w:val="auto"/>
              </w:rPr>
            </w:pPr>
            <w:r>
              <w:rPr>
                <w:rFonts w:ascii="Calibri" w:cs="Calibri" w:eastAsia="Calibri" w:hAnsi="Calibri"/>
                <w:sz w:val="14"/>
                <w:szCs w:val="14"/>
                <w:color w:val="auto"/>
              </w:rPr>
              <w:t>(25,597 )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Calibri" w:cs="Calibri" w:eastAsia="Calibri" w:hAnsi="Calibri"/>
                <w:sz w:val="14"/>
                <w:szCs w:val="14"/>
                <w:color w:val="auto"/>
              </w:rPr>
              <w:t>25,597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4"/>
            <w:vMerge w:val="restart"/>
          </w:tcPr>
          <w:p>
            <w:pPr>
              <w:jc w:val="right"/>
              <w:ind w:right="248"/>
              <w:spacing w:after="0"/>
              <w:rPr>
                <w:sz w:val="20"/>
                <w:szCs w:val="20"/>
                <w:color w:val="auto"/>
              </w:rPr>
            </w:pPr>
            <w:r>
              <w:rPr>
                <w:rFonts w:ascii="Calibri" w:cs="Calibri" w:eastAsia="Calibri" w:hAnsi="Calibri"/>
                <w:sz w:val="14"/>
                <w:szCs w:val="14"/>
                <w:color w:val="auto"/>
                <w:w w:val="78"/>
              </w:rPr>
              <w:t>—</w:t>
            </w:r>
          </w:p>
        </w:tc>
        <w:tc>
          <w:tcPr>
            <w:tcW w:w="640" w:type="dxa"/>
            <w:vAlign w:val="bottom"/>
            <w:gridSpan w:val="2"/>
            <w:vMerge w:val="restart"/>
          </w:tcPr>
          <w:p>
            <w:pPr>
              <w:jc w:val="right"/>
              <w:ind w:right="10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vMerge w:val="restart"/>
          </w:tcPr>
          <w:p>
            <w:pPr>
              <w:jc w:val="right"/>
              <w:ind w:right="268"/>
              <w:spacing w:after="0"/>
              <w:rPr>
                <w:sz w:val="20"/>
                <w:szCs w:val="20"/>
                <w:color w:val="auto"/>
              </w:rPr>
            </w:pPr>
            <w:r>
              <w:rPr>
                <w:rFonts w:ascii="Calibri" w:cs="Calibri" w:eastAsia="Calibri" w:hAnsi="Calibri"/>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alibri" w:cs="Calibri" w:eastAsia="Calibri" w:hAnsi="Calibri"/>
                <w:sz w:val="14"/>
                <w:szCs w:val="14"/>
                <w:color w:val="auto"/>
              </w:rPr>
              <w:t>25,597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Calibri" w:cs="Calibri" w:eastAsia="Calibri" w:hAnsi="Calibri"/>
                <w:sz w:val="14"/>
                <w:szCs w:val="14"/>
                <w:color w:val="auto"/>
              </w:rPr>
              <w:t>Redeemable noncontrolling interests</w:t>
            </w:r>
          </w:p>
        </w:tc>
        <w:tc>
          <w:tcPr>
            <w:tcW w:w="20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gridSpan w:val="4"/>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top w:val="single" w:sz="8" w:color="auto"/>
            </w:tcBorders>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142,048,</w:t>
            </w:r>
          </w:p>
        </w:tc>
        <w:tc>
          <w:tcPr>
            <w:tcW w:w="1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w w:val="96"/>
              </w:rPr>
              <w:t>76,225,0</w:t>
            </w:r>
          </w:p>
        </w:tc>
        <w:tc>
          <w:tcPr>
            <w:tcW w:w="1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1,130,1</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w w:val="99"/>
              </w:rPr>
              <w:t>(8,006,49</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Balances at March 31, 2024</w:t>
            </w:r>
          </w:p>
        </w:tc>
        <w:tc>
          <w:tcPr>
            <w:tcW w:w="20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w:t>
            </w:r>
          </w:p>
        </w:tc>
        <w:tc>
          <w:tcPr>
            <w:tcW w:w="56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456,588</w:t>
            </w:r>
          </w:p>
        </w:tc>
        <w:tc>
          <w:tcPr>
            <w:tcW w:w="1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979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42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14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w w:val="83"/>
              </w:rPr>
              <w:t>$</w:t>
            </w:r>
          </w:p>
        </w:tc>
        <w:tc>
          <w:tcPr>
            <w:tcW w:w="46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46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7 ) $</w:t>
            </w:r>
          </w:p>
        </w:tc>
        <w:tc>
          <w:tcPr>
            <w:tcW w:w="100" w:type="dxa"/>
            <w:vAlign w:val="bottom"/>
            <w:shd w:val="clear" w:color="auto" w:fill="CFF0FC"/>
          </w:tcPr>
          <w:p>
            <w:pPr>
              <w:spacing w:after="0"/>
              <w:rPr>
                <w:sz w:val="19"/>
                <w:szCs w:val="19"/>
                <w:color w:val="auto"/>
              </w:rPr>
            </w:pPr>
          </w:p>
        </w:tc>
        <w:tc>
          <w:tcPr>
            <w:tcW w:w="1500" w:type="dxa"/>
            <w:vAlign w:val="bottom"/>
            <w:gridSpan w:val="7"/>
            <w:shd w:val="clear" w:color="auto" w:fill="CFF0FC"/>
          </w:tcPr>
          <w:p>
            <w:pPr>
              <w:jc w:val="right"/>
              <w:spacing w:after="0"/>
              <w:rPr>
                <w:sz w:val="20"/>
                <w:szCs w:val="20"/>
                <w:color w:val="auto"/>
              </w:rPr>
            </w:pPr>
            <w:r>
              <w:rPr>
                <w:rFonts w:ascii="Calibri" w:cs="Calibri" w:eastAsia="Calibri" w:hAnsi="Calibri"/>
                <w:sz w:val="14"/>
                <w:szCs w:val="14"/>
                <w:b w:val="1"/>
                <w:bCs w:val="1"/>
                <w:color w:val="auto"/>
              </w:rPr>
              <w:t>(56,706 ) $ (933,519 ) $</w:t>
            </w:r>
          </w:p>
        </w:tc>
        <w:tc>
          <w:tcPr>
            <w:tcW w:w="1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b w:val="1"/>
                <w:bCs w:val="1"/>
                <w:color w:val="auto"/>
              </w:rPr>
              <w:t>(383 ) $</w:t>
            </w: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139,551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-3239770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-3222625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-3239770</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-3222625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-3239770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-3222625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-3239770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-3222625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-3239770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-3222625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-3239770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-3222625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-3239770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-3222625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-3239770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-3222625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-3239770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-3222625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-3239770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-3222625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-24765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00" w:lineRule="exact"/>
        <w:rPr>
          <w:sz w:val="20"/>
          <w:szCs w:val="20"/>
          <w:color w:val="auto"/>
        </w:rPr>
      </w:pPr>
    </w:p>
    <w:p>
      <w:pPr>
        <w:spacing w:after="0" w:line="243" w:lineRule="exact"/>
        <w:rPr>
          <w:sz w:val="20"/>
          <w:szCs w:val="20"/>
          <w:color w:val="auto"/>
        </w:rPr>
      </w:pPr>
    </w:p>
    <w:p>
      <w:pPr>
        <w:ind w:left="8200"/>
        <w:spacing w:after="0"/>
        <w:rPr>
          <w:sz w:val="20"/>
          <w:szCs w:val="20"/>
          <w:color w:val="auto"/>
        </w:rPr>
      </w:pPr>
      <w:r>
        <w:rPr>
          <w:rFonts w:ascii="Calibri" w:cs="Calibri" w:eastAsia="Calibri" w:hAnsi="Calibri"/>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23495</wp:posOffset>
            </wp:positionV>
            <wp:extent cx="22631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b w:val="1"/>
                <w:bCs w:val="1"/>
                <w:color w:val="auto"/>
              </w:rPr>
              <w:t>2024</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r>
      <w:tr>
        <w:trPr>
          <w:trHeight w:val="37"/>
        </w:trPr>
        <w:tc>
          <w:tcPr>
            <w:tcW w:w="75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75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Cash fows from operatng actvites</w:t>
            </w:r>
          </w:p>
        </w:tc>
        <w:tc>
          <w:tcPr>
            <w:tcW w:w="10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w:t>
            </w:r>
          </w:p>
        </w:tc>
        <w:tc>
          <w:tcPr>
            <w:tcW w:w="104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10,742</w:t>
            </w:r>
          </w:p>
        </w:tc>
        <w:tc>
          <w:tcPr>
            <w:tcW w:w="260" w:type="dxa"/>
            <w:vAlign w:val="bottom"/>
          </w:tcPr>
          <w:p>
            <w:pPr>
              <w:spacing w:after="0"/>
              <w:rPr>
                <w:sz w:val="18"/>
                <w:szCs w:val="18"/>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30,272</w:t>
            </w:r>
          </w:p>
        </w:tc>
        <w:tc>
          <w:tcPr>
            <w:tcW w:w="100" w:type="dxa"/>
            <w:vAlign w:val="bottom"/>
          </w:tcPr>
          <w:p>
            <w:pPr>
              <w:spacing w:after="0"/>
              <w:rPr>
                <w:sz w:val="18"/>
                <w:szCs w:val="18"/>
                <w:color w:val="auto"/>
              </w:rPr>
            </w:pP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Adjustments to reconcile net income to net cash provided by operatng actvites:</w:t>
            </w: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10,483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2,598</w:t>
            </w:r>
          </w:p>
        </w:tc>
        <w:tc>
          <w:tcPr>
            <w:tcW w:w="100" w:type="dxa"/>
            <w:vAlign w:val="bottom"/>
          </w:tcPr>
          <w:p>
            <w:pPr>
              <w:spacing w:after="0"/>
              <w:rPr>
                <w:sz w:val="18"/>
                <w:szCs w:val="18"/>
                <w:color w:val="auto"/>
              </w:rPr>
            </w:pP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Amortzaton of leases</w:t>
            </w: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412</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 of deferred fnancing costs</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236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226</w:t>
            </w:r>
          </w:p>
        </w:tc>
        <w:tc>
          <w:tcPr>
            <w:tcW w:w="100" w:type="dxa"/>
            <w:vAlign w:val="bottom"/>
          </w:tcPr>
          <w:p>
            <w:pPr>
              <w:spacing w:after="0"/>
              <w:rPr>
                <w:sz w:val="18"/>
                <w:szCs w:val="18"/>
                <w:color w:val="auto"/>
              </w:rPr>
            </w:pP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Equity-based compensaton expense</w:t>
            </w: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8,488</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warrants</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(460 )</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(327 )</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Change in fair value of derivatve asset</w:t>
            </w: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contngent consideraton</w:t>
            </w:r>
          </w:p>
        </w:tc>
        <w:tc>
          <w:tcPr>
            <w:tcW w:w="1040" w:type="dxa"/>
            <w:vAlign w:val="bottom"/>
          </w:tcPr>
          <w:p>
            <w:pPr>
              <w:spacing w:after="0"/>
              <w:rPr>
                <w:sz w:val="18"/>
                <w:szCs w:val="18"/>
                <w:color w:val="auto"/>
              </w:rPr>
            </w:pPr>
          </w:p>
        </w:tc>
        <w:tc>
          <w:tcPr>
            <w:tcW w:w="8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18"/>
                <w:szCs w:val="18"/>
                <w:color w:val="auto"/>
              </w:rPr>
            </w:pP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Loss on asset disposals</w:t>
            </w: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102</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3"/>
        </w:trPr>
        <w:tc>
          <w:tcPr>
            <w:tcW w:w="7560" w:type="dxa"/>
            <w:vAlign w:val="bottom"/>
          </w:tcPr>
          <w:p>
            <w:pPr>
              <w:ind w:left="120"/>
              <w:spacing w:after="0"/>
              <w:rPr>
                <w:sz w:val="20"/>
                <w:szCs w:val="20"/>
                <w:color w:val="auto"/>
              </w:rPr>
            </w:pPr>
            <w:r>
              <w:rPr>
                <w:rFonts w:ascii="Calibri" w:cs="Calibri" w:eastAsia="Calibri" w:hAnsi="Calibri"/>
                <w:sz w:val="18"/>
                <w:szCs w:val="18"/>
                <w:color w:val="auto"/>
              </w:rPr>
              <w:t>Deferred taxes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862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r>
      <w:tr>
        <w:trPr>
          <w:trHeight w:val="37"/>
        </w:trPr>
        <w:tc>
          <w:tcPr>
            <w:tcW w:w="7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Non-cash interest income</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(142 )</w:t>
            </w: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3"/>
        </w:trPr>
        <w:tc>
          <w:tcPr>
            <w:tcW w:w="7560" w:type="dxa"/>
            <w:vAlign w:val="bottom"/>
          </w:tcPr>
          <w:p>
            <w:pPr>
              <w:ind w:left="120"/>
              <w:spacing w:after="0"/>
              <w:rPr>
                <w:sz w:val="20"/>
                <w:szCs w:val="20"/>
                <w:color w:val="auto"/>
              </w:rPr>
            </w:pPr>
            <w:r>
              <w:rPr>
                <w:rFonts w:ascii="Calibri" w:cs="Calibri" w:eastAsia="Calibri" w:hAnsi="Calibri"/>
                <w:sz w:val="18"/>
                <w:szCs w:val="18"/>
                <w:color w:val="auto"/>
              </w:rPr>
              <w:t>Foreign currency revaluaton loss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3,005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r>
      <w:tr>
        <w:trPr>
          <w:trHeight w:val="37"/>
        </w:trPr>
        <w:tc>
          <w:tcPr>
            <w:tcW w:w="7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7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Change in assets and liabilites:</w:t>
            </w: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Accounts receivable</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(11,448 )</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(10,000 )</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Inventory</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(8,491 )</w:t>
            </w: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(11,370 )</w:t>
            </w: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(2,778 )</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(3,417 )</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Accounts payable</w:t>
            </w: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50,493</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56,826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(20,379 )</w:t>
            </w:r>
          </w:p>
        </w:tc>
        <w:tc>
          <w:tcPr>
            <w:tcW w:w="38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444</w:t>
            </w:r>
          </w:p>
        </w:tc>
        <w:tc>
          <w:tcPr>
            <w:tcW w:w="100" w:type="dxa"/>
            <w:vAlign w:val="bottom"/>
          </w:tcPr>
          <w:p>
            <w:pPr>
              <w:spacing w:after="0"/>
              <w:rPr>
                <w:sz w:val="18"/>
                <w:szCs w:val="18"/>
                <w:color w:val="auto"/>
              </w:rPr>
            </w:pP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Deferred revenue</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(1,691 )</w:t>
            </w: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(6,063 )</w:t>
            </w:r>
          </w:p>
        </w:tc>
      </w:tr>
      <w:tr>
        <w:trPr>
          <w:trHeight w:val="220"/>
        </w:trPr>
        <w:tc>
          <w:tcPr>
            <w:tcW w:w="7560" w:type="dxa"/>
            <w:vAlign w:val="bottom"/>
          </w:tcPr>
          <w:p>
            <w:pPr>
              <w:ind w:left="120"/>
              <w:spacing w:after="0"/>
              <w:rPr>
                <w:sz w:val="20"/>
                <w:szCs w:val="20"/>
                <w:color w:val="auto"/>
              </w:rPr>
            </w:pPr>
            <w:r>
              <w:rPr>
                <w:rFonts w:ascii="Calibri" w:cs="Calibri" w:eastAsia="Calibri" w:hAnsi="Calibri"/>
                <w:sz w:val="18"/>
                <w:szCs w:val="18"/>
                <w:color w:val="auto"/>
              </w:rPr>
              <w:t>Other non-current assets and liabilites</w:t>
            </w:r>
          </w:p>
        </w:tc>
        <w:tc>
          <w:tcPr>
            <w:tcW w:w="1040" w:type="dxa"/>
            <w:vAlign w:val="bottom"/>
          </w:tcPr>
          <w:p>
            <w:pPr>
              <w:spacing w:after="0"/>
              <w:rPr>
                <w:sz w:val="19"/>
                <w:szCs w:val="19"/>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(306 )</w:t>
            </w:r>
          </w:p>
        </w:tc>
        <w:tc>
          <w:tcPr>
            <w:tcW w:w="38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201</w:t>
            </w:r>
          </w:p>
        </w:tc>
        <w:tc>
          <w:tcPr>
            <w:tcW w:w="100" w:type="dxa"/>
            <w:vAlign w:val="bottom"/>
          </w:tcPr>
          <w:p>
            <w:pPr>
              <w:spacing w:after="0"/>
              <w:rPr>
                <w:sz w:val="19"/>
                <w:szCs w:val="19"/>
                <w:color w:val="auto"/>
              </w:rPr>
            </w:pPr>
          </w:p>
        </w:tc>
      </w:tr>
      <w:tr>
        <w:trPr>
          <w:trHeight w:val="23"/>
        </w:trPr>
        <w:tc>
          <w:tcPr>
            <w:tcW w:w="75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5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cash provided by operatng actvites</w:t>
            </w:r>
          </w:p>
        </w:tc>
        <w:tc>
          <w:tcPr>
            <w:tcW w:w="10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39,165</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65,111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5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Purchases of property and equipment</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(92 )</w:t>
            </w: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(215 )</w:t>
            </w: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Purchases of personal seat licenses</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(564 )</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(365 )</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Investments in developed technology</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(4,631 )</w:t>
            </w: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(2,027 )</w:t>
            </w:r>
          </w:p>
        </w:tc>
      </w:tr>
      <w:tr>
        <w:trPr>
          <w:trHeight w:val="20"/>
        </w:trPr>
        <w:tc>
          <w:tcPr>
            <w:tcW w:w="75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756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Net cash used in investng actvites</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08" w:lineRule="exact"/>
              <w:rPr>
                <w:sz w:val="20"/>
                <w:szCs w:val="20"/>
                <w:color w:val="auto"/>
              </w:rPr>
            </w:pPr>
            <w:r>
              <w:rPr>
                <w:rFonts w:ascii="Calibri" w:cs="Calibri" w:eastAsia="Calibri" w:hAnsi="Calibri"/>
                <w:sz w:val="18"/>
                <w:szCs w:val="18"/>
                <w:b w:val="1"/>
                <w:bCs w:val="1"/>
                <w:color w:val="auto"/>
              </w:rPr>
              <w:t>(5,287 )</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line="208" w:lineRule="exact"/>
              <w:rPr>
                <w:sz w:val="20"/>
                <w:szCs w:val="20"/>
                <w:color w:val="auto"/>
              </w:rPr>
            </w:pPr>
            <w:r>
              <w:rPr>
                <w:rFonts w:ascii="Calibri" w:cs="Calibri" w:eastAsia="Calibri" w:hAnsi="Calibri"/>
                <w:sz w:val="18"/>
                <w:szCs w:val="18"/>
                <w:b w:val="1"/>
                <w:bCs w:val="1"/>
                <w:color w:val="auto"/>
              </w:rPr>
              <w:t>(2,607 )</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10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February 2022 First Lien Loan</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(688 )</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(688 )</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of Shoko Chukin Bank Loan</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(281 )</w:t>
            </w: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Repurchase of common stock</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(3,105 )</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(7,612 )</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Payments for taxes related to net setlement of equity incentve awards</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(462 )</w:t>
            </w: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TRA liability</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(77 )</w:t>
            </w:r>
          </w:p>
        </w:tc>
        <w:tc>
          <w:tcPr>
            <w:tcW w:w="380" w:type="dxa"/>
            <w:vAlign w:val="bottom"/>
          </w:tcPr>
          <w:p>
            <w:pPr>
              <w:spacing w:after="0"/>
              <w:rPr>
                <w:sz w:val="18"/>
                <w:szCs w:val="18"/>
                <w:color w:val="auto"/>
              </w:rPr>
            </w:pPr>
          </w:p>
        </w:tc>
        <w:tc>
          <w:tcPr>
            <w:tcW w:w="13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Cash paid for milestone payments</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(2,500 )</w:t>
            </w:r>
          </w:p>
        </w:tc>
      </w:tr>
      <w:tr>
        <w:trPr>
          <w:trHeight w:val="20"/>
        </w:trPr>
        <w:tc>
          <w:tcPr>
            <w:tcW w:w="75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7560" w:type="dxa"/>
            <w:vAlign w:val="bottom"/>
          </w:tcPr>
          <w:p>
            <w:pPr>
              <w:ind w:left="20"/>
              <w:spacing w:after="0" w:line="208" w:lineRule="exact"/>
              <w:rPr>
                <w:sz w:val="20"/>
                <w:szCs w:val="20"/>
                <w:color w:val="auto"/>
              </w:rPr>
            </w:pPr>
            <w:r>
              <w:rPr>
                <w:rFonts w:ascii="Calibri" w:cs="Calibri" w:eastAsia="Calibri" w:hAnsi="Calibri"/>
                <w:sz w:val="18"/>
                <w:szCs w:val="18"/>
                <w:b w:val="1"/>
                <w:bCs w:val="1"/>
                <w:color w:val="auto"/>
              </w:rPr>
              <w:t>Net cash used in fnancing actvites</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line="208" w:lineRule="exact"/>
              <w:rPr>
                <w:sz w:val="20"/>
                <w:szCs w:val="20"/>
                <w:color w:val="auto"/>
              </w:rPr>
            </w:pPr>
            <w:r>
              <w:rPr>
                <w:rFonts w:ascii="Calibri" w:cs="Calibri" w:eastAsia="Calibri" w:hAnsi="Calibri"/>
                <w:sz w:val="18"/>
                <w:szCs w:val="18"/>
                <w:b w:val="1"/>
                <w:bCs w:val="1"/>
                <w:color w:val="auto"/>
              </w:rPr>
              <w:t>(4,613 )</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line="208" w:lineRule="exact"/>
              <w:rPr>
                <w:sz w:val="20"/>
                <w:szCs w:val="20"/>
                <w:color w:val="auto"/>
              </w:rPr>
            </w:pPr>
            <w:r>
              <w:rPr>
                <w:rFonts w:ascii="Calibri" w:cs="Calibri" w:eastAsia="Calibri" w:hAnsi="Calibri"/>
                <w:sz w:val="18"/>
                <w:szCs w:val="18"/>
                <w:b w:val="1"/>
                <w:bCs w:val="1"/>
                <w:color w:val="auto"/>
              </w:rPr>
              <w:t>(10,800 )</w:t>
            </w: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56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Impact of foreign exchange on cash, cash equivalents, and restricted cash</w:t>
            </w:r>
          </w:p>
        </w:tc>
        <w:tc>
          <w:tcPr>
            <w:tcW w:w="10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(820 )</w:t>
            </w:r>
          </w:p>
        </w:tc>
        <w:tc>
          <w:tcPr>
            <w:tcW w:w="3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3"/>
        </w:trPr>
        <w:tc>
          <w:tcPr>
            <w:tcW w:w="756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Net increase in cash, cash equivalents, and restricted cash</w:t>
            </w:r>
          </w:p>
        </w:tc>
        <w:tc>
          <w:tcPr>
            <w:tcW w:w="10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28,445</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51,704</w:t>
            </w:r>
          </w:p>
        </w:tc>
        <w:tc>
          <w:tcPr>
            <w:tcW w:w="100" w:type="dxa"/>
            <w:vAlign w:val="bottom"/>
            <w:tcBorders>
              <w:top w:val="single" w:sz="8" w:color="CFF0FC"/>
            </w:tcBorders>
          </w:tcPr>
          <w:p>
            <w:pPr>
              <w:spacing w:after="0"/>
              <w:rPr>
                <w:sz w:val="18"/>
                <w:szCs w:val="18"/>
                <w:color w:val="auto"/>
              </w:rPr>
            </w:pPr>
          </w:p>
        </w:tc>
      </w:tr>
      <w:tr>
        <w:trPr>
          <w:trHeight w:val="23"/>
        </w:trPr>
        <w:tc>
          <w:tcPr>
            <w:tcW w:w="75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56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Cash, cash equivalents, and restricted cash – beginning of period</w:t>
            </w:r>
          </w:p>
        </w:tc>
        <w:tc>
          <w:tcPr>
            <w:tcW w:w="10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132,434</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252,290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6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Cash, cash equivalents, and restricted cash – end of period</w:t>
            </w:r>
          </w:p>
        </w:tc>
        <w:tc>
          <w:tcPr>
            <w:tcW w:w="1040" w:type="dxa"/>
            <w:vAlign w:val="bottom"/>
            <w:tcBorders>
              <w:top w:val="single" w:sz="8" w:color="auto"/>
              <w:bottom w:val="single" w:sz="8" w:color="auto"/>
            </w:tcBorders>
          </w:tcPr>
          <w:p>
            <w:pPr>
              <w:jc w:val="right"/>
              <w:ind w:right="830"/>
              <w:spacing w:after="0" w:line="215" w:lineRule="exact"/>
              <w:rPr>
                <w:sz w:val="20"/>
                <w:szCs w:val="20"/>
                <w:color w:val="auto"/>
              </w:rPr>
            </w:pPr>
            <w:r>
              <w:rPr>
                <w:rFonts w:ascii="Calibri" w:cs="Calibri" w:eastAsia="Calibri" w:hAnsi="Calibri"/>
                <w:sz w:val="18"/>
                <w:szCs w:val="18"/>
                <w:b w:val="1"/>
                <w:bCs w:val="1"/>
                <w:color w:val="auto"/>
              </w:rPr>
              <w:t>$</w:t>
            </w:r>
          </w:p>
        </w:tc>
        <w:tc>
          <w:tcPr>
            <w:tcW w:w="6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160,879</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2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303,994</w:t>
            </w:r>
          </w:p>
        </w:tc>
        <w:tc>
          <w:tcPr>
            <w:tcW w:w="100" w:type="dxa"/>
            <w:vAlign w:val="bottom"/>
            <w:tcBorders>
              <w:top w:val="single" w:sz="8" w:color="CFF0FC"/>
            </w:tcBorders>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756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10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Cash paid for interest</w:t>
            </w:r>
          </w:p>
        </w:tc>
        <w:tc>
          <w:tcPr>
            <w:tcW w:w="104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6,074</w:t>
            </w:r>
          </w:p>
        </w:tc>
        <w:tc>
          <w:tcPr>
            <w:tcW w:w="260" w:type="dxa"/>
            <w:vAlign w:val="bottom"/>
          </w:tcPr>
          <w:p>
            <w:pPr>
              <w:spacing w:after="0"/>
              <w:rPr>
                <w:sz w:val="18"/>
                <w:szCs w:val="18"/>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1,941</w:t>
            </w:r>
          </w:p>
        </w:tc>
        <w:tc>
          <w:tcPr>
            <w:tcW w:w="100" w:type="dxa"/>
            <w:vAlign w:val="bottom"/>
          </w:tcPr>
          <w:p>
            <w:pPr>
              <w:spacing w:after="0"/>
              <w:rPr>
                <w:sz w:val="18"/>
                <w:szCs w:val="18"/>
                <w:color w:val="auto"/>
              </w:rPr>
            </w:pP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Cash paid for income tax</w:t>
            </w:r>
          </w:p>
        </w:tc>
        <w:tc>
          <w:tcPr>
            <w:tcW w:w="1040" w:type="dxa"/>
            <w:vAlign w:val="bottom"/>
            <w:tcBorders>
              <w:bottom w:val="single" w:sz="8" w:color="CFF0FC"/>
            </w:tcBorders>
            <w:shd w:val="clear" w:color="auto" w:fill="CFF0FC"/>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623</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560" w:type="dxa"/>
            <w:vAlign w:val="bottom"/>
          </w:tcPr>
          <w:p>
            <w:pPr>
              <w:ind w:left="120"/>
              <w:spacing w:after="0" w:line="215" w:lineRule="exact"/>
              <w:rPr>
                <w:sz w:val="20"/>
                <w:szCs w:val="20"/>
                <w:color w:val="auto"/>
              </w:rPr>
            </w:pPr>
            <w:r>
              <w:rPr>
                <w:rFonts w:ascii="Calibri" w:cs="Calibri" w:eastAsia="Calibri" w:hAnsi="Calibri"/>
                <w:sz w:val="18"/>
                <w:szCs w:val="18"/>
                <w:color w:val="auto"/>
              </w:rPr>
              <w:t>Cash paid for operatng lease liabilites</w:t>
            </w:r>
          </w:p>
        </w:tc>
        <w:tc>
          <w:tcPr>
            <w:tcW w:w="104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664</w:t>
            </w:r>
          </w:p>
        </w:tc>
        <w:tc>
          <w:tcPr>
            <w:tcW w:w="260" w:type="dxa"/>
            <w:vAlign w:val="bottom"/>
          </w:tcPr>
          <w:p>
            <w:pPr>
              <w:spacing w:after="0"/>
              <w:rPr>
                <w:sz w:val="18"/>
                <w:szCs w:val="18"/>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234</w:t>
            </w:r>
          </w:p>
        </w:tc>
        <w:tc>
          <w:tcPr>
            <w:tcW w:w="100" w:type="dxa"/>
            <w:vAlign w:val="bottom"/>
          </w:tcPr>
          <w:p>
            <w:pPr>
              <w:spacing w:after="0"/>
              <w:rPr>
                <w:sz w:val="18"/>
                <w:szCs w:val="18"/>
                <w:color w:val="auto"/>
              </w:rPr>
            </w:pPr>
          </w:p>
        </w:tc>
      </w:tr>
      <w:tr>
        <w:trPr>
          <w:trHeight w:val="28"/>
        </w:trPr>
        <w:tc>
          <w:tcPr>
            <w:tcW w:w="7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Repurchase of common stock recorded in Accrued expenses and other current liabilites</w:t>
            </w:r>
          </w:p>
        </w:tc>
        <w:tc>
          <w:tcPr>
            <w:tcW w:w="1040" w:type="dxa"/>
            <w:vAlign w:val="bottom"/>
            <w:tcBorders>
              <w:bottom w:val="single" w:sz="8" w:color="CFF0FC"/>
            </w:tcBorders>
            <w:shd w:val="clear" w:color="auto" w:fill="CFF0FC"/>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1,015</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75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-2853690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-1610995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-1293495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-967740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ectPr>
          <w:pgSz w:w="11900" w:h="16838" w:orient="portrait"/>
          <w:cols w:equalWidth="0" w:num="1">
            <w:col w:w="11240"/>
          </w:cols>
          <w:pgMar w:left="320" w:top="504" w:right="339"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Background and Basis of Presentation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Vivid Seats Inc. (“VSI”) and its subsidiaries including Hoya Intermediate, LLC (“Hoya Intermediate”), Hoya Midco, LLC and Vivid Seats LLC (collectvely the “Company,” “us,” “we,” and “our”) provide an online tcket marketplace that enables buyers to easily discover and purchase tckets to live events and atractons and book hotel rooms and packages in the United States, Canada and Japan. In our Marketplace segment, we primarily act as an intermediary between tcket buyers, sellers and partners within our online tcket marketplace, while enabling tcket sellers and partners to seamlessly manage their operatons. In our Resale segment, we primarily acquire tckets to resell on secondary tcket marketplaces, including our own.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prepared these unaudited condensed consolidated fnancial statements in accordance with accountng principles generally accepted in the United States of America (“GAAP”) for interim fnancial informaton and the instructons to the Quarterly Report on Form 10-Q and Artcle 10 of Regulaton S-X issued by the U.S. Securites and Exchange Commission (the “SEC”). Accordingly, they do not include all of the informaton and notes required by GAAP for comprehensive annual fnancial statements. These condensed consolidated fnancial statements are not necessarily indicatve of results that may be expected for any other interim period or for the full year. These condensed consolidated fnancial statements should be read together with the audited annual consolidated fnancial statements and accompanying notes included in our Annual Report on Form 10-K for the fscal year ended December 31, 2023, which was fled with the SEC on March 8, 2024 (our “2023 Form 10-K”). These condensed consolidated fnancial statements include all of our accounts, including those of our consolidated subsidiaries. All intercompany transactons and balances have been eliminated in consolidaton.</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New Accounting Standards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Issued Accountng Standards Adopted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Acquired Contract Assets and Contract Liabilites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October 2021, the Financial Accountng Standards Board (the “FASB”) issued Accountng Standard Update (“ASU”) 2021-08, </w:t>
      </w:r>
      <w:r>
        <w:rPr>
          <w:rFonts w:ascii="Calibri" w:cs="Calibri" w:eastAsia="Calibri" w:hAnsi="Calibri"/>
          <w:sz w:val="18"/>
          <w:szCs w:val="18"/>
          <w:i w:val="1"/>
          <w:iCs w:val="1"/>
          <w:color w:val="auto"/>
        </w:rPr>
        <w:t>Business Combinatons (Topic</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805): Accountng for Contract Assets and Contract Liabilites from Contracts with Customers. </w:t>
      </w:r>
      <w:r>
        <w:rPr>
          <w:rFonts w:ascii="Calibri" w:cs="Calibri" w:eastAsia="Calibri" w:hAnsi="Calibri"/>
          <w:sz w:val="18"/>
          <w:szCs w:val="18"/>
          <w:color w:val="auto"/>
        </w:rPr>
        <w:t>The ASU requires contract assets and liabilites acquired in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business combinaton to be recognized and measured by the acquirer on the acquisiton date in accordance with Accountng Standards Codifcaton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as if it had originated the contracts. Under the previous guidance, such assets and liabilites were recognized by the acquirer at fair value on the acquisiton date. The ASU allows for immediate adopton on a retrospectve basis for all business combinatons that have occurred since the beginning of the annual period that includes the interim period of adopton. We elected to adopt these requirements in the fourth quarter of 2023, with no material impact on our condensed consolidated fnancial statements.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Issued Accountng Standards Not Yet Adopted</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Segment Reportng </w:t>
      </w:r>
      <w:r>
        <w:rPr>
          <w:rFonts w:ascii="Times New Roman" w:cs="Times New Roman" w:eastAsia="Times New Roman" w:hAnsi="Times New Roman"/>
          <w:sz w:val="18"/>
          <w:szCs w:val="18"/>
          <w:i w:val="1"/>
          <w:iCs w:val="1"/>
          <w:color w:val="auto"/>
        </w:rPr>
        <w:t>-</w:t>
      </w:r>
      <w:r>
        <w:rPr>
          <w:rFonts w:ascii="Calibri" w:cs="Calibri" w:eastAsia="Calibri" w:hAnsi="Calibri"/>
          <w:sz w:val="18"/>
          <w:szCs w:val="18"/>
          <w:i w:val="1"/>
          <w:iCs w:val="1"/>
          <w:color w:val="auto"/>
        </w:rPr>
        <w:t xml:space="preserve"> Improvements to Reportable Segment Disclosures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2023, the FASB issued ASU 2023-07, </w:t>
      </w:r>
      <w:r>
        <w:rPr>
          <w:rFonts w:ascii="Calibri" w:cs="Calibri" w:eastAsia="Calibri" w:hAnsi="Calibri"/>
          <w:sz w:val="18"/>
          <w:szCs w:val="18"/>
          <w:i w:val="1"/>
          <w:iCs w:val="1"/>
          <w:color w:val="auto"/>
        </w:rPr>
        <w:t>Segment Reportng (Topic 280): Improvements to Reportable Segment Disclosures</w:t>
      </w:r>
      <w:r>
        <w:rPr>
          <w:rFonts w:ascii="Calibri" w:cs="Calibri" w:eastAsia="Calibri" w:hAnsi="Calibri"/>
          <w:sz w:val="18"/>
          <w:szCs w:val="18"/>
          <w:color w:val="auto"/>
        </w:rPr>
        <w:t>, which updates reportable segment disclosure requirements primarily through enhanced disclosures about signifcant segment expenses. The amendments are efectve for fscal years beginning afer December 15, 2023, and for interim periods within fscal years beginning afer December 15, 2024. Early adopton is permited. The amendments should be applied retrospectvely to all prior periods presented in the fnancial statements. We are currently evaluatng the impact of adoptng the amendments on our future condensed consolidated fnancial statements.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2023</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the FASB issued ASU 2023-09</w:t>
      </w:r>
      <w:r>
        <w:rPr>
          <w:rFonts w:ascii="Calibri" w:cs="Calibri" w:eastAsia="Calibri" w:hAnsi="Calibri"/>
          <w:sz w:val="18"/>
          <w:szCs w:val="18"/>
          <w:i w:val="1"/>
          <w:iCs w:val="1"/>
          <w:color w:val="auto"/>
        </w:rPr>
        <w:t>, Income Taxes (Topic 740): Improvements to Income Tax Disclosures,</w:t>
      </w:r>
      <w:r>
        <w:rPr>
          <w:rFonts w:ascii="Calibri" w:cs="Calibri" w:eastAsia="Calibri" w:hAnsi="Calibri"/>
          <w:sz w:val="18"/>
          <w:szCs w:val="18"/>
          <w:color w:val="auto"/>
        </w:rPr>
        <w:t xml:space="preserve"> which requires that an entty, on an annual basis, disclose additonal income tax informaton, primarily related to the rate reconciliaton and income taxes paid. The amendments are intended to enhance the transparency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and decision usefulness of income tax disclosures. The amendments are efectve for annual periods beginning afer December 15, 2025. We are currently evaluatng the impact of adoptng the new standard, which is expected to result in enhanced disclosures, on our future condensed consolidated fnancial statements.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Compensaton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March 2024, the FASB issued ASU 2024-01, </w:t>
      </w:r>
      <w:r>
        <w:rPr>
          <w:rFonts w:ascii="Calibri" w:cs="Calibri" w:eastAsia="Calibri" w:hAnsi="Calibri"/>
          <w:sz w:val="18"/>
          <w:szCs w:val="18"/>
          <w:i w:val="1"/>
          <w:iCs w:val="1"/>
          <w:color w:val="auto"/>
        </w:rPr>
        <w:t>Compensaton—Stock Compensaton (Topic 718)—Scope Applicaton of Profts Interest and Similar Awards.</w:t>
      </w:r>
      <w:r>
        <w:rPr>
          <w:rFonts w:ascii="Calibri" w:cs="Calibri" w:eastAsia="Calibri" w:hAnsi="Calibri"/>
          <w:sz w:val="18"/>
          <w:szCs w:val="18"/>
          <w:color w:val="auto"/>
        </w:rPr>
        <w:t xml:space="preserve"> The amendments are intended to improve the clarity of paragraph 718-10-15-3 and its applicaton to profts interest or similar awards, primarily through the additon of an illustratve example. The amendments are efectve for fscal years beginning afer December 15, 2025, and for interim periods within those annual periods. Early adopton is permited for both interim and annual fnancial statements that have not yet been issued or made available for issuance. We are currently evaluatng the impact of adoptng the amendments on our future condensed consolidated fnancial statements.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Business Acquisitions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Vegas.com Acquisiton</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On November 3, 2023, we acquired VDC Holdco, LLC, the parent company of Vegas.com, LLC (together, “Vegas.com”), an online tcket marketplace headquartered in Las Vegas, Nevada. The purchase price was $248.3 million, comprising $152.8 million in cash and approximately 15.6 million shares of our Class A common stock. We fnanced the cash porton of the purchase price at closing with cash on hand. The purchase consideraton allocaton is preliminary because the evaluatons necessary to assess the fair values of the net assets acquired are stll in process. The primary areas that are not yet fnalized relate to the valuatons of certain intangible assets and acquired income tax assets and liabilites. As a result, these allocatons are subject to change during the one-year measurement period. There were no changes to the preliminary purchase price allocaton during the three months ended March 31, 2024.</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Wavedash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8, 2023, we acquired WD Holdings Co., Ltd., the parent company of Wavedash Co., Ltd. (together, “Wavedash”), an online tcket marketplace headquartered in Tokyo, Japan. The purchase price was JPY 10,946.1 million, or approximately $74.3 million based on the exchange rate in efect on the acquisiton date, before considering the net efect of cash acquired. We fnanced the purchase price at closing with cash on hand. The purchase consideraton allocaton is preliminary because the evaluatons necessary to assess the fair values of the net assets acquired are stll in process. The primary areas that are not yet fnalized relate to the valuatons of certain intangible assets and acquired income tax assets and liabilites. Acquired assets and liability amounts are also stll being fnalized. As a result, these allocatons are subject to change during the one-year measurement period. There were no changes to the preliminary purchase price allocaton during the three months ended March 31, 2024.</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Revenue Recognition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recognize revenue in accordance with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We have two reportable segments: Marketplace and Resale.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processing tcket sales for live events and atractons and from facilitatng the booking of hotel rooms and packages from our Owned Propertes and from our Private Label Ofering. Our Owned Propertes consist of our websites and mobile applicatons, including Vivid Seats, Vegas.com and Wavedash, and our Private Label Ofering consists of numerous distributon partners. The Owned Propertes component of our Marketplace segment also includes our Vivid Picks daily fantasy sports ofering, where users partake in contests by making picks from a variety of sport and player matchups. Using our online platorm, we facilitate customer payments, deposits and withdrawals, coordinate tcket deliveries and provide customer service.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60" w:type="dxa"/>
            <w:vAlign w:val="bottom"/>
          </w:tcPr>
          <w:p>
            <w:pPr>
              <w:spacing w:after="0"/>
              <w:rPr>
                <w:sz w:val="20"/>
                <w:szCs w:val="20"/>
                <w:color w:val="auto"/>
              </w:rPr>
            </w:pPr>
            <w:r>
              <w:rPr>
                <w:rFonts w:ascii="Calibri" w:cs="Calibri" w:eastAsia="Calibri" w:hAnsi="Calibri"/>
                <w:sz w:val="18"/>
                <w:szCs w:val="18"/>
                <w:color w:val="auto"/>
              </w:rPr>
              <w:t>Marketplace revenues consisted of the following (in thousands):</w:t>
            </w: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6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Calibri" w:cs="Calibri" w:eastAsia="Calibri" w:hAnsi="Calibri"/>
                <w:sz w:val="18"/>
                <w:szCs w:val="18"/>
                <w:b w:val="1"/>
                <w:bCs w:val="1"/>
                <w:color w:val="auto"/>
                <w:w w:val="97"/>
              </w:rPr>
              <w:t>Three Months Ended March 31,</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16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13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jc w:val="right"/>
              <w:ind w:right="890"/>
              <w:spacing w:after="0" w:line="208" w:lineRule="exact"/>
              <w:rPr>
                <w:sz w:val="20"/>
                <w:szCs w:val="20"/>
                <w:color w:val="auto"/>
              </w:rPr>
            </w:pPr>
            <w:r>
              <w:rPr>
                <w:rFonts w:ascii="Calibri" w:cs="Calibri" w:eastAsia="Calibri" w:hAnsi="Calibri"/>
                <w:sz w:val="18"/>
                <w:szCs w:val="18"/>
                <w:b w:val="1"/>
                <w:bCs w:val="1"/>
                <w:color w:val="auto"/>
                <w:w w:val="93"/>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revenues:</w:t>
            </w:r>
          </w:p>
        </w:tc>
        <w:tc>
          <w:tcPr>
            <w:tcW w:w="13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line="215" w:lineRule="exact"/>
              <w:rPr>
                <w:sz w:val="20"/>
                <w:szCs w:val="20"/>
                <w:color w:val="auto"/>
              </w:rPr>
            </w:pPr>
            <w:r>
              <w:rPr>
                <w:rFonts w:ascii="Calibri" w:cs="Calibri" w:eastAsia="Calibri" w:hAnsi="Calibri"/>
                <w:sz w:val="18"/>
                <w:szCs w:val="18"/>
                <w:color w:val="auto"/>
              </w:rPr>
              <w:t>Owned Propertes</w:t>
            </w:r>
          </w:p>
        </w:tc>
        <w:tc>
          <w:tcPr>
            <w:tcW w:w="1320" w:type="dxa"/>
            <w:vAlign w:val="bottom"/>
          </w:tcPr>
          <w:p>
            <w:pPr>
              <w:jc w:val="right"/>
              <w:ind w:right="113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126,571</w:t>
            </w:r>
          </w:p>
        </w:tc>
        <w:tc>
          <w:tcPr>
            <w:tcW w:w="1440" w:type="dxa"/>
            <w:vAlign w:val="bottom"/>
            <w:gridSpan w:val="2"/>
          </w:tcPr>
          <w:p>
            <w:pPr>
              <w:jc w:val="right"/>
              <w:ind w:right="79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102,815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Private Label</w:t>
            </w:r>
          </w:p>
        </w:tc>
        <w:tc>
          <w:tcPr>
            <w:tcW w:w="13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33,441</w:t>
            </w: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33,766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16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Marketplace revenues</w:t>
            </w:r>
          </w:p>
        </w:tc>
        <w:tc>
          <w:tcPr>
            <w:tcW w:w="1320" w:type="dxa"/>
            <w:vAlign w:val="bottom"/>
            <w:tcBorders>
              <w:top w:val="single" w:sz="8" w:color="auto"/>
            </w:tcBorders>
          </w:tcPr>
          <w:p>
            <w:pPr>
              <w:jc w:val="right"/>
              <w:ind w:right="1130"/>
              <w:spacing w:after="0" w:line="213"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160,012</w:t>
            </w:r>
          </w:p>
        </w:tc>
        <w:tc>
          <w:tcPr>
            <w:tcW w:w="46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jc w:val="right"/>
              <w:ind w:right="790"/>
              <w:spacing w:after="0" w:line="213" w:lineRule="exact"/>
              <w:rPr>
                <w:sz w:val="20"/>
                <w:szCs w:val="20"/>
                <w:color w:val="auto"/>
              </w:rPr>
            </w:pPr>
            <w:r>
              <w:rPr>
                <w:rFonts w:ascii="Calibri" w:cs="Calibri" w:eastAsia="Calibri" w:hAnsi="Calibri"/>
                <w:sz w:val="18"/>
                <w:szCs w:val="18"/>
                <w:b w:val="1"/>
                <w:bCs w:val="1"/>
                <w:color w:val="auto"/>
                <w:w w:val="87"/>
              </w:rPr>
              <w:t>$</w:t>
            </w:r>
          </w:p>
        </w:tc>
        <w:tc>
          <w:tcPr>
            <w:tcW w:w="13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136,581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spacing w:after="0"/>
              <w:rPr>
                <w:sz w:val="20"/>
                <w:szCs w:val="20"/>
                <w:color w:val="auto"/>
              </w:rPr>
            </w:pPr>
            <w:r>
              <w:rPr>
                <w:rFonts w:ascii="Calibri" w:cs="Calibri" w:eastAsia="Calibri" w:hAnsi="Calibri"/>
                <w:sz w:val="18"/>
                <w:szCs w:val="18"/>
                <w:color w:val="auto"/>
              </w:rPr>
              <w:t>Marketplace revenues consisted of the following event categories (in thousands):</w:t>
            </w:r>
          </w:p>
        </w:tc>
        <w:tc>
          <w:tcPr>
            <w:tcW w:w="1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6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Calibri" w:cs="Calibri" w:eastAsia="Calibri" w:hAnsi="Calibri"/>
                <w:sz w:val="18"/>
                <w:szCs w:val="18"/>
                <w:b w:val="1"/>
                <w:bCs w:val="1"/>
                <w:color w:val="auto"/>
                <w:w w:val="97"/>
              </w:rPr>
              <w:t>Three Months Ended March 31,</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16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13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jc w:val="right"/>
              <w:ind w:right="890"/>
              <w:spacing w:after="0" w:line="208" w:lineRule="exact"/>
              <w:rPr>
                <w:sz w:val="20"/>
                <w:szCs w:val="20"/>
                <w:color w:val="auto"/>
              </w:rPr>
            </w:pPr>
            <w:r>
              <w:rPr>
                <w:rFonts w:ascii="Calibri" w:cs="Calibri" w:eastAsia="Calibri" w:hAnsi="Calibri"/>
                <w:sz w:val="18"/>
                <w:szCs w:val="18"/>
                <w:b w:val="1"/>
                <w:bCs w:val="1"/>
                <w:color w:val="auto"/>
                <w:w w:val="93"/>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revenues:</w:t>
            </w:r>
          </w:p>
        </w:tc>
        <w:tc>
          <w:tcPr>
            <w:tcW w:w="13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line="215" w:lineRule="exact"/>
              <w:rPr>
                <w:sz w:val="20"/>
                <w:szCs w:val="20"/>
                <w:color w:val="auto"/>
              </w:rPr>
            </w:pPr>
            <w:r>
              <w:rPr>
                <w:rFonts w:ascii="Calibri" w:cs="Calibri" w:eastAsia="Calibri" w:hAnsi="Calibri"/>
                <w:sz w:val="18"/>
                <w:szCs w:val="18"/>
                <w:color w:val="auto"/>
              </w:rPr>
              <w:t>Concerts</w:t>
            </w:r>
          </w:p>
        </w:tc>
        <w:tc>
          <w:tcPr>
            <w:tcW w:w="1320" w:type="dxa"/>
            <w:vAlign w:val="bottom"/>
          </w:tcPr>
          <w:p>
            <w:pPr>
              <w:jc w:val="right"/>
              <w:ind w:right="113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68,029</w:t>
            </w:r>
          </w:p>
        </w:tc>
        <w:tc>
          <w:tcPr>
            <w:tcW w:w="1440" w:type="dxa"/>
            <w:vAlign w:val="bottom"/>
            <w:gridSpan w:val="2"/>
          </w:tcPr>
          <w:p>
            <w:pPr>
              <w:jc w:val="right"/>
              <w:ind w:right="79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74,879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Sports</w:t>
            </w:r>
          </w:p>
        </w:tc>
        <w:tc>
          <w:tcPr>
            <w:tcW w:w="13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47,348</w:t>
            </w:r>
          </w:p>
        </w:tc>
        <w:tc>
          <w:tcPr>
            <w:tcW w:w="4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45,600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line="215" w:lineRule="exact"/>
              <w:rPr>
                <w:sz w:val="20"/>
                <w:szCs w:val="20"/>
                <w:color w:val="auto"/>
              </w:rPr>
            </w:pPr>
            <w:r>
              <w:rPr>
                <w:rFonts w:ascii="Calibri" w:cs="Calibri" w:eastAsia="Calibri" w:hAnsi="Calibri"/>
                <w:sz w:val="18"/>
                <w:szCs w:val="18"/>
                <w:color w:val="auto"/>
              </w:rPr>
              <w:t>Theater</w:t>
            </w:r>
          </w:p>
        </w:tc>
        <w:tc>
          <w:tcPr>
            <w:tcW w:w="13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37,907</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15,390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w:t>
            </w:r>
          </w:p>
        </w:tc>
        <w:tc>
          <w:tcPr>
            <w:tcW w:w="13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6,728</w:t>
            </w:r>
          </w:p>
        </w:tc>
        <w:tc>
          <w:tcPr>
            <w:tcW w:w="4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16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Total Marketplace revenues</w:t>
            </w:r>
          </w:p>
        </w:tc>
        <w:tc>
          <w:tcPr>
            <w:tcW w:w="1320" w:type="dxa"/>
            <w:vAlign w:val="bottom"/>
            <w:tcBorders>
              <w:top w:val="single" w:sz="8" w:color="auto"/>
            </w:tcBorders>
          </w:tcPr>
          <w:p>
            <w:pPr>
              <w:jc w:val="right"/>
              <w:ind w:right="1130"/>
              <w:spacing w:after="0" w:line="213"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160,012</w:t>
            </w:r>
          </w:p>
        </w:tc>
        <w:tc>
          <w:tcPr>
            <w:tcW w:w="46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jc w:val="right"/>
              <w:ind w:right="790"/>
              <w:spacing w:after="0" w:line="213" w:lineRule="exact"/>
              <w:rPr>
                <w:sz w:val="20"/>
                <w:szCs w:val="20"/>
                <w:color w:val="auto"/>
              </w:rPr>
            </w:pPr>
            <w:r>
              <w:rPr>
                <w:rFonts w:ascii="Calibri" w:cs="Calibri" w:eastAsia="Calibri" w:hAnsi="Calibri"/>
                <w:sz w:val="18"/>
                <w:szCs w:val="18"/>
                <w:b w:val="1"/>
                <w:bCs w:val="1"/>
                <w:color w:val="auto"/>
                <w:w w:val="87"/>
              </w:rPr>
              <w:t>$</w:t>
            </w:r>
          </w:p>
        </w:tc>
        <w:tc>
          <w:tcPr>
            <w:tcW w:w="13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136,581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-1748155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 marketplaces, including our own. Resale revenues were $30.8 million and $24.5 million during the three months ended March 31, 2024 and 2023, respectvely.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March 31, 2024, Deferred revenue in the Condensed Consolidated Balance Sheets was $33.0 million, which primarily relates to our Vivid Seats Rewards loyalty program. Stamps earned under the program expire in two to three years, if not converted to credits, and credits expire in two to four years, if not redeemed. We expect to recognize all outstanding deferred revenue in the next seven years.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$34.7 million was recorded as Deferred revenue, of which $8.5 million was recognized as revenue during the three months ended March 31, 2024. At December 31, 2022, $32.0 million was recorded as Deferred revenue, of which $10.9 million was recognized as revenue during the three months ended March 31, 2023.</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Segment Reporting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reportable segments are Marketplace and Resale. In our Marketplace segment, we primarily act as an intermediary between tcket buyers, sellers and partners through which we earn revenue processing tcket sales for live events and atractons and from facilitatng the booking of hotel rooms and packages. In our Resale segment, we primarily acquire tckets to resell on secondary tcket marketplaces, including our own. Revenues and contributon margin (defned as revenues less cost of revenues and marketng and selling expenses) are used by our Chief Operatng Decision Maker (our “CODM”) to assess performance of the business.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do not report our assets, capital expenditures, general and administratve expenses or related depreciaton and amortzaton expenses by segment because our CODM does not use this informaton to evaluate the performance of our operatng segments.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80" w:type="dxa"/>
            <w:vAlign w:val="bottom"/>
            <w:gridSpan w:val="2"/>
          </w:tcPr>
          <w:p>
            <w:pPr>
              <w:spacing w:after="0"/>
              <w:rPr>
                <w:sz w:val="20"/>
                <w:szCs w:val="20"/>
                <w:color w:val="auto"/>
              </w:rPr>
            </w:pPr>
            <w:r>
              <w:rPr>
                <w:rFonts w:ascii="Calibri" w:cs="Calibri" w:eastAsia="Calibri" w:hAnsi="Calibri"/>
                <w:sz w:val="18"/>
                <w:szCs w:val="18"/>
                <w:color w:val="auto"/>
              </w:rPr>
              <w:t>The following tables represent our segment informaton (in thousands):</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gridSpan w:val="4"/>
          </w:tcPr>
          <w:p>
            <w:pPr>
              <w:ind w:left="120"/>
              <w:spacing w:after="0"/>
              <w:rPr>
                <w:sz w:val="20"/>
                <w:szCs w:val="20"/>
                <w:color w:val="auto"/>
              </w:rPr>
            </w:pPr>
            <w:r>
              <w:rPr>
                <w:rFonts w:ascii="Calibri" w:cs="Calibri" w:eastAsia="Calibri" w:hAnsi="Calibri"/>
                <w:sz w:val="18"/>
                <w:szCs w:val="18"/>
                <w:b w:val="1"/>
                <w:bCs w:val="1"/>
                <w:color w:val="auto"/>
              </w:rPr>
              <w:t>Three Months Ended March 31, 2024</w:t>
            </w: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1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Marketplace</w:t>
            </w:r>
          </w:p>
        </w:tc>
        <w:tc>
          <w:tcPr>
            <w:tcW w:w="6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2"/>
          </w:tcPr>
          <w:p>
            <w:pPr>
              <w:ind w:left="360"/>
              <w:spacing w:after="0" w:line="208" w:lineRule="exact"/>
              <w:rPr>
                <w:sz w:val="20"/>
                <w:szCs w:val="20"/>
                <w:color w:val="auto"/>
              </w:rPr>
            </w:pPr>
            <w:r>
              <w:rPr>
                <w:rFonts w:ascii="Calibri" w:cs="Calibri" w:eastAsia="Calibri" w:hAnsi="Calibri"/>
                <w:sz w:val="18"/>
                <w:szCs w:val="18"/>
                <w:b w:val="1"/>
                <w:bCs w:val="1"/>
                <w:color w:val="auto"/>
              </w:rPr>
              <w:t>Resale</w:t>
            </w:r>
          </w:p>
        </w:tc>
        <w:tc>
          <w:tcPr>
            <w:tcW w:w="3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490"/>
              <w:spacing w:after="0" w:line="208" w:lineRule="exact"/>
              <w:rPr>
                <w:sz w:val="20"/>
                <w:szCs w:val="20"/>
                <w:color w:val="auto"/>
              </w:rPr>
            </w:pPr>
            <w:r>
              <w:rPr>
                <w:rFonts w:ascii="Calibri" w:cs="Calibri" w:eastAsia="Calibri" w:hAnsi="Calibri"/>
                <w:sz w:val="18"/>
                <w:szCs w:val="18"/>
                <w:b w:val="1"/>
                <w:bCs w:val="1"/>
                <w:color w:val="auto"/>
              </w:rPr>
              <w:t>Consolidated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Revenues</w:t>
            </w:r>
          </w:p>
        </w:tc>
        <w:tc>
          <w:tcPr>
            <w:tcW w:w="1540" w:type="dxa"/>
            <w:vAlign w:val="bottom"/>
            <w:tcBorders>
              <w:bottom w:val="single" w:sz="8" w:color="CFF0FC"/>
            </w:tcBorders>
            <w:shd w:val="clear" w:color="auto" w:fill="CFF0FC"/>
          </w:tcPr>
          <w:p>
            <w:pPr>
              <w:jc w:val="right"/>
              <w:ind w:right="1330"/>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7"/>
              </w:rPr>
              <w:t>160,012</w:t>
            </w:r>
          </w:p>
        </w:tc>
        <w:tc>
          <w:tcPr>
            <w:tcW w:w="960" w:type="dxa"/>
            <w:vAlign w:val="bottom"/>
            <w:tcBorders>
              <w:bottom w:val="single" w:sz="8" w:color="CFF0FC"/>
            </w:tcBorders>
            <w:gridSpan w:val="2"/>
            <w:shd w:val="clear" w:color="auto" w:fill="CFF0FC"/>
          </w:tcPr>
          <w:p>
            <w:pPr>
              <w:jc w:val="right"/>
              <w:ind w:right="270"/>
              <w:spacing w:after="0" w:line="208" w:lineRule="exact"/>
              <w:rPr>
                <w:sz w:val="20"/>
                <w:szCs w:val="20"/>
                <w:color w:val="auto"/>
              </w:rPr>
            </w:pPr>
            <w:r>
              <w:rPr>
                <w:rFonts w:ascii="Calibri" w:cs="Calibri" w:eastAsia="Calibri" w:hAnsi="Calibri"/>
                <w:sz w:val="18"/>
                <w:szCs w:val="18"/>
                <w:color w:val="auto"/>
              </w:rPr>
              <w:t>$</w:t>
            </w:r>
          </w:p>
        </w:tc>
        <w:tc>
          <w:tcPr>
            <w:tcW w:w="1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30,840</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190,852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40" w:type="dxa"/>
            <w:vAlign w:val="bottom"/>
          </w:tcPr>
          <w:p>
            <w:pPr>
              <w:ind w:left="20"/>
              <w:spacing w:after="0" w:line="207" w:lineRule="exact"/>
              <w:rPr>
                <w:sz w:val="20"/>
                <w:szCs w:val="20"/>
                <w:color w:val="auto"/>
              </w:rPr>
            </w:pPr>
            <w:r>
              <w:rPr>
                <w:rFonts w:ascii="Calibri" w:cs="Calibri" w:eastAsia="Calibri" w:hAnsi="Calibri"/>
                <w:sz w:val="18"/>
                <w:szCs w:val="18"/>
                <w:color w:val="auto"/>
              </w:rPr>
              <w:t>Cost of revenues (exclusive of depreciaton and</w:t>
            </w:r>
          </w:p>
        </w:tc>
        <w:tc>
          <w:tcPr>
            <w:tcW w:w="15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8"/>
                <w:szCs w:val="18"/>
                <w:color w:val="auto"/>
              </w:rPr>
              <w:t>26,141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Calibri" w:cs="Calibri" w:eastAsia="Calibri" w:hAnsi="Calibri"/>
                <w:sz w:val="18"/>
                <w:szCs w:val="18"/>
                <w:color w:val="auto"/>
              </w:rPr>
              <w:t>23,442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vMerge w:val="restart"/>
          </w:tcPr>
          <w:p>
            <w:pPr>
              <w:jc w:val="right"/>
              <w:spacing w:after="0"/>
              <w:rPr>
                <w:sz w:val="20"/>
                <w:szCs w:val="20"/>
                <w:color w:val="auto"/>
              </w:rPr>
            </w:pPr>
            <w:r>
              <w:rPr>
                <w:rFonts w:ascii="Calibri" w:cs="Calibri" w:eastAsia="Calibri" w:hAnsi="Calibri"/>
                <w:sz w:val="18"/>
                <w:szCs w:val="18"/>
                <w:color w:val="auto"/>
              </w:rPr>
              <w:t>49,583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3940" w:type="dxa"/>
            <w:vAlign w:val="bottom"/>
            <w:vMerge w:val="restart"/>
          </w:tcPr>
          <w:p>
            <w:pPr>
              <w:ind w:left="20"/>
              <w:spacing w:after="0" w:line="215" w:lineRule="exact"/>
              <w:rPr>
                <w:sz w:val="20"/>
                <w:szCs w:val="20"/>
                <w:color w:val="auto"/>
              </w:rPr>
            </w:pPr>
            <w:r>
              <w:rPr>
                <w:rFonts w:ascii="Calibri" w:cs="Calibri" w:eastAsia="Calibri" w:hAnsi="Calibri"/>
                <w:sz w:val="18"/>
                <w:szCs w:val="18"/>
                <w:color w:val="auto"/>
              </w:rPr>
              <w:t>amortzaton shown separately below)</w:t>
            </w:r>
          </w:p>
        </w:tc>
        <w:tc>
          <w:tcPr>
            <w:tcW w:w="15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15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67,745</w:t>
            </w:r>
          </w:p>
        </w:tc>
        <w:tc>
          <w:tcPr>
            <w:tcW w:w="5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CFF0FC"/>
            </w:tcBorders>
            <w:gridSpan w:val="2"/>
            <w:shd w:val="clear" w:color="auto" w:fill="CFF0FC"/>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67,745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9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Contributon margin</w:t>
            </w:r>
          </w:p>
        </w:tc>
        <w:tc>
          <w:tcPr>
            <w:tcW w:w="1540" w:type="dxa"/>
            <w:vAlign w:val="bottom"/>
            <w:tcBorders>
              <w:top w:val="single" w:sz="8" w:color="auto"/>
            </w:tcBorders>
          </w:tcPr>
          <w:p>
            <w:pPr>
              <w:jc w:val="right"/>
              <w:ind w:right="1330"/>
              <w:spacing w:after="0" w:line="208" w:lineRule="exact"/>
              <w:rPr>
                <w:sz w:val="20"/>
                <w:szCs w:val="20"/>
                <w:color w:val="auto"/>
              </w:rPr>
            </w:pPr>
            <w:r>
              <w:rPr>
                <w:rFonts w:ascii="Calibri" w:cs="Calibri" w:eastAsia="Calibri" w:hAnsi="Calibri"/>
                <w:sz w:val="18"/>
                <w:szCs w:val="18"/>
                <w:b w:val="1"/>
                <w:bCs w:val="1"/>
                <w:color w:val="auto"/>
              </w:rPr>
              <w:t>$</w:t>
            </w:r>
          </w:p>
        </w:tc>
        <w:tc>
          <w:tcPr>
            <w:tcW w:w="6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66,126</w:t>
            </w:r>
          </w:p>
        </w:tc>
        <w:tc>
          <w:tcPr>
            <w:tcW w:w="50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w w:val="87"/>
              </w:rPr>
              <w:t>$</w:t>
            </w:r>
          </w:p>
        </w:tc>
        <w:tc>
          <w:tcPr>
            <w:tcW w:w="1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7,398</w:t>
            </w:r>
          </w:p>
        </w:tc>
        <w:tc>
          <w:tcPr>
            <w:tcW w:w="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b w:val="1"/>
                <w:bCs w:val="1"/>
                <w:color w:val="auto"/>
              </w:rPr>
              <w:t>$</w:t>
            </w:r>
          </w:p>
        </w:tc>
        <w:tc>
          <w:tcPr>
            <w:tcW w:w="17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73,524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General and administratve</w:t>
            </w:r>
          </w:p>
        </w:tc>
        <w:tc>
          <w:tcPr>
            <w:tcW w:w="15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42,366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line="215" w:lineRule="exact"/>
              <w:rPr>
                <w:sz w:val="20"/>
                <w:szCs w:val="20"/>
                <w:color w:val="auto"/>
              </w:rPr>
            </w:pPr>
            <w:r>
              <w:rPr>
                <w:rFonts w:ascii="Calibri" w:cs="Calibri" w:eastAsia="Calibri" w:hAnsi="Calibri"/>
                <w:sz w:val="18"/>
                <w:szCs w:val="18"/>
                <w:color w:val="auto"/>
              </w:rPr>
              <w:t>10,483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Income from operatons</w:t>
            </w:r>
          </w:p>
        </w:tc>
        <w:tc>
          <w:tcPr>
            <w:tcW w:w="15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20,675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line="215" w:lineRule="exact"/>
              <w:rPr>
                <w:sz w:val="20"/>
                <w:szCs w:val="20"/>
                <w:color w:val="auto"/>
              </w:rPr>
            </w:pPr>
            <w:r>
              <w:rPr>
                <w:rFonts w:ascii="Calibri" w:cs="Calibri" w:eastAsia="Calibri" w:hAnsi="Calibri"/>
                <w:sz w:val="18"/>
                <w:szCs w:val="18"/>
                <w:color w:val="auto"/>
              </w:rPr>
              <w:t>5,082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expense</w:t>
            </w:r>
          </w:p>
        </w:tc>
        <w:tc>
          <w:tcPr>
            <w:tcW w:w="15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94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b w:val="1"/>
                <w:bCs w:val="1"/>
                <w:color w:val="auto"/>
              </w:rPr>
              <w:t>Income before income taxes</w:t>
            </w:r>
          </w:p>
        </w:tc>
        <w:tc>
          <w:tcPr>
            <w:tcW w:w="1540" w:type="dxa"/>
            <w:vAlign w:val="bottom"/>
            <w:tcBorders>
              <w:top w:val="single" w:sz="8" w:color="CFF0FC"/>
            </w:tcBorders>
          </w:tcPr>
          <w:p>
            <w:pPr>
              <w:spacing w:after="0"/>
              <w:rPr>
                <w:sz w:val="18"/>
                <w:szCs w:val="18"/>
                <w:color w:val="auto"/>
              </w:rPr>
            </w:pPr>
          </w:p>
        </w:tc>
        <w:tc>
          <w:tcPr>
            <w:tcW w:w="60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460" w:type="dxa"/>
            <w:vAlign w:val="bottom"/>
            <w:tcBorders>
              <w:top w:val="single" w:sz="8" w:color="CFF0FC"/>
            </w:tcBorders>
          </w:tcPr>
          <w:p>
            <w:pPr>
              <w:spacing w:after="0"/>
              <w:rPr>
                <w:sz w:val="18"/>
                <w:szCs w:val="18"/>
                <w:color w:val="auto"/>
              </w:rPr>
            </w:pPr>
          </w:p>
        </w:tc>
        <w:tc>
          <w:tcPr>
            <w:tcW w:w="164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30"/>
              <w:spacing w:after="0" w:line="213" w:lineRule="exact"/>
              <w:rPr>
                <w:sz w:val="20"/>
                <w:szCs w:val="20"/>
                <w:color w:val="auto"/>
              </w:rPr>
            </w:pPr>
            <w:r>
              <w:rPr>
                <w:rFonts w:ascii="Calibri" w:cs="Calibri" w:eastAsia="Calibri" w:hAnsi="Calibri"/>
                <w:sz w:val="18"/>
                <w:szCs w:val="18"/>
                <w:b w:val="1"/>
                <w:bCs w:val="1"/>
                <w:color w:val="auto"/>
              </w:rPr>
              <w:t>$</w:t>
            </w:r>
          </w:p>
        </w:tc>
        <w:tc>
          <w:tcPr>
            <w:tcW w:w="17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13,011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gridSpan w:val="4"/>
            <w:vMerge w:val="restart"/>
          </w:tcPr>
          <w:p>
            <w:pPr>
              <w:ind w:left="120"/>
              <w:spacing w:after="0"/>
              <w:rPr>
                <w:sz w:val="20"/>
                <w:szCs w:val="20"/>
                <w:color w:val="auto"/>
              </w:rPr>
            </w:pPr>
            <w:r>
              <w:rPr>
                <w:rFonts w:ascii="Calibri" w:cs="Calibri" w:eastAsia="Calibri" w:hAnsi="Calibri"/>
                <w:sz w:val="18"/>
                <w:szCs w:val="18"/>
                <w:b w:val="1"/>
                <w:bCs w:val="1"/>
                <w:color w:val="auto"/>
              </w:rPr>
              <w:t>Three Months Ended March 31, 2023</w:t>
            </w: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4"/>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3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9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1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Marketplace</w:t>
            </w:r>
          </w:p>
        </w:tc>
        <w:tc>
          <w:tcPr>
            <w:tcW w:w="6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2"/>
          </w:tcPr>
          <w:p>
            <w:pPr>
              <w:ind w:left="360"/>
              <w:spacing w:after="0" w:line="208" w:lineRule="exact"/>
              <w:rPr>
                <w:sz w:val="20"/>
                <w:szCs w:val="20"/>
                <w:color w:val="auto"/>
              </w:rPr>
            </w:pPr>
            <w:r>
              <w:rPr>
                <w:rFonts w:ascii="Calibri" w:cs="Calibri" w:eastAsia="Calibri" w:hAnsi="Calibri"/>
                <w:sz w:val="18"/>
                <w:szCs w:val="18"/>
                <w:b w:val="1"/>
                <w:bCs w:val="1"/>
                <w:color w:val="auto"/>
              </w:rPr>
              <w:t>Resale</w:t>
            </w:r>
          </w:p>
        </w:tc>
        <w:tc>
          <w:tcPr>
            <w:tcW w:w="3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490"/>
              <w:spacing w:after="0" w:line="208" w:lineRule="exact"/>
              <w:rPr>
                <w:sz w:val="20"/>
                <w:szCs w:val="20"/>
                <w:color w:val="auto"/>
              </w:rPr>
            </w:pPr>
            <w:r>
              <w:rPr>
                <w:rFonts w:ascii="Calibri" w:cs="Calibri" w:eastAsia="Calibri" w:hAnsi="Calibri"/>
                <w:sz w:val="18"/>
                <w:szCs w:val="18"/>
                <w:b w:val="1"/>
                <w:bCs w:val="1"/>
                <w:color w:val="auto"/>
              </w:rPr>
              <w:t>Consolidated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Revenues</w:t>
            </w:r>
          </w:p>
        </w:tc>
        <w:tc>
          <w:tcPr>
            <w:tcW w:w="1540" w:type="dxa"/>
            <w:vAlign w:val="bottom"/>
            <w:tcBorders>
              <w:bottom w:val="single" w:sz="8" w:color="CFF0FC"/>
            </w:tcBorders>
            <w:shd w:val="clear" w:color="auto" w:fill="CFF0FC"/>
          </w:tcPr>
          <w:p>
            <w:pPr>
              <w:jc w:val="right"/>
              <w:ind w:right="1330"/>
              <w:spacing w:after="0" w:line="208"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7"/>
              </w:rPr>
              <w:t>136,581</w:t>
            </w:r>
          </w:p>
        </w:tc>
        <w:tc>
          <w:tcPr>
            <w:tcW w:w="960" w:type="dxa"/>
            <w:vAlign w:val="bottom"/>
            <w:tcBorders>
              <w:bottom w:val="single" w:sz="8" w:color="CFF0FC"/>
            </w:tcBorders>
            <w:gridSpan w:val="2"/>
            <w:shd w:val="clear" w:color="auto" w:fill="CFF0FC"/>
          </w:tcPr>
          <w:p>
            <w:pPr>
              <w:jc w:val="right"/>
              <w:ind w:right="270"/>
              <w:spacing w:after="0" w:line="208" w:lineRule="exact"/>
              <w:rPr>
                <w:sz w:val="20"/>
                <w:szCs w:val="20"/>
                <w:color w:val="auto"/>
              </w:rPr>
            </w:pPr>
            <w:r>
              <w:rPr>
                <w:rFonts w:ascii="Calibri" w:cs="Calibri" w:eastAsia="Calibri" w:hAnsi="Calibri"/>
                <w:sz w:val="18"/>
                <w:szCs w:val="18"/>
                <w:color w:val="auto"/>
              </w:rPr>
              <w:t>$</w:t>
            </w:r>
          </w:p>
        </w:tc>
        <w:tc>
          <w:tcPr>
            <w:tcW w:w="1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24,482</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161,063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40" w:type="dxa"/>
            <w:vAlign w:val="bottom"/>
          </w:tcPr>
          <w:p>
            <w:pPr>
              <w:ind w:left="20"/>
              <w:spacing w:after="0" w:line="207" w:lineRule="exact"/>
              <w:rPr>
                <w:sz w:val="20"/>
                <w:szCs w:val="20"/>
                <w:color w:val="auto"/>
              </w:rPr>
            </w:pPr>
            <w:r>
              <w:rPr>
                <w:rFonts w:ascii="Calibri" w:cs="Calibri" w:eastAsia="Calibri" w:hAnsi="Calibri"/>
                <w:sz w:val="18"/>
                <w:szCs w:val="18"/>
                <w:color w:val="auto"/>
              </w:rPr>
              <w:t>Cost of revenues (exclusive of depreciaton and</w:t>
            </w:r>
          </w:p>
        </w:tc>
        <w:tc>
          <w:tcPr>
            <w:tcW w:w="15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8"/>
                <w:szCs w:val="18"/>
                <w:color w:val="auto"/>
              </w:rPr>
              <w:t>20,060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Calibri" w:cs="Calibri" w:eastAsia="Calibri" w:hAnsi="Calibri"/>
                <w:sz w:val="18"/>
                <w:szCs w:val="18"/>
                <w:color w:val="auto"/>
              </w:rPr>
              <w:t>17,700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vMerge w:val="restart"/>
          </w:tcPr>
          <w:p>
            <w:pPr>
              <w:jc w:val="right"/>
              <w:spacing w:after="0"/>
              <w:rPr>
                <w:sz w:val="20"/>
                <w:szCs w:val="20"/>
                <w:color w:val="auto"/>
              </w:rPr>
            </w:pPr>
            <w:r>
              <w:rPr>
                <w:rFonts w:ascii="Calibri" w:cs="Calibri" w:eastAsia="Calibri" w:hAnsi="Calibri"/>
                <w:sz w:val="18"/>
                <w:szCs w:val="18"/>
                <w:color w:val="auto"/>
              </w:rPr>
              <w:t>37,760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3940" w:type="dxa"/>
            <w:vAlign w:val="bottom"/>
            <w:vMerge w:val="restart"/>
          </w:tcPr>
          <w:p>
            <w:pPr>
              <w:ind w:left="20"/>
              <w:spacing w:after="0" w:line="215" w:lineRule="exact"/>
              <w:rPr>
                <w:sz w:val="20"/>
                <w:szCs w:val="20"/>
                <w:color w:val="auto"/>
              </w:rPr>
            </w:pPr>
            <w:r>
              <w:rPr>
                <w:rFonts w:ascii="Calibri" w:cs="Calibri" w:eastAsia="Calibri" w:hAnsi="Calibri"/>
                <w:sz w:val="18"/>
                <w:szCs w:val="18"/>
                <w:color w:val="auto"/>
              </w:rPr>
              <w:t>amortzaton shown separately below)</w:t>
            </w:r>
          </w:p>
        </w:tc>
        <w:tc>
          <w:tcPr>
            <w:tcW w:w="15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9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15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54,772</w:t>
            </w:r>
          </w:p>
        </w:tc>
        <w:tc>
          <w:tcPr>
            <w:tcW w:w="5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CFF0FC"/>
            </w:tcBorders>
            <w:gridSpan w:val="2"/>
            <w:shd w:val="clear" w:color="auto" w:fill="CFF0FC"/>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54,772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9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Contributon margin</w:t>
            </w:r>
          </w:p>
        </w:tc>
        <w:tc>
          <w:tcPr>
            <w:tcW w:w="1540" w:type="dxa"/>
            <w:vAlign w:val="bottom"/>
            <w:tcBorders>
              <w:top w:val="single" w:sz="8" w:color="auto"/>
            </w:tcBorders>
          </w:tcPr>
          <w:p>
            <w:pPr>
              <w:jc w:val="right"/>
              <w:ind w:right="1330"/>
              <w:spacing w:after="0" w:line="208" w:lineRule="exact"/>
              <w:rPr>
                <w:sz w:val="20"/>
                <w:szCs w:val="20"/>
                <w:color w:val="auto"/>
              </w:rPr>
            </w:pPr>
            <w:r>
              <w:rPr>
                <w:rFonts w:ascii="Calibri" w:cs="Calibri" w:eastAsia="Calibri" w:hAnsi="Calibri"/>
                <w:sz w:val="18"/>
                <w:szCs w:val="18"/>
                <w:b w:val="1"/>
                <w:bCs w:val="1"/>
                <w:color w:val="auto"/>
              </w:rPr>
              <w:t>$</w:t>
            </w:r>
          </w:p>
        </w:tc>
        <w:tc>
          <w:tcPr>
            <w:tcW w:w="6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61,749</w:t>
            </w:r>
          </w:p>
        </w:tc>
        <w:tc>
          <w:tcPr>
            <w:tcW w:w="50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w w:val="87"/>
              </w:rPr>
              <w:t>$</w:t>
            </w:r>
          </w:p>
        </w:tc>
        <w:tc>
          <w:tcPr>
            <w:tcW w:w="1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6,782</w:t>
            </w:r>
          </w:p>
        </w:tc>
        <w:tc>
          <w:tcPr>
            <w:tcW w:w="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b w:val="1"/>
                <w:bCs w:val="1"/>
                <w:color w:val="auto"/>
              </w:rPr>
              <w:t>$</w:t>
            </w:r>
          </w:p>
        </w:tc>
        <w:tc>
          <w:tcPr>
            <w:tcW w:w="17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68,531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General and administratve</w:t>
            </w:r>
          </w:p>
        </w:tc>
        <w:tc>
          <w:tcPr>
            <w:tcW w:w="15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32,389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line="215" w:lineRule="exact"/>
              <w:rPr>
                <w:sz w:val="20"/>
                <w:szCs w:val="20"/>
                <w:color w:val="auto"/>
              </w:rPr>
            </w:pPr>
            <w:r>
              <w:rPr>
                <w:rFonts w:ascii="Calibri" w:cs="Calibri" w:eastAsia="Calibri" w:hAnsi="Calibri"/>
                <w:sz w:val="18"/>
                <w:szCs w:val="18"/>
                <w:color w:val="auto"/>
              </w:rPr>
              <w:t>2,598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Change in fair value of contngent consideraton</w:t>
            </w:r>
          </w:p>
        </w:tc>
        <w:tc>
          <w:tcPr>
            <w:tcW w:w="15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9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Income from operatons</w:t>
            </w:r>
          </w:p>
        </w:tc>
        <w:tc>
          <w:tcPr>
            <w:tcW w:w="1540" w:type="dxa"/>
            <w:vAlign w:val="bottom"/>
            <w:tcBorders>
              <w:top w:val="single" w:sz="8" w:color="CFF0FC"/>
            </w:tcBorders>
          </w:tcPr>
          <w:p>
            <w:pPr>
              <w:spacing w:after="0"/>
              <w:rPr>
                <w:sz w:val="18"/>
                <w:szCs w:val="18"/>
                <w:color w:val="auto"/>
              </w:rPr>
            </w:pPr>
          </w:p>
        </w:tc>
        <w:tc>
          <w:tcPr>
            <w:tcW w:w="60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460" w:type="dxa"/>
            <w:vAlign w:val="bottom"/>
            <w:tcBorders>
              <w:top w:val="single" w:sz="8" w:color="CFF0FC"/>
            </w:tcBorders>
          </w:tcPr>
          <w:p>
            <w:pPr>
              <w:spacing w:after="0"/>
              <w:rPr>
                <w:sz w:val="18"/>
                <w:szCs w:val="18"/>
                <w:color w:val="auto"/>
              </w:rPr>
            </w:pPr>
          </w:p>
        </w:tc>
        <w:tc>
          <w:tcPr>
            <w:tcW w:w="164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33,510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15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(327 )</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9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Income before income taxes</w:t>
            </w:r>
          </w:p>
        </w:tc>
        <w:tc>
          <w:tcPr>
            <w:tcW w:w="154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16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30"/>
              <w:spacing w:after="0" w:line="208" w:lineRule="exact"/>
              <w:rPr>
                <w:sz w:val="20"/>
                <w:szCs w:val="20"/>
                <w:color w:val="auto"/>
              </w:rPr>
            </w:pPr>
            <w:r>
              <w:rPr>
                <w:rFonts w:ascii="Calibri" w:cs="Calibri" w:eastAsia="Calibri" w:hAnsi="Calibri"/>
                <w:sz w:val="18"/>
                <w:szCs w:val="18"/>
                <w:b w:val="1"/>
                <w:bCs w:val="1"/>
                <w:color w:val="auto"/>
              </w:rPr>
              <w:t>$</w:t>
            </w:r>
          </w:p>
        </w:tc>
        <w:tc>
          <w:tcPr>
            <w:tcW w:w="1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30,557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-3616960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-3616960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-1285240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-1285240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Substantally all of our sales occur and assets reside in the United States.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6. Accounts Receivable </w:t>
      </w:r>
      <w:r>
        <w:rPr>
          <w:rFonts w:ascii="Times New Roman" w:cs="Times New Roman" w:eastAsia="Times New Roman" w:hAnsi="Times New Roman"/>
          <w:sz w:val="18"/>
          <w:szCs w:val="18"/>
          <w:b w:val="1"/>
          <w:bCs w:val="1"/>
          <w:color w:val="auto"/>
        </w:rPr>
        <w:t>-</w:t>
      </w:r>
      <w:r>
        <w:rPr>
          <w:rFonts w:ascii="Calibri" w:cs="Calibri" w:eastAsia="Calibri" w:hAnsi="Calibri"/>
          <w:sz w:val="18"/>
          <w:szCs w:val="18"/>
          <w:b w:val="1"/>
          <w:bCs w:val="1"/>
          <w:color w:val="auto"/>
        </w:rPr>
        <w:t xml:space="preserve"> Net</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accounts receivable balance, net of allowance for doubtul accounts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b w:val="1"/>
                <w:bCs w:val="1"/>
                <w:color w:val="auto"/>
              </w:rPr>
              <w:t>March 31,</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50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4900" w:type="dxa"/>
            <w:vAlign w:val="bottom"/>
          </w:tcPr>
          <w:p>
            <w:pPr>
              <w:spacing w:after="0"/>
              <w:rPr>
                <w:sz w:val="21"/>
                <w:szCs w:val="21"/>
                <w:color w:val="auto"/>
              </w:rPr>
            </w:pPr>
          </w:p>
        </w:tc>
        <w:tc>
          <w:tcPr>
            <w:tcW w:w="3560" w:type="dxa"/>
            <w:vAlign w:val="bottom"/>
            <w:gridSpan w:val="2"/>
          </w:tcPr>
          <w:p>
            <w:pPr>
              <w:jc w:val="right"/>
              <w:ind w:right="110"/>
              <w:spacing w:after="0"/>
              <w:rPr>
                <w:sz w:val="20"/>
                <w:szCs w:val="20"/>
                <w:color w:val="auto"/>
              </w:rPr>
            </w:pPr>
            <w:r>
              <w:rPr>
                <w:rFonts w:ascii="Calibri" w:cs="Calibri" w:eastAsia="Calibri" w:hAnsi="Calibri"/>
                <w:sz w:val="18"/>
                <w:szCs w:val="18"/>
                <w:b w:val="1"/>
                <w:bCs w:val="1"/>
                <w:color w:val="auto"/>
              </w:rPr>
              <w:t>2024</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63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49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49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Uncollateralized payment processor obligatons</w:t>
            </w:r>
          </w:p>
        </w:tc>
        <w:tc>
          <w:tcPr>
            <w:tcW w:w="3560" w:type="dxa"/>
            <w:vAlign w:val="bottom"/>
            <w:tcBorders>
              <w:bottom w:val="single" w:sz="8" w:color="CFF0FC"/>
            </w:tcBorders>
            <w:gridSpan w:val="2"/>
            <w:shd w:val="clear" w:color="auto" w:fill="CFF0FC"/>
          </w:tcPr>
          <w:p>
            <w:pPr>
              <w:jc w:val="right"/>
              <w:ind w:right="1110"/>
              <w:spacing w:after="0" w:line="208"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49,100</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32,810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900" w:type="dxa"/>
            <w:vAlign w:val="bottom"/>
          </w:tcPr>
          <w:p>
            <w:pPr>
              <w:ind w:left="20"/>
              <w:spacing w:after="0" w:line="215" w:lineRule="exact"/>
              <w:rPr>
                <w:sz w:val="20"/>
                <w:szCs w:val="20"/>
                <w:color w:val="auto"/>
              </w:rPr>
            </w:pPr>
            <w:r>
              <w:rPr>
                <w:rFonts w:ascii="Calibri" w:cs="Calibri" w:eastAsia="Calibri" w:hAnsi="Calibri"/>
                <w:sz w:val="18"/>
                <w:szCs w:val="18"/>
                <w:color w:val="auto"/>
              </w:rPr>
              <w:t>Due from marketplace tcket sellers for cancellaton charges</w:t>
            </w: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5,980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5,632</w:t>
            </w:r>
          </w:p>
        </w:tc>
        <w:tc>
          <w:tcPr>
            <w:tcW w:w="100" w:type="dxa"/>
            <w:vAlign w:val="bottom"/>
          </w:tcPr>
          <w:p>
            <w:pPr>
              <w:spacing w:after="0"/>
              <w:rPr>
                <w:sz w:val="18"/>
                <w:szCs w:val="18"/>
                <w:color w:val="auto"/>
              </w:rPr>
            </w:pPr>
          </w:p>
        </w:tc>
      </w:tr>
      <w:tr>
        <w:trPr>
          <w:trHeight w:val="28"/>
        </w:trPr>
        <w:tc>
          <w:tcPr>
            <w:tcW w:w="49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Due from distributon partners for cancellaton charges</w:t>
            </w:r>
          </w:p>
        </w:tc>
        <w:tc>
          <w:tcPr>
            <w:tcW w:w="22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13,750</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900" w:type="dxa"/>
            <w:vAlign w:val="bottom"/>
          </w:tcPr>
          <w:p>
            <w:pPr>
              <w:ind w:left="20"/>
              <w:spacing w:after="0" w:line="215" w:lineRule="exact"/>
              <w:rPr>
                <w:sz w:val="20"/>
                <w:szCs w:val="20"/>
                <w:color w:val="auto"/>
              </w:rPr>
            </w:pPr>
            <w:r>
              <w:rPr>
                <w:rFonts w:ascii="Calibri" w:cs="Calibri" w:eastAsia="Calibri" w:hAnsi="Calibri"/>
                <w:sz w:val="18"/>
                <w:szCs w:val="18"/>
                <w:color w:val="auto"/>
              </w:rPr>
              <w:t>Event insurance and other commissions receivable</w:t>
            </w: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4,745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11,414</w:t>
            </w:r>
          </w:p>
        </w:tc>
        <w:tc>
          <w:tcPr>
            <w:tcW w:w="100" w:type="dxa"/>
            <w:vAlign w:val="bottom"/>
          </w:tcPr>
          <w:p>
            <w:pPr>
              <w:spacing w:after="0"/>
              <w:rPr>
                <w:sz w:val="18"/>
                <w:szCs w:val="18"/>
                <w:color w:val="auto"/>
              </w:rPr>
            </w:pPr>
          </w:p>
        </w:tc>
      </w:tr>
      <w:tr>
        <w:trPr>
          <w:trHeight w:val="28"/>
        </w:trPr>
        <w:tc>
          <w:tcPr>
            <w:tcW w:w="49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Allowance for credit losses</w:t>
            </w:r>
          </w:p>
        </w:tc>
        <w:tc>
          <w:tcPr>
            <w:tcW w:w="22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w w:val="95"/>
              </w:rPr>
              <w:t>(10,853 )</w:t>
            </w:r>
          </w:p>
        </w:tc>
        <w:tc>
          <w:tcPr>
            <w:tcW w:w="2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(10,074 )</w:t>
            </w:r>
          </w:p>
        </w:tc>
      </w:tr>
      <w:tr>
        <w:trPr>
          <w:trHeight w:val="215"/>
        </w:trPr>
        <w:tc>
          <w:tcPr>
            <w:tcW w:w="490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6,927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5,963</w:t>
            </w:r>
          </w:p>
        </w:tc>
        <w:tc>
          <w:tcPr>
            <w:tcW w:w="100" w:type="dxa"/>
            <w:vAlign w:val="bottom"/>
          </w:tcPr>
          <w:p>
            <w:pPr>
              <w:spacing w:after="0"/>
              <w:rPr>
                <w:sz w:val="18"/>
                <w:szCs w:val="18"/>
                <w:color w:val="auto"/>
              </w:rPr>
            </w:pPr>
          </w:p>
        </w:tc>
      </w:tr>
      <w:tr>
        <w:trPr>
          <w:trHeight w:val="28"/>
        </w:trPr>
        <w:tc>
          <w:tcPr>
            <w:tcW w:w="49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1"/>
        </w:trPr>
        <w:tc>
          <w:tcPr>
            <w:tcW w:w="49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Total Accounts Receivable</w:t>
            </w:r>
          </w:p>
        </w:tc>
        <w:tc>
          <w:tcPr>
            <w:tcW w:w="3560" w:type="dxa"/>
            <w:vAlign w:val="bottom"/>
            <w:tcBorders>
              <w:bottom w:val="single" w:sz="8" w:color="CFF0FC"/>
            </w:tcBorders>
            <w:gridSpan w:val="2"/>
            <w:shd w:val="clear" w:color="auto" w:fill="CFF0FC"/>
          </w:tcPr>
          <w:p>
            <w:pPr>
              <w:jc w:val="right"/>
              <w:ind w:right="1110"/>
              <w:spacing w:after="0" w:line="213"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69,649</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line="213" w:lineRule="exact"/>
              <w:rPr>
                <w:sz w:val="20"/>
                <w:szCs w:val="20"/>
                <w:color w:val="auto"/>
              </w:rPr>
            </w:pPr>
            <w:r>
              <w:rPr>
                <w:rFonts w:ascii="Calibri" w:cs="Calibri" w:eastAsia="Calibri" w:hAnsi="Calibri"/>
                <w:sz w:val="18"/>
                <w:szCs w:val="18"/>
                <w:b w:val="1"/>
                <w:bCs w:val="1"/>
                <w:color w:val="auto"/>
                <w:w w:val="87"/>
              </w:rPr>
              <w:t>$</w:t>
            </w:r>
          </w:p>
        </w:tc>
        <w:tc>
          <w:tcPr>
            <w:tcW w:w="15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58,481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21"/>
        </w:trPr>
        <w:tc>
          <w:tcPr>
            <w:tcW w:w="490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1330"/>
              <w:spacing w:after="0"/>
              <w:rPr>
                <w:sz w:val="20"/>
                <w:szCs w:val="20"/>
                <w:color w:val="auto"/>
              </w:rPr>
            </w:pPr>
            <w:r>
              <w:rPr>
                <w:rFonts w:ascii="Calibri" w:cs="Calibri" w:eastAsia="Calibri" w:hAnsi="Calibri"/>
                <w:sz w:val="18"/>
                <w:szCs w:val="18"/>
                <w:color w:val="auto"/>
              </w:rPr>
              <w:t>10</w:t>
            </w:r>
          </w:p>
        </w:tc>
        <w:tc>
          <w:tcPr>
            <w:tcW w:w="13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73"/>
        </w:trPr>
        <w:tc>
          <w:tcPr>
            <w:tcW w:w="49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-1062355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-1045210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recorded an allowance for credit losses of $10.9 million and $10.0 million at March 31, 2024 and December 31, 2023, respectvely, to refect potental challenges in collectng funds from distributon partners and tcket sellers, partcularly for amounts due upon usage of store credit previously issued to buyers. The allowance for credit losses increased during three months ended March 31, 2024 due to an increase in uncollateralized payment processor obligatons from higher recent sales volumes.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80" w:type="dxa"/>
            <w:vAlign w:val="bottom"/>
          </w:tcPr>
          <w:p>
            <w:pPr>
              <w:spacing w:after="0"/>
              <w:rPr>
                <w:sz w:val="20"/>
                <w:szCs w:val="20"/>
                <w:color w:val="auto"/>
              </w:rPr>
            </w:pPr>
            <w:r>
              <w:rPr>
                <w:rFonts w:ascii="Calibri" w:cs="Calibri" w:eastAsia="Calibri" w:hAnsi="Calibri"/>
                <w:sz w:val="18"/>
                <w:szCs w:val="18"/>
                <w:color w:val="auto"/>
              </w:rPr>
              <w:t>There were no write-ofs for the three months ended March 31, 2024 and 2023.</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6480" w:type="dxa"/>
            <w:vAlign w:val="bottom"/>
          </w:tcPr>
          <w:p>
            <w:pPr>
              <w:spacing w:after="0"/>
              <w:rPr>
                <w:sz w:val="20"/>
                <w:szCs w:val="20"/>
                <w:color w:val="auto"/>
              </w:rPr>
            </w:pPr>
            <w:r>
              <w:rPr>
                <w:rFonts w:ascii="Calibri" w:cs="Calibri" w:eastAsia="Calibri" w:hAnsi="Calibri"/>
                <w:sz w:val="18"/>
                <w:szCs w:val="18"/>
                <w:b w:val="1"/>
                <w:bCs w:val="1"/>
                <w:color w:val="auto"/>
              </w:rPr>
              <w:t>7. Prepaid Expenses and Other Current Assets</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480" w:type="dxa"/>
            <w:vAlign w:val="bottom"/>
          </w:tcPr>
          <w:p>
            <w:pPr>
              <w:spacing w:after="0"/>
              <w:rPr>
                <w:sz w:val="20"/>
                <w:szCs w:val="20"/>
                <w:color w:val="auto"/>
              </w:rPr>
            </w:pPr>
            <w:r>
              <w:rPr>
                <w:rFonts w:ascii="Calibri" w:cs="Calibri" w:eastAsia="Calibri" w:hAnsi="Calibri"/>
                <w:sz w:val="18"/>
                <w:szCs w:val="18"/>
                <w:color w:val="auto"/>
              </w:rPr>
              <w:t>Prepaid expenses and other current assets consisted of the following (in thousands):</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8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March 31,</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ind w:left="24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6480" w:type="dxa"/>
            <w:vAlign w:val="bottom"/>
          </w:tcPr>
          <w:p>
            <w:pPr>
              <w:spacing w:after="0"/>
              <w:rPr>
                <w:sz w:val="21"/>
                <w:szCs w:val="21"/>
                <w:color w:val="auto"/>
              </w:rPr>
            </w:pPr>
          </w:p>
        </w:tc>
        <w:tc>
          <w:tcPr>
            <w:tcW w:w="1560" w:type="dxa"/>
            <w:vAlign w:val="bottom"/>
          </w:tcPr>
          <w:p>
            <w:pPr>
              <w:jc w:val="right"/>
              <w:ind w:right="190"/>
              <w:spacing w:after="0"/>
              <w:rPr>
                <w:sz w:val="20"/>
                <w:szCs w:val="20"/>
                <w:color w:val="auto"/>
              </w:rPr>
            </w:pPr>
            <w:r>
              <w:rPr>
                <w:rFonts w:ascii="Calibri" w:cs="Calibri" w:eastAsia="Calibri" w:hAnsi="Calibri"/>
                <w:sz w:val="18"/>
                <w:szCs w:val="18"/>
                <w:b w:val="1"/>
                <w:bCs w:val="1"/>
                <w:color w:val="auto"/>
              </w:rPr>
              <w:t>2024</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8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64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4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Recovery of future customer compensaton</w:t>
            </w:r>
          </w:p>
        </w:tc>
        <w:tc>
          <w:tcPr>
            <w:tcW w:w="1560" w:type="dxa"/>
            <w:vAlign w:val="bottom"/>
            <w:tcBorders>
              <w:bottom w:val="single" w:sz="8" w:color="CFF0FC"/>
            </w:tcBorders>
            <w:shd w:val="clear" w:color="auto" w:fill="CFF0FC"/>
          </w:tcPr>
          <w:p>
            <w:pPr>
              <w:jc w:val="right"/>
              <w:ind w:right="1350"/>
              <w:spacing w:after="0" w:line="208"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23,563</w:t>
            </w:r>
          </w:p>
        </w:tc>
        <w:tc>
          <w:tcPr>
            <w:tcW w:w="66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8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25,750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w:t>
            </w:r>
          </w:p>
        </w:tc>
        <w:tc>
          <w:tcPr>
            <w:tcW w:w="15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11,811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8,218</w:t>
            </w:r>
          </w:p>
        </w:tc>
        <w:tc>
          <w:tcPr>
            <w:tcW w:w="100" w:type="dxa"/>
            <w:vAlign w:val="bottom"/>
          </w:tcPr>
          <w:p>
            <w:pPr>
              <w:spacing w:after="0"/>
              <w:rPr>
                <w:sz w:val="18"/>
                <w:szCs w:val="18"/>
                <w:color w:val="auto"/>
              </w:rPr>
            </w:pPr>
          </w:p>
        </w:tc>
      </w:tr>
      <w:tr>
        <w:trPr>
          <w:trHeight w:val="28"/>
        </w:trPr>
        <w:tc>
          <w:tcPr>
            <w:tcW w:w="6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4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current assets</w:t>
            </w:r>
          </w:p>
        </w:tc>
        <w:tc>
          <w:tcPr>
            <w:tcW w:w="15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1,448</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8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b w:val="1"/>
                <w:bCs w:val="1"/>
                <w:color w:val="auto"/>
              </w:rPr>
              <w:t>Total prepaid expenses and other current assets</w:t>
            </w:r>
          </w:p>
        </w:tc>
        <w:tc>
          <w:tcPr>
            <w:tcW w:w="1560" w:type="dxa"/>
            <w:vAlign w:val="bottom"/>
            <w:tcBorders>
              <w:top w:val="single" w:sz="8" w:color="auto"/>
              <w:bottom w:val="single" w:sz="8" w:color="auto"/>
            </w:tcBorders>
          </w:tcPr>
          <w:p>
            <w:pPr>
              <w:jc w:val="right"/>
              <w:ind w:right="1350"/>
              <w:spacing w:after="0" w:line="215" w:lineRule="exact"/>
              <w:rPr>
                <w:sz w:val="20"/>
                <w:szCs w:val="20"/>
                <w:color w:val="auto"/>
              </w:rPr>
            </w:pPr>
            <w:r>
              <w:rPr>
                <w:rFonts w:ascii="Calibri" w:cs="Calibri" w:eastAsia="Calibri" w:hAnsi="Calibri"/>
                <w:sz w:val="18"/>
                <w:szCs w:val="18"/>
                <w:b w:val="1"/>
                <w:bCs w:val="1"/>
                <w:color w:val="auto"/>
              </w:rPr>
              <w:t>$</w:t>
            </w:r>
          </w:p>
        </w:tc>
        <w:tc>
          <w:tcPr>
            <w:tcW w:w="6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36,822</w:t>
            </w:r>
          </w:p>
        </w:tc>
        <w:tc>
          <w:tcPr>
            <w:tcW w:w="3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b w:val="1"/>
                <w:bCs w:val="1"/>
                <w:color w:val="auto"/>
              </w:rPr>
              <w:t>$</w:t>
            </w:r>
          </w:p>
        </w:tc>
        <w:tc>
          <w:tcPr>
            <w:tcW w:w="18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34,061</w:t>
            </w:r>
          </w:p>
        </w:tc>
        <w:tc>
          <w:tcPr>
            <w:tcW w:w="100" w:type="dxa"/>
            <w:vAlign w:val="bottom"/>
            <w:tcBorders>
              <w:top w:val="single" w:sz="8" w:color="CFF0FC"/>
            </w:tcBorders>
          </w:tcPr>
          <w:p>
            <w:pPr>
              <w:spacing w:after="0"/>
              <w:rPr>
                <w:sz w:val="20"/>
                <w:szCs w:val="20"/>
                <w:color w:val="auto"/>
              </w:rPr>
            </w:pPr>
          </w:p>
        </w:tc>
      </w:tr>
      <w:tr>
        <w:trPr>
          <w:trHeight w:val="20"/>
        </w:trPr>
        <w:tc>
          <w:tcPr>
            <w:tcW w:w="64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-187960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Recovery of future customer compensaton represents expected recoveries of compensaton to be paid to customers for cancellatons or other service issues related to previously recorded sales transactons. Recovery of future customer compensaton costs decreased by $2.2 million at March 31, 2024 compared to December 31, 2023 due to a decrease in estmated future cancellaton rates. The provision related to these expected recoveries is included in Accrued expenses and other current liabilites in the Condensed Consolidated Balance Sheets.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Goodwill and Intangible Assets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Goodwill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Goodwill is included in our Marketplace segment. The following tables summarize the changes in the carrying amount of goodwill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00" w:type="dxa"/>
            <w:vAlign w:val="bottom"/>
            <w:gridSpan w:val="2"/>
          </w:tcPr>
          <w:p>
            <w:pPr>
              <w:jc w:val="right"/>
              <w:ind w:right="1020"/>
              <w:spacing w:after="0"/>
              <w:rPr>
                <w:sz w:val="20"/>
                <w:szCs w:val="20"/>
                <w:color w:val="auto"/>
              </w:rPr>
            </w:pPr>
            <w:r>
              <w:rPr>
                <w:rFonts w:ascii="Calibri" w:cs="Calibri" w:eastAsia="Calibri" w:hAnsi="Calibri"/>
                <w:sz w:val="18"/>
                <w:szCs w:val="18"/>
                <w:b w:val="1"/>
                <w:bCs w:val="1"/>
                <w:color w:val="auto"/>
              </w:rPr>
              <w:t>Goodwill</w:t>
            </w:r>
          </w:p>
        </w:tc>
      </w:tr>
      <w:tr>
        <w:trPr>
          <w:trHeight w:val="37"/>
        </w:trPr>
        <w:tc>
          <w:tcPr>
            <w:tcW w:w="86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86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December 31, 2023</w:t>
            </w:r>
          </w:p>
        </w:tc>
        <w:tc>
          <w:tcPr>
            <w:tcW w:w="50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b w:val="1"/>
                <w:bCs w:val="1"/>
                <w:color w:val="auto"/>
                <w:w w:val="87"/>
              </w:rPr>
              <w:t>$</w:t>
            </w:r>
          </w:p>
        </w:tc>
        <w:tc>
          <w:tcPr>
            <w:tcW w:w="20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947,359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8640" w:type="dxa"/>
            <w:vAlign w:val="bottom"/>
          </w:tcPr>
          <w:p>
            <w:pPr>
              <w:ind w:left="20"/>
              <w:spacing w:after="0"/>
              <w:rPr>
                <w:sz w:val="20"/>
                <w:szCs w:val="20"/>
                <w:color w:val="auto"/>
              </w:rPr>
            </w:pPr>
            <w:r>
              <w:rPr>
                <w:rFonts w:ascii="Calibri" w:cs="Calibri" w:eastAsia="Calibri" w:hAnsi="Calibri"/>
                <w:sz w:val="18"/>
                <w:szCs w:val="18"/>
                <w:color w:val="auto"/>
              </w:rPr>
              <w:t>Foreign currency translaton</w:t>
            </w:r>
          </w:p>
        </w:tc>
        <w:tc>
          <w:tcPr>
            <w:tcW w:w="500" w:type="dxa"/>
            <w:vAlign w:val="bottom"/>
          </w:tcPr>
          <w:p>
            <w:pPr>
              <w:spacing w:after="0"/>
              <w:rPr>
                <w:sz w:val="19"/>
                <w:szCs w:val="19"/>
                <w:color w:val="auto"/>
              </w:rPr>
            </w:pPr>
          </w:p>
        </w:tc>
        <w:tc>
          <w:tcPr>
            <w:tcW w:w="2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(3,230 )</w:t>
            </w:r>
          </w:p>
        </w:tc>
      </w:tr>
      <w:tr>
        <w:trPr>
          <w:trHeight w:val="23"/>
        </w:trPr>
        <w:tc>
          <w:tcPr>
            <w:tcW w:w="86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864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Balance at March 31, 2024</w:t>
            </w:r>
          </w:p>
        </w:tc>
        <w:tc>
          <w:tcPr>
            <w:tcW w:w="500" w:type="dxa"/>
            <w:vAlign w:val="bottom"/>
            <w:tcBorders>
              <w:bottom w:val="single" w:sz="8" w:color="CFF0FC"/>
            </w:tcBorders>
            <w:shd w:val="clear" w:color="auto" w:fill="CFF0FC"/>
          </w:tcPr>
          <w:p>
            <w:pPr>
              <w:jc w:val="right"/>
              <w:ind w:right="310"/>
              <w:spacing w:after="0" w:line="213" w:lineRule="exact"/>
              <w:rPr>
                <w:sz w:val="20"/>
                <w:szCs w:val="20"/>
                <w:color w:val="auto"/>
              </w:rPr>
            </w:pPr>
            <w:r>
              <w:rPr>
                <w:rFonts w:ascii="Calibri" w:cs="Calibri" w:eastAsia="Calibri" w:hAnsi="Calibri"/>
                <w:sz w:val="18"/>
                <w:szCs w:val="18"/>
                <w:b w:val="1"/>
                <w:bCs w:val="1"/>
                <w:color w:val="auto"/>
                <w:w w:val="87"/>
              </w:rPr>
              <w:t>$</w:t>
            </w:r>
          </w:p>
        </w:tc>
        <w:tc>
          <w:tcPr>
            <w:tcW w:w="20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944,129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86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We had recorded $377.1 million of cumulatve impairment charges related to our goodwill as of March 31, 2024 and December 31, 2023.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tcPr>
          <w:p>
            <w:pPr>
              <w:spacing w:after="0"/>
              <w:rPr>
                <w:sz w:val="20"/>
                <w:szCs w:val="20"/>
                <w:color w:val="auto"/>
              </w:rPr>
            </w:pPr>
            <w:r>
              <w:rPr>
                <w:rFonts w:ascii="Calibri" w:cs="Calibri" w:eastAsia="Calibri" w:hAnsi="Calibri"/>
                <w:sz w:val="18"/>
                <w:szCs w:val="18"/>
                <w:i w:val="1"/>
                <w:iCs w:val="1"/>
                <w:color w:val="auto"/>
              </w:rPr>
              <w:t>Defnite-Lived Intangible Assets</w:t>
            </w: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7140" w:type="dxa"/>
            <w:vAlign w:val="bottom"/>
          </w:tcPr>
          <w:p>
            <w:pPr>
              <w:spacing w:after="0"/>
              <w:rPr>
                <w:sz w:val="20"/>
                <w:szCs w:val="20"/>
                <w:color w:val="auto"/>
              </w:rPr>
            </w:pPr>
            <w:r>
              <w:rPr>
                <w:rFonts w:ascii="Calibri" w:cs="Calibri" w:eastAsia="Calibri" w:hAnsi="Calibri"/>
                <w:sz w:val="18"/>
                <w:szCs w:val="18"/>
                <w:color w:val="auto"/>
              </w:rPr>
              <w:t>The following table summarizes components of our defnite-lived intangible assets (in thousands):</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18"/>
                <w:szCs w:val="18"/>
                <w:b w:val="1"/>
                <w:bCs w:val="1"/>
                <w:color w:val="auto"/>
              </w:rPr>
              <w:t>March 31,</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140" w:type="dxa"/>
            <w:vAlign w:val="bottom"/>
          </w:tcPr>
          <w:p>
            <w:pPr>
              <w:spacing w:after="0"/>
              <w:rPr>
                <w:sz w:val="18"/>
                <w:szCs w:val="18"/>
                <w:color w:val="auto"/>
              </w:rPr>
            </w:pPr>
          </w:p>
        </w:tc>
        <w:tc>
          <w:tcPr>
            <w:tcW w:w="1420" w:type="dxa"/>
            <w:vAlign w:val="bottom"/>
          </w:tcPr>
          <w:p>
            <w:pPr>
              <w:jc w:val="right"/>
              <w:ind w:right="130"/>
              <w:spacing w:after="0" w:line="216" w:lineRule="exact"/>
              <w:rPr>
                <w:sz w:val="20"/>
                <w:szCs w:val="20"/>
                <w:color w:val="auto"/>
              </w:rPr>
            </w:pPr>
            <w:r>
              <w:rPr>
                <w:rFonts w:ascii="Calibri" w:cs="Calibri" w:eastAsia="Calibri" w:hAnsi="Calibri"/>
                <w:sz w:val="18"/>
                <w:szCs w:val="18"/>
                <w:b w:val="1"/>
                <w:bCs w:val="1"/>
                <w:color w:val="auto"/>
              </w:rPr>
              <w:t>2024</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57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37"/>
        </w:trPr>
        <w:tc>
          <w:tcPr>
            <w:tcW w:w="71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1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Defnite-lived Intangible Assets</w:t>
            </w:r>
          </w:p>
        </w:tc>
        <w:tc>
          <w:tcPr>
            <w:tcW w:w="14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14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1420" w:type="dxa"/>
            <w:vAlign w:val="bottom"/>
          </w:tcPr>
          <w:p>
            <w:pPr>
              <w:jc w:val="right"/>
              <w:ind w:right="123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57,123</w:t>
            </w:r>
          </w:p>
        </w:tc>
        <w:tc>
          <w:tcPr>
            <w:tcW w:w="300" w:type="dxa"/>
            <w:vAlign w:val="bottom"/>
          </w:tcPr>
          <w:p>
            <w:pPr>
              <w:spacing w:after="0"/>
              <w:rPr>
                <w:sz w:val="18"/>
                <w:szCs w:val="18"/>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57,123</w:t>
            </w:r>
          </w:p>
        </w:tc>
        <w:tc>
          <w:tcPr>
            <w:tcW w:w="100" w:type="dxa"/>
            <w:vAlign w:val="bottom"/>
          </w:tcPr>
          <w:p>
            <w:pPr>
              <w:spacing w:after="0"/>
              <w:rPr>
                <w:sz w:val="18"/>
                <w:szCs w:val="18"/>
                <w:color w:val="auto"/>
              </w:rPr>
            </w:pPr>
          </w:p>
        </w:tc>
      </w:tr>
      <w:tr>
        <w:trPr>
          <w:trHeight w:val="28"/>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14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34,620</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4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142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29,240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29,240</w:t>
            </w:r>
          </w:p>
        </w:tc>
        <w:tc>
          <w:tcPr>
            <w:tcW w:w="100" w:type="dxa"/>
            <w:vAlign w:val="bottom"/>
          </w:tcPr>
          <w:p>
            <w:pPr>
              <w:spacing w:after="0"/>
              <w:rPr>
                <w:sz w:val="18"/>
                <w:szCs w:val="18"/>
                <w:color w:val="auto"/>
              </w:rPr>
            </w:pPr>
          </w:p>
        </w:tc>
      </w:tr>
      <w:tr>
        <w:trPr>
          <w:trHeight w:val="28"/>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Capitalized development costs</w:t>
            </w:r>
          </w:p>
        </w:tc>
        <w:tc>
          <w:tcPr>
            <w:tcW w:w="14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31,835</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28,912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140" w:type="dxa"/>
            <w:vAlign w:val="bottom"/>
          </w:tcPr>
          <w:p>
            <w:pPr>
              <w:ind w:left="120"/>
              <w:spacing w:after="0" w:line="215" w:lineRule="exact"/>
              <w:rPr>
                <w:sz w:val="20"/>
                <w:szCs w:val="20"/>
                <w:color w:val="auto"/>
              </w:rPr>
            </w:pPr>
            <w:r>
              <w:rPr>
                <w:rFonts w:ascii="Calibri" w:cs="Calibri" w:eastAsia="Calibri" w:hAnsi="Calibri"/>
                <w:sz w:val="18"/>
                <w:szCs w:val="18"/>
                <w:color w:val="auto"/>
              </w:rPr>
              <w:t>Capitalized development costs – Work in progress</w:t>
            </w:r>
          </w:p>
        </w:tc>
        <w:tc>
          <w:tcPr>
            <w:tcW w:w="142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6,558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4,795</w:t>
            </w:r>
          </w:p>
        </w:tc>
        <w:tc>
          <w:tcPr>
            <w:tcW w:w="100" w:type="dxa"/>
            <w:vAlign w:val="bottom"/>
          </w:tcPr>
          <w:p>
            <w:pPr>
              <w:spacing w:after="0"/>
              <w:rPr>
                <w:sz w:val="18"/>
                <w:szCs w:val="18"/>
                <w:color w:val="auto"/>
              </w:rPr>
            </w:pPr>
          </w:p>
        </w:tc>
      </w:tr>
      <w:tr>
        <w:trPr>
          <w:trHeight w:val="28"/>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14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Foreign currency translaton</w:t>
            </w:r>
          </w:p>
        </w:tc>
        <w:tc>
          <w:tcPr>
            <w:tcW w:w="14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(818 )</w:t>
            </w:r>
          </w:p>
        </w:tc>
        <w:tc>
          <w:tcPr>
            <w:tcW w:w="2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140" w:type="dxa"/>
            <w:vAlign w:val="bottom"/>
            <w:tcBorders>
              <w:top w:val="single" w:sz="8" w:color="CFF0FC"/>
            </w:tcBorders>
          </w:tcPr>
          <w:p>
            <w:pPr>
              <w:ind w:left="120"/>
              <w:spacing w:after="0" w:line="213" w:lineRule="exact"/>
              <w:rPr>
                <w:sz w:val="20"/>
                <w:szCs w:val="20"/>
                <w:color w:val="auto"/>
              </w:rPr>
            </w:pPr>
            <w:r>
              <w:rPr>
                <w:rFonts w:ascii="Calibri" w:cs="Calibri" w:eastAsia="Calibri" w:hAnsi="Calibri"/>
                <w:sz w:val="18"/>
                <w:szCs w:val="18"/>
                <w:b w:val="1"/>
                <w:bCs w:val="1"/>
                <w:color w:val="auto"/>
              </w:rPr>
              <w:t>Total gross book value</w:t>
            </w:r>
          </w:p>
        </w:tc>
        <w:tc>
          <w:tcPr>
            <w:tcW w:w="1420" w:type="dxa"/>
            <w:vAlign w:val="bottom"/>
            <w:tcBorders>
              <w:top w:val="single" w:sz="8" w:color="auto"/>
            </w:tcBorders>
          </w:tcPr>
          <w:p>
            <w:pPr>
              <w:jc w:val="right"/>
              <w:ind w:right="1230"/>
              <w:spacing w:after="0" w:line="213"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158,558</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b w:val="1"/>
                <w:bCs w:val="1"/>
                <w:color w:val="auto"/>
              </w:rPr>
              <w:t>156,005</w:t>
            </w:r>
          </w:p>
        </w:tc>
        <w:tc>
          <w:tcPr>
            <w:tcW w:w="100" w:type="dxa"/>
            <w:vAlign w:val="bottom"/>
            <w:tcBorders>
              <w:top w:val="single" w:sz="8" w:color="CFF0FC"/>
            </w:tcBorders>
          </w:tcPr>
          <w:p>
            <w:pPr>
              <w:spacing w:after="0"/>
              <w:rPr>
                <w:sz w:val="18"/>
                <w:szCs w:val="18"/>
                <w:color w:val="auto"/>
              </w:rPr>
            </w:pPr>
          </w:p>
        </w:tc>
      </w:tr>
      <w:tr>
        <w:trPr>
          <w:trHeight w:val="23"/>
        </w:trPr>
        <w:tc>
          <w:tcPr>
            <w:tcW w:w="7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1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Less: Accumulated amortzaton</w:t>
            </w:r>
          </w:p>
        </w:tc>
        <w:tc>
          <w:tcPr>
            <w:tcW w:w="14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14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1420" w:type="dxa"/>
            <w:vAlign w:val="bottom"/>
          </w:tcPr>
          <w:p>
            <w:pPr>
              <w:jc w:val="right"/>
              <w:ind w:right="123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(6,185 )</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5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(2,881 )</w:t>
            </w:r>
          </w:p>
        </w:tc>
      </w:tr>
      <w:tr>
        <w:trPr>
          <w:trHeight w:val="28"/>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14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(6,158 )</w:t>
            </w:r>
          </w:p>
        </w:tc>
        <w:tc>
          <w:tcPr>
            <w:tcW w:w="2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(3,522 )</w:t>
            </w:r>
          </w:p>
        </w:tc>
      </w:tr>
      <w:tr>
        <w:trPr>
          <w:trHeight w:val="215"/>
        </w:trPr>
        <w:tc>
          <w:tcPr>
            <w:tcW w:w="714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1420" w:type="dxa"/>
            <w:vAlign w:val="bottom"/>
          </w:tcPr>
          <w:p>
            <w:pPr>
              <w:spacing w:after="0"/>
              <w:rPr>
                <w:sz w:val="18"/>
                <w:szCs w:val="18"/>
                <w:color w:val="auto"/>
              </w:rPr>
            </w:pPr>
          </w:p>
        </w:tc>
        <w:tc>
          <w:tcPr>
            <w:tcW w:w="9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(4,424 )</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(2,551 )</w:t>
            </w:r>
          </w:p>
        </w:tc>
      </w:tr>
      <w:tr>
        <w:trPr>
          <w:trHeight w:val="28"/>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Capitalized development costs</w:t>
            </w:r>
          </w:p>
        </w:tc>
        <w:tc>
          <w:tcPr>
            <w:tcW w:w="14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(18,631 )</w:t>
            </w:r>
          </w:p>
        </w:tc>
        <w:tc>
          <w:tcPr>
            <w:tcW w:w="2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(16,433 )</w:t>
            </w:r>
          </w:p>
        </w:tc>
      </w:tr>
      <w:tr>
        <w:trPr>
          <w:trHeight w:val="220"/>
        </w:trPr>
        <w:tc>
          <w:tcPr>
            <w:tcW w:w="7140" w:type="dxa"/>
            <w:vAlign w:val="bottom"/>
          </w:tcPr>
          <w:p>
            <w:pPr>
              <w:ind w:left="120"/>
              <w:spacing w:after="0"/>
              <w:rPr>
                <w:sz w:val="20"/>
                <w:szCs w:val="20"/>
                <w:color w:val="auto"/>
              </w:rPr>
            </w:pPr>
            <w:r>
              <w:rPr>
                <w:rFonts w:ascii="Calibri" w:cs="Calibri" w:eastAsia="Calibri" w:hAnsi="Calibri"/>
                <w:sz w:val="18"/>
                <w:szCs w:val="18"/>
                <w:color w:val="auto"/>
              </w:rPr>
              <w:t>Foreign currency translaton</w:t>
            </w:r>
          </w:p>
        </w:tc>
        <w:tc>
          <w:tcPr>
            <w:tcW w:w="142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80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(97 )</w:t>
            </w:r>
          </w:p>
        </w:tc>
      </w:tr>
      <w:tr>
        <w:trPr>
          <w:trHeight w:val="23"/>
        </w:trPr>
        <w:tc>
          <w:tcPr>
            <w:tcW w:w="7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140" w:type="dxa"/>
            <w:vAlign w:val="bottom"/>
            <w:tcBorders>
              <w:bottom w:val="single" w:sz="8" w:color="CFF0FC"/>
            </w:tcBorders>
            <w:shd w:val="clear" w:color="auto" w:fill="CFF0FC"/>
          </w:tcPr>
          <w:p>
            <w:pPr>
              <w:ind w:left="120"/>
              <w:spacing w:after="0" w:line="213" w:lineRule="exact"/>
              <w:rPr>
                <w:sz w:val="20"/>
                <w:szCs w:val="20"/>
                <w:color w:val="auto"/>
              </w:rPr>
            </w:pPr>
            <w:r>
              <w:rPr>
                <w:rFonts w:ascii="Calibri" w:cs="Calibri" w:eastAsia="Calibri" w:hAnsi="Calibri"/>
                <w:sz w:val="18"/>
                <w:szCs w:val="18"/>
                <w:b w:val="1"/>
                <w:bCs w:val="1"/>
                <w:color w:val="auto"/>
              </w:rPr>
              <w:t>Total accumulated amortzaton</w:t>
            </w:r>
          </w:p>
        </w:tc>
        <w:tc>
          <w:tcPr>
            <w:tcW w:w="1420" w:type="dxa"/>
            <w:vAlign w:val="bottom"/>
            <w:tcBorders>
              <w:bottom w:val="single" w:sz="8" w:color="CFF0FC"/>
            </w:tcBorders>
            <w:shd w:val="clear" w:color="auto" w:fill="CFF0FC"/>
          </w:tcPr>
          <w:p>
            <w:pPr>
              <w:jc w:val="right"/>
              <w:ind w:right="1230"/>
              <w:spacing w:after="0" w:line="213" w:lineRule="exact"/>
              <w:rPr>
                <w:sz w:val="20"/>
                <w:szCs w:val="20"/>
                <w:color w:val="auto"/>
              </w:rPr>
            </w:pPr>
            <w:r>
              <w:rPr>
                <w:rFonts w:ascii="Calibri" w:cs="Calibri" w:eastAsia="Calibri" w:hAnsi="Calibri"/>
                <w:sz w:val="18"/>
                <w:szCs w:val="18"/>
                <w:b w:val="1"/>
                <w:bCs w:val="1"/>
                <w:color w:val="auto"/>
                <w:w w:val="87"/>
              </w:rPr>
              <w:t>$</w:t>
            </w:r>
          </w:p>
        </w:tc>
        <w:tc>
          <w:tcPr>
            <w:tcW w:w="920" w:type="dxa"/>
            <w:vAlign w:val="bottom"/>
            <w:tcBorders>
              <w:bottom w:val="single" w:sz="8" w:color="CFF0FC"/>
            </w:tcBorders>
            <w:gridSpan w:val="2"/>
            <w:shd w:val="clear" w:color="auto" w:fill="CFF0FC"/>
          </w:tcPr>
          <w:p>
            <w:pPr>
              <w:jc w:val="right"/>
              <w:ind w:right="220"/>
              <w:spacing w:after="0" w:line="213" w:lineRule="exact"/>
              <w:rPr>
                <w:sz w:val="20"/>
                <w:szCs w:val="20"/>
                <w:color w:val="auto"/>
              </w:rPr>
            </w:pPr>
            <w:r>
              <w:rPr>
                <w:rFonts w:ascii="Calibri" w:cs="Calibri" w:eastAsia="Calibri" w:hAnsi="Calibri"/>
                <w:sz w:val="18"/>
                <w:szCs w:val="18"/>
                <w:b w:val="1"/>
                <w:bCs w:val="1"/>
                <w:color w:val="auto"/>
              </w:rPr>
              <w:t>(35,318 )</w:t>
            </w:r>
          </w:p>
        </w:tc>
        <w:tc>
          <w:tcPr>
            <w:tcW w:w="200" w:type="dxa"/>
            <w:vAlign w:val="bottom"/>
            <w:tcBorders>
              <w:bottom w:val="single" w:sz="8" w:color="CFF0FC"/>
            </w:tcBorders>
            <w:shd w:val="clear" w:color="auto" w:fill="CFF0FC"/>
          </w:tcPr>
          <w:p>
            <w:pPr>
              <w:jc w:val="right"/>
              <w:ind w:right="10"/>
              <w:spacing w:after="0" w:line="213" w:lineRule="exact"/>
              <w:rPr>
                <w:sz w:val="20"/>
                <w:szCs w:val="20"/>
                <w:color w:val="auto"/>
              </w:rPr>
            </w:pPr>
            <w:r>
              <w:rPr>
                <w:rFonts w:ascii="Calibri" w:cs="Calibri" w:eastAsia="Calibri" w:hAnsi="Calibri"/>
                <w:sz w:val="18"/>
                <w:szCs w:val="18"/>
                <w:b w:val="1"/>
                <w:bCs w:val="1"/>
                <w:color w:val="auto"/>
                <w:w w:val="87"/>
              </w:rPr>
              <w:t>$</w:t>
            </w:r>
          </w:p>
        </w:tc>
        <w:tc>
          <w:tcPr>
            <w:tcW w:w="1560" w:type="dxa"/>
            <w:vAlign w:val="bottom"/>
            <w:tcBorders>
              <w:bottom w:val="single" w:sz="8" w:color="CFF0FC"/>
            </w:tcBorders>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b w:val="1"/>
                <w:bCs w:val="1"/>
                <w:color w:val="auto"/>
              </w:rPr>
              <w:t>(25,484 )</w:t>
            </w:r>
          </w:p>
        </w:tc>
      </w:tr>
      <w:tr>
        <w:trPr>
          <w:trHeight w:val="208"/>
        </w:trPr>
        <w:tc>
          <w:tcPr>
            <w:tcW w:w="71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Indefnite-lived Intangible Assets</w:t>
            </w:r>
          </w:p>
        </w:tc>
        <w:tc>
          <w:tcPr>
            <w:tcW w:w="1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8"/>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Trademarks</w:t>
            </w:r>
          </w:p>
        </w:tc>
        <w:tc>
          <w:tcPr>
            <w:tcW w:w="1420" w:type="dxa"/>
            <w:vAlign w:val="bottom"/>
            <w:tcBorders>
              <w:bottom w:val="single" w:sz="8" w:color="CFF0FC"/>
            </w:tcBorders>
            <w:shd w:val="clear" w:color="auto" w:fill="CFF0FC"/>
          </w:tcPr>
          <w:p>
            <w:pPr>
              <w:jc w:val="right"/>
              <w:ind w:right="123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110,538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110,538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140" w:type="dxa"/>
            <w:vAlign w:val="bottom"/>
          </w:tcPr>
          <w:p>
            <w:pPr>
              <w:ind w:left="120"/>
              <w:spacing w:after="0"/>
              <w:rPr>
                <w:sz w:val="20"/>
                <w:szCs w:val="20"/>
                <w:color w:val="auto"/>
              </w:rPr>
            </w:pPr>
            <w:r>
              <w:rPr>
                <w:rFonts w:ascii="Calibri" w:cs="Calibri" w:eastAsia="Calibri" w:hAnsi="Calibri"/>
                <w:sz w:val="18"/>
                <w:szCs w:val="18"/>
                <w:color w:val="auto"/>
              </w:rPr>
              <w:t>Foreign currency translaton</w:t>
            </w:r>
          </w:p>
        </w:tc>
        <w:tc>
          <w:tcPr>
            <w:tcW w:w="1420" w:type="dxa"/>
            <w:vAlign w:val="bottom"/>
          </w:tcPr>
          <w:p>
            <w:pPr>
              <w:spacing w:after="0"/>
              <w:rPr>
                <w:sz w:val="19"/>
                <w:szCs w:val="19"/>
                <w:color w:val="auto"/>
              </w:rPr>
            </w:pPr>
          </w:p>
        </w:tc>
        <w:tc>
          <w:tcPr>
            <w:tcW w:w="9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(59 )</w:t>
            </w:r>
          </w:p>
        </w:tc>
        <w:tc>
          <w:tcPr>
            <w:tcW w:w="20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96</w:t>
            </w:r>
          </w:p>
        </w:tc>
        <w:tc>
          <w:tcPr>
            <w:tcW w:w="100" w:type="dxa"/>
            <w:vAlign w:val="bottom"/>
          </w:tcPr>
          <w:p>
            <w:pPr>
              <w:spacing w:after="0"/>
              <w:rPr>
                <w:sz w:val="19"/>
                <w:szCs w:val="19"/>
                <w:color w:val="auto"/>
              </w:rPr>
            </w:pPr>
          </w:p>
        </w:tc>
      </w:tr>
      <w:tr>
        <w:trPr>
          <w:trHeight w:val="23"/>
        </w:trPr>
        <w:tc>
          <w:tcPr>
            <w:tcW w:w="7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1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Intangible assets – net</w:t>
            </w:r>
          </w:p>
        </w:tc>
        <w:tc>
          <w:tcPr>
            <w:tcW w:w="1420" w:type="dxa"/>
            <w:vAlign w:val="bottom"/>
            <w:tcBorders>
              <w:bottom w:val="single" w:sz="8" w:color="auto"/>
            </w:tcBorders>
            <w:shd w:val="clear" w:color="auto" w:fill="CFF0FC"/>
          </w:tcPr>
          <w:p>
            <w:pPr>
              <w:jc w:val="right"/>
              <w:ind w:right="1230"/>
              <w:spacing w:after="0" w:line="215"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233,719</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241,155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-1919605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-659765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Amortzaton expense on our defnite-lived intangible assets was $10.0 million and $2.3 million for the three months ended March 31, 2024 and 2023, respectvely. Amortzaton expense is presented in Depreciaton and amortzaton in the Condensed Consolidated Statements of Operatons.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Investments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July 2023, we invested $6.0 million in a privately held company in the form of a convertble promissory note (the “Note”) and a warrant to purchase up to 1,874,933 shares of the company’s stock (the “Warrant”). Interest on the Note accrues at 8% per annum and outstanding principal and accrued interest is due and payable at the earlier of July 3, 2030 or a change in control of the company. The Warrant is exercisable untl the date three years afer the Note is repaid, subject to certain acceleratng events.</w:t>
      </w:r>
    </w:p>
    <w:p>
      <w:pPr>
        <w:spacing w:after="0" w:line="114" w:lineRule="exact"/>
        <w:rPr>
          <w:sz w:val="20"/>
          <w:szCs w:val="20"/>
          <w:color w:val="auto"/>
        </w:rPr>
      </w:pPr>
    </w:p>
    <w:p>
      <w:pPr>
        <w:jc w:val="both"/>
        <w:spacing w:after="0" w:line="238" w:lineRule="auto"/>
        <w:rPr>
          <w:sz w:val="20"/>
          <w:szCs w:val="20"/>
          <w:color w:val="auto"/>
        </w:rPr>
      </w:pPr>
      <w:r>
        <w:rPr>
          <w:rFonts w:ascii="Calibri" w:cs="Calibri" w:eastAsia="Calibri" w:hAnsi="Calibri"/>
          <w:sz w:val="18"/>
          <w:szCs w:val="18"/>
          <w:color w:val="auto"/>
        </w:rPr>
        <w:t xml:space="preserve">We account for the Note in accordance with ASC Topic 320, </w:t>
      </w:r>
      <w:r>
        <w:rPr>
          <w:rFonts w:ascii="Calibri" w:cs="Calibri" w:eastAsia="Calibri" w:hAnsi="Calibri"/>
          <w:sz w:val="18"/>
          <w:szCs w:val="18"/>
          <w:i w:val="1"/>
          <w:iCs w:val="1"/>
          <w:color w:val="auto"/>
        </w:rPr>
        <w:t>Investments</w:t>
      </w:r>
      <w:r>
        <w:rPr>
          <w:rFonts w:ascii="Calibri" w:cs="Calibri" w:eastAsia="Calibri" w:hAnsi="Calibri"/>
          <w:sz w:val="18"/>
          <w:szCs w:val="18"/>
          <w:color w:val="auto"/>
        </w:rPr>
        <w:t xml:space="preserve"> </w:t>
      </w:r>
      <w:r>
        <w:rPr>
          <w:rFonts w:ascii="Times New Roman" w:cs="Times New Roman" w:eastAsia="Times New Roman" w:hAnsi="Times New Roman"/>
          <w:sz w:val="18"/>
          <w:szCs w:val="18"/>
          <w:i w:val="1"/>
          <w:iCs w:val="1"/>
          <w:color w:val="auto"/>
        </w:rPr>
        <w: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Debt and Equity Securites.</w:t>
      </w:r>
      <w:r>
        <w:rPr>
          <w:rFonts w:ascii="Calibri" w:cs="Calibri" w:eastAsia="Calibri" w:hAnsi="Calibri"/>
          <w:sz w:val="18"/>
          <w:szCs w:val="18"/>
          <w:color w:val="auto"/>
        </w:rPr>
        <w:t xml:space="preserve"> The Note is classifed as an available-for-sale security and is recorded at fair value with the change in unrealized gains and losses reported as a separate component on the Condensed Consolidated Statements of Comprehensive Income untl realized. The Note’s unrealized gain for the three months ended March 31, 2024 was $0.1 million. The Note’s amortzed cost was $2.8 million and $2.7 million at March 31, 2024 and December 31, 2023, respectvely. We did not recognize any credit losses related to the Note during the three months ended March 31, 2024.</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account for the Warrant in accordance with ASC Topic 815, </w:t>
      </w:r>
      <w:r>
        <w:rPr>
          <w:rFonts w:ascii="Calibri" w:cs="Calibri" w:eastAsia="Calibri" w:hAnsi="Calibri"/>
          <w:sz w:val="18"/>
          <w:szCs w:val="18"/>
          <w:i w:val="1"/>
          <w:iCs w:val="1"/>
          <w:color w:val="auto"/>
        </w:rPr>
        <w:t>Derivatves and Hedging</w:t>
      </w:r>
      <w:r>
        <w:rPr>
          <w:rFonts w:ascii="Calibri" w:cs="Calibri" w:eastAsia="Calibri" w:hAnsi="Calibri"/>
          <w:sz w:val="18"/>
          <w:szCs w:val="18"/>
          <w:color w:val="auto"/>
        </w:rPr>
        <w:t>, pursuant to which we record the derivatve instrument on the Condensed Consolidated Balance Sheets at fair value with changes in fair value recognized in Other (income) expense on the Condensed Consolidated Statements of Operatons on a recurring basis. The classifcaton of the derivatve instrument, including whether it should be recorded as an asset or a liability, is evaluated at the end of each reportng period.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Fair Value Measurements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account for fnancial instruments under ASC Topic 820, </w:t>
      </w:r>
      <w:r>
        <w:rPr>
          <w:rFonts w:ascii="Calibri" w:cs="Calibri" w:eastAsia="Calibri" w:hAnsi="Calibri"/>
          <w:sz w:val="18"/>
          <w:szCs w:val="18"/>
          <w:i w:val="1"/>
          <w:iCs w:val="1"/>
          <w:color w:val="auto"/>
        </w:rPr>
        <w:t>Fair Value Measurements</w:t>
      </w:r>
      <w:r>
        <w:rPr>
          <w:rFonts w:ascii="Calibri" w:cs="Calibri" w:eastAsia="Calibri" w:hAnsi="Calibri"/>
          <w:sz w:val="18"/>
          <w:szCs w:val="18"/>
          <w:color w:val="auto"/>
        </w:rPr>
        <w:t xml:space="preserve"> (“ASC 820”), which defnes fair value, establishes a framework for measuring fair value in GAAP and expands disclosures about fair value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 w:name="page15"/>
    <w:bookmarkEnd w:id="14"/>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measurements. To increase consistency and comparability in fair value measurements, ASC 820 establishes a fair value hierarchy that prioritzes the inputs to valuaton techniques used to measure fair value into three levels as follows:</w:t>
      </w:r>
    </w:p>
    <w:p>
      <w:pPr>
        <w:spacing w:after="0" w:line="11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Level 1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that refect quoted prices (unadjusted) for identcal assets or liabilites in actve markets.</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Level 2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that include other inputs that are directly or indirectly observable in the marketplace.</w:t>
      </w:r>
    </w:p>
    <w:p>
      <w:pPr>
        <w:spacing w:after="0" w:line="118" w:lineRule="exact"/>
        <w:rPr>
          <w:sz w:val="20"/>
          <w:szCs w:val="20"/>
          <w:color w:val="auto"/>
        </w:rPr>
      </w:pPr>
    </w:p>
    <w:p>
      <w:pPr>
        <w:jc w:val="both"/>
        <w:ind w:right="40"/>
        <w:spacing w:after="0"/>
        <w:rPr>
          <w:sz w:val="20"/>
          <w:szCs w:val="20"/>
          <w:color w:val="auto"/>
        </w:rPr>
      </w:pPr>
      <w:r>
        <w:rPr>
          <w:rFonts w:ascii="Calibri" w:cs="Calibri" w:eastAsia="Calibri" w:hAnsi="Calibri"/>
          <w:sz w:val="18"/>
          <w:szCs w:val="18"/>
          <w:color w:val="auto"/>
        </w:rPr>
        <w:t xml:space="preserve">Level 3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Measurements derived from valuaton techniques in which one or more signifcant inputs or signifcant value drivers are unobservable. These fair value measurements require signifcant judgment.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Financial instruments recorded at fair value on recurring basis as of March 31, 2024 and December 31, 2023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4"/>
          </w:tcPr>
          <w:p>
            <w:pPr>
              <w:ind w:left="20"/>
              <w:spacing w:after="0"/>
              <w:rPr>
                <w:sz w:val="20"/>
                <w:szCs w:val="20"/>
                <w:color w:val="auto"/>
              </w:rPr>
            </w:pPr>
            <w:r>
              <w:rPr>
                <w:rFonts w:ascii="Calibri" w:cs="Calibri" w:eastAsia="Calibri" w:hAnsi="Calibri"/>
                <w:sz w:val="18"/>
                <w:szCs w:val="18"/>
                <w:b w:val="1"/>
                <w:bCs w:val="1"/>
                <w:color w:val="auto"/>
              </w:rPr>
              <w:t>Fair Value Measurements Using</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38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r>
      <w:tr>
        <w:trPr>
          <w:trHeight w:val="208"/>
        </w:trPr>
        <w:tc>
          <w:tcPr>
            <w:tcW w:w="3860" w:type="dxa"/>
            <w:vAlign w:val="bottom"/>
          </w:tcPr>
          <w:p>
            <w:pPr>
              <w:spacing w:after="0"/>
              <w:rPr>
                <w:sz w:val="18"/>
                <w:szCs w:val="18"/>
                <w:color w:val="auto"/>
              </w:rPr>
            </w:pPr>
          </w:p>
        </w:tc>
        <w:tc>
          <w:tcPr>
            <w:tcW w:w="166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b w:val="1"/>
                <w:bCs w:val="1"/>
                <w:color w:val="auto"/>
              </w:rPr>
              <w:t>Level 1</w:t>
            </w:r>
          </w:p>
        </w:tc>
        <w:tc>
          <w:tcPr>
            <w:tcW w:w="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440"/>
              <w:spacing w:after="0" w:line="208" w:lineRule="exact"/>
              <w:rPr>
                <w:sz w:val="20"/>
                <w:szCs w:val="20"/>
                <w:color w:val="auto"/>
              </w:rPr>
            </w:pPr>
            <w:r>
              <w:rPr>
                <w:rFonts w:ascii="Calibri" w:cs="Calibri" w:eastAsia="Calibri" w:hAnsi="Calibri"/>
                <w:sz w:val="18"/>
                <w:szCs w:val="18"/>
                <w:b w:val="1"/>
                <w:bCs w:val="1"/>
                <w:color w:val="auto"/>
              </w:rPr>
              <w:t>Level 2</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Level 3</w:t>
            </w: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38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March 31, 2024</w:t>
            </w:r>
          </w:p>
        </w:tc>
        <w:tc>
          <w:tcPr>
            <w:tcW w:w="16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3860" w:type="dxa"/>
            <w:vAlign w:val="bottom"/>
          </w:tcPr>
          <w:p>
            <w:pPr>
              <w:ind w:left="120"/>
              <w:spacing w:after="0" w:line="215" w:lineRule="exact"/>
              <w:rPr>
                <w:sz w:val="20"/>
                <w:szCs w:val="20"/>
                <w:color w:val="auto"/>
              </w:rPr>
            </w:pPr>
            <w:r>
              <w:rPr>
                <w:rFonts w:ascii="Calibri" w:cs="Calibri" w:eastAsia="Calibri" w:hAnsi="Calibri"/>
                <w:sz w:val="18"/>
                <w:szCs w:val="18"/>
                <w:color w:val="auto"/>
              </w:rPr>
              <w:t>Note</w:t>
            </w:r>
          </w:p>
        </w:tc>
        <w:tc>
          <w:tcPr>
            <w:tcW w:w="1660" w:type="dxa"/>
            <w:vAlign w:val="bottom"/>
          </w:tcPr>
          <w:p>
            <w:pPr>
              <w:jc w:val="right"/>
              <w:ind w:right="145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ind w:left="340"/>
              <w:spacing w:after="0" w:line="215" w:lineRule="exact"/>
              <w:rPr>
                <w:sz w:val="20"/>
                <w:szCs w:val="20"/>
                <w:color w:val="auto"/>
              </w:rPr>
            </w:pPr>
            <w:r>
              <w:rPr>
                <w:rFonts w:ascii="Calibri" w:cs="Calibri" w:eastAsia="Calibri" w:hAnsi="Calibri"/>
                <w:sz w:val="18"/>
                <w:szCs w:val="18"/>
                <w:color w:val="auto"/>
                <w:w w:val="85"/>
              </w:rPr>
              <w:t>—</w:t>
            </w:r>
          </w:p>
        </w:tc>
        <w:tc>
          <w:tcPr>
            <w:tcW w:w="1400" w:type="dxa"/>
            <w:vAlign w:val="bottom"/>
            <w:gridSpan w:val="2"/>
          </w:tcPr>
          <w:p>
            <w:pPr>
              <w:ind w:left="34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ind w:left="120"/>
              <w:spacing w:after="0" w:line="215" w:lineRule="exact"/>
              <w:rPr>
                <w:sz w:val="20"/>
                <w:szCs w:val="20"/>
                <w:color w:val="auto"/>
              </w:rPr>
            </w:pPr>
            <w:r>
              <w:rPr>
                <w:rFonts w:ascii="Calibri" w:cs="Calibri" w:eastAsia="Calibri" w:hAnsi="Calibri"/>
                <w:sz w:val="18"/>
                <w:szCs w:val="18"/>
                <w:color w:val="auto"/>
                <w:w w:val="97"/>
              </w:rPr>
              <w:t>—</w:t>
            </w:r>
          </w:p>
        </w:tc>
        <w:tc>
          <w:tcPr>
            <w:tcW w:w="1300" w:type="dxa"/>
            <w:vAlign w:val="bottom"/>
            <w:gridSpan w:val="2"/>
          </w:tcPr>
          <w:p>
            <w:pPr>
              <w:jc w:val="right"/>
              <w:ind w:right="75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w w:val="92"/>
              </w:rPr>
              <w:t>3,102</w:t>
            </w:r>
          </w:p>
        </w:tc>
        <w:tc>
          <w:tcPr>
            <w:tcW w:w="64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3,102</w:t>
            </w:r>
          </w:p>
        </w:tc>
        <w:tc>
          <w:tcPr>
            <w:tcW w:w="100" w:type="dxa"/>
            <w:vAlign w:val="bottom"/>
          </w:tcPr>
          <w:p>
            <w:pPr>
              <w:spacing w:after="0"/>
              <w:rPr>
                <w:sz w:val="18"/>
                <w:szCs w:val="18"/>
                <w:color w:val="auto"/>
              </w:rPr>
            </w:pPr>
          </w:p>
        </w:tc>
      </w:tr>
      <w:tr>
        <w:trPr>
          <w:trHeight w:val="28"/>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38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Warrant</w:t>
            </w:r>
          </w:p>
        </w:tc>
        <w:tc>
          <w:tcPr>
            <w:tcW w:w="16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ind w:left="340"/>
              <w:spacing w:after="0" w:line="215" w:lineRule="exact"/>
              <w:rPr>
                <w:sz w:val="20"/>
                <w:szCs w:val="20"/>
                <w:color w:val="auto"/>
              </w:rPr>
            </w:pPr>
            <w:r>
              <w:rPr>
                <w:rFonts w:ascii="Calibri" w:cs="Calibri" w:eastAsia="Calibri" w:hAnsi="Calibri"/>
                <w:sz w:val="18"/>
                <w:szCs w:val="18"/>
                <w:color w:val="auto"/>
                <w:w w:val="85"/>
              </w:rPr>
              <w:t>—</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2"/>
              </w:rPr>
              <w:t>4,088</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3860" w:type="dxa"/>
            <w:vAlign w:val="bottom"/>
            <w:tcBorders>
              <w:top w:val="single" w:sz="8" w:color="CFF0FC"/>
            </w:tcBorders>
          </w:tcPr>
          <w:p>
            <w:pPr>
              <w:spacing w:after="0"/>
              <w:rPr>
                <w:sz w:val="18"/>
                <w:szCs w:val="18"/>
                <w:color w:val="auto"/>
              </w:rPr>
            </w:pPr>
          </w:p>
        </w:tc>
        <w:tc>
          <w:tcPr>
            <w:tcW w:w="1660" w:type="dxa"/>
            <w:vAlign w:val="bottom"/>
            <w:tcBorders>
              <w:top w:val="single" w:sz="8" w:color="auto"/>
            </w:tcBorders>
          </w:tcPr>
          <w:p>
            <w:pPr>
              <w:jc w:val="right"/>
              <w:ind w:right="1450"/>
              <w:spacing w:after="0" w:line="208" w:lineRule="exact"/>
              <w:rPr>
                <w:sz w:val="20"/>
                <w:szCs w:val="20"/>
                <w:color w:val="auto"/>
              </w:rPr>
            </w:pPr>
            <w:r>
              <w:rPr>
                <w:rFonts w:ascii="Calibri" w:cs="Calibri" w:eastAsia="Calibri" w:hAnsi="Calibri"/>
                <w:sz w:val="18"/>
                <w:szCs w:val="18"/>
                <w:color w:val="auto"/>
              </w:rPr>
              <w:t>$</w:t>
            </w:r>
          </w:p>
        </w:tc>
        <w:tc>
          <w:tcPr>
            <w:tcW w:w="500" w:type="dxa"/>
            <w:vAlign w:val="bottom"/>
            <w:tcBorders>
              <w:top w:val="single" w:sz="8" w:color="auto"/>
            </w:tcBorders>
          </w:tcPr>
          <w:p>
            <w:pPr>
              <w:ind w:left="340"/>
              <w:spacing w:after="0" w:line="208" w:lineRule="exact"/>
              <w:rPr>
                <w:sz w:val="20"/>
                <w:szCs w:val="20"/>
                <w:color w:val="auto"/>
              </w:rPr>
            </w:pPr>
            <w:r>
              <w:rPr>
                <w:rFonts w:ascii="Calibri" w:cs="Calibri" w:eastAsia="Calibri" w:hAnsi="Calibri"/>
                <w:sz w:val="18"/>
                <w:szCs w:val="18"/>
                <w:color w:val="auto"/>
                <w:w w:val="85"/>
              </w:rPr>
              <w:t>—</w:t>
            </w:r>
          </w:p>
        </w:tc>
        <w:tc>
          <w:tcPr>
            <w:tcW w:w="3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w:t>
            </w:r>
          </w:p>
        </w:tc>
        <w:tc>
          <w:tcPr>
            <w:tcW w:w="3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w w:val="97"/>
              </w:rPr>
              <w:t>—</w:t>
            </w:r>
          </w:p>
        </w:tc>
        <w:tc>
          <w:tcPr>
            <w:tcW w:w="3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jc w:val="right"/>
              <w:ind w:right="750"/>
              <w:spacing w:after="0" w:line="208" w:lineRule="exact"/>
              <w:rPr>
                <w:sz w:val="20"/>
                <w:szCs w:val="20"/>
                <w:color w:val="auto"/>
              </w:rPr>
            </w:pPr>
            <w:r>
              <w:rPr>
                <w:rFonts w:ascii="Calibri" w:cs="Calibri" w:eastAsia="Calibri" w:hAnsi="Calibri"/>
                <w:sz w:val="18"/>
                <w:szCs w:val="18"/>
                <w:color w:val="auto"/>
              </w:rPr>
              <w:t>$</w:t>
            </w:r>
          </w:p>
        </w:tc>
        <w:tc>
          <w:tcPr>
            <w:tcW w:w="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92"/>
              </w:rPr>
              <w:t>7,190</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7,190</w:t>
            </w:r>
          </w:p>
        </w:tc>
        <w:tc>
          <w:tcPr>
            <w:tcW w:w="100" w:type="dxa"/>
            <w:vAlign w:val="bottom"/>
            <w:tcBorders>
              <w:top w:val="single" w:sz="8" w:color="CFF0FC"/>
            </w:tcBorders>
          </w:tcPr>
          <w:p>
            <w:pPr>
              <w:spacing w:after="0"/>
              <w:rPr>
                <w:sz w:val="18"/>
                <w:szCs w:val="18"/>
                <w:color w:val="auto"/>
              </w:rPr>
            </w:pPr>
          </w:p>
        </w:tc>
      </w:tr>
      <w:tr>
        <w:trPr>
          <w:trHeight w:val="28"/>
        </w:trPr>
        <w:tc>
          <w:tcPr>
            <w:tcW w:w="38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-187960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ind w:left="20"/>
              <w:spacing w:after="0"/>
              <w:rPr>
                <w:sz w:val="20"/>
                <w:szCs w:val="20"/>
                <w:color w:val="auto"/>
              </w:rPr>
            </w:pPr>
            <w:r>
              <w:rPr>
                <w:rFonts w:ascii="Calibri" w:cs="Calibri" w:eastAsia="Calibri" w:hAnsi="Calibri"/>
                <w:sz w:val="18"/>
                <w:szCs w:val="18"/>
                <w:b w:val="1"/>
                <w:bCs w:val="1"/>
                <w:color w:val="auto"/>
              </w:rPr>
              <w:t>Fair Value Measurements Using</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38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r>
      <w:tr>
        <w:trPr>
          <w:trHeight w:val="208"/>
        </w:trPr>
        <w:tc>
          <w:tcPr>
            <w:tcW w:w="3860" w:type="dxa"/>
            <w:vAlign w:val="bottom"/>
          </w:tcPr>
          <w:p>
            <w:pPr>
              <w:spacing w:after="0"/>
              <w:rPr>
                <w:sz w:val="18"/>
                <w:szCs w:val="18"/>
                <w:color w:val="auto"/>
              </w:rPr>
            </w:pPr>
          </w:p>
        </w:tc>
        <w:tc>
          <w:tcPr>
            <w:tcW w:w="166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b w:val="1"/>
                <w:bCs w:val="1"/>
                <w:color w:val="auto"/>
              </w:rPr>
              <w:t>Level 1</w:t>
            </w:r>
          </w:p>
        </w:tc>
        <w:tc>
          <w:tcPr>
            <w:tcW w:w="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440"/>
              <w:spacing w:after="0" w:line="208" w:lineRule="exact"/>
              <w:rPr>
                <w:sz w:val="20"/>
                <w:szCs w:val="20"/>
                <w:color w:val="auto"/>
              </w:rPr>
            </w:pPr>
            <w:r>
              <w:rPr>
                <w:rFonts w:ascii="Calibri" w:cs="Calibri" w:eastAsia="Calibri" w:hAnsi="Calibri"/>
                <w:sz w:val="18"/>
                <w:szCs w:val="18"/>
                <w:b w:val="1"/>
                <w:bCs w:val="1"/>
                <w:color w:val="auto"/>
              </w:rPr>
              <w:t>Level 2</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Level 3</w:t>
            </w:r>
          </w:p>
        </w:tc>
        <w:tc>
          <w:tcPr>
            <w:tcW w:w="4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38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December 31, 2023</w:t>
            </w:r>
          </w:p>
        </w:tc>
        <w:tc>
          <w:tcPr>
            <w:tcW w:w="16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3860" w:type="dxa"/>
            <w:vAlign w:val="bottom"/>
          </w:tcPr>
          <w:p>
            <w:pPr>
              <w:ind w:left="120"/>
              <w:spacing w:after="0" w:line="215" w:lineRule="exact"/>
              <w:rPr>
                <w:sz w:val="20"/>
                <w:szCs w:val="20"/>
                <w:color w:val="auto"/>
              </w:rPr>
            </w:pPr>
            <w:r>
              <w:rPr>
                <w:rFonts w:ascii="Calibri" w:cs="Calibri" w:eastAsia="Calibri" w:hAnsi="Calibri"/>
                <w:sz w:val="18"/>
                <w:szCs w:val="18"/>
                <w:color w:val="auto"/>
              </w:rPr>
              <w:t>Note</w:t>
            </w:r>
          </w:p>
        </w:tc>
        <w:tc>
          <w:tcPr>
            <w:tcW w:w="1660" w:type="dxa"/>
            <w:vAlign w:val="bottom"/>
          </w:tcPr>
          <w:p>
            <w:pPr>
              <w:jc w:val="right"/>
              <w:ind w:right="145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ind w:left="340"/>
              <w:spacing w:after="0" w:line="215" w:lineRule="exact"/>
              <w:rPr>
                <w:sz w:val="20"/>
                <w:szCs w:val="20"/>
                <w:color w:val="auto"/>
              </w:rPr>
            </w:pPr>
            <w:r>
              <w:rPr>
                <w:rFonts w:ascii="Calibri" w:cs="Calibri" w:eastAsia="Calibri" w:hAnsi="Calibri"/>
                <w:sz w:val="18"/>
                <w:szCs w:val="18"/>
                <w:color w:val="auto"/>
                <w:w w:val="85"/>
              </w:rPr>
              <w:t>—</w:t>
            </w:r>
          </w:p>
        </w:tc>
        <w:tc>
          <w:tcPr>
            <w:tcW w:w="1400" w:type="dxa"/>
            <w:vAlign w:val="bottom"/>
            <w:gridSpan w:val="2"/>
          </w:tcPr>
          <w:p>
            <w:pPr>
              <w:ind w:left="34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ind w:left="120"/>
              <w:spacing w:after="0" w:line="215" w:lineRule="exact"/>
              <w:rPr>
                <w:sz w:val="20"/>
                <w:szCs w:val="20"/>
                <w:color w:val="auto"/>
              </w:rPr>
            </w:pPr>
            <w:r>
              <w:rPr>
                <w:rFonts w:ascii="Calibri" w:cs="Calibri" w:eastAsia="Calibri" w:hAnsi="Calibri"/>
                <w:sz w:val="18"/>
                <w:szCs w:val="18"/>
                <w:color w:val="auto"/>
                <w:w w:val="97"/>
              </w:rPr>
              <w:t>—</w:t>
            </w:r>
          </w:p>
        </w:tc>
        <w:tc>
          <w:tcPr>
            <w:tcW w:w="1280" w:type="dxa"/>
            <w:vAlign w:val="bottom"/>
            <w:gridSpan w:val="2"/>
          </w:tcPr>
          <w:p>
            <w:pPr>
              <w:jc w:val="right"/>
              <w:ind w:right="7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2,868</w:t>
            </w:r>
          </w:p>
        </w:tc>
        <w:tc>
          <w:tcPr>
            <w:tcW w:w="64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2,868</w:t>
            </w:r>
          </w:p>
        </w:tc>
        <w:tc>
          <w:tcPr>
            <w:tcW w:w="100" w:type="dxa"/>
            <w:vAlign w:val="bottom"/>
          </w:tcPr>
          <w:p>
            <w:pPr>
              <w:spacing w:after="0"/>
              <w:rPr>
                <w:sz w:val="18"/>
                <w:szCs w:val="18"/>
                <w:color w:val="auto"/>
              </w:rPr>
            </w:pPr>
          </w:p>
        </w:tc>
      </w:tr>
      <w:tr>
        <w:trPr>
          <w:trHeight w:val="28"/>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38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Warrant</w:t>
            </w:r>
          </w:p>
        </w:tc>
        <w:tc>
          <w:tcPr>
            <w:tcW w:w="16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ind w:left="340"/>
              <w:spacing w:after="0" w:line="215" w:lineRule="exact"/>
              <w:rPr>
                <w:sz w:val="20"/>
                <w:szCs w:val="20"/>
                <w:color w:val="auto"/>
              </w:rPr>
            </w:pPr>
            <w:r>
              <w:rPr>
                <w:rFonts w:ascii="Calibri" w:cs="Calibri" w:eastAsia="Calibri" w:hAnsi="Calibri"/>
                <w:sz w:val="18"/>
                <w:szCs w:val="18"/>
                <w:color w:val="auto"/>
                <w:w w:val="85"/>
              </w:rPr>
              <w:t>—</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4,125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3860" w:type="dxa"/>
            <w:vAlign w:val="bottom"/>
            <w:tcBorders>
              <w:top w:val="single" w:sz="8" w:color="CFF0FC"/>
            </w:tcBorders>
          </w:tcPr>
          <w:p>
            <w:pPr>
              <w:spacing w:after="0"/>
              <w:rPr>
                <w:sz w:val="18"/>
                <w:szCs w:val="18"/>
                <w:color w:val="auto"/>
              </w:rPr>
            </w:pPr>
          </w:p>
        </w:tc>
        <w:tc>
          <w:tcPr>
            <w:tcW w:w="1660" w:type="dxa"/>
            <w:vAlign w:val="bottom"/>
            <w:tcBorders>
              <w:top w:val="single" w:sz="8" w:color="auto"/>
            </w:tcBorders>
          </w:tcPr>
          <w:p>
            <w:pPr>
              <w:jc w:val="right"/>
              <w:ind w:right="1450"/>
              <w:spacing w:after="0" w:line="208" w:lineRule="exact"/>
              <w:rPr>
                <w:sz w:val="20"/>
                <w:szCs w:val="20"/>
                <w:color w:val="auto"/>
              </w:rPr>
            </w:pPr>
            <w:r>
              <w:rPr>
                <w:rFonts w:ascii="Calibri" w:cs="Calibri" w:eastAsia="Calibri" w:hAnsi="Calibri"/>
                <w:sz w:val="18"/>
                <w:szCs w:val="18"/>
                <w:b w:val="1"/>
                <w:bCs w:val="1"/>
                <w:color w:val="auto"/>
              </w:rPr>
              <w:t>$</w:t>
            </w:r>
          </w:p>
        </w:tc>
        <w:tc>
          <w:tcPr>
            <w:tcW w:w="500" w:type="dxa"/>
            <w:vAlign w:val="bottom"/>
            <w:tcBorders>
              <w:top w:val="single" w:sz="8" w:color="auto"/>
            </w:tcBorders>
          </w:tcPr>
          <w:p>
            <w:pPr>
              <w:ind w:left="340"/>
              <w:spacing w:after="0" w:line="208" w:lineRule="exact"/>
              <w:rPr>
                <w:sz w:val="20"/>
                <w:szCs w:val="20"/>
                <w:color w:val="auto"/>
              </w:rPr>
            </w:pPr>
            <w:r>
              <w:rPr>
                <w:rFonts w:ascii="Calibri" w:cs="Calibri" w:eastAsia="Calibri" w:hAnsi="Calibri"/>
                <w:sz w:val="18"/>
                <w:szCs w:val="18"/>
                <w:b w:val="1"/>
                <w:bCs w:val="1"/>
                <w:color w:val="auto"/>
                <w:w w:val="85"/>
              </w:rPr>
              <w:t>—</w:t>
            </w:r>
          </w:p>
        </w:tc>
        <w:tc>
          <w:tcPr>
            <w:tcW w:w="3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ind w:left="20"/>
              <w:spacing w:after="0" w:line="208" w:lineRule="exact"/>
              <w:rPr>
                <w:sz w:val="20"/>
                <w:szCs w:val="20"/>
                <w:color w:val="auto"/>
              </w:rPr>
            </w:pPr>
            <w:r>
              <w:rPr>
                <w:rFonts w:ascii="Calibri" w:cs="Calibri" w:eastAsia="Calibri" w:hAnsi="Calibri"/>
                <w:sz w:val="18"/>
                <w:szCs w:val="18"/>
                <w:b w:val="1"/>
                <w:bCs w:val="1"/>
                <w:color w:val="auto"/>
              </w:rPr>
              <w:t>$</w:t>
            </w:r>
          </w:p>
        </w:tc>
        <w:tc>
          <w:tcPr>
            <w:tcW w:w="3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b w:val="1"/>
                <w:bCs w:val="1"/>
                <w:color w:val="auto"/>
                <w:w w:val="97"/>
              </w:rPr>
              <w:t>—</w:t>
            </w:r>
          </w:p>
        </w:tc>
        <w:tc>
          <w:tcPr>
            <w:tcW w:w="34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jc w:val="right"/>
              <w:ind w:right="730"/>
              <w:spacing w:after="0" w:line="208" w:lineRule="exact"/>
              <w:rPr>
                <w:sz w:val="20"/>
                <w:szCs w:val="20"/>
                <w:color w:val="auto"/>
              </w:rPr>
            </w:pPr>
            <w:r>
              <w:rPr>
                <w:rFonts w:ascii="Calibri" w:cs="Calibri" w:eastAsia="Calibri" w:hAnsi="Calibri"/>
                <w:sz w:val="18"/>
                <w:szCs w:val="18"/>
                <w:b w:val="1"/>
                <w:bCs w:val="1"/>
                <w:color w:val="auto"/>
              </w:rPr>
              <w:t>$</w:t>
            </w:r>
          </w:p>
        </w:tc>
        <w:tc>
          <w:tcPr>
            <w:tcW w:w="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w w:val="97"/>
              </w:rPr>
              <w:t>6,993</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6,993</w:t>
            </w:r>
          </w:p>
        </w:tc>
        <w:tc>
          <w:tcPr>
            <w:tcW w:w="100" w:type="dxa"/>
            <w:vAlign w:val="bottom"/>
            <w:tcBorders>
              <w:top w:val="single" w:sz="8" w:color="CFF0FC"/>
            </w:tcBorders>
          </w:tcPr>
          <w:p>
            <w:pPr>
              <w:spacing w:after="0"/>
              <w:rPr>
                <w:sz w:val="18"/>
                <w:szCs w:val="18"/>
                <w:color w:val="auto"/>
              </w:rPr>
            </w:pPr>
          </w:p>
        </w:tc>
      </w:tr>
      <w:tr>
        <w:trPr>
          <w:trHeight w:val="28"/>
        </w:trPr>
        <w:tc>
          <w:tcPr>
            <w:tcW w:w="38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-187960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fair value of the Note is determined using the income approach, utlizing Level 3 inputs. The estmated fair value of the Warrant is determined using the Black-Scholes model, which requires us to make assumptons and judgments about the variables used in the calculaton related to volatlity, expected term, dividend yield and risk-free interest rate. Because of the inherent uncertainty of valuaton, these estmated values may difer signifcantly from the values that would have been used had a ready market for the investments existed, and the diferences could be material.</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quanttatve informaton about the signifcant unobservable inputs applied to these Level 3 fair value measurements: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6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Calibri" w:cs="Calibri" w:eastAsia="Calibri" w:hAnsi="Calibri"/>
                <w:sz w:val="18"/>
                <w:szCs w:val="18"/>
                <w:b w:val="1"/>
                <w:bCs w:val="1"/>
                <w:color w:val="auto"/>
              </w:rPr>
              <w:t>Signifcant</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560" w:type="dxa"/>
            <w:vAlign w:val="bottom"/>
          </w:tcPr>
          <w:p>
            <w:pPr>
              <w:spacing w:after="0"/>
              <w:rPr>
                <w:sz w:val="18"/>
                <w:szCs w:val="18"/>
                <w:color w:val="auto"/>
              </w:rPr>
            </w:pPr>
          </w:p>
        </w:tc>
        <w:tc>
          <w:tcPr>
            <w:tcW w:w="26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Unobservable</w:t>
            </w:r>
          </w:p>
        </w:tc>
        <w:tc>
          <w:tcPr>
            <w:tcW w:w="180" w:type="dxa"/>
            <w:vAlign w:val="bottom"/>
          </w:tcPr>
          <w:p>
            <w:pPr>
              <w:spacing w:after="0"/>
              <w:rPr>
                <w:sz w:val="18"/>
                <w:szCs w:val="18"/>
                <w:color w:val="auto"/>
              </w:rPr>
            </w:pPr>
          </w:p>
        </w:tc>
        <w:tc>
          <w:tcPr>
            <w:tcW w:w="2080" w:type="dxa"/>
            <w:vAlign w:val="bottom"/>
            <w:gridSpan w:val="2"/>
          </w:tcPr>
          <w:p>
            <w:pPr>
              <w:jc w:val="right"/>
              <w:ind w:right="860"/>
              <w:spacing w:after="0" w:line="216" w:lineRule="exact"/>
              <w:rPr>
                <w:sz w:val="20"/>
                <w:szCs w:val="20"/>
                <w:color w:val="auto"/>
              </w:rPr>
            </w:pPr>
            <w:r>
              <w:rPr>
                <w:rFonts w:ascii="Calibri" w:cs="Calibri" w:eastAsia="Calibri" w:hAnsi="Calibri"/>
                <w:sz w:val="18"/>
                <w:szCs w:val="18"/>
                <w:b w:val="1"/>
                <w:bCs w:val="1"/>
                <w:color w:val="auto"/>
              </w:rPr>
              <w:t>March 31,</w:t>
            </w:r>
          </w:p>
        </w:tc>
        <w:tc>
          <w:tcPr>
            <w:tcW w:w="1800" w:type="dxa"/>
            <w:vAlign w:val="bottom"/>
            <w:gridSpan w:val="3"/>
          </w:tcPr>
          <w:p>
            <w:pPr>
              <w:jc w:val="right"/>
              <w:ind w:right="480"/>
              <w:spacing w:after="0" w:line="216" w:lineRule="exact"/>
              <w:rPr>
                <w:sz w:val="20"/>
                <w:szCs w:val="20"/>
                <w:color w:val="auto"/>
              </w:rPr>
            </w:pPr>
            <w:r>
              <w:rPr>
                <w:rFonts w:ascii="Calibri" w:cs="Calibri" w:eastAsia="Calibri" w:hAnsi="Calibri"/>
                <w:sz w:val="18"/>
                <w:szCs w:val="18"/>
                <w:b w:val="1"/>
                <w:bCs w:val="1"/>
                <w:color w:val="auto"/>
              </w:rPr>
              <w:t>December 31,</w:t>
            </w:r>
          </w:p>
        </w:tc>
      </w:tr>
      <w:tr>
        <w:trPr>
          <w:trHeight w:val="230"/>
        </w:trPr>
        <w:tc>
          <w:tcPr>
            <w:tcW w:w="4560" w:type="dxa"/>
            <w:vAlign w:val="bottom"/>
          </w:tcPr>
          <w:p>
            <w:pPr>
              <w:ind w:left="20"/>
              <w:spacing w:after="0"/>
              <w:rPr>
                <w:sz w:val="20"/>
                <w:szCs w:val="20"/>
                <w:color w:val="auto"/>
              </w:rPr>
            </w:pPr>
            <w:r>
              <w:rPr>
                <w:rFonts w:ascii="Calibri" w:cs="Calibri" w:eastAsia="Calibri" w:hAnsi="Calibri"/>
                <w:sz w:val="18"/>
                <w:szCs w:val="18"/>
                <w:b w:val="1"/>
                <w:bCs w:val="1"/>
                <w:color w:val="auto"/>
              </w:rPr>
              <w:t>Assets</w:t>
            </w:r>
          </w:p>
        </w:tc>
        <w:tc>
          <w:tcPr>
            <w:tcW w:w="26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1880" w:type="dxa"/>
            <w:vAlign w:val="bottom"/>
            <w:gridSpan w:val="2"/>
          </w:tcPr>
          <w:p>
            <w:pPr>
              <w:jc w:val="right"/>
              <w:ind w:right="570"/>
              <w:spacing w:after="0" w:line="216" w:lineRule="exact"/>
              <w:rPr>
                <w:sz w:val="20"/>
                <w:szCs w:val="20"/>
                <w:color w:val="auto"/>
              </w:rPr>
            </w:pPr>
            <w:r>
              <w:rPr>
                <w:rFonts w:ascii="Calibri" w:cs="Calibri" w:eastAsia="Calibri" w:hAnsi="Calibri"/>
                <w:sz w:val="18"/>
                <w:szCs w:val="18"/>
                <w:b w:val="1"/>
                <w:bCs w:val="1"/>
                <w:color w:val="auto"/>
              </w:rPr>
              <w:t>2024</w:t>
            </w:r>
          </w:p>
        </w:tc>
        <w:tc>
          <w:tcPr>
            <w:tcW w:w="380" w:type="dxa"/>
            <w:vAlign w:val="bottom"/>
          </w:tcPr>
          <w:p>
            <w:pPr>
              <w:spacing w:after="0"/>
              <w:rPr>
                <w:sz w:val="19"/>
                <w:szCs w:val="19"/>
                <w:color w:val="auto"/>
              </w:rPr>
            </w:pPr>
          </w:p>
        </w:tc>
        <w:tc>
          <w:tcPr>
            <w:tcW w:w="1660" w:type="dxa"/>
            <w:vAlign w:val="bottom"/>
          </w:tcPr>
          <w:p>
            <w:pPr>
              <w:jc w:val="right"/>
              <w:ind w:right="57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
        </w:trPr>
        <w:tc>
          <w:tcPr>
            <w:tcW w:w="456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Note</w:t>
            </w:r>
          </w:p>
        </w:tc>
        <w:tc>
          <w:tcPr>
            <w:tcW w:w="26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Expected terms (years)</w:t>
            </w:r>
          </w:p>
        </w:tc>
        <w:tc>
          <w:tcPr>
            <w:tcW w:w="188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6.3</w:t>
            </w:r>
          </w:p>
        </w:tc>
        <w:tc>
          <w:tcPr>
            <w:tcW w:w="38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4560" w:type="dxa"/>
            <w:vAlign w:val="bottom"/>
          </w:tcPr>
          <w:p>
            <w:pPr>
              <w:spacing w:after="0"/>
              <w:rPr>
                <w:sz w:val="18"/>
                <w:szCs w:val="18"/>
                <w:color w:val="auto"/>
              </w:rPr>
            </w:pPr>
          </w:p>
        </w:tc>
        <w:tc>
          <w:tcPr>
            <w:tcW w:w="2660" w:type="dxa"/>
            <w:vAlign w:val="bottom"/>
          </w:tcPr>
          <w:p>
            <w:pPr>
              <w:ind w:left="20"/>
              <w:spacing w:after="0" w:line="215" w:lineRule="exact"/>
              <w:rPr>
                <w:sz w:val="20"/>
                <w:szCs w:val="20"/>
                <w:color w:val="auto"/>
              </w:rPr>
            </w:pPr>
            <w:r>
              <w:rPr>
                <w:rFonts w:ascii="Calibri" w:cs="Calibri" w:eastAsia="Calibri" w:hAnsi="Calibri"/>
                <w:sz w:val="18"/>
                <w:szCs w:val="18"/>
                <w:color w:val="auto"/>
              </w:rPr>
              <w:t>Implied Yield</w:t>
            </w:r>
          </w:p>
        </w:tc>
        <w:tc>
          <w:tcPr>
            <w:tcW w:w="226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21.1 %</w:t>
            </w:r>
          </w:p>
        </w:tc>
        <w:tc>
          <w:tcPr>
            <w:tcW w:w="1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21.7 %</w:t>
            </w:r>
          </w:p>
        </w:tc>
      </w:tr>
      <w:tr>
        <w:trPr>
          <w:trHeight w:val="28"/>
        </w:trPr>
        <w:tc>
          <w:tcPr>
            <w:tcW w:w="4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4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Warrant</w:t>
            </w:r>
          </w:p>
        </w:tc>
        <w:tc>
          <w:tcPr>
            <w:tcW w:w="2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Expected terms (years)</w:t>
            </w:r>
          </w:p>
        </w:tc>
        <w:tc>
          <w:tcPr>
            <w:tcW w:w="18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w:t>
            </w:r>
          </w:p>
        </w:tc>
        <w:tc>
          <w:tcPr>
            <w:tcW w:w="3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560" w:type="dxa"/>
            <w:vAlign w:val="bottom"/>
          </w:tcPr>
          <w:p>
            <w:pPr>
              <w:spacing w:after="0"/>
              <w:rPr>
                <w:sz w:val="18"/>
                <w:szCs w:val="18"/>
                <w:color w:val="auto"/>
              </w:rPr>
            </w:pPr>
          </w:p>
        </w:tc>
        <w:tc>
          <w:tcPr>
            <w:tcW w:w="2660" w:type="dxa"/>
            <w:vAlign w:val="bottom"/>
          </w:tcPr>
          <w:p>
            <w:pPr>
              <w:ind w:left="20"/>
              <w:spacing w:after="0" w:line="215" w:lineRule="exact"/>
              <w:rPr>
                <w:sz w:val="20"/>
                <w:szCs w:val="20"/>
                <w:color w:val="auto"/>
              </w:rPr>
            </w:pPr>
            <w:r>
              <w:rPr>
                <w:rFonts w:ascii="Calibri" w:cs="Calibri" w:eastAsia="Calibri" w:hAnsi="Calibri"/>
                <w:sz w:val="18"/>
                <w:szCs w:val="18"/>
                <w:color w:val="auto"/>
              </w:rPr>
              <w:t>Estmated volatlity</w:t>
            </w:r>
          </w:p>
        </w:tc>
        <w:tc>
          <w:tcPr>
            <w:tcW w:w="226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55.0 %</w:t>
            </w:r>
          </w:p>
        </w:tc>
        <w:tc>
          <w:tcPr>
            <w:tcW w:w="1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56.0 %</w:t>
            </w:r>
          </w:p>
        </w:tc>
      </w:tr>
      <w:tr>
        <w:trPr>
          <w:trHeight w:val="234"/>
        </w:trPr>
        <w:tc>
          <w:tcPr>
            <w:tcW w:w="456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Calibri" w:cs="Calibri" w:eastAsia="Calibri" w:hAnsi="Calibri"/>
                <w:sz w:val="18"/>
                <w:szCs w:val="18"/>
                <w:color w:val="auto"/>
              </w:rPr>
              <w:t>Risk-free rate</w:t>
            </w:r>
          </w:p>
        </w:tc>
        <w:tc>
          <w:tcPr>
            <w:tcW w:w="2260" w:type="dxa"/>
            <w:vAlign w:val="bottom"/>
            <w:gridSpan w:val="3"/>
          </w:tcPr>
          <w:p>
            <w:pPr>
              <w:jc w:val="right"/>
              <w:ind w:right="240"/>
              <w:spacing w:after="0"/>
              <w:rPr>
                <w:sz w:val="20"/>
                <w:szCs w:val="20"/>
                <w:color w:val="auto"/>
              </w:rPr>
            </w:pPr>
            <w:r>
              <w:rPr>
                <w:rFonts w:ascii="Calibri" w:cs="Calibri" w:eastAsia="Calibri" w:hAnsi="Calibri"/>
                <w:sz w:val="18"/>
                <w:szCs w:val="18"/>
                <w:color w:val="auto"/>
              </w:rPr>
              <w:t>4.2 %</w:t>
            </w:r>
          </w:p>
        </w:tc>
        <w:tc>
          <w:tcPr>
            <w:tcW w:w="1800" w:type="dxa"/>
            <w:vAlign w:val="bottom"/>
            <w:gridSpan w:val="3"/>
          </w:tcPr>
          <w:p>
            <w:pPr>
              <w:jc w:val="right"/>
              <w:spacing w:after="0"/>
              <w:rPr>
                <w:sz w:val="20"/>
                <w:szCs w:val="20"/>
                <w:color w:val="auto"/>
              </w:rPr>
            </w:pPr>
            <w:r>
              <w:rPr>
                <w:rFonts w:ascii="Calibri" w:cs="Calibri" w:eastAsia="Calibri" w:hAnsi="Calibri"/>
                <w:sz w:val="18"/>
                <w:szCs w:val="18"/>
                <w:color w:val="auto"/>
              </w:rPr>
              <w:t>3.9 %</w:t>
            </w:r>
          </w:p>
        </w:tc>
      </w:tr>
      <w:tr>
        <w:trPr>
          <w:trHeight w:val="270"/>
        </w:trPr>
        <w:tc>
          <w:tcPr>
            <w:tcW w:w="4560" w:type="dxa"/>
            <w:vAlign w:val="bottom"/>
          </w:tcPr>
          <w:p>
            <w:pPr>
              <w:spacing w:after="0"/>
              <w:rPr>
                <w:sz w:val="23"/>
                <w:szCs w:val="23"/>
                <w:color w:val="auto"/>
              </w:rPr>
            </w:pPr>
          </w:p>
        </w:tc>
        <w:tc>
          <w:tcPr>
            <w:tcW w:w="266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2260" w:type="dxa"/>
            <w:vAlign w:val="bottom"/>
            <w:gridSpan w:val="3"/>
          </w:tcPr>
          <w:p>
            <w:pPr>
              <w:jc w:val="right"/>
              <w:ind w:right="240"/>
              <w:spacing w:after="0"/>
              <w:rPr>
                <w:sz w:val="20"/>
                <w:szCs w:val="20"/>
                <w:color w:val="auto"/>
              </w:rPr>
            </w:pPr>
            <w:r>
              <w:rPr>
                <w:rFonts w:ascii="Calibri" w:cs="Calibri" w:eastAsia="Calibri" w:hAnsi="Calibri"/>
                <w:sz w:val="18"/>
                <w:szCs w:val="18"/>
                <w:color w:val="auto"/>
              </w:rPr>
              <w:t>0 %</w:t>
            </w:r>
          </w:p>
        </w:tc>
        <w:tc>
          <w:tcPr>
            <w:tcW w:w="1800" w:type="dxa"/>
            <w:vAlign w:val="bottom"/>
            <w:gridSpan w:val="3"/>
          </w:tcPr>
          <w:p>
            <w:pPr>
              <w:jc w:val="right"/>
              <w:spacing w:after="0"/>
              <w:rPr>
                <w:sz w:val="20"/>
                <w:szCs w:val="20"/>
                <w:color w:val="auto"/>
              </w:rPr>
            </w:pPr>
            <w:r>
              <w:rPr>
                <w:rFonts w:ascii="Calibri" w:cs="Calibri" w:eastAsia="Calibri" w:hAnsi="Calibri"/>
                <w:sz w:val="18"/>
                <w:szCs w:val="18"/>
                <w:color w:val="auto"/>
              </w:rPr>
              <w:t>0 %</w:t>
            </w:r>
          </w:p>
        </w:tc>
      </w:tr>
      <w:tr>
        <w:trPr>
          <w:trHeight w:val="877"/>
        </w:trPr>
        <w:tc>
          <w:tcPr>
            <w:tcW w:w="4560" w:type="dxa"/>
            <w:vAlign w:val="bottom"/>
          </w:tcPr>
          <w:p>
            <w:pPr>
              <w:spacing w:after="0"/>
              <w:rPr>
                <w:sz w:val="24"/>
                <w:szCs w:val="24"/>
                <w:color w:val="auto"/>
              </w:rPr>
            </w:pPr>
          </w:p>
        </w:tc>
        <w:tc>
          <w:tcPr>
            <w:tcW w:w="2660" w:type="dxa"/>
            <w:vAlign w:val="bottom"/>
          </w:tcPr>
          <w:p>
            <w:pPr>
              <w:ind w:left="980"/>
              <w:spacing w:after="0"/>
              <w:rPr>
                <w:sz w:val="20"/>
                <w:szCs w:val="20"/>
                <w:color w:val="auto"/>
              </w:rPr>
            </w:pPr>
            <w:r>
              <w:rPr>
                <w:rFonts w:ascii="Calibri" w:cs="Calibri" w:eastAsia="Calibri" w:hAnsi="Calibri"/>
                <w:sz w:val="18"/>
                <w:szCs w:val="18"/>
                <w:color w:val="auto"/>
              </w:rPr>
              <w:t>13</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3"/>
        </w:trPr>
        <w:tc>
          <w:tcPr>
            <w:tcW w:w="45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15" w:name="page16"/>
    <w:bookmarkEnd w:id="1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provides a reconciliaton of the fnancial instruments measured at fair value using Level 3 signifcant unobservable inputs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tcPr>
          <w:p>
            <w:pPr>
              <w:spacing w:after="0"/>
              <w:rPr>
                <w:sz w:val="19"/>
                <w:szCs w:val="19"/>
                <w:color w:val="auto"/>
              </w:rPr>
            </w:pPr>
          </w:p>
        </w:tc>
        <w:tc>
          <w:tcPr>
            <w:tcW w:w="226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Note</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gridSpan w:val="2"/>
          </w:tcPr>
          <w:p>
            <w:pPr>
              <w:jc w:val="right"/>
              <w:ind w:right="820"/>
              <w:spacing w:after="0"/>
              <w:rPr>
                <w:sz w:val="20"/>
                <w:szCs w:val="20"/>
                <w:color w:val="auto"/>
              </w:rPr>
            </w:pPr>
            <w:r>
              <w:rPr>
                <w:rFonts w:ascii="Calibri" w:cs="Calibri" w:eastAsia="Calibri" w:hAnsi="Calibri"/>
                <w:sz w:val="18"/>
                <w:szCs w:val="18"/>
                <w:b w:val="1"/>
                <w:bCs w:val="1"/>
                <w:color w:val="auto"/>
              </w:rPr>
              <w:t>Warrant</w:t>
            </w:r>
          </w:p>
        </w:tc>
      </w:tr>
      <w:tr>
        <w:trPr>
          <w:trHeight w:val="37"/>
        </w:trPr>
        <w:tc>
          <w:tcPr>
            <w:tcW w:w="556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55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January 1, 2024</w:t>
            </w:r>
          </w:p>
        </w:tc>
        <w:tc>
          <w:tcPr>
            <w:tcW w:w="2260" w:type="dxa"/>
            <w:vAlign w:val="bottom"/>
            <w:tcBorders>
              <w:bottom w:val="single" w:sz="8" w:color="CFF0FC"/>
            </w:tcBorders>
            <w:shd w:val="clear" w:color="auto" w:fill="CFF0FC"/>
          </w:tcPr>
          <w:p>
            <w:pPr>
              <w:jc w:val="right"/>
              <w:ind w:right="2050"/>
              <w:spacing w:after="0" w:line="208" w:lineRule="exact"/>
              <w:rPr>
                <w:sz w:val="20"/>
                <w:szCs w:val="20"/>
                <w:color w:val="auto"/>
              </w:rPr>
            </w:pPr>
            <w:r>
              <w:rPr>
                <w:rFonts w:ascii="Calibri" w:cs="Calibri" w:eastAsia="Calibri" w:hAnsi="Calibri"/>
                <w:sz w:val="18"/>
                <w:szCs w:val="18"/>
                <w:b w:val="1"/>
                <w:bCs w:val="1"/>
                <w:color w:val="auto"/>
              </w:rPr>
              <w:t>$</w:t>
            </w: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2,868</w:t>
            </w:r>
          </w:p>
        </w:tc>
        <w:tc>
          <w:tcPr>
            <w:tcW w:w="780" w:type="dxa"/>
            <w:vAlign w:val="bottom"/>
            <w:tcBorders>
              <w:bottom w:val="single" w:sz="8" w:color="CFF0FC"/>
            </w:tcBorders>
            <w:gridSpan w:val="2"/>
            <w:shd w:val="clear" w:color="auto" w:fill="CFF0FC"/>
          </w:tcPr>
          <w:p>
            <w:pPr>
              <w:jc w:val="right"/>
              <w:ind w:right="210"/>
              <w:spacing w:after="0" w:line="208" w:lineRule="exact"/>
              <w:rPr>
                <w:sz w:val="20"/>
                <w:szCs w:val="20"/>
                <w:color w:val="auto"/>
              </w:rPr>
            </w:pPr>
            <w:r>
              <w:rPr>
                <w:rFonts w:ascii="Calibri" w:cs="Calibri" w:eastAsia="Calibri" w:hAnsi="Calibri"/>
                <w:sz w:val="18"/>
                <w:szCs w:val="18"/>
                <w:b w:val="1"/>
                <w:bCs w:val="1"/>
                <w:color w:val="auto"/>
              </w:rPr>
              <w:t>$</w:t>
            </w:r>
          </w:p>
        </w:tc>
        <w:tc>
          <w:tcPr>
            <w:tcW w:w="1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4,125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Accreton of discount</w:t>
            </w:r>
          </w:p>
        </w:tc>
        <w:tc>
          <w:tcPr>
            <w:tcW w:w="226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22</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paid-in-kind</w:t>
            </w:r>
          </w:p>
        </w:tc>
        <w:tc>
          <w:tcPr>
            <w:tcW w:w="2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120</w:t>
            </w:r>
          </w:p>
        </w:tc>
        <w:tc>
          <w:tcPr>
            <w:tcW w:w="3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Total unrealized gains or losses:</w:t>
            </w:r>
          </w:p>
        </w:tc>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5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Recognized in earnings</w:t>
            </w:r>
          </w:p>
        </w:tc>
        <w:tc>
          <w:tcPr>
            <w:tcW w:w="2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(37 )</w:t>
            </w:r>
          </w:p>
        </w:tc>
      </w:tr>
      <w:tr>
        <w:trPr>
          <w:trHeight w:val="220"/>
        </w:trPr>
        <w:tc>
          <w:tcPr>
            <w:tcW w:w="5560" w:type="dxa"/>
            <w:vAlign w:val="bottom"/>
          </w:tcPr>
          <w:p>
            <w:pPr>
              <w:ind w:left="120"/>
              <w:spacing w:after="0"/>
              <w:rPr>
                <w:sz w:val="20"/>
                <w:szCs w:val="20"/>
                <w:color w:val="auto"/>
              </w:rPr>
            </w:pPr>
            <w:r>
              <w:rPr>
                <w:rFonts w:ascii="Calibri" w:cs="Calibri" w:eastAsia="Calibri" w:hAnsi="Calibri"/>
                <w:sz w:val="18"/>
                <w:szCs w:val="18"/>
                <w:color w:val="auto"/>
              </w:rPr>
              <w:t>Recognized in Other comprehensive income</w:t>
            </w:r>
          </w:p>
        </w:tc>
        <w:tc>
          <w:tcPr>
            <w:tcW w:w="22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92</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556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5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 at March 31, 2024</w:t>
            </w:r>
          </w:p>
        </w:tc>
        <w:tc>
          <w:tcPr>
            <w:tcW w:w="2260" w:type="dxa"/>
            <w:vAlign w:val="bottom"/>
            <w:tcBorders>
              <w:bottom w:val="single" w:sz="8" w:color="auto"/>
            </w:tcBorders>
            <w:shd w:val="clear" w:color="auto" w:fill="CFF0FC"/>
          </w:tcPr>
          <w:p>
            <w:pPr>
              <w:jc w:val="right"/>
              <w:ind w:right="2050"/>
              <w:spacing w:after="0" w:line="215" w:lineRule="exact"/>
              <w:rPr>
                <w:sz w:val="20"/>
                <w:szCs w:val="20"/>
                <w:color w:val="auto"/>
              </w:rPr>
            </w:pPr>
            <w:r>
              <w:rPr>
                <w:rFonts w:ascii="Calibri" w:cs="Calibri" w:eastAsia="Calibri" w:hAnsi="Calibri"/>
                <w:sz w:val="18"/>
                <w:szCs w:val="18"/>
                <w:b w:val="1"/>
                <w:bCs w:val="1"/>
                <w:color w:val="auto"/>
              </w:rPr>
              <w:t>$</w:t>
            </w:r>
          </w:p>
        </w:tc>
        <w:tc>
          <w:tcPr>
            <w:tcW w:w="9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3,102</w:t>
            </w:r>
          </w:p>
        </w:tc>
        <w:tc>
          <w:tcPr>
            <w:tcW w:w="3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line="215" w:lineRule="exact"/>
              <w:rPr>
                <w:sz w:val="20"/>
                <w:szCs w:val="20"/>
                <w:color w:val="auto"/>
              </w:rPr>
            </w:pPr>
            <w:r>
              <w:rPr>
                <w:rFonts w:ascii="Calibri" w:cs="Calibri" w:eastAsia="Calibri" w:hAnsi="Calibri"/>
                <w:sz w:val="18"/>
                <w:szCs w:val="18"/>
                <w:b w:val="1"/>
                <w:bCs w:val="1"/>
                <w:color w:val="auto"/>
                <w:w w:val="87"/>
              </w:rPr>
              <w:t>$</w:t>
            </w:r>
          </w:p>
        </w:tc>
        <w:tc>
          <w:tcPr>
            <w:tcW w:w="16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4,088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Other fnancial instruments, including accounts receivable and accounts payable, are carried at cost, which approximates their fair value because of their short-term nature.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80" w:type="dxa"/>
            <w:vAlign w:val="bottom"/>
          </w:tcPr>
          <w:p>
            <w:pPr>
              <w:spacing w:after="0"/>
              <w:rPr>
                <w:sz w:val="20"/>
                <w:szCs w:val="20"/>
                <w:color w:val="auto"/>
              </w:rPr>
            </w:pPr>
            <w:r>
              <w:rPr>
                <w:rFonts w:ascii="Calibri" w:cs="Calibri" w:eastAsia="Calibri" w:hAnsi="Calibri"/>
                <w:sz w:val="18"/>
                <w:szCs w:val="18"/>
                <w:b w:val="1"/>
                <w:bCs w:val="1"/>
                <w:color w:val="auto"/>
              </w:rPr>
              <w:t>11. Accrued Expenses and Other Current Liabilities</w:t>
            </w: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6480" w:type="dxa"/>
            <w:vAlign w:val="bottom"/>
          </w:tcPr>
          <w:p>
            <w:pPr>
              <w:spacing w:after="0"/>
              <w:rPr>
                <w:sz w:val="20"/>
                <w:szCs w:val="20"/>
                <w:color w:val="auto"/>
              </w:rPr>
            </w:pPr>
            <w:r>
              <w:rPr>
                <w:rFonts w:ascii="Calibri" w:cs="Calibri" w:eastAsia="Calibri" w:hAnsi="Calibri"/>
                <w:sz w:val="18"/>
                <w:szCs w:val="18"/>
                <w:color w:val="auto"/>
              </w:rPr>
              <w:t>Accrued expenses and other current liabilites consisted of the following (in thousands):</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March 31,</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ind w:left="24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648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Calibri" w:cs="Calibri" w:eastAsia="Calibri" w:hAnsi="Calibri"/>
                <w:sz w:val="18"/>
                <w:szCs w:val="18"/>
                <w:b w:val="1"/>
                <w:bCs w:val="1"/>
                <w:color w:val="auto"/>
              </w:rPr>
              <w:t>2024</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8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37"/>
        </w:trPr>
        <w:tc>
          <w:tcPr>
            <w:tcW w:w="64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4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Accrued marketng expense</w:t>
            </w:r>
          </w:p>
        </w:tc>
        <w:tc>
          <w:tcPr>
            <w:tcW w:w="1520" w:type="dxa"/>
            <w:vAlign w:val="bottom"/>
            <w:tcBorders>
              <w:bottom w:val="single" w:sz="8" w:color="CFF0FC"/>
            </w:tcBorders>
            <w:shd w:val="clear" w:color="auto" w:fill="CFF0FC"/>
          </w:tcPr>
          <w:p>
            <w:pPr>
              <w:jc w:val="right"/>
              <w:ind w:right="1310"/>
              <w:spacing w:after="0" w:line="208"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35,383</w:t>
            </w:r>
          </w:p>
        </w:tc>
        <w:tc>
          <w:tcPr>
            <w:tcW w:w="66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8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39,210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customer credits</w:t>
            </w:r>
          </w:p>
        </w:tc>
        <w:tc>
          <w:tcPr>
            <w:tcW w:w="15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62,941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64,318</w:t>
            </w:r>
          </w:p>
        </w:tc>
        <w:tc>
          <w:tcPr>
            <w:tcW w:w="100" w:type="dxa"/>
            <w:vAlign w:val="bottom"/>
          </w:tcPr>
          <w:p>
            <w:pPr>
              <w:spacing w:after="0"/>
              <w:rPr>
                <w:sz w:val="18"/>
                <w:szCs w:val="18"/>
                <w:color w:val="auto"/>
              </w:rPr>
            </w:pPr>
          </w:p>
        </w:tc>
      </w:tr>
      <w:tr>
        <w:trPr>
          <w:trHeight w:val="28"/>
        </w:trPr>
        <w:tc>
          <w:tcPr>
            <w:tcW w:w="6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Accrued future customer compensaton</w:t>
            </w:r>
          </w:p>
        </w:tc>
        <w:tc>
          <w:tcPr>
            <w:tcW w:w="15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31,426</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33,010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48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payroll</w:t>
            </w:r>
          </w:p>
        </w:tc>
        <w:tc>
          <w:tcPr>
            <w:tcW w:w="15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6,493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17,381</w:t>
            </w:r>
          </w:p>
        </w:tc>
        <w:tc>
          <w:tcPr>
            <w:tcW w:w="100" w:type="dxa"/>
            <w:vAlign w:val="bottom"/>
          </w:tcPr>
          <w:p>
            <w:pPr>
              <w:spacing w:after="0"/>
              <w:rPr>
                <w:sz w:val="18"/>
                <w:szCs w:val="18"/>
                <w:color w:val="auto"/>
              </w:rPr>
            </w:pPr>
          </w:p>
        </w:tc>
      </w:tr>
      <w:tr>
        <w:trPr>
          <w:trHeight w:val="28"/>
        </w:trPr>
        <w:tc>
          <w:tcPr>
            <w:tcW w:w="6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Accrued operatng expenses</w:t>
            </w:r>
          </w:p>
        </w:tc>
        <w:tc>
          <w:tcPr>
            <w:tcW w:w="15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20,307</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20,828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480" w:type="dxa"/>
            <w:vAlign w:val="bottom"/>
          </w:tcPr>
          <w:p>
            <w:pPr>
              <w:ind w:left="20"/>
              <w:spacing w:after="0"/>
              <w:rPr>
                <w:sz w:val="20"/>
                <w:szCs w:val="20"/>
                <w:color w:val="auto"/>
              </w:rPr>
            </w:pPr>
            <w:r>
              <w:rPr>
                <w:rFonts w:ascii="Calibri" w:cs="Calibri" w:eastAsia="Calibri" w:hAnsi="Calibri"/>
                <w:sz w:val="18"/>
                <w:szCs w:val="18"/>
                <w:color w:val="auto"/>
              </w:rPr>
              <w:t>Other current liabilites</w:t>
            </w:r>
          </w:p>
        </w:tc>
        <w:tc>
          <w:tcPr>
            <w:tcW w:w="152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24,657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16,895</w:t>
            </w:r>
          </w:p>
        </w:tc>
        <w:tc>
          <w:tcPr>
            <w:tcW w:w="100" w:type="dxa"/>
            <w:vAlign w:val="bottom"/>
          </w:tcPr>
          <w:p>
            <w:pPr>
              <w:spacing w:after="0"/>
              <w:rPr>
                <w:sz w:val="19"/>
                <w:szCs w:val="19"/>
                <w:color w:val="auto"/>
              </w:rPr>
            </w:pPr>
          </w:p>
        </w:tc>
      </w:tr>
      <w:tr>
        <w:trPr>
          <w:trHeight w:val="23"/>
        </w:trPr>
        <w:tc>
          <w:tcPr>
            <w:tcW w:w="64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4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accrued expenses and other current liabilites</w:t>
            </w:r>
          </w:p>
        </w:tc>
        <w:tc>
          <w:tcPr>
            <w:tcW w:w="1520" w:type="dxa"/>
            <w:vAlign w:val="bottom"/>
            <w:tcBorders>
              <w:bottom w:val="single" w:sz="8" w:color="auto"/>
            </w:tcBorders>
            <w:shd w:val="clear" w:color="auto" w:fill="CFF0FC"/>
          </w:tcPr>
          <w:p>
            <w:pPr>
              <w:jc w:val="right"/>
              <w:ind w:right="1310"/>
              <w:spacing w:after="0" w:line="215" w:lineRule="exact"/>
              <w:rPr>
                <w:sz w:val="20"/>
                <w:szCs w:val="20"/>
                <w:color w:val="auto"/>
              </w:rPr>
            </w:pPr>
            <w:r>
              <w:rPr>
                <w:rFonts w:ascii="Calibri" w:cs="Calibri" w:eastAsia="Calibri" w:hAnsi="Calibri"/>
                <w:sz w:val="18"/>
                <w:szCs w:val="18"/>
                <w:b w:val="1"/>
                <w:bCs w:val="1"/>
                <w:color w:val="auto"/>
              </w:rPr>
              <w:t>$</w:t>
            </w:r>
          </w:p>
        </w:tc>
        <w:tc>
          <w:tcPr>
            <w:tcW w:w="6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181,207</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b w:val="1"/>
                <w:bCs w:val="1"/>
                <w:color w:val="auto"/>
              </w:rPr>
              <w:t>$</w:t>
            </w:r>
          </w:p>
        </w:tc>
        <w:tc>
          <w:tcPr>
            <w:tcW w:w="18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191,642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customer credits represent credits issued and outstanding for cancellatons or other service issues related to recorded sales transactons. The accrued amount is reduced by the amount of credits estmated to go unused, or breakage, provided that the credits are not subject to escheatment. We estmate breakage based on historical usage trends and available data on comparable programs, and we recognize breakage in proporton to the patern of redempton for customer credits. Our breakage estmates could be impacted by future actvity difering from our estmates, the efects of which could be material.</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three months ended March 31, 2024, $1.5 million of accrued customer credits were redeemed and we recognized $2.1 million of revenue from breakage. During the three months ended March 31, 2023, $2.6 million of accrued customer credits were redeemed and we recognized $4.6 million of revenue from breakage. Breakage amounts are net of reductons in associated accounts receivable balances.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future customer compensaton represents an estmate of the amount of customer compensaton due from cancellaton charges in the future. These provisions, which are based on historic experience, revenue volumes for future events and management’s estmate of the likelihood of future cancellatons, are recognized as a component of Revenues in the Condensed Consolidated Statements of Operatons. The expected recoveries of these obligatons are included in Prepaid expenses and other current assets in the Condensed Consolidated Balance Sheets. This estmated accrual could be impacted by future actvity difering from our estmates, the efects of which could be material. During the three months ended March 31, 2024 and 2023, we recognized a net decrease in revenue of $0.1 million and $0.8 million, respectvely, from the reversals of previously recorded revenue and changes to accrued future customer compensaton related to cancellatons where the performance obligatons were satsfed in prior periods.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current liabilites primarily increased as a result of accrued, but not paid, tax distributons, and accrued TRA liability that is expected to be paid in the next 12 months.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00" w:type="dxa"/>
            <w:vAlign w:val="bottom"/>
          </w:tcPr>
          <w:p>
            <w:pPr>
              <w:spacing w:after="0"/>
              <w:rPr>
                <w:sz w:val="20"/>
                <w:szCs w:val="20"/>
                <w:color w:val="auto"/>
              </w:rPr>
            </w:pPr>
            <w:r>
              <w:rPr>
                <w:rFonts w:ascii="Calibri" w:cs="Calibri" w:eastAsia="Calibri" w:hAnsi="Calibri"/>
                <w:sz w:val="18"/>
                <w:szCs w:val="18"/>
                <w:b w:val="1"/>
                <w:bCs w:val="1"/>
                <w:color w:val="auto"/>
              </w:rPr>
              <w:t>12. Debt</w:t>
            </w: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6100" w:type="dxa"/>
            <w:vAlign w:val="bottom"/>
          </w:tcPr>
          <w:p>
            <w:pPr>
              <w:spacing w:after="0"/>
              <w:rPr>
                <w:sz w:val="20"/>
                <w:szCs w:val="20"/>
                <w:color w:val="auto"/>
              </w:rPr>
            </w:pPr>
            <w:r>
              <w:rPr>
                <w:rFonts w:ascii="Calibri" w:cs="Calibri" w:eastAsia="Calibri" w:hAnsi="Calibri"/>
                <w:sz w:val="18"/>
                <w:szCs w:val="18"/>
                <w:color w:val="auto"/>
              </w:rPr>
              <w:t>Our outstanding debt is comprised of the following (in thousands):</w:t>
            </w: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100" w:type="dxa"/>
            <w:vAlign w:val="bottom"/>
          </w:tcPr>
          <w:p>
            <w:pPr>
              <w:spacing w:after="0"/>
              <w:rPr>
                <w:sz w:val="24"/>
                <w:szCs w:val="24"/>
                <w:color w:val="auto"/>
              </w:rPr>
            </w:pPr>
          </w:p>
        </w:tc>
        <w:tc>
          <w:tcPr>
            <w:tcW w:w="164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March 31,</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2"/>
          </w:tcPr>
          <w:p>
            <w:pPr>
              <w:jc w:val="right"/>
              <w:ind w:right="76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61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Calibri" w:cs="Calibri" w:eastAsia="Calibri" w:hAnsi="Calibri"/>
                <w:sz w:val="18"/>
                <w:szCs w:val="18"/>
                <w:b w:val="1"/>
                <w:bCs w:val="1"/>
                <w:color w:val="auto"/>
              </w:rPr>
              <w:t>2024</w:t>
            </w: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ind w:right="9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1"/>
                <w:szCs w:val="21"/>
                <w:color w:val="auto"/>
              </w:rPr>
            </w:pPr>
          </w:p>
        </w:tc>
      </w:tr>
      <w:tr>
        <w:trPr>
          <w:trHeight w:val="50"/>
        </w:trPr>
        <w:tc>
          <w:tcPr>
            <w:tcW w:w="6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61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February 2022 First Lien Loan</w:t>
            </w:r>
          </w:p>
        </w:tc>
        <w:tc>
          <w:tcPr>
            <w:tcW w:w="1640" w:type="dxa"/>
            <w:vAlign w:val="bottom"/>
            <w:tcBorders>
              <w:bottom w:val="single" w:sz="8" w:color="CFF0FC"/>
            </w:tcBorders>
            <w:shd w:val="clear" w:color="auto" w:fill="CFF0FC"/>
          </w:tcPr>
          <w:p>
            <w:pPr>
              <w:jc w:val="right"/>
              <w:ind w:right="1430"/>
              <w:spacing w:after="0" w:line="213"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269,500</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9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270,188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6100" w:type="dxa"/>
            <w:vAlign w:val="bottom"/>
          </w:tcPr>
          <w:p>
            <w:pPr>
              <w:ind w:left="20"/>
              <w:spacing w:after="0"/>
              <w:rPr>
                <w:sz w:val="20"/>
                <w:szCs w:val="20"/>
                <w:color w:val="auto"/>
              </w:rPr>
            </w:pPr>
            <w:r>
              <w:rPr>
                <w:rFonts w:ascii="Calibri" w:cs="Calibri" w:eastAsia="Calibri" w:hAnsi="Calibri"/>
                <w:sz w:val="18"/>
                <w:szCs w:val="18"/>
                <w:color w:val="auto"/>
              </w:rPr>
              <w:t>Shoko Chukin Bank Loan</w:t>
            </w:r>
          </w:p>
        </w:tc>
        <w:tc>
          <w:tcPr>
            <w:tcW w:w="1640" w:type="dxa"/>
            <w:vAlign w:val="bottom"/>
          </w:tcPr>
          <w:p>
            <w:pPr>
              <w:spacing w:after="0"/>
              <w:rPr>
                <w:sz w:val="20"/>
                <w:szCs w:val="20"/>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2,477</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jc w:val="right"/>
              <w:spacing w:after="0" w:line="215" w:lineRule="exact"/>
              <w:rPr>
                <w:sz w:val="20"/>
                <w:szCs w:val="20"/>
                <w:color w:val="auto"/>
              </w:rPr>
            </w:pPr>
            <w:r>
              <w:rPr>
                <w:rFonts w:ascii="Calibri" w:cs="Calibri" w:eastAsia="Calibri" w:hAnsi="Calibri"/>
                <w:sz w:val="18"/>
                <w:szCs w:val="18"/>
                <w:color w:val="auto"/>
              </w:rPr>
              <w:t>2,954</w:t>
            </w:r>
          </w:p>
        </w:tc>
        <w:tc>
          <w:tcPr>
            <w:tcW w:w="100" w:type="dxa"/>
            <w:vAlign w:val="bottom"/>
          </w:tcPr>
          <w:p>
            <w:pPr>
              <w:spacing w:after="0"/>
              <w:rPr>
                <w:sz w:val="20"/>
                <w:szCs w:val="20"/>
                <w:color w:val="auto"/>
              </w:rPr>
            </w:pPr>
          </w:p>
        </w:tc>
      </w:tr>
      <w:tr>
        <w:trPr>
          <w:trHeight w:val="23"/>
        </w:trPr>
        <w:tc>
          <w:tcPr>
            <w:tcW w:w="6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1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Total long-term debt, gross</w:t>
            </w:r>
          </w:p>
        </w:tc>
        <w:tc>
          <w:tcPr>
            <w:tcW w:w="16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271,977</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273,142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9"/>
        </w:trPr>
        <w:tc>
          <w:tcPr>
            <w:tcW w:w="6100" w:type="dxa"/>
            <w:vAlign w:val="bottom"/>
          </w:tcPr>
          <w:p>
            <w:pPr>
              <w:ind w:left="20"/>
              <w:spacing w:after="0"/>
              <w:rPr>
                <w:sz w:val="20"/>
                <w:szCs w:val="20"/>
                <w:color w:val="auto"/>
              </w:rPr>
            </w:pPr>
            <w:r>
              <w:rPr>
                <w:rFonts w:ascii="Calibri" w:cs="Calibri" w:eastAsia="Calibri" w:hAnsi="Calibri"/>
                <w:sz w:val="18"/>
                <w:szCs w:val="18"/>
                <w:color w:val="auto"/>
              </w:rPr>
              <w:t>Less: unamortzed debt issuance costs</w:t>
            </w:r>
          </w:p>
        </w:tc>
        <w:tc>
          <w:tcPr>
            <w:tcW w:w="1640" w:type="dxa"/>
            <w:vAlign w:val="bottom"/>
          </w:tcPr>
          <w:p>
            <w:pPr>
              <w:spacing w:after="0"/>
              <w:rPr>
                <w:sz w:val="19"/>
                <w:szCs w:val="19"/>
                <w:color w:val="auto"/>
              </w:rPr>
            </w:pPr>
          </w:p>
        </w:tc>
        <w:tc>
          <w:tcPr>
            <w:tcW w:w="10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(4,392 )</w:t>
            </w:r>
          </w:p>
        </w:tc>
        <w:tc>
          <w:tcPr>
            <w:tcW w:w="380" w:type="dxa"/>
            <w:vAlign w:val="bottom"/>
          </w:tcPr>
          <w:p>
            <w:pPr>
              <w:spacing w:after="0"/>
              <w:rPr>
                <w:sz w:val="19"/>
                <w:szCs w:val="19"/>
                <w:color w:val="auto"/>
              </w:rPr>
            </w:pPr>
          </w:p>
        </w:tc>
        <w:tc>
          <w:tcPr>
            <w:tcW w:w="20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(4,577 )</w:t>
            </w:r>
          </w:p>
        </w:tc>
      </w:tr>
      <w:tr>
        <w:trPr>
          <w:trHeight w:val="23"/>
        </w:trPr>
        <w:tc>
          <w:tcPr>
            <w:tcW w:w="6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1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Total long-term debt, net of issuance costs</w:t>
            </w:r>
          </w:p>
        </w:tc>
        <w:tc>
          <w:tcPr>
            <w:tcW w:w="16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267,585</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268,565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6100" w:type="dxa"/>
            <w:vAlign w:val="bottom"/>
          </w:tcPr>
          <w:p>
            <w:pPr>
              <w:ind w:left="20"/>
              <w:spacing w:after="0"/>
              <w:rPr>
                <w:sz w:val="20"/>
                <w:szCs w:val="20"/>
                <w:color w:val="auto"/>
              </w:rPr>
            </w:pPr>
            <w:r>
              <w:rPr>
                <w:rFonts w:ascii="Calibri" w:cs="Calibri" w:eastAsia="Calibri" w:hAnsi="Calibri"/>
                <w:sz w:val="18"/>
                <w:szCs w:val="18"/>
                <w:color w:val="auto"/>
              </w:rPr>
              <w:t>Less: current porton</w:t>
            </w:r>
          </w:p>
        </w:tc>
        <w:tc>
          <w:tcPr>
            <w:tcW w:w="1640" w:type="dxa"/>
            <w:vAlign w:val="bottom"/>
          </w:tcPr>
          <w:p>
            <w:pPr>
              <w:spacing w:after="0"/>
              <w:rPr>
                <w:sz w:val="19"/>
                <w:szCs w:val="19"/>
                <w:color w:val="auto"/>
              </w:rPr>
            </w:pPr>
          </w:p>
        </w:tc>
        <w:tc>
          <w:tcPr>
            <w:tcW w:w="10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(3,577 )</w:t>
            </w:r>
          </w:p>
        </w:tc>
        <w:tc>
          <w:tcPr>
            <w:tcW w:w="380" w:type="dxa"/>
            <w:vAlign w:val="bottom"/>
          </w:tcPr>
          <w:p>
            <w:pPr>
              <w:spacing w:after="0"/>
              <w:rPr>
                <w:sz w:val="19"/>
                <w:szCs w:val="19"/>
                <w:color w:val="auto"/>
              </w:rPr>
            </w:pPr>
          </w:p>
        </w:tc>
        <w:tc>
          <w:tcPr>
            <w:tcW w:w="20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(3,933 )</w:t>
            </w:r>
          </w:p>
        </w:tc>
      </w:tr>
      <w:tr>
        <w:trPr>
          <w:trHeight w:val="23"/>
        </w:trPr>
        <w:tc>
          <w:tcPr>
            <w:tcW w:w="6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Total long-term debt, net</w:t>
            </w:r>
          </w:p>
        </w:tc>
        <w:tc>
          <w:tcPr>
            <w:tcW w:w="1640" w:type="dxa"/>
            <w:vAlign w:val="bottom"/>
            <w:tcBorders>
              <w:bottom w:val="single" w:sz="8" w:color="auto"/>
            </w:tcBorders>
            <w:shd w:val="clear" w:color="auto" w:fill="CFF0FC"/>
          </w:tcPr>
          <w:p>
            <w:pPr>
              <w:jc w:val="right"/>
              <w:ind w:right="143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264,008</w:t>
            </w:r>
          </w:p>
        </w:tc>
        <w:tc>
          <w:tcPr>
            <w:tcW w:w="3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9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264,632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2017 Term Loans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On June 30, 2017, we entered into a $575.0 million frst lien debt facility, comprising a $50.0 million revolving credit facility and a $525.0 million term loan (the “June 2017 First Lien Loan”), and a second lien credit facility, comprising a $185.0 million second lien term loan (the “June 2017 Second Lien Loan”). The June 2017 First Lien Loan was amended to upsize the commited amount by $115.0 million on July 2, 2018. On October 28, 2019, we paid of the June 2017 Second Lien Loan balance. The revolving credit facility component of the frst lien debt facility was retred on May 22, 2020. On October 18, 2021, we made an early principal payment related to the June 2017 First Lien Loan of $148.2 million in connecton with, and using the proceeds from, the merger transacton with Horizon Acquisiton Corporaton (the “Merger Transacton”) and a related private investment in public equity. On February 3, 2022, we repaid the outstanding balance of $190.7 million from the June 2017 First Lien Loan and refnanced the remaining balance with a new $275.0 million term loan.</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February 2022 First Lien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3, 2022, we entered into an amendment which refnanced the remaining balance of the June 2017 First Lien Loan with a new $275.0 million term loan (the “February 2022 First Lien Loan”), which has a maturity date of February 3, 2029, and added a new $100.0 million revolving credit facility (the “Revolving Facility”) with a maturity date of February 3, 2027. At March 31, 2024, we had no outstanding borrowings under the Revolving Facility.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terms of the February 2022 First Lien Loan specify a secured overnight fnancing rate (“SOFR”)-based foatng interest rate and contain a springing fnancial covenant that requires compliance with a frst lien net leverage rato when revolver borrowings exceed certain levels. All obligatons under the February 2022 First Lien Loan are unconditonally guaranteed by Hoya Intermediate and substantally all of Hoya Intermediate’s existng and future direct and indirect wholly owned domestc subsidiaries.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(subject to a 0.5% foor) plus 3.25%. The efectve interest rate on the February 2022 First Lien Loan was 8.98% and 9.05% per annum at March 31, 2024 and December 31, 2023, respectvely.</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February 2022 First Lien Loan is held by third-party fnancial insttutons and is carried at the outstanding principal balance, less debt issuance costs and any unamortzed discount or premium. The fair value was estmated using quoted prices that are directly observable in the marketplace. Therefore, the fair value is estmated on a Level 2 basis. At March 31, 2024 and December 31, 2023, the fair value of the February 2022 First Lien Loan approximated the carrying value.</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are subject to certain reportng and compliance-related covenants to remain in good standing under the February 2022 First Lien Loan. These covenants, among other things, limit our ability to incur additonal indebtedness and, in certain circumstances, to enter into transactons with afliates, create liens, merge or consolidate and make certain payments. Non-compliance with these covenants and failure to remedy could result in the acceleraton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ind w:right="140"/>
        <w:spacing w:after="0" w:line="348" w:lineRule="auto"/>
        <w:rPr>
          <w:sz w:val="20"/>
          <w:szCs w:val="20"/>
          <w:color w:val="auto"/>
        </w:rPr>
      </w:pPr>
      <w:r>
        <w:rPr>
          <w:rFonts w:ascii="Calibri" w:cs="Calibri" w:eastAsia="Calibri" w:hAnsi="Calibri"/>
          <w:sz w:val="18"/>
          <w:szCs w:val="18"/>
          <w:color w:val="auto"/>
        </w:rPr>
        <w:t xml:space="preserve">the loans or foreclosure on the collateral. As of March 31, 2024, we were in compliance with all debt covenants related to the February 2022 First Lien Loan. </w:t>
      </w:r>
      <w:r>
        <w:rPr>
          <w:rFonts w:ascii="Calibri" w:cs="Calibri" w:eastAsia="Calibri" w:hAnsi="Calibri"/>
          <w:sz w:val="18"/>
          <w:szCs w:val="18"/>
          <w:i w:val="1"/>
          <w:iCs w:val="1"/>
          <w:color w:val="auto"/>
        </w:rPr>
        <w:t>Shoko Chukin Bank Loan</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our acquisiton of Wavedash, we assumed long-term debt owed to Shoko Chukin Bank (the “Shoko Chukin Bank Loan”) of JPY 458.3 million (approximately $3.1 million), which has a maturity date of June 24, 2026 and is subject to a fxed interest rate of 1.27% per annum. Because the fair value was estmated using quoted prices that are directly observable in the marketplace, it is estmated on a Level 2 basis. At March 31, 2024 and December 31, 2023, the fair value of the Shoko Chukin Bank Loan approximated the carrying value.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Financial Instruments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issued the following warrants during the year ended December 31, 2021 in connecton with the Merger Transacton: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Public Warrants</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issued to former warrant holders of Horizon Acquisiton Corporaton warrants to purchase 18,132,776 shares of our Class A common stock at an exercise price of $11.50 per share (the “Public Warrants”), of which warrants to purchase 5,166,666 shares were issued to Horizon Sponsor, LLC. The Public Warrants are traded on the Nasdaq Stock Market under the symbol “SEATW.” As of March 31, 2024, there were 6,766,853 Public Warrants outstanding.</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Private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issued to Horizon Sponsor, LLC warrants to purchase 6,519,791 shares of our Class A common stock at an exercise price of $11.50 per share (the “Private Warrants”). As of March 31, 2024, there were 6,519,791 Private Warrants outstanding.</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Exercise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issued to Horizon Sponsor, LLC warrants to purchase 17,000,000 shares of our Class A common stock at an exercise price of $10.00 per share (the “$10 Exercise Warrants”) and warrants to purchase 17,000,000 shares of our Class A common stock at an exercise of $15.00 per share (the “$15 Exercise Warrants” and, together with the $10 Exercise Warrants, the “Exercise Warrants”). As of March 31, 2024, there were 17,000,000 $10 Exercise Warrants and 17,000,000 $15 Exercise Warrants outstanding.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Hoya Intermediate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Intermediate issued to Hoya Topco, LLC (“Hoya Topco”) warrants to purchase 3,000,000 Intermediate Units at an exercise price of $10.00 per unit (the “$10 Hoya Intermediate Warrants”) and warrants to purchase 3,000,000 Intermediate Units at an exercise of $15.00 per unit (the ”$15 Hoya Intermediate Warrants” and, together with the $10 Hoya Intermediate Warrants, the “Hoya Intermediate Warrants”).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porton of the Hoya Intermediate Warrants, consistng of warrants to purchase 1,000,000 Intermediate Units at exercise prices of $10.00 and $15.00 per unit, respectvely (the “Opton Contngent Warrants”), were issued in tandem with stock optons we issued to members of our management team (the “Management Optons”). The Opton Contngent Warrants only become exercisable by Hoya Topco if a Management Opton is forfeited or expires unexercised.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December 7, 2023, Hoya Topco voluntarily terminated a porton of the Hoya Intermediate Warrants, consistng of Opton Contngent Warrants to purchase 1,000,000 Intermediate Units at exercise prices of $10.00 and $15.00 per unit,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As of March 31, 2024, there were 2,000,000 $10 Hoya Intermediate Warrants and 2,000,000 $15 Hoya Intermediate Warrants outstanding.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 w:name="page19"/>
    <w:bookmarkEnd w:id="18"/>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0" w:type="dxa"/>
            <w:vAlign w:val="bottom"/>
            <w:gridSpan w:val="3"/>
          </w:tcPr>
          <w:p>
            <w:pPr>
              <w:spacing w:after="0"/>
              <w:rPr>
                <w:sz w:val="20"/>
                <w:szCs w:val="20"/>
                <w:color w:val="auto"/>
              </w:rPr>
            </w:pPr>
            <w:r>
              <w:rPr>
                <w:rFonts w:ascii="Calibri" w:cs="Calibri" w:eastAsia="Calibri" w:hAnsi="Calibri"/>
                <w:sz w:val="18"/>
                <w:szCs w:val="18"/>
                <w:color w:val="auto"/>
                <w:w w:val="98"/>
              </w:rPr>
              <w:t>The following assumptons were used to calculate the fair value of the Hoya Intermediate Warrants:</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5020" w:type="dxa"/>
            <w:vAlign w:val="bottom"/>
          </w:tcPr>
          <w:p>
            <w:pPr>
              <w:spacing w:after="0"/>
              <w:rPr>
                <w:sz w:val="24"/>
                <w:szCs w:val="24"/>
                <w:color w:val="auto"/>
              </w:rPr>
            </w:pPr>
          </w:p>
        </w:tc>
        <w:tc>
          <w:tcPr>
            <w:tcW w:w="2180" w:type="dxa"/>
            <w:vAlign w:val="bottom"/>
            <w:gridSpan w:val="2"/>
          </w:tcPr>
          <w:p>
            <w:pPr>
              <w:jc w:val="right"/>
              <w:ind w:right="860"/>
              <w:spacing w:after="0"/>
              <w:rPr>
                <w:sz w:val="20"/>
                <w:szCs w:val="20"/>
                <w:color w:val="auto"/>
              </w:rPr>
            </w:pPr>
            <w:r>
              <w:rPr>
                <w:rFonts w:ascii="Calibri" w:cs="Calibri" w:eastAsia="Calibri" w:hAnsi="Calibri"/>
                <w:sz w:val="18"/>
                <w:szCs w:val="18"/>
                <w:b w:val="1"/>
                <w:bCs w:val="1"/>
                <w:color w:val="auto"/>
              </w:rPr>
              <w:t>March 31,</w:t>
            </w:r>
          </w:p>
        </w:tc>
        <w:tc>
          <w:tcPr>
            <w:tcW w:w="2140" w:type="dxa"/>
            <w:vAlign w:val="bottom"/>
            <w:gridSpan w:val="2"/>
          </w:tcPr>
          <w:p>
            <w:pPr>
              <w:jc w:val="right"/>
              <w:ind w:right="700"/>
              <w:spacing w:after="0"/>
              <w:rPr>
                <w:sz w:val="20"/>
                <w:szCs w:val="20"/>
                <w:color w:val="auto"/>
              </w:rPr>
            </w:pPr>
            <w:r>
              <w:rPr>
                <w:rFonts w:ascii="Calibri" w:cs="Calibri" w:eastAsia="Calibri" w:hAnsi="Calibri"/>
                <w:sz w:val="18"/>
                <w:szCs w:val="18"/>
                <w:b w:val="1"/>
                <w:bCs w:val="1"/>
                <w:color w:val="auto"/>
              </w:rPr>
              <w:t>December 31,</w:t>
            </w:r>
          </w:p>
        </w:tc>
        <w:tc>
          <w:tcPr>
            <w:tcW w:w="1940" w:type="dxa"/>
            <w:vAlign w:val="bottom"/>
            <w:gridSpan w:val="2"/>
          </w:tcPr>
          <w:p>
            <w:pPr>
              <w:jc w:val="right"/>
              <w:ind w:right="580"/>
              <w:spacing w:after="0"/>
              <w:rPr>
                <w:sz w:val="20"/>
                <w:szCs w:val="20"/>
                <w:color w:val="auto"/>
              </w:rPr>
            </w:pPr>
            <w:r>
              <w:rPr>
                <w:rFonts w:ascii="Calibri" w:cs="Calibri" w:eastAsia="Calibri" w:hAnsi="Calibri"/>
                <w:sz w:val="18"/>
                <w:szCs w:val="18"/>
                <w:b w:val="1"/>
                <w:bCs w:val="1"/>
                <w:color w:val="auto"/>
              </w:rPr>
              <w:t>December 7,</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920" w:type="dxa"/>
            <w:vAlign w:val="bottom"/>
          </w:tcPr>
          <w:p>
            <w:pPr>
              <w:jc w:val="right"/>
              <w:ind w:right="690"/>
              <w:spacing w:after="0"/>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21"/>
                <w:szCs w:val="21"/>
                <w:color w:val="auto"/>
              </w:rPr>
            </w:pPr>
          </w:p>
        </w:tc>
        <w:tc>
          <w:tcPr>
            <w:tcW w:w="1880" w:type="dxa"/>
            <w:vAlign w:val="bottom"/>
          </w:tcPr>
          <w:p>
            <w:pPr>
              <w:jc w:val="right"/>
              <w:ind w:right="670"/>
              <w:spacing w:after="0"/>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21"/>
                <w:szCs w:val="21"/>
                <w:color w:val="auto"/>
              </w:rPr>
            </w:pPr>
          </w:p>
        </w:tc>
        <w:tc>
          <w:tcPr>
            <w:tcW w:w="1800" w:type="dxa"/>
            <w:vAlign w:val="bottom"/>
          </w:tcPr>
          <w:p>
            <w:pPr>
              <w:jc w:val="right"/>
              <w:ind w:right="630"/>
              <w:spacing w:after="0"/>
              <w:rPr>
                <w:sz w:val="20"/>
                <w:szCs w:val="20"/>
                <w:color w:val="auto"/>
              </w:rPr>
            </w:pPr>
            <w:r>
              <w:rPr>
                <w:rFonts w:ascii="Calibri" w:cs="Calibri" w:eastAsia="Calibri" w:hAnsi="Calibri"/>
                <w:sz w:val="18"/>
                <w:szCs w:val="18"/>
                <w:b w:val="1"/>
                <w:bCs w:val="1"/>
                <w:color w:val="auto"/>
              </w:rPr>
              <w:t>2023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5020" w:type="dxa"/>
            <w:vAlign w:val="bottom"/>
            <w:vMerge w:val="restart"/>
          </w:tcPr>
          <w:p>
            <w:pPr>
              <w:ind w:left="20"/>
              <w:spacing w:after="0"/>
              <w:rPr>
                <w:sz w:val="20"/>
                <w:szCs w:val="20"/>
                <w:color w:val="auto"/>
              </w:rPr>
            </w:pPr>
            <w:r>
              <w:rPr>
                <w:rFonts w:ascii="Calibri" w:cs="Calibri" w:eastAsia="Calibri" w:hAnsi="Calibri"/>
                <w:sz w:val="18"/>
                <w:szCs w:val="18"/>
                <w:color w:val="auto"/>
              </w:rPr>
              <w:t>Estmated volatlity</w:t>
            </w:r>
          </w:p>
        </w:tc>
        <w:tc>
          <w:tcPr>
            <w:tcW w:w="19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020" w:type="dxa"/>
            <w:vAlign w:val="bottom"/>
            <w:vMerge w:val="continue"/>
          </w:tcPr>
          <w:p>
            <w:pPr>
              <w:spacing w:after="0"/>
              <w:rPr>
                <w:sz w:val="18"/>
                <w:szCs w:val="18"/>
                <w:color w:val="auto"/>
              </w:rPr>
            </w:pPr>
          </w:p>
        </w:tc>
        <w:tc>
          <w:tcPr>
            <w:tcW w:w="2180" w:type="dxa"/>
            <w:vAlign w:val="bottom"/>
            <w:gridSpan w:val="2"/>
          </w:tcPr>
          <w:p>
            <w:pPr>
              <w:jc w:val="right"/>
              <w:ind w:right="120"/>
              <w:spacing w:after="0" w:line="208" w:lineRule="exact"/>
              <w:rPr>
                <w:sz w:val="20"/>
                <w:szCs w:val="20"/>
                <w:color w:val="auto"/>
              </w:rPr>
            </w:pPr>
            <w:r>
              <w:rPr>
                <w:rFonts w:ascii="Calibri" w:cs="Calibri" w:eastAsia="Calibri" w:hAnsi="Calibri"/>
                <w:sz w:val="18"/>
                <w:szCs w:val="18"/>
                <w:color w:val="auto"/>
              </w:rPr>
              <w:t>50.0 %</w:t>
            </w:r>
          </w:p>
        </w:tc>
        <w:tc>
          <w:tcPr>
            <w:tcW w:w="2140" w:type="dxa"/>
            <w:vAlign w:val="bottom"/>
            <w:gridSpan w:val="2"/>
          </w:tcPr>
          <w:p>
            <w:pPr>
              <w:jc w:val="right"/>
              <w:ind w:right="120"/>
              <w:spacing w:after="0" w:line="208" w:lineRule="exact"/>
              <w:rPr>
                <w:sz w:val="20"/>
                <w:szCs w:val="20"/>
                <w:color w:val="auto"/>
              </w:rPr>
            </w:pPr>
            <w:r>
              <w:rPr>
                <w:rFonts w:ascii="Calibri" w:cs="Calibri" w:eastAsia="Calibri" w:hAnsi="Calibri"/>
                <w:sz w:val="18"/>
                <w:szCs w:val="18"/>
                <w:color w:val="auto"/>
              </w:rPr>
              <w:t>48.0 %</w:t>
            </w:r>
          </w:p>
        </w:tc>
        <w:tc>
          <w:tcPr>
            <w:tcW w:w="1940" w:type="dxa"/>
            <w:vAlign w:val="bottom"/>
            <w:gridSpan w:val="2"/>
          </w:tcPr>
          <w:p>
            <w:pPr>
              <w:jc w:val="right"/>
              <w:spacing w:after="0" w:line="208" w:lineRule="exact"/>
              <w:rPr>
                <w:sz w:val="20"/>
                <w:szCs w:val="20"/>
                <w:color w:val="auto"/>
              </w:rPr>
            </w:pPr>
            <w:r>
              <w:rPr>
                <w:rFonts w:ascii="Calibri" w:cs="Calibri" w:eastAsia="Calibri" w:hAnsi="Calibri"/>
                <w:sz w:val="18"/>
                <w:szCs w:val="18"/>
                <w:color w:val="auto"/>
              </w:rPr>
              <w:t>48.0 %</w:t>
            </w: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Calibri" w:cs="Calibri" w:eastAsia="Calibri" w:hAnsi="Calibri"/>
                <w:sz w:val="18"/>
                <w:szCs w:val="18"/>
                <w:color w:val="auto"/>
              </w:rPr>
              <w:t>Expected term (years)</w:t>
            </w:r>
          </w:p>
        </w:tc>
        <w:tc>
          <w:tcPr>
            <w:tcW w:w="1920" w:type="dxa"/>
            <w:vAlign w:val="bottom"/>
          </w:tcPr>
          <w:p>
            <w:pPr>
              <w:jc w:val="right"/>
              <w:spacing w:after="0"/>
              <w:rPr>
                <w:sz w:val="20"/>
                <w:szCs w:val="20"/>
                <w:color w:val="auto"/>
              </w:rPr>
            </w:pPr>
            <w:r>
              <w:rPr>
                <w:rFonts w:ascii="Calibri" w:cs="Calibri" w:eastAsia="Calibri" w:hAnsi="Calibri"/>
                <w:sz w:val="18"/>
                <w:szCs w:val="18"/>
                <w:color w:val="auto"/>
              </w:rPr>
              <w:t>7.6</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Calibri" w:cs="Calibri" w:eastAsia="Calibri" w:hAnsi="Calibri"/>
                <w:sz w:val="18"/>
                <w:szCs w:val="18"/>
                <w:color w:val="auto"/>
              </w:rPr>
              <w:t>7.8</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Calibri" w:cs="Calibri" w:eastAsia="Calibri" w:hAnsi="Calibri"/>
                <w:sz w:val="18"/>
                <w:szCs w:val="18"/>
                <w:color w:val="auto"/>
              </w:rPr>
              <w:t>Risk-free rate</w:t>
            </w:r>
          </w:p>
        </w:tc>
        <w:tc>
          <w:tcPr>
            <w:tcW w:w="21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4.2 %</w:t>
            </w:r>
          </w:p>
        </w:tc>
        <w:tc>
          <w:tcPr>
            <w:tcW w:w="21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3.9 %</w:t>
            </w:r>
          </w:p>
        </w:tc>
        <w:tc>
          <w:tcPr>
            <w:tcW w:w="1940" w:type="dxa"/>
            <w:vAlign w:val="bottom"/>
            <w:gridSpan w:val="2"/>
          </w:tcPr>
          <w:p>
            <w:pPr>
              <w:jc w:val="right"/>
              <w:spacing w:after="0"/>
              <w:rPr>
                <w:sz w:val="20"/>
                <w:szCs w:val="20"/>
                <w:color w:val="auto"/>
              </w:rPr>
            </w:pPr>
            <w:r>
              <w:rPr>
                <w:rFonts w:ascii="Calibri" w:cs="Calibri" w:eastAsia="Calibri" w:hAnsi="Calibri"/>
                <w:sz w:val="18"/>
                <w:szCs w:val="18"/>
                <w:color w:val="auto"/>
              </w:rPr>
              <w:t>4.2 %</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Calibri" w:cs="Calibri" w:eastAsia="Calibri" w:hAnsi="Calibri"/>
                <w:sz w:val="18"/>
                <w:szCs w:val="18"/>
                <w:color w:val="auto"/>
              </w:rPr>
              <w:t>Expected dividend yield</w:t>
            </w:r>
          </w:p>
        </w:tc>
        <w:tc>
          <w:tcPr>
            <w:tcW w:w="21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0.0 %</w:t>
            </w:r>
          </w:p>
        </w:tc>
        <w:tc>
          <w:tcPr>
            <w:tcW w:w="21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0.0 %</w:t>
            </w:r>
          </w:p>
        </w:tc>
        <w:tc>
          <w:tcPr>
            <w:tcW w:w="1940" w:type="dxa"/>
            <w:vAlign w:val="bottom"/>
            <w:gridSpan w:val="2"/>
          </w:tcPr>
          <w:p>
            <w:pPr>
              <w:jc w:val="right"/>
              <w:spacing w:after="0"/>
              <w:rPr>
                <w:sz w:val="20"/>
                <w:szCs w:val="20"/>
                <w:color w:val="auto"/>
              </w:rPr>
            </w:pPr>
            <w:r>
              <w:rPr>
                <w:rFonts w:ascii="Calibri" w:cs="Calibri" w:eastAsia="Calibri" w:hAnsi="Calibri"/>
                <w:sz w:val="18"/>
                <w:szCs w:val="18"/>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For the three months ended March 31, 2024, the fair value of the Hoya Intermediate Warrants decreased by $0.5 million, which is presented in Other (income) expense on the Condensed Consolidated Statements of Operatons. For the three months ended March 2023, the fair value of both the Hoya Intermediate Warrants and the Opton Contngent Warrants decreased by $0.3 million, which is presented in Other (income) expense on the Condensed Consolidated Statements of Operatons.</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Upon the valid exercise of a Hoya Intermediate Warrant for Intermediate Units, we will issue an equivalent number of shares of our Class B common stock to Hoya Topco.</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Mirror Warrants</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Hoya Intermediate issued to us warrants to purchase 17,000,000 of its common units (“Intermediate Units”) at an exercise price of $10.00 per unit (the “$10 Mirror Warrants”), warrants to purchase 17,000,000 Intermediate Units at an exercise of $15.00 per unit (the “$15 Mirror Warrants”), and warrants to purchase 24,652,557 Intermediate Units at an exercise price of $11.50 per unit (the “$11.50 Mirror Warrants” and, together with the $10 Mirror Warrants and the $15 Mirror Warrants, the “Mirror Warrants”). Upon the valid exercise of a Public, Private or Exercise Warrant, Hoya Intermediate will issue to us an equivalent number of Intermediate Units. Similarly, if a Public, Private or Exercise Warrant is tendered, an equivalent number of Mirror Warrants will be tendered. As of March 31, 2024, there were 17,000,000 $10 Mirror Warrants, 17,000,000 $15 Mirror Warrants and 13,286,644 $11.50 Mirror Warrants outstanding.</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Equity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Programs</w:t>
      </w:r>
    </w:p>
    <w:p>
      <w:pPr>
        <w:spacing w:after="0" w:line="109" w:lineRule="exact"/>
        <w:rPr>
          <w:sz w:val="20"/>
          <w:szCs w:val="20"/>
          <w:color w:val="auto"/>
        </w:rPr>
      </w:pPr>
    </w:p>
    <w:p>
      <w:pPr>
        <w:jc w:val="both"/>
        <w:ind w:right="40"/>
        <w:spacing w:after="0" w:line="252" w:lineRule="auto"/>
        <w:rPr>
          <w:sz w:val="20"/>
          <w:szCs w:val="20"/>
          <w:color w:val="auto"/>
        </w:rPr>
      </w:pPr>
      <w:r>
        <w:rPr>
          <w:rFonts w:ascii="Calibri" w:cs="Calibri" w:eastAsia="Calibri" w:hAnsi="Calibri"/>
          <w:sz w:val="17"/>
          <w:szCs w:val="17"/>
          <w:color w:val="auto"/>
        </w:rPr>
        <w:t>On February 29, 2024, our Board of Directors (our “Board”) authorized a share repurchase program for up to $100.0 million of our Class A common stock, which program was publicly announced on March 5, 2024 and does not have a fxed expiraton date (the “2024 Repurchase Program”). As of March 31, 2024, we have repurchased 0.7 million shares of our Class A Common Stock for $4.1 million under the 2024 Repurchase Program and paid less than $0.1 million in commissions. As of March 31, 2024, approximately $95.9 million remained available for future repurchases under the 2024 Repurchase Program.</w:t>
      </w:r>
    </w:p>
    <w:p>
      <w:pPr>
        <w:spacing w:after="0" w:line="10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On May 25, 2022, our Board authorized a share repurchase program for up to $40.0 million of our Class A common stock, which program was publicly announced on May 26, 2022 (the “2022 Repurchase Program”). The 2022 Repurchase Program’s authorizaton was fully utlized during 2022 and the three months ended March 31, 2023. Cumulatvely under the 2022 Repurchase Program, we repurchased 5.3 million shares of our Class A common stock for $40.0 million and paid $0.1 million in commissions.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Share repurchases are accounted for as Treasury stock in the Condensed Consolidated Balance Sheets.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19" w:name="page20"/>
    <w:bookmarkEnd w:id="1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Accumulated Other Comprehensive Income (Loss)</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following table presents the changes in each component of Accumulated other comprehensive income (loss) atributable to Class A Common Stockholders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center"/>
              <w:ind w:right="520"/>
              <w:spacing w:after="0"/>
              <w:rPr>
                <w:sz w:val="20"/>
                <w:szCs w:val="20"/>
                <w:color w:val="auto"/>
              </w:rPr>
            </w:pPr>
            <w:r>
              <w:rPr>
                <w:rFonts w:ascii="Calibri" w:cs="Calibri" w:eastAsia="Calibri" w:hAnsi="Calibri"/>
                <w:sz w:val="18"/>
                <w:szCs w:val="18"/>
                <w:b w:val="1"/>
                <w:bCs w:val="1"/>
                <w:color w:val="auto"/>
                <w:w w:val="99"/>
              </w:rPr>
              <w:t>Foreign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6"/>
              </w:rPr>
              <w:t>Unrealized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20"/>
              <w:spacing w:after="0" w:line="216" w:lineRule="exact"/>
              <w:rPr>
                <w:sz w:val="20"/>
                <w:szCs w:val="20"/>
                <w:color w:val="auto"/>
              </w:rPr>
            </w:pPr>
            <w:r>
              <w:rPr>
                <w:rFonts w:ascii="Calibri" w:cs="Calibri" w:eastAsia="Calibri" w:hAnsi="Calibri"/>
                <w:sz w:val="18"/>
                <w:szCs w:val="18"/>
                <w:b w:val="1"/>
                <w:bCs w:val="1"/>
                <w:color w:val="auto"/>
                <w:w w:val="98"/>
              </w:rPr>
              <w:t>currency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gain on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20"/>
              <w:spacing w:after="0" w:line="216" w:lineRule="exact"/>
              <w:rPr>
                <w:sz w:val="20"/>
                <w:szCs w:val="20"/>
                <w:color w:val="auto"/>
              </w:rPr>
            </w:pPr>
            <w:r>
              <w:rPr>
                <w:rFonts w:ascii="Calibri" w:cs="Calibri" w:eastAsia="Calibri" w:hAnsi="Calibri"/>
                <w:sz w:val="18"/>
                <w:szCs w:val="18"/>
                <w:b w:val="1"/>
                <w:bCs w:val="1"/>
                <w:color w:val="auto"/>
              </w:rPr>
              <w:t>translaton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5"/>
              </w:rPr>
              <w:t>investments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20"/>
              <w:spacing w:after="0" w:line="216" w:lineRule="exact"/>
              <w:rPr>
                <w:sz w:val="20"/>
                <w:szCs w:val="20"/>
                <w:color w:val="auto"/>
              </w:rPr>
            </w:pPr>
            <w:r>
              <w:rPr>
                <w:rFonts w:ascii="Calibri" w:cs="Calibri" w:eastAsia="Calibri" w:hAnsi="Calibri"/>
                <w:sz w:val="18"/>
                <w:szCs w:val="18"/>
                <w:b w:val="1"/>
                <w:bCs w:val="1"/>
                <w:color w:val="auto"/>
                <w:w w:val="97"/>
              </w:rPr>
              <w:t>adjustment</w:t>
            </w:r>
          </w:p>
        </w:tc>
        <w:tc>
          <w:tcPr>
            <w:tcW w:w="240" w:type="dxa"/>
            <w:vAlign w:val="bottom"/>
          </w:tcPr>
          <w:p>
            <w:pPr>
              <w:spacing w:after="0"/>
              <w:rPr>
                <w:sz w:val="18"/>
                <w:szCs w:val="18"/>
                <w:color w:val="auto"/>
              </w:rPr>
            </w:pPr>
          </w:p>
        </w:tc>
        <w:tc>
          <w:tcPr>
            <w:tcW w:w="980" w:type="dxa"/>
            <w:vAlign w:val="bottom"/>
            <w:gridSpan w:val="2"/>
          </w:tcPr>
          <w:p>
            <w:pPr>
              <w:jc w:val="right"/>
              <w:ind w:right="48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37"/>
        </w:trPr>
        <w:tc>
          <w:tcPr>
            <w:tcW w:w="64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64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Balance at January 1, 2024</w:t>
            </w: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87"/>
              </w:rPr>
              <w:t>$</w:t>
            </w:r>
          </w:p>
        </w:tc>
        <w:tc>
          <w:tcPr>
            <w:tcW w:w="12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106</w:t>
            </w:r>
          </w:p>
        </w:tc>
        <w:tc>
          <w:tcPr>
            <w:tcW w:w="560" w:type="dxa"/>
            <w:vAlign w:val="bottom"/>
            <w:tcBorders>
              <w:bottom w:val="single" w:sz="8" w:color="CFF0FC"/>
            </w:tcBorders>
            <w:gridSpan w:val="2"/>
            <w:shd w:val="clear" w:color="auto" w:fill="CFF0FC"/>
          </w:tcPr>
          <w:p>
            <w:pPr>
              <w:jc w:val="right"/>
              <w:ind w:right="30"/>
              <w:spacing w:after="0" w:line="208" w:lineRule="exact"/>
              <w:rPr>
                <w:sz w:val="20"/>
                <w:szCs w:val="20"/>
                <w:color w:val="auto"/>
              </w:rPr>
            </w:pPr>
            <w:r>
              <w:rPr>
                <w:rFonts w:ascii="Calibri" w:cs="Calibri" w:eastAsia="Calibri" w:hAnsi="Calibri"/>
                <w:sz w:val="18"/>
                <w:szCs w:val="18"/>
                <w:b w:val="1"/>
                <w:bCs w:val="1"/>
                <w:color w:val="auto"/>
              </w:rPr>
              <w:t>$</w:t>
            </w:r>
          </w:p>
        </w:tc>
        <w:tc>
          <w:tcPr>
            <w:tcW w:w="13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641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747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9"/>
        </w:trPr>
        <w:tc>
          <w:tcPr>
            <w:tcW w:w="6460" w:type="dxa"/>
            <w:vAlign w:val="bottom"/>
          </w:tcPr>
          <w:p>
            <w:pPr>
              <w:ind w:left="20"/>
              <w:spacing w:after="0"/>
              <w:rPr>
                <w:sz w:val="20"/>
                <w:szCs w:val="20"/>
                <w:color w:val="auto"/>
              </w:rPr>
            </w:pPr>
            <w:r>
              <w:rPr>
                <w:rFonts w:ascii="Calibri" w:cs="Calibri" w:eastAsia="Calibri" w:hAnsi="Calibri"/>
                <w:sz w:val="18"/>
                <w:szCs w:val="18"/>
                <w:color w:val="auto"/>
              </w:rPr>
              <w:t>Other comprehensive income</w:t>
            </w:r>
          </w:p>
        </w:tc>
        <w:tc>
          <w:tcPr>
            <w:tcW w:w="180" w:type="dxa"/>
            <w:vAlign w:val="bottom"/>
          </w:tcPr>
          <w:p>
            <w:pPr>
              <w:spacing w:after="0"/>
              <w:rPr>
                <w:sz w:val="19"/>
                <w:szCs w:val="19"/>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59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(1,189 )</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(1,130 )</w:t>
            </w:r>
          </w:p>
        </w:tc>
      </w:tr>
      <w:tr>
        <w:trPr>
          <w:trHeight w:val="23"/>
        </w:trPr>
        <w:tc>
          <w:tcPr>
            <w:tcW w:w="6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6460" w:type="dxa"/>
            <w:vAlign w:val="bottom"/>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 at March 31, 2024</w:t>
            </w: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12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165</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b w:val="1"/>
                <w:bCs w:val="1"/>
                <w:color w:val="auto"/>
                <w:w w:val="87"/>
              </w:rPr>
              <w:t>$</w:t>
            </w:r>
          </w:p>
        </w:tc>
        <w:tc>
          <w:tcPr>
            <w:tcW w:w="16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b w:val="1"/>
                <w:bCs w:val="1"/>
                <w:color w:val="auto"/>
              </w:rPr>
              <w:t>(548 )</w:t>
            </w: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b w:val="1"/>
                <w:bCs w:val="1"/>
                <w:color w:val="auto"/>
                <w:w w:val="87"/>
              </w:rPr>
              <w:t>$</w:t>
            </w:r>
          </w:p>
        </w:tc>
        <w:tc>
          <w:tcPr>
            <w:tcW w:w="98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b w:val="1"/>
                <w:bCs w:val="1"/>
                <w:color w:val="auto"/>
              </w:rPr>
              <w:t>(383 )</w:t>
            </w: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Commitments and Contingencies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Litgaton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we are involved in various claims and legal actons arising in the ordinary course of business, none of which, in the opinion of management, could have a material efect on our business, fnancial positon or results of operatons other than those maters discussed herein.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were a co-defendant in a class acton lawsuit in Canada alleging a failure to disclose service fees prior to checkout. A fnal order approving the setlement of this lawsuit was entered by the court in August 2020. In January 2022, we issued coupons to certain members of the class. Other members of the class were notfed in 2022 that they are eligible to submit a claim for a coupon. As of March 31, 2024 and December 31, 2023, a liability of $0.9 million was recorded in Accrued expenses and other current liabilites in the Condensed Consolidated Balance Sheets related to expected claim submissions and credit redemptons as of the measurement date.</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have been a defendant in multple class acton lawsuits related to customer compensaton for cancellatons, primarily as a result of COVID-19 restrictons. A fnal order approving the setlement of one such lawsuit was entered by the court in November 2021, pursuant to which we paid $4.5 million (afer insurance) to fund a claims setlement pool in 2021 that was fully disbursed in 2022. A fnal order approving the setlement of another such lawsuit was entered by the court on January 31, 2023, pursuant to which we paid $3.3 million (afer insurance) to cover legal and administratve fees and approved claims (payments for which were made in August 2023). We had no accrued liability as of March 31, 2024 and December 31, 2023 related to these maters.</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 defendant in a lawsuit related to an alleged violaton of the Illinois Biometric Informaton Privacy Act. We deny these allegatons and intend to vigorously defend against this lawsuit. Based on the informaton currently available, we are unable to reasonably estmate a possible loss or range of possible losses and no litgaton reserve has been recorded in the Condensed Consolidated Balance Sheets related to this mater.</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2018, the U.S. Supreme Court issued its decision in South Dakota v. Wayfair Inc., which overturned previous case law that had precluded state and local governments from imposing sales tax collecton requirements on retailers without a physical presence. In response, most jurisdictons have adopted laws that atempt to impose tax collecton obligatons on out-of-state companies, and we have registered and begun collectng tax where required by statute. It is reasonably possible that state or local governments will contnue to adopt or interpret laws such that we are required to calculate, collect and remit taxes on sales in their jurisdictons. A successful asserton by one or more jurisdictons could result in material tax liabilites, including uncollected taxes on past sales, as well as penaltes and interest. Based on our analysis of certain state and local regulatons, specifcally related to marketplace facilitators and tcket sales, we have recorded liabilites in all jurisdictons where we believe a risk of loss is probable. We contnuously monitor state and local regulatons and will implement required collecton and remitance procedures if and when we are subject to such regulatons.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March 31, 2024 and December 31, 2023, we had recorded a liability of $0.4 million and $3.2 million, respectvely, related to uncollected local admissions taxes. This liability is recorded in Accrued expenses and other current liabilites in the Condensed Consolidated Balance Sheets. During the three months ended March 31, 2024,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0" w:name="page21"/>
    <w:bookmarkEnd w:id="2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received an abatement related to uncollected amounts, which resulted in a reducton of the liability and a reducton in General and administratve expenses of $2.7 million.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Related-Party Transactions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Viral Naton Inc.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Viral Naton Inc. (“Viral Naton”) is a marketng agency that creates viral and social media infuencer campaigns and provides advertsing, marketng and technology services. Todd Boehly, a member of our Board, serves on the board of directors of Viral Naton and is the Co-Founder, Chairman and CEO of Eldridge Industries, LLC (“Eldridge”), which owns greater than 10% of Viral Naton. We incurred an expense of $0.3 million and zero for these services during the three months ended March 31, 2024 and 2023, respectvely, which is presented in Marketng and selling expenses in the Condensed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Rolling Stone, LLC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Rolling Stone, LLC (“Rolling Stone”) is a high-profle magazine and media platorm focused on music, flm, television and news coverage. Todd Boehly, a member of our Board, is the Co-Founder, Chairman and CEO of Eldridge, which owns greater than 10% of Rolling Stone. We incurred an expense of zero and $0.3 million as part of our multfaceted partnership with Rolling Stone for the three months ended March 31, 2024 and 2023, respectvely, which is presented in Marketng and selling expenses in the Condensed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Los Angeles Dodgers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Los Angeles Dodgers (the “Dodgers”) is a Major League Baseball team based in Los Angeles, California. Todd Boehly, a member of our Board, owns greater than 10% of the Dodgers. As part of our strategic partnership with the Dodgers, including our designaton as an Ofcial Ticket Marketplace of the Dodgers and certain other advertsing, marketng, promotonal and sponsorship benefts, we incurred zero expense for the three months ended March 31, 2024 and 2023, and recorded a prepaid expense of $1.9 million as of March 31, 2024, which is presented in Prepaid expenses and other current assets in the Condensed Consolidated Balance Sheets.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Merger Transacton, we entered into a Tax Receivable Agreement (the “TRA”) with the existng Hoya Intermediate shareholders. For more informaton, see “Tax Receivable Agreement” in Note 17, </w:t>
      </w:r>
      <w:r>
        <w:rPr>
          <w:rFonts w:ascii="Calibri" w:cs="Calibri" w:eastAsia="Calibri" w:hAnsi="Calibri"/>
          <w:sz w:val="18"/>
          <w:szCs w:val="18"/>
          <w:i w:val="1"/>
          <w:iCs w:val="1"/>
          <w:color w:val="auto"/>
        </w:rPr>
        <w:t>Income Taxes</w:t>
      </w:r>
      <w:r>
        <w:rPr>
          <w:rFonts w:ascii="Calibri" w:cs="Calibri" w:eastAsia="Calibri" w:hAnsi="Calibri"/>
          <w:sz w:val="18"/>
          <w:szCs w:val="18"/>
          <w:color w:val="auto"/>
        </w:rPr>
        <w: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17. 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three months ended March 31, 2024, we recorded a $2.3 million income tax expense in contnuing operatons. The efectve income tax rate difers from the 21% U.S. federal statutory rate due to a non-controlling interest adjustment for VSI’s allocable share of Hoya Intermediate’s income and state taxes. For the three months ended March 31, 2023, we recorded a $0.3 million income tax expense in contnuing operatons. Our efectve income tax rate difered from the 21% U.S. federal statutory rate due to a non-controlling interest adjustment for VSI’s allocable share of Hoya Intermediate’s income, partal release of valuaton allowances due to year to date earnings, and state taxes.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March 31, 2024 and December 31, 2023, our deferred tax assets were primarily the result of our investment in partnership, tax receivable agreement, net operatng losses, interest limitatons and tax credit carryforwards. As of each reportng date, management considers new evidence, both positve and negatve, that could afect its view of the future realizaton of deferred tax assets. As of March 31, 2023, we maintained a valuaton allowance against our U.S. net operatng losses, interest limitatons and tax credit carryforwards, which was released in the second quarter of 2023. Certain tax atributes remain subject to an annual limitaton under Secton 382 of the Internal Revenue Code of 1986 as a result of the historical acquisitons. We maintain a partal valuaton allowance on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1" w:name="page22"/>
    <w:bookmarkEnd w:id="2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ind w:right="1580"/>
        <w:spacing w:after="0" w:line="348" w:lineRule="auto"/>
        <w:rPr>
          <w:sz w:val="20"/>
          <w:szCs w:val="20"/>
          <w:color w:val="auto"/>
        </w:rPr>
      </w:pPr>
      <w:r>
        <w:rPr>
          <w:rFonts w:ascii="Calibri" w:cs="Calibri" w:eastAsia="Calibri" w:hAnsi="Calibri"/>
          <w:sz w:val="18"/>
          <w:szCs w:val="18"/>
          <w:color w:val="auto"/>
        </w:rPr>
        <w:t xml:space="preserve">investments in partnership related to the porton of the basis diference that we do not expect to realize on a more likely than not basis. </w:t>
      </w:r>
      <w:r>
        <w:rPr>
          <w:rFonts w:ascii="Calibri" w:cs="Calibri" w:eastAsia="Calibri" w:hAnsi="Calibri"/>
          <w:sz w:val="18"/>
          <w:szCs w:val="18"/>
          <w:i w:val="1"/>
          <w:iCs w:val="1"/>
          <w:color w:val="auto"/>
        </w:rPr>
        <w:t>Tax Receivable Agreement</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entered into the TRA with the existng Hoya Intermediate shareholders that provides for our payment to such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TRA.</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Amounts payable under the TRA are contngent upon the generaton of future taxable income over the term of the TRA and future changes in tax laws. If we do not generate sufcient taxable income in the aggregate over the term of the TRA to utlize the tax benefts, then we would not be required to make the related payments. As of March 31, 2024, we estmate that the tax savings associated with all tax atributes described above would require us to pay $165.7 million, primarily over the next 15 years. As of March 31, 2024, $5.5 million is due within the next 12 months.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18. Equity-Based Compensation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2021 Incentve Award Plan, as amended (the “2021 Plan”), was approved and adopted in order to facilitate the grant of equity incentve awards to our employees, directors and consultants. The 2021 Plan became efectve on October 18, 2021 upon consummaton of the Merger Transacton, and the First Amendment to the 2021 Plan became efectve on February 5, 2024.</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Restricted Stock Units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Restricted Stock Units (“RSUs”) are awards denominated in a hypothetcal equivalent number of shares of our Class A common stock. The value of each RSU is equal to the fair value of our Class A common stock on the grant date. Each RSU converts into shares of our Class A Common stock upon vestng.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three months ended March 31, 2024, we granted 8.1 million RSUs to certain employees at a weighted average grant date fair value of $5.34 per share. In March 2023, we granted 2.5 million RSUs to certain employees at a weighted average grant date fair value of $7.17 per share. RSUs granted to employees vest over three years, with one-third vestng on the one-year anniversary of the grant date and the remaining porton vestng on a quarterly basis thereafer, subject to the employee’s contnued employment through each vestng date.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60" w:type="dxa"/>
            <w:vAlign w:val="bottom"/>
            <w:gridSpan w:val="2"/>
          </w:tcPr>
          <w:p>
            <w:pPr>
              <w:spacing w:after="0"/>
              <w:rPr>
                <w:sz w:val="20"/>
                <w:szCs w:val="20"/>
                <w:color w:val="auto"/>
              </w:rPr>
            </w:pPr>
            <w:r>
              <w:rPr>
                <w:rFonts w:ascii="Calibri" w:cs="Calibri" w:eastAsia="Calibri" w:hAnsi="Calibri"/>
                <w:sz w:val="18"/>
                <w:szCs w:val="18"/>
                <w:color w:val="auto"/>
              </w:rPr>
              <w:t>A summary of actvity for RSUs is as follows (in thousands, except per share data):</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6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3"/>
          </w:tcPr>
          <w:p>
            <w:pPr>
              <w:jc w:val="center"/>
              <w:ind w:right="140"/>
              <w:spacing w:after="0"/>
              <w:rPr>
                <w:sz w:val="20"/>
                <w:szCs w:val="20"/>
                <w:color w:val="auto"/>
              </w:rPr>
            </w:pPr>
            <w:r>
              <w:rPr>
                <w:rFonts w:ascii="Calibri" w:cs="Calibri" w:eastAsia="Calibri" w:hAnsi="Calibri"/>
                <w:sz w:val="18"/>
                <w:szCs w:val="18"/>
                <w:b w:val="1"/>
                <w:bCs w:val="1"/>
                <w:color w:val="auto"/>
                <w:w w:val="96"/>
              </w:rPr>
              <w:t>Weighted Average Grant Date</w:t>
            </w:r>
          </w:p>
        </w:tc>
      </w:tr>
      <w:tr>
        <w:trPr>
          <w:trHeight w:val="216"/>
        </w:trPr>
        <w:tc>
          <w:tcPr>
            <w:tcW w:w="6080" w:type="dxa"/>
            <w:vAlign w:val="bottom"/>
          </w:tcPr>
          <w:p>
            <w:pPr>
              <w:spacing w:after="0"/>
              <w:rPr>
                <w:sz w:val="18"/>
                <w:szCs w:val="18"/>
                <w:color w:val="auto"/>
              </w:rPr>
            </w:pPr>
          </w:p>
        </w:tc>
        <w:tc>
          <w:tcPr>
            <w:tcW w:w="1680" w:type="dxa"/>
            <w:vAlign w:val="bottom"/>
          </w:tcPr>
          <w:p>
            <w:pPr>
              <w:ind w:left="960"/>
              <w:spacing w:after="0" w:line="216" w:lineRule="exact"/>
              <w:rPr>
                <w:sz w:val="20"/>
                <w:szCs w:val="20"/>
                <w:color w:val="auto"/>
              </w:rPr>
            </w:pPr>
            <w:r>
              <w:rPr>
                <w:rFonts w:ascii="Calibri" w:cs="Calibri" w:eastAsia="Calibri" w:hAnsi="Calibri"/>
                <w:sz w:val="18"/>
                <w:szCs w:val="18"/>
                <w:b w:val="1"/>
                <w:bCs w:val="1"/>
                <w:color w:val="auto"/>
              </w:rPr>
              <w:t>Shares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5"/>
              </w:rPr>
              <w:t>Fair Value Per Share</w:t>
            </w:r>
          </w:p>
        </w:tc>
      </w:tr>
      <w:tr>
        <w:trPr>
          <w:trHeight w:val="37"/>
        </w:trPr>
        <w:tc>
          <w:tcPr>
            <w:tcW w:w="608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776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Unvested at December 31, 2023</w:t>
            </w: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3,866</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b w:val="1"/>
                <w:bCs w:val="1"/>
                <w:color w:val="auto"/>
                <w:w w:val="87"/>
              </w:rPr>
              <w:t>$</w:t>
            </w:r>
          </w:p>
        </w:tc>
        <w:tc>
          <w:tcPr>
            <w:tcW w:w="2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Granted</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8,126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right"/>
              <w:spacing w:after="0" w:line="215" w:lineRule="exact"/>
              <w:rPr>
                <w:sz w:val="20"/>
                <w:szCs w:val="20"/>
                <w:color w:val="auto"/>
              </w:rPr>
            </w:pPr>
            <w:r>
              <w:rPr>
                <w:rFonts w:ascii="Calibri" w:cs="Calibri" w:eastAsia="Calibri" w:hAnsi="Calibri"/>
                <w:sz w:val="18"/>
                <w:szCs w:val="18"/>
                <w:color w:val="auto"/>
              </w:rPr>
              <w:t>5.34</w:t>
            </w:r>
          </w:p>
        </w:tc>
        <w:tc>
          <w:tcPr>
            <w:tcW w:w="100" w:type="dxa"/>
            <w:vAlign w:val="bottom"/>
          </w:tcPr>
          <w:p>
            <w:pPr>
              <w:spacing w:after="0"/>
              <w:rPr>
                <w:sz w:val="18"/>
                <w:szCs w:val="18"/>
                <w:color w:val="auto"/>
              </w:rPr>
            </w:pPr>
          </w:p>
        </w:tc>
      </w:tr>
      <w:tr>
        <w:trPr>
          <w:trHeight w:val="28"/>
        </w:trPr>
        <w:tc>
          <w:tcPr>
            <w:tcW w:w="6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6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Forfeited</w:t>
            </w:r>
          </w:p>
        </w:tc>
        <w:tc>
          <w:tcPr>
            <w:tcW w:w="10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(59 )</w:t>
            </w:r>
          </w:p>
        </w:tc>
        <w:tc>
          <w:tcPr>
            <w:tcW w:w="280" w:type="dxa"/>
            <w:vAlign w:val="bottom"/>
            <w:tcBorders>
              <w:bottom w:val="single" w:sz="8" w:color="CFF0FC"/>
            </w:tcBorders>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Vested</w:t>
            </w:r>
          </w:p>
        </w:tc>
        <w:tc>
          <w:tcPr>
            <w:tcW w:w="10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(962 )</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Calibri" w:cs="Calibri" w:eastAsia="Calibri" w:hAnsi="Calibri"/>
                <w:sz w:val="18"/>
                <w:szCs w:val="18"/>
                <w:color w:val="auto"/>
              </w:rPr>
              <w:t>7.88</w:t>
            </w:r>
          </w:p>
        </w:tc>
        <w:tc>
          <w:tcPr>
            <w:tcW w:w="100" w:type="dxa"/>
            <w:vAlign w:val="bottom"/>
          </w:tcPr>
          <w:p>
            <w:pPr>
              <w:spacing w:after="0"/>
              <w:rPr>
                <w:sz w:val="19"/>
                <w:szCs w:val="19"/>
                <w:color w:val="auto"/>
              </w:rPr>
            </w:pPr>
          </w:p>
        </w:tc>
      </w:tr>
      <w:tr>
        <w:trPr>
          <w:trHeight w:val="23"/>
        </w:trPr>
        <w:tc>
          <w:tcPr>
            <w:tcW w:w="60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0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Unvested at March 31, 2024</w:t>
            </w:r>
          </w:p>
        </w:tc>
        <w:tc>
          <w:tcPr>
            <w:tcW w:w="168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10,971</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Calibri" w:cs="Calibri" w:eastAsia="Calibri" w:hAnsi="Calibri"/>
                <w:sz w:val="18"/>
                <w:szCs w:val="18"/>
                <w:b w:val="1"/>
                <w:bCs w:val="1"/>
                <w:color w:val="auto"/>
                <w:w w:val="87"/>
              </w:rPr>
              <w:t>$</w:t>
            </w:r>
          </w:p>
        </w:tc>
        <w:tc>
          <w:tcPr>
            <w:tcW w:w="2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b w:val="1"/>
                <w:bCs w:val="1"/>
                <w:color w:val="auto"/>
              </w:rPr>
              <w:t>6.16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2" w:name="page23"/>
    <w:bookmarkEnd w:id="22"/>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3"/>
          </w:tcPr>
          <w:p>
            <w:pPr>
              <w:jc w:val="center"/>
              <w:ind w:right="140"/>
              <w:spacing w:after="0"/>
              <w:rPr>
                <w:sz w:val="20"/>
                <w:szCs w:val="20"/>
                <w:color w:val="auto"/>
              </w:rPr>
            </w:pPr>
            <w:r>
              <w:rPr>
                <w:rFonts w:ascii="Calibri" w:cs="Calibri" w:eastAsia="Calibri" w:hAnsi="Calibri"/>
                <w:sz w:val="18"/>
                <w:szCs w:val="18"/>
                <w:b w:val="1"/>
                <w:bCs w:val="1"/>
                <w:color w:val="auto"/>
                <w:w w:val="96"/>
              </w:rPr>
              <w:t>Weighted Average Grant Date</w:t>
            </w:r>
          </w:p>
        </w:tc>
      </w:tr>
      <w:tr>
        <w:trPr>
          <w:trHeight w:val="216"/>
        </w:trPr>
        <w:tc>
          <w:tcPr>
            <w:tcW w:w="6080" w:type="dxa"/>
            <w:vAlign w:val="bottom"/>
          </w:tcPr>
          <w:p>
            <w:pPr>
              <w:spacing w:after="0"/>
              <w:rPr>
                <w:sz w:val="18"/>
                <w:szCs w:val="18"/>
                <w:color w:val="auto"/>
              </w:rPr>
            </w:pPr>
          </w:p>
        </w:tc>
        <w:tc>
          <w:tcPr>
            <w:tcW w:w="1720" w:type="dxa"/>
            <w:vAlign w:val="bottom"/>
          </w:tcPr>
          <w:p>
            <w:pPr>
              <w:ind w:left="960"/>
              <w:spacing w:after="0" w:line="216" w:lineRule="exact"/>
              <w:rPr>
                <w:sz w:val="20"/>
                <w:szCs w:val="20"/>
                <w:color w:val="auto"/>
              </w:rPr>
            </w:pPr>
            <w:r>
              <w:rPr>
                <w:rFonts w:ascii="Calibri" w:cs="Calibri" w:eastAsia="Calibri" w:hAnsi="Calibri"/>
                <w:sz w:val="18"/>
                <w:szCs w:val="18"/>
                <w:b w:val="1"/>
                <w:bCs w:val="1"/>
                <w:color w:val="auto"/>
              </w:rPr>
              <w:t>Shares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5"/>
              </w:rPr>
              <w:t>Fair Value Per Share</w:t>
            </w:r>
          </w:p>
        </w:tc>
      </w:tr>
      <w:tr>
        <w:trPr>
          <w:trHeight w:val="37"/>
        </w:trPr>
        <w:tc>
          <w:tcPr>
            <w:tcW w:w="608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80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Unvested at December 31, 2022</w:t>
            </w:r>
          </w:p>
        </w:tc>
        <w:tc>
          <w:tcPr>
            <w:tcW w:w="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2,551</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b w:val="1"/>
                <w:bCs w:val="1"/>
                <w:color w:val="auto"/>
                <w:w w:val="87"/>
              </w:rPr>
              <w:t>$</w:t>
            </w:r>
          </w:p>
        </w:tc>
        <w:tc>
          <w:tcPr>
            <w:tcW w:w="2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10.99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80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Granted</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2,495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right"/>
              <w:spacing w:after="0" w:line="215" w:lineRule="exact"/>
              <w:rPr>
                <w:sz w:val="20"/>
                <w:szCs w:val="20"/>
                <w:color w:val="auto"/>
              </w:rPr>
            </w:pPr>
            <w:r>
              <w:rPr>
                <w:rFonts w:ascii="Calibri" w:cs="Calibri" w:eastAsia="Calibri" w:hAnsi="Calibri"/>
                <w:sz w:val="18"/>
                <w:szCs w:val="18"/>
                <w:color w:val="auto"/>
              </w:rPr>
              <w:t>7.17</w:t>
            </w:r>
          </w:p>
        </w:tc>
        <w:tc>
          <w:tcPr>
            <w:tcW w:w="100" w:type="dxa"/>
            <w:vAlign w:val="bottom"/>
          </w:tcPr>
          <w:p>
            <w:pPr>
              <w:spacing w:after="0"/>
              <w:rPr>
                <w:sz w:val="18"/>
                <w:szCs w:val="18"/>
                <w:color w:val="auto"/>
              </w:rPr>
            </w:pPr>
          </w:p>
        </w:tc>
      </w:tr>
      <w:tr>
        <w:trPr>
          <w:trHeight w:val="28"/>
        </w:trPr>
        <w:tc>
          <w:tcPr>
            <w:tcW w:w="6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0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Forfeited</w:t>
            </w:r>
          </w:p>
        </w:tc>
        <w:tc>
          <w:tcPr>
            <w:tcW w:w="9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(30 )</w:t>
            </w:r>
          </w:p>
        </w:tc>
        <w:tc>
          <w:tcPr>
            <w:tcW w:w="280" w:type="dxa"/>
            <w:vAlign w:val="bottom"/>
            <w:tcBorders>
              <w:bottom w:val="single" w:sz="8" w:color="CFF0FC"/>
            </w:tcBorders>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9"/>
        </w:trPr>
        <w:tc>
          <w:tcPr>
            <w:tcW w:w="780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Vested</w:t>
            </w:r>
          </w:p>
        </w:tc>
        <w:tc>
          <w:tcPr>
            <w:tcW w:w="9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(492 )</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Calibri" w:cs="Calibri" w:eastAsia="Calibri" w:hAnsi="Calibri"/>
                <w:sz w:val="18"/>
                <w:szCs w:val="18"/>
                <w:color w:val="auto"/>
              </w:rPr>
              <w:t>10.59</w:t>
            </w:r>
          </w:p>
        </w:tc>
        <w:tc>
          <w:tcPr>
            <w:tcW w:w="100" w:type="dxa"/>
            <w:vAlign w:val="bottom"/>
          </w:tcPr>
          <w:p>
            <w:pPr>
              <w:spacing w:after="0"/>
              <w:rPr>
                <w:sz w:val="19"/>
                <w:szCs w:val="19"/>
                <w:color w:val="auto"/>
              </w:rPr>
            </w:pPr>
          </w:p>
        </w:tc>
      </w:tr>
      <w:tr>
        <w:trPr>
          <w:trHeight w:val="23"/>
        </w:trPr>
        <w:tc>
          <w:tcPr>
            <w:tcW w:w="60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0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Unvested at March 31, 2023</w:t>
            </w:r>
          </w:p>
        </w:tc>
        <w:tc>
          <w:tcPr>
            <w:tcW w:w="172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4,524</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Calibri" w:cs="Calibri" w:eastAsia="Calibri" w:hAnsi="Calibri"/>
                <w:sz w:val="18"/>
                <w:szCs w:val="18"/>
                <w:b w:val="1"/>
                <w:bCs w:val="1"/>
                <w:color w:val="auto"/>
                <w:w w:val="87"/>
              </w:rPr>
              <w:t>$</w:t>
            </w:r>
          </w:p>
        </w:tc>
        <w:tc>
          <w:tcPr>
            <w:tcW w:w="2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b w:val="1"/>
                <w:bCs w:val="1"/>
                <w:color w:val="auto"/>
              </w:rPr>
              <w:t>8.93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Stock optons provide for the purchase of shares of our Class A common stock in the future at an exercise price set on the grant date.</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On March 10, 2023, we granted 3.6 million stock optons to certain employees with an exercise price of $7.17 per share and a grant date fair value of $3.30 per opton. The stock optons vest over three years, with one-third vestng on the one-year anniversary of the grant date and the remaining porton vestng on a quarterly basis thereafer, subject to the employee’s contnued employment through each vestng date. The stock optons have a contractual term of ten years from the grant date. The fair value of stock optons granted is estmated on the grant date using the Black-Scholes model.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assumptons were used to calculate the fair value of the stock optons granted on March 10,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ind w:left="20"/>
              <w:spacing w:after="0"/>
              <w:rPr>
                <w:sz w:val="20"/>
                <w:szCs w:val="20"/>
                <w:color w:val="auto"/>
              </w:rPr>
            </w:pPr>
            <w:r>
              <w:rPr>
                <w:rFonts w:ascii="Calibri" w:cs="Calibri" w:eastAsia="Calibri" w:hAnsi="Calibri"/>
                <w:sz w:val="18"/>
                <w:szCs w:val="18"/>
                <w:color w:val="auto"/>
              </w:rPr>
              <w:t>Volatlity</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Calibri" w:cs="Calibri" w:eastAsia="Calibri" w:hAnsi="Calibri"/>
                <w:sz w:val="18"/>
                <w:szCs w:val="18"/>
                <w:color w:val="auto"/>
              </w:rPr>
              <w:t>42.0 %</w:t>
            </w:r>
          </w:p>
        </w:tc>
      </w:tr>
      <w:tr>
        <w:trPr>
          <w:trHeight w:val="243"/>
        </w:trPr>
        <w:tc>
          <w:tcPr>
            <w:tcW w:w="4120" w:type="dxa"/>
            <w:vAlign w:val="bottom"/>
          </w:tcPr>
          <w:p>
            <w:pPr>
              <w:ind w:left="20"/>
              <w:spacing w:after="0"/>
              <w:rPr>
                <w:sz w:val="20"/>
                <w:szCs w:val="20"/>
                <w:color w:val="auto"/>
              </w:rPr>
            </w:pPr>
            <w:r>
              <w:rPr>
                <w:rFonts w:ascii="Calibri" w:cs="Calibri" w:eastAsia="Calibri" w:hAnsi="Calibri"/>
                <w:sz w:val="18"/>
                <w:szCs w:val="18"/>
                <w:color w:val="auto"/>
              </w:rPr>
              <w:t>Expected term (years)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auto"/>
              </w:rPr>
              <w:t>5.9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Calibri" w:cs="Calibri" w:eastAsia="Calibri" w:hAnsi="Calibri"/>
                <w:sz w:val="18"/>
                <w:szCs w:val="18"/>
                <w:color w:val="auto"/>
              </w:rPr>
              <w:t>Risk-free rate</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Calibri" w:cs="Calibri" w:eastAsia="Calibri" w:hAnsi="Calibri"/>
                <w:sz w:val="18"/>
                <w:szCs w:val="18"/>
                <w:color w:val="auto"/>
              </w:rPr>
              <w:t>3.9 %</w:t>
            </w:r>
          </w:p>
        </w:tc>
      </w:tr>
      <w:tr>
        <w:trPr>
          <w:trHeight w:val="243"/>
        </w:trPr>
        <w:tc>
          <w:tcPr>
            <w:tcW w:w="4120" w:type="dxa"/>
            <w:vAlign w:val="bottom"/>
          </w:tcPr>
          <w:p>
            <w:pPr>
              <w:ind w:left="20"/>
              <w:spacing w:after="0"/>
              <w:rPr>
                <w:sz w:val="20"/>
                <w:szCs w:val="20"/>
                <w:color w:val="auto"/>
              </w:rPr>
            </w:pPr>
            <w:r>
              <w:rPr>
                <w:rFonts w:ascii="Calibri" w:cs="Calibri" w:eastAsia="Calibri" w:hAnsi="Calibri"/>
                <w:sz w:val="18"/>
                <w:szCs w:val="18"/>
                <w:color w:val="auto"/>
              </w:rPr>
              <w:t>Dividend yield</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Calibri" w:cs="Calibri" w:eastAsia="Calibri" w:hAnsi="Calibri"/>
                <w:sz w:val="18"/>
                <w:szCs w:val="18"/>
                <w:color w:val="auto"/>
              </w:rPr>
              <w:t>0.0 %</w:t>
            </w:r>
          </w:p>
        </w:tc>
      </w:tr>
      <w:tr>
        <w:trPr>
          <w:trHeight w:val="338"/>
        </w:trPr>
        <w:tc>
          <w:tcPr>
            <w:tcW w:w="7520" w:type="dxa"/>
            <w:vAlign w:val="bottom"/>
            <w:gridSpan w:val="5"/>
          </w:tcPr>
          <w:p>
            <w:pPr>
              <w:spacing w:after="0"/>
              <w:rPr>
                <w:sz w:val="20"/>
                <w:szCs w:val="20"/>
                <w:color w:val="auto"/>
              </w:rPr>
            </w:pPr>
            <w:r>
              <w:rPr>
                <w:rFonts w:ascii="Calibri" w:cs="Calibri" w:eastAsia="Calibri" w:hAnsi="Calibri"/>
                <w:sz w:val="18"/>
                <w:szCs w:val="18"/>
                <w:color w:val="auto"/>
              </w:rPr>
              <w:t>A summary of actvity for stock optons is as follows (in thousands, except per opton data):</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4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Calibri" w:cs="Calibri" w:eastAsia="Calibri" w:hAnsi="Calibri"/>
                <w:sz w:val="18"/>
                <w:szCs w:val="18"/>
                <w:b w:val="1"/>
                <w:bCs w:val="1"/>
                <w:color w:val="auto"/>
                <w:w w:val="95"/>
              </w:rPr>
              <w:t>Weighted Average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6"/>
              </w:rPr>
              <w:t>Weighted Average</w:t>
            </w:r>
          </w:p>
        </w:tc>
        <w:tc>
          <w:tcPr>
            <w:tcW w:w="220" w:type="dxa"/>
            <w:vAlign w:val="bottom"/>
          </w:tcPr>
          <w:p>
            <w:pPr>
              <w:spacing w:after="0"/>
              <w:rPr>
                <w:sz w:val="18"/>
                <w:szCs w:val="18"/>
                <w:color w:val="auto"/>
              </w:rPr>
            </w:pPr>
          </w:p>
        </w:tc>
        <w:tc>
          <w:tcPr>
            <w:tcW w:w="1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Remaining</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6"/>
              </w:rPr>
              <w:t>Exercise Price Per</w:t>
            </w:r>
          </w:p>
        </w:tc>
        <w:tc>
          <w:tcPr>
            <w:tcW w:w="220" w:type="dxa"/>
            <w:vAlign w:val="bottom"/>
          </w:tcPr>
          <w:p>
            <w:pPr>
              <w:spacing w:after="0"/>
              <w:rPr>
                <w:sz w:val="18"/>
                <w:szCs w:val="18"/>
                <w:color w:val="auto"/>
              </w:rPr>
            </w:pPr>
          </w:p>
        </w:tc>
        <w:tc>
          <w:tcPr>
            <w:tcW w:w="1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Contractual Life (in</w:t>
            </w:r>
          </w:p>
        </w:tc>
        <w:tc>
          <w:tcPr>
            <w:tcW w:w="220" w:type="dxa"/>
            <w:vAlign w:val="bottom"/>
          </w:tcPr>
          <w:p>
            <w:pPr>
              <w:spacing w:after="0"/>
              <w:rPr>
                <w:sz w:val="18"/>
                <w:szCs w:val="18"/>
                <w:color w:val="auto"/>
              </w:rPr>
            </w:pPr>
          </w:p>
        </w:tc>
        <w:tc>
          <w:tcPr>
            <w:tcW w:w="1720" w:type="dxa"/>
            <w:vAlign w:val="bottom"/>
            <w:gridSpan w:val="4"/>
          </w:tcPr>
          <w:p>
            <w:pPr>
              <w:jc w:val="center"/>
              <w:ind w:right="180"/>
              <w:spacing w:after="0" w:line="216" w:lineRule="exact"/>
              <w:rPr>
                <w:sz w:val="20"/>
                <w:szCs w:val="20"/>
                <w:color w:val="auto"/>
              </w:rPr>
            </w:pPr>
            <w:r>
              <w:rPr>
                <w:rFonts w:ascii="Calibri" w:cs="Calibri" w:eastAsia="Calibri" w:hAnsi="Calibri"/>
                <w:sz w:val="18"/>
                <w:szCs w:val="18"/>
                <w:b w:val="1"/>
                <w:bCs w:val="1"/>
                <w:color w:val="auto"/>
                <w:w w:val="98"/>
              </w:rPr>
              <w:t>Aggregate Intrinsic</w:t>
            </w:r>
          </w:p>
        </w:tc>
      </w:tr>
      <w:tr>
        <w:trPr>
          <w:trHeight w:val="216"/>
        </w:trPr>
        <w:tc>
          <w:tcPr>
            <w:tcW w:w="4120" w:type="dxa"/>
            <w:vAlign w:val="bottom"/>
          </w:tcPr>
          <w:p>
            <w:pPr>
              <w:spacing w:after="0"/>
              <w:rPr>
                <w:sz w:val="18"/>
                <w:szCs w:val="18"/>
                <w:color w:val="auto"/>
              </w:rPr>
            </w:pPr>
          </w:p>
        </w:tc>
        <w:tc>
          <w:tcPr>
            <w:tcW w:w="1860" w:type="dxa"/>
            <w:vAlign w:val="bottom"/>
            <w:gridSpan w:val="2"/>
          </w:tcPr>
          <w:p>
            <w:pPr>
              <w:jc w:val="right"/>
              <w:ind w:right="300"/>
              <w:spacing w:after="0" w:line="216" w:lineRule="exact"/>
              <w:rPr>
                <w:sz w:val="20"/>
                <w:szCs w:val="20"/>
                <w:color w:val="auto"/>
              </w:rPr>
            </w:pPr>
            <w:r>
              <w:rPr>
                <w:rFonts w:ascii="Calibri" w:cs="Calibri" w:eastAsia="Calibri" w:hAnsi="Calibri"/>
                <w:sz w:val="18"/>
                <w:szCs w:val="18"/>
                <w:b w:val="1"/>
                <w:bCs w:val="1"/>
                <w:color w:val="auto"/>
              </w:rPr>
              <w:t>Outstanding Optons</w:t>
            </w:r>
          </w:p>
        </w:tc>
        <w:tc>
          <w:tcPr>
            <w:tcW w:w="100" w:type="dxa"/>
            <w:vAlign w:val="bottom"/>
          </w:tcPr>
          <w:p>
            <w:pPr>
              <w:spacing w:after="0"/>
              <w:rPr>
                <w:sz w:val="18"/>
                <w:szCs w:val="18"/>
                <w:color w:val="auto"/>
              </w:rPr>
            </w:pPr>
          </w:p>
        </w:tc>
        <w:tc>
          <w:tcPr>
            <w:tcW w:w="144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rPr>
              <w:t>Opton</w:t>
            </w:r>
          </w:p>
        </w:tc>
        <w:tc>
          <w:tcPr>
            <w:tcW w:w="220" w:type="dxa"/>
            <w:vAlign w:val="bottom"/>
          </w:tcPr>
          <w:p>
            <w:pPr>
              <w:spacing w:after="0"/>
              <w:rPr>
                <w:sz w:val="18"/>
                <w:szCs w:val="18"/>
                <w:color w:val="auto"/>
              </w:rPr>
            </w:pPr>
          </w:p>
        </w:tc>
        <w:tc>
          <w:tcPr>
            <w:tcW w:w="1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4"/>
              </w:rPr>
              <w:t>Years)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center"/>
              <w:ind w:right="480"/>
              <w:spacing w:after="0" w:line="216" w:lineRule="exact"/>
              <w:rPr>
                <w:sz w:val="20"/>
                <w:szCs w:val="20"/>
                <w:color w:val="auto"/>
              </w:rPr>
            </w:pPr>
            <w:r>
              <w:rPr>
                <w:rFonts w:ascii="Calibri" w:cs="Calibri" w:eastAsia="Calibri" w:hAnsi="Calibri"/>
                <w:sz w:val="18"/>
                <w:szCs w:val="18"/>
                <w:b w:val="1"/>
                <w:bCs w:val="1"/>
                <w:color w:val="auto"/>
                <w:w w:val="98"/>
              </w:rPr>
              <w:t>Value</w:t>
            </w:r>
          </w:p>
        </w:tc>
      </w:tr>
      <w:tr>
        <w:trPr>
          <w:trHeight w:val="37"/>
        </w:trPr>
        <w:tc>
          <w:tcPr>
            <w:tcW w:w="41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17"/>
        </w:trPr>
        <w:tc>
          <w:tcPr>
            <w:tcW w:w="41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Outstanding at December 31, 2023</w:t>
            </w:r>
          </w:p>
        </w:tc>
        <w:tc>
          <w:tcPr>
            <w:tcW w:w="1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8,807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87"/>
              </w:rPr>
              <w:t>$</w:t>
            </w: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8.02</w:t>
            </w:r>
          </w:p>
        </w:tc>
        <w:tc>
          <w:tcPr>
            <w:tcW w:w="182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w:t>
            </w:r>
          </w:p>
        </w:tc>
        <w:tc>
          <w:tcPr>
            <w:tcW w:w="56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CFF0FC"/>
            </w:tcBorders>
            <w:gridSpan w:val="2"/>
            <w:shd w:val="clear" w:color="auto" w:fill="CFF0FC"/>
          </w:tcPr>
          <w:p>
            <w:pPr>
              <w:jc w:val="right"/>
              <w:ind w:right="120"/>
              <w:spacing w:after="0" w:line="208" w:lineRule="exact"/>
              <w:rPr>
                <w:sz w:val="20"/>
                <w:szCs w:val="20"/>
                <w:color w:val="auto"/>
              </w:rPr>
            </w:pPr>
            <w:r>
              <w:rPr>
                <w:rFonts w:ascii="Calibri" w:cs="Calibri" w:eastAsia="Calibri" w:hAnsi="Calibri"/>
                <w:sz w:val="18"/>
                <w:szCs w:val="18"/>
                <w:b w:val="1"/>
                <w:bCs w:val="1"/>
                <w:color w:val="auto"/>
              </w:rPr>
              <w:t>—</w:t>
            </w:r>
          </w:p>
        </w:tc>
        <w:tc>
          <w:tcPr>
            <w:tcW w:w="40" w:type="dxa"/>
            <w:vAlign w:val="bottom"/>
          </w:tcPr>
          <w:p>
            <w:pPr>
              <w:spacing w:after="0"/>
              <w:rPr>
                <w:sz w:val="18"/>
                <w:szCs w:val="18"/>
                <w:color w:val="auto"/>
              </w:rPr>
            </w:pPr>
          </w:p>
        </w:tc>
      </w:tr>
      <w:tr>
        <w:trPr>
          <w:trHeight w:val="215"/>
        </w:trPr>
        <w:tc>
          <w:tcPr>
            <w:tcW w:w="412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granted</w:t>
            </w:r>
          </w:p>
        </w:tc>
        <w:tc>
          <w:tcPr>
            <w:tcW w:w="18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4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41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exercised</w:t>
            </w:r>
          </w:p>
        </w:tc>
        <w:tc>
          <w:tcPr>
            <w:tcW w:w="18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12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forfeited</w:t>
            </w:r>
          </w:p>
        </w:tc>
        <w:tc>
          <w:tcPr>
            <w:tcW w:w="18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4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8"/>
        </w:trPr>
        <w:tc>
          <w:tcPr>
            <w:tcW w:w="41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expired</w:t>
            </w:r>
          </w:p>
        </w:tc>
        <w:tc>
          <w:tcPr>
            <w:tcW w:w="18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08"/>
        </w:trPr>
        <w:tc>
          <w:tcPr>
            <w:tcW w:w="41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Outstanding at March 31, 2024</w:t>
            </w:r>
          </w:p>
        </w:tc>
        <w:tc>
          <w:tcPr>
            <w:tcW w:w="16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8,807</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jc w:val="right"/>
              <w:spacing w:after="0" w:line="208" w:lineRule="exact"/>
              <w:rPr>
                <w:sz w:val="20"/>
                <w:szCs w:val="20"/>
                <w:color w:val="auto"/>
              </w:rPr>
            </w:pPr>
            <w:r>
              <w:rPr>
                <w:rFonts w:ascii="Calibri" w:cs="Calibri" w:eastAsia="Calibri" w:hAnsi="Calibri"/>
                <w:sz w:val="18"/>
                <w:szCs w:val="18"/>
                <w:b w:val="1"/>
                <w:bCs w:val="1"/>
                <w:color w:val="auto"/>
                <w:w w:val="87"/>
              </w:rPr>
              <w:t>$</w:t>
            </w:r>
          </w:p>
        </w:tc>
        <w:tc>
          <w:tcPr>
            <w:tcW w:w="1440" w:type="dxa"/>
            <w:vAlign w:val="bottom"/>
            <w:tcBorders>
              <w:top w:val="single" w:sz="8" w:color="CFF0FC"/>
            </w:tcBorders>
          </w:tcPr>
          <w:p>
            <w:pPr>
              <w:jc w:val="right"/>
              <w:spacing w:after="0" w:line="208" w:lineRule="exact"/>
              <w:rPr>
                <w:sz w:val="20"/>
                <w:szCs w:val="20"/>
                <w:color w:val="auto"/>
              </w:rPr>
            </w:pPr>
            <w:r>
              <w:rPr>
                <w:rFonts w:ascii="Calibri" w:cs="Calibri" w:eastAsia="Calibri" w:hAnsi="Calibri"/>
                <w:sz w:val="18"/>
                <w:szCs w:val="18"/>
                <w:b w:val="1"/>
                <w:bCs w:val="1"/>
                <w:color w:val="auto"/>
              </w:rPr>
              <w:t>8.02</w:t>
            </w:r>
          </w:p>
        </w:tc>
        <w:tc>
          <w:tcPr>
            <w:tcW w:w="1820" w:type="dxa"/>
            <w:vAlign w:val="bottom"/>
            <w:tcBorders>
              <w:top w:val="single" w:sz="8" w:color="CFF0FC"/>
            </w:tcBorders>
            <w:gridSpan w:val="2"/>
          </w:tcPr>
          <w:p>
            <w:pPr>
              <w:jc w:val="right"/>
              <w:spacing w:after="0" w:line="208" w:lineRule="exact"/>
              <w:rPr>
                <w:sz w:val="20"/>
                <w:szCs w:val="20"/>
                <w:color w:val="auto"/>
              </w:rPr>
            </w:pPr>
            <w:r>
              <w:rPr>
                <w:rFonts w:ascii="Calibri" w:cs="Calibri" w:eastAsia="Calibri" w:hAnsi="Calibri"/>
                <w:sz w:val="18"/>
                <w:szCs w:val="18"/>
                <w:b w:val="1"/>
                <w:bCs w:val="1"/>
                <w:color w:val="auto"/>
              </w:rPr>
              <w:t>9</w:t>
            </w:r>
          </w:p>
        </w:tc>
        <w:tc>
          <w:tcPr>
            <w:tcW w:w="560" w:type="dxa"/>
            <w:vAlign w:val="bottom"/>
            <w:tcBorders>
              <w:top w:val="single" w:sz="8" w:color="CFF0FC"/>
            </w:tcBorders>
            <w:gridSpan w:val="2"/>
          </w:tcPr>
          <w:p>
            <w:pPr>
              <w:jc w:val="right"/>
              <w:ind w:right="13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top w:val="single" w:sz="8" w:color="CFF0FC"/>
            </w:tcBorders>
            <w:gridSpan w:val="2"/>
          </w:tcPr>
          <w:p>
            <w:pPr>
              <w:jc w:val="right"/>
              <w:ind w:right="120"/>
              <w:spacing w:after="0" w:line="208" w:lineRule="exact"/>
              <w:rPr>
                <w:sz w:val="20"/>
                <w:szCs w:val="20"/>
                <w:color w:val="auto"/>
              </w:rPr>
            </w:pPr>
            <w:r>
              <w:rPr>
                <w:rFonts w:ascii="Calibri" w:cs="Calibri" w:eastAsia="Calibri" w:hAnsi="Calibri"/>
                <w:sz w:val="18"/>
                <w:szCs w:val="18"/>
                <w:b w:val="1"/>
                <w:bCs w:val="1"/>
                <w:color w:val="auto"/>
              </w:rPr>
              <w:t>—</w:t>
            </w:r>
          </w:p>
        </w:tc>
        <w:tc>
          <w:tcPr>
            <w:tcW w:w="40" w:type="dxa"/>
            <w:vAlign w:val="bottom"/>
          </w:tcPr>
          <w:p>
            <w:pPr>
              <w:spacing w:after="0"/>
              <w:rPr>
                <w:sz w:val="18"/>
                <w:szCs w:val="18"/>
                <w:color w:val="auto"/>
              </w:rPr>
            </w:pPr>
          </w:p>
        </w:tc>
      </w:tr>
      <w:tr>
        <w:trPr>
          <w:trHeight w:val="666"/>
        </w:trPr>
        <w:tc>
          <w:tcPr>
            <w:tcW w:w="4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Calibri" w:cs="Calibri" w:eastAsia="Calibri" w:hAnsi="Calibri"/>
                <w:sz w:val="18"/>
                <w:szCs w:val="18"/>
                <w:b w:val="1"/>
                <w:bCs w:val="1"/>
                <w:color w:val="auto"/>
                <w:w w:val="95"/>
              </w:rPr>
              <w:t>Weighted Average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6"/>
              </w:rPr>
              <w:t>Weighted Average</w:t>
            </w:r>
          </w:p>
        </w:tc>
        <w:tc>
          <w:tcPr>
            <w:tcW w:w="220" w:type="dxa"/>
            <w:vAlign w:val="bottom"/>
          </w:tcPr>
          <w:p>
            <w:pPr>
              <w:spacing w:after="0"/>
              <w:rPr>
                <w:sz w:val="18"/>
                <w:szCs w:val="18"/>
                <w:color w:val="auto"/>
              </w:rPr>
            </w:pPr>
          </w:p>
        </w:tc>
        <w:tc>
          <w:tcPr>
            <w:tcW w:w="1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Remaining</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6"/>
              </w:rPr>
              <w:t>Exercise Price Per</w:t>
            </w:r>
          </w:p>
        </w:tc>
        <w:tc>
          <w:tcPr>
            <w:tcW w:w="220" w:type="dxa"/>
            <w:vAlign w:val="bottom"/>
          </w:tcPr>
          <w:p>
            <w:pPr>
              <w:spacing w:after="0"/>
              <w:rPr>
                <w:sz w:val="18"/>
                <w:szCs w:val="18"/>
                <w:color w:val="auto"/>
              </w:rPr>
            </w:pPr>
          </w:p>
        </w:tc>
        <w:tc>
          <w:tcPr>
            <w:tcW w:w="1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Contractual Life (in</w:t>
            </w:r>
          </w:p>
        </w:tc>
        <w:tc>
          <w:tcPr>
            <w:tcW w:w="220" w:type="dxa"/>
            <w:vAlign w:val="bottom"/>
          </w:tcPr>
          <w:p>
            <w:pPr>
              <w:spacing w:after="0"/>
              <w:rPr>
                <w:sz w:val="18"/>
                <w:szCs w:val="18"/>
                <w:color w:val="auto"/>
              </w:rPr>
            </w:pPr>
          </w:p>
        </w:tc>
        <w:tc>
          <w:tcPr>
            <w:tcW w:w="1720" w:type="dxa"/>
            <w:vAlign w:val="bottom"/>
            <w:gridSpan w:val="4"/>
          </w:tcPr>
          <w:p>
            <w:pPr>
              <w:jc w:val="center"/>
              <w:ind w:right="180"/>
              <w:spacing w:after="0" w:line="216" w:lineRule="exact"/>
              <w:rPr>
                <w:sz w:val="20"/>
                <w:szCs w:val="20"/>
                <w:color w:val="auto"/>
              </w:rPr>
            </w:pPr>
            <w:r>
              <w:rPr>
                <w:rFonts w:ascii="Calibri" w:cs="Calibri" w:eastAsia="Calibri" w:hAnsi="Calibri"/>
                <w:sz w:val="18"/>
                <w:szCs w:val="18"/>
                <w:b w:val="1"/>
                <w:bCs w:val="1"/>
                <w:color w:val="auto"/>
                <w:w w:val="98"/>
              </w:rPr>
              <w:t>Aggregate Intrinsic</w:t>
            </w:r>
          </w:p>
        </w:tc>
      </w:tr>
      <w:tr>
        <w:trPr>
          <w:trHeight w:val="216"/>
        </w:trPr>
        <w:tc>
          <w:tcPr>
            <w:tcW w:w="4120" w:type="dxa"/>
            <w:vAlign w:val="bottom"/>
          </w:tcPr>
          <w:p>
            <w:pPr>
              <w:spacing w:after="0"/>
              <w:rPr>
                <w:sz w:val="18"/>
                <w:szCs w:val="18"/>
                <w:color w:val="auto"/>
              </w:rPr>
            </w:pPr>
          </w:p>
        </w:tc>
        <w:tc>
          <w:tcPr>
            <w:tcW w:w="1860" w:type="dxa"/>
            <w:vAlign w:val="bottom"/>
            <w:gridSpan w:val="2"/>
          </w:tcPr>
          <w:p>
            <w:pPr>
              <w:jc w:val="right"/>
              <w:ind w:right="300"/>
              <w:spacing w:after="0" w:line="216" w:lineRule="exact"/>
              <w:rPr>
                <w:sz w:val="20"/>
                <w:szCs w:val="20"/>
                <w:color w:val="auto"/>
              </w:rPr>
            </w:pPr>
            <w:r>
              <w:rPr>
                <w:rFonts w:ascii="Calibri" w:cs="Calibri" w:eastAsia="Calibri" w:hAnsi="Calibri"/>
                <w:sz w:val="18"/>
                <w:szCs w:val="18"/>
                <w:b w:val="1"/>
                <w:bCs w:val="1"/>
                <w:color w:val="auto"/>
              </w:rPr>
              <w:t>Outstanding Optons</w:t>
            </w:r>
          </w:p>
        </w:tc>
        <w:tc>
          <w:tcPr>
            <w:tcW w:w="100" w:type="dxa"/>
            <w:vAlign w:val="bottom"/>
          </w:tcPr>
          <w:p>
            <w:pPr>
              <w:spacing w:after="0"/>
              <w:rPr>
                <w:sz w:val="18"/>
                <w:szCs w:val="18"/>
                <w:color w:val="auto"/>
              </w:rPr>
            </w:pPr>
          </w:p>
        </w:tc>
        <w:tc>
          <w:tcPr>
            <w:tcW w:w="144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rPr>
              <w:t>Opton</w:t>
            </w:r>
          </w:p>
        </w:tc>
        <w:tc>
          <w:tcPr>
            <w:tcW w:w="220" w:type="dxa"/>
            <w:vAlign w:val="bottom"/>
          </w:tcPr>
          <w:p>
            <w:pPr>
              <w:spacing w:after="0"/>
              <w:rPr>
                <w:sz w:val="18"/>
                <w:szCs w:val="18"/>
                <w:color w:val="auto"/>
              </w:rPr>
            </w:pPr>
          </w:p>
        </w:tc>
        <w:tc>
          <w:tcPr>
            <w:tcW w:w="1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4"/>
              </w:rPr>
              <w:t>Years)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center"/>
              <w:ind w:right="480"/>
              <w:spacing w:after="0" w:line="216" w:lineRule="exact"/>
              <w:rPr>
                <w:sz w:val="20"/>
                <w:szCs w:val="20"/>
                <w:color w:val="auto"/>
              </w:rPr>
            </w:pPr>
            <w:r>
              <w:rPr>
                <w:rFonts w:ascii="Calibri" w:cs="Calibri" w:eastAsia="Calibri" w:hAnsi="Calibri"/>
                <w:sz w:val="18"/>
                <w:szCs w:val="18"/>
                <w:b w:val="1"/>
                <w:bCs w:val="1"/>
                <w:color w:val="auto"/>
                <w:w w:val="98"/>
              </w:rPr>
              <w:t>Value</w:t>
            </w:r>
          </w:p>
        </w:tc>
      </w:tr>
      <w:tr>
        <w:trPr>
          <w:trHeight w:val="37"/>
        </w:trPr>
        <w:tc>
          <w:tcPr>
            <w:tcW w:w="41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17"/>
        </w:trPr>
        <w:tc>
          <w:tcPr>
            <w:tcW w:w="41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Outstanding at December 31, 2022</w:t>
            </w:r>
          </w:p>
        </w:tc>
        <w:tc>
          <w:tcPr>
            <w:tcW w:w="1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6,125</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w w:val="87"/>
              </w:rPr>
              <w:t>$</w:t>
            </w: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12.09</w:t>
            </w:r>
          </w:p>
        </w:tc>
        <w:tc>
          <w:tcPr>
            <w:tcW w:w="182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9</w:t>
            </w:r>
          </w:p>
        </w:tc>
        <w:tc>
          <w:tcPr>
            <w:tcW w:w="56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CFF0FC"/>
            </w:tcBorders>
            <w:gridSpan w:val="2"/>
            <w:shd w:val="clear" w:color="auto" w:fill="CFF0FC"/>
          </w:tcPr>
          <w:p>
            <w:pPr>
              <w:jc w:val="right"/>
              <w:ind w:right="120"/>
              <w:spacing w:after="0" w:line="208" w:lineRule="exact"/>
              <w:rPr>
                <w:sz w:val="20"/>
                <w:szCs w:val="20"/>
                <w:color w:val="auto"/>
              </w:rPr>
            </w:pPr>
            <w:r>
              <w:rPr>
                <w:rFonts w:ascii="Calibri" w:cs="Calibri" w:eastAsia="Calibri" w:hAnsi="Calibri"/>
                <w:sz w:val="18"/>
                <w:szCs w:val="18"/>
                <w:b w:val="1"/>
                <w:bCs w:val="1"/>
                <w:color w:val="auto"/>
              </w:rPr>
              <w:t>—</w:t>
            </w:r>
          </w:p>
        </w:tc>
        <w:tc>
          <w:tcPr>
            <w:tcW w:w="40" w:type="dxa"/>
            <w:vAlign w:val="bottom"/>
          </w:tcPr>
          <w:p>
            <w:pPr>
              <w:spacing w:after="0"/>
              <w:rPr>
                <w:sz w:val="18"/>
                <w:szCs w:val="18"/>
                <w:color w:val="auto"/>
              </w:rPr>
            </w:pPr>
          </w:p>
        </w:tc>
      </w:tr>
      <w:tr>
        <w:trPr>
          <w:trHeight w:val="215"/>
        </w:trPr>
        <w:tc>
          <w:tcPr>
            <w:tcW w:w="412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granted</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3,603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7.17</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41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41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exercised</w:t>
            </w:r>
          </w:p>
        </w:tc>
        <w:tc>
          <w:tcPr>
            <w:tcW w:w="18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120" w:type="dxa"/>
            <w:vAlign w:val="bottom"/>
          </w:tcPr>
          <w:p>
            <w:pPr>
              <w:ind w:left="120"/>
              <w:spacing w:after="0" w:line="215" w:lineRule="exact"/>
              <w:rPr>
                <w:sz w:val="20"/>
                <w:szCs w:val="20"/>
                <w:color w:val="auto"/>
              </w:rPr>
            </w:pPr>
            <w:r>
              <w:rPr>
                <w:rFonts w:ascii="Calibri" w:cs="Calibri" w:eastAsia="Calibri" w:hAnsi="Calibri"/>
                <w:sz w:val="18"/>
                <w:szCs w:val="18"/>
                <w:color w:val="auto"/>
              </w:rPr>
              <w:t>Optons forfeited</w:t>
            </w:r>
          </w:p>
        </w:tc>
        <w:tc>
          <w:tcPr>
            <w:tcW w:w="18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41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8"/>
        </w:trPr>
        <w:tc>
          <w:tcPr>
            <w:tcW w:w="41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Optons expired</w:t>
            </w:r>
          </w:p>
        </w:tc>
        <w:tc>
          <w:tcPr>
            <w:tcW w:w="18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(29 )</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08"/>
        </w:trPr>
        <w:tc>
          <w:tcPr>
            <w:tcW w:w="41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b w:val="1"/>
                <w:bCs w:val="1"/>
                <w:color w:val="auto"/>
              </w:rPr>
              <w:t>Outstanding at March 31, 2023</w:t>
            </w:r>
          </w:p>
        </w:tc>
        <w:tc>
          <w:tcPr>
            <w:tcW w:w="16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9,699</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jc w:val="right"/>
              <w:spacing w:after="0" w:line="208" w:lineRule="exact"/>
              <w:rPr>
                <w:sz w:val="20"/>
                <w:szCs w:val="20"/>
                <w:color w:val="auto"/>
              </w:rPr>
            </w:pPr>
            <w:r>
              <w:rPr>
                <w:rFonts w:ascii="Calibri" w:cs="Calibri" w:eastAsia="Calibri" w:hAnsi="Calibri"/>
                <w:sz w:val="18"/>
                <w:szCs w:val="18"/>
                <w:b w:val="1"/>
                <w:bCs w:val="1"/>
                <w:color w:val="auto"/>
                <w:w w:val="87"/>
              </w:rPr>
              <w:t>$</w:t>
            </w:r>
          </w:p>
        </w:tc>
        <w:tc>
          <w:tcPr>
            <w:tcW w:w="1440" w:type="dxa"/>
            <w:vAlign w:val="bottom"/>
            <w:tcBorders>
              <w:top w:val="single" w:sz="8" w:color="CFF0FC"/>
            </w:tcBorders>
          </w:tcPr>
          <w:p>
            <w:pPr>
              <w:jc w:val="right"/>
              <w:spacing w:after="0" w:line="208" w:lineRule="exact"/>
              <w:rPr>
                <w:sz w:val="20"/>
                <w:szCs w:val="20"/>
                <w:color w:val="auto"/>
              </w:rPr>
            </w:pPr>
            <w:r>
              <w:rPr>
                <w:rFonts w:ascii="Calibri" w:cs="Calibri" w:eastAsia="Calibri" w:hAnsi="Calibri"/>
                <w:sz w:val="18"/>
                <w:szCs w:val="18"/>
                <w:b w:val="1"/>
                <w:bCs w:val="1"/>
                <w:color w:val="auto"/>
              </w:rPr>
              <w:t>10.26</w:t>
            </w:r>
          </w:p>
        </w:tc>
        <w:tc>
          <w:tcPr>
            <w:tcW w:w="1820" w:type="dxa"/>
            <w:vAlign w:val="bottom"/>
            <w:tcBorders>
              <w:top w:val="single" w:sz="8" w:color="CFF0FC"/>
            </w:tcBorders>
            <w:gridSpan w:val="2"/>
          </w:tcPr>
          <w:p>
            <w:pPr>
              <w:jc w:val="right"/>
              <w:spacing w:after="0" w:line="208" w:lineRule="exact"/>
              <w:rPr>
                <w:sz w:val="20"/>
                <w:szCs w:val="20"/>
                <w:color w:val="auto"/>
              </w:rPr>
            </w:pPr>
            <w:r>
              <w:rPr>
                <w:rFonts w:ascii="Calibri" w:cs="Calibri" w:eastAsia="Calibri" w:hAnsi="Calibri"/>
                <w:sz w:val="18"/>
                <w:szCs w:val="18"/>
                <w:b w:val="1"/>
                <w:bCs w:val="1"/>
                <w:color w:val="auto"/>
              </w:rPr>
              <w:t>9</w:t>
            </w:r>
          </w:p>
        </w:tc>
        <w:tc>
          <w:tcPr>
            <w:tcW w:w="560" w:type="dxa"/>
            <w:vAlign w:val="bottom"/>
            <w:tcBorders>
              <w:top w:val="single" w:sz="8" w:color="CFF0FC"/>
            </w:tcBorders>
            <w:gridSpan w:val="2"/>
          </w:tcPr>
          <w:p>
            <w:pPr>
              <w:jc w:val="right"/>
              <w:ind w:right="13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top w:val="single" w:sz="8" w:color="CFF0FC"/>
            </w:tcBorders>
            <w:gridSpan w:val="2"/>
          </w:tcPr>
          <w:p>
            <w:pPr>
              <w:jc w:val="right"/>
              <w:ind w:right="120"/>
              <w:spacing w:after="0" w:line="208" w:lineRule="exact"/>
              <w:rPr>
                <w:sz w:val="20"/>
                <w:szCs w:val="20"/>
                <w:color w:val="auto"/>
              </w:rPr>
            </w:pPr>
            <w:r>
              <w:rPr>
                <w:rFonts w:ascii="Calibri" w:cs="Calibri" w:eastAsia="Calibri" w:hAnsi="Calibri"/>
                <w:sz w:val="18"/>
                <w:szCs w:val="18"/>
                <w:b w:val="1"/>
                <w:bCs w:val="1"/>
                <w:color w:val="auto"/>
              </w:rPr>
              <w:t>—</w:t>
            </w:r>
          </w:p>
        </w:tc>
        <w:tc>
          <w:tcPr>
            <w:tcW w:w="40" w:type="dxa"/>
            <w:vAlign w:val="bottom"/>
          </w:tcPr>
          <w:p>
            <w:pPr>
              <w:spacing w:after="0"/>
              <w:rPr>
                <w:sz w:val="18"/>
                <w:szCs w:val="18"/>
                <w:color w:val="auto"/>
              </w:rPr>
            </w:pPr>
          </w:p>
        </w:tc>
      </w:tr>
      <w:tr>
        <w:trPr>
          <w:trHeight w:val="869"/>
        </w:trPr>
        <w:tc>
          <w:tcPr>
            <w:tcW w:w="4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18"/>
                <w:szCs w:val="18"/>
                <w:color w:val="auto"/>
              </w:rPr>
              <w:t>21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3"/>
        </w:trPr>
        <w:tc>
          <w:tcPr>
            <w:tcW w:w="4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-4911090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-2982595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-1199515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bookmarkStart w:id="23" w:name="page24"/>
    <w:bookmarkEnd w:id="23"/>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Compensaton Expense</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For the three months ended March 31, 2024, equity-based compensaton expense related to RSUs was $5.5 million compared to $2.7 million for the three months ended March 31, 2023. Unrecognized compensaton expense relatng to unvested RSUs as of March 31, 2024 was approximately $70.2 million, which is expected to be recognized over a weighted average period of approximately three years.</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For the three months ended March 31, 2024, equity-based compensaton expense related to stock optons was $2.9 million compared to $1.8 million for the three months ended March 31, 2023. Unrecognized compensaton expense relatng to unvested stock optons as of March 31, 2024 was $17.5 million, which is expected to be recognized over a weighted average period of approximately two years.</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For the three months ended March 31, 2024 and 2023, equity-based compensaton expense related to profts interests was $0.2 million and $1.0 million, respectvely. Unrecognized compensaton expense as of March 31, 2024 related to these profts interests was $0.8 million, which is expected to be recognized over a weighted average period of approximately two years.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For the three months ended March 31, 2024, equity-based compensaton expense excludes $0.2 million related to capitalized development costs.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19. Earnings Per Share</w:t>
      </w:r>
    </w:p>
    <w:p>
      <w:pPr>
        <w:spacing w:after="0" w:line="10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 xml:space="preserve">We calculate basic and diluted net income per share of Class A common stock in accordance with ASC Topic 260, </w:t>
      </w:r>
      <w:r>
        <w:rPr>
          <w:rFonts w:ascii="Calibri" w:cs="Calibri" w:eastAsia="Calibri" w:hAnsi="Calibri"/>
          <w:sz w:val="18"/>
          <w:szCs w:val="18"/>
          <w:i w:val="1"/>
          <w:iCs w:val="1"/>
          <w:color w:val="auto"/>
        </w:rPr>
        <w:t>Earnings per Share</w:t>
      </w:r>
      <w:r>
        <w:rPr>
          <w:rFonts w:ascii="Calibri" w:cs="Calibri" w:eastAsia="Calibri" w:hAnsi="Calibri"/>
          <w:sz w:val="18"/>
          <w:szCs w:val="18"/>
          <w:color w:val="auto"/>
        </w:rPr>
        <w:t>. Because our Class B common stock does not have economic rights in VSI, it is not considered a partcipatng security for basic and diluted income per share, and we do not present basic and diluted income per share of Class B common stock. However, holders of our Class B common stock are allocated income in Hoya Intermediate (our operatng entty) according to their weighted average percentage ownership of Intermediate Units during each quarter.</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Net income atributable to redeemable noncontrolling interests is calculated by multplying Hoya Intermediate’s net income in each quarterly period by Hoya Topco’s weighted average percentage ownership of Intermediate Units during the period. Hoya Topco has the right to exchange its Intermediate Units for shares of our Class A common stock on a one-to-one basis or cash proceeds of equal value at the tme of redempton. The opton to redeem Intermediate Units for cash proceeds must be approved by our Board, which as of March 31, 2024 consisted of a majority of directors nominated by afliates of Hoya Topco and GTCR, LLC pursuant to our stockholders’ agreement. The ability to put Intermediate Units is solely within the control of the holder of the redeemable noncontrolling interests. If Hoya Topco elects the redempton to be setled in cash, the cash used to setle the redempton must be funded through a private or public ofering of our Class A common stock and is subject to our Board’s approval.</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provides the net income atributable to Hoya Topco’s redeemable noncontrolling interest (in thousands):</w:t>
      </w:r>
    </w:p>
    <w:p>
      <w:pPr>
        <w:spacing w:after="0" w:line="131" w:lineRule="exact"/>
        <w:rPr>
          <w:sz w:val="20"/>
          <w:szCs w:val="20"/>
          <w:color w:val="auto"/>
        </w:rPr>
      </w:pPr>
    </w:p>
    <w:p>
      <w:pPr>
        <w:ind w:left="7680"/>
        <w:spacing w:after="0"/>
        <w:rPr>
          <w:sz w:val="20"/>
          <w:szCs w:val="20"/>
          <w:color w:val="auto"/>
        </w:rPr>
      </w:pPr>
      <w:r>
        <w:rPr>
          <w:rFonts w:ascii="Calibri" w:cs="Calibri" w:eastAsia="Calibri" w:hAnsi="Calibri"/>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23495</wp:posOffset>
            </wp:positionV>
            <wp:extent cx="29400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sectPr>
      </w:pPr>
    </w:p>
    <w:p>
      <w:pPr>
        <w:spacing w:after="0" w:line="32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Net income—Hoya Intermediate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900"/>
        <w:spacing w:after="0"/>
        <w:tabs>
          <w:tab w:leader="none" w:pos="3320" w:val="left"/>
        </w:tabs>
        <w:rPr>
          <w:sz w:val="20"/>
          <w:szCs w:val="20"/>
          <w:color w:val="auto"/>
        </w:rPr>
      </w:pPr>
      <w:r>
        <w:rPr>
          <w:rFonts w:ascii="Calibri" w:cs="Calibri" w:eastAsia="Calibri" w:hAnsi="Calibri"/>
          <w:sz w:val="18"/>
          <w:szCs w:val="18"/>
          <w:b w:val="1"/>
          <w:bCs w:val="1"/>
          <w:color w:val="auto"/>
        </w:rPr>
        <w:t>2024</w:t>
      </w:r>
      <w:r>
        <w:rPr>
          <w:sz w:val="20"/>
          <w:szCs w:val="20"/>
          <w:color w:val="auto"/>
        </w:rPr>
        <w:tab/>
      </w:r>
      <w:r>
        <w:rPr>
          <w:rFonts w:ascii="Calibri" w:cs="Calibri" w:eastAsia="Calibri" w:hAnsi="Calibri"/>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23495</wp:posOffset>
            </wp:positionV>
            <wp:extent cx="713232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 w:lineRule="exact"/>
        <w:rPr>
          <w:sz w:val="20"/>
          <w:szCs w:val="20"/>
          <w:color w:val="auto"/>
        </w:rPr>
      </w:pPr>
    </w:p>
    <w:p>
      <w:pPr>
        <w:spacing w:after="0"/>
        <w:tabs>
          <w:tab w:leader="none" w:pos="1660" w:val="left"/>
          <w:tab w:leader="none" w:pos="2420" w:val="left"/>
          <w:tab w:leader="none" w:pos="410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12,870</w:t>
        <w:tab/>
        <w:t>$</w:t>
      </w:r>
      <w:r>
        <w:rPr>
          <w:sz w:val="20"/>
          <w:szCs w:val="20"/>
          <w:color w:val="auto"/>
        </w:rPr>
        <w:tab/>
      </w:r>
      <w:r>
        <w:rPr>
          <w:rFonts w:ascii="Calibri" w:cs="Calibri" w:eastAsia="Calibri" w:hAnsi="Calibri"/>
          <w:sz w:val="17"/>
          <w:szCs w:val="17"/>
          <w:color w:val="auto"/>
        </w:rPr>
        <w:t>30,272</w:t>
      </w:r>
    </w:p>
    <w:p>
      <w:pPr>
        <w:spacing w:after="0" w:line="42" w:lineRule="exact"/>
        <w:rPr>
          <w:sz w:val="20"/>
          <w:szCs w:val="20"/>
          <w:color w:val="auto"/>
        </w:rPr>
      </w:pPr>
    </w:p>
    <w:p>
      <w:pPr>
        <w:sectPr>
          <w:pgSz w:w="11900" w:h="16838" w:orient="portrait"/>
          <w:cols w:equalWidth="0" w:num="2">
            <w:col w:w="5800" w:space="720"/>
            <w:col w:w="4760"/>
          </w:cols>
          <w:pgMar w:left="320" w:top="760" w:right="299" w:bottom="1440" w:gutter="0" w:footer="0" w:header="0"/>
          <w:type w:val="continuous"/>
        </w:sectPr>
      </w:pPr>
    </w:p>
    <w:p>
      <w:pPr>
        <w:ind w:left="20" w:right="2860"/>
        <w:spacing w:after="0" w:line="235" w:lineRule="auto"/>
        <w:rPr>
          <w:sz w:val="20"/>
          <w:szCs w:val="20"/>
          <w:color w:val="auto"/>
        </w:rPr>
      </w:pPr>
      <w:r>
        <w:rPr>
          <w:rFonts w:ascii="Calibri" w:cs="Calibri" w:eastAsia="Calibri" w:hAnsi="Calibri"/>
          <w:sz w:val="18"/>
          <w:szCs w:val="18"/>
          <w:color w:val="auto"/>
        </w:rPr>
        <w:t>Hoya Topco’s weighted average % allocaton of Hoya Intermediate's net income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alibri" w:cs="Calibri" w:eastAsia="Calibri" w:hAnsi="Calibri"/>
          <w:sz w:val="16"/>
          <w:szCs w:val="16"/>
          <w:color w:val="auto"/>
        </w:rPr>
        <w:t>36.2 %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36195</wp:posOffset>
            </wp:positionV>
            <wp:extent cx="13970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Calibri" w:cs="Calibri" w:eastAsia="Calibri" w:hAnsi="Calibri"/>
          <w:sz w:val="17"/>
          <w:szCs w:val="17"/>
          <w:color w:val="auto"/>
        </w:rPr>
        <w:t>59.8 %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96520</wp:posOffset>
            </wp:positionV>
            <wp:extent cx="138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3">
            <w:col w:w="7660" w:space="720"/>
            <w:col w:w="1700" w:space="720"/>
            <w:col w:w="480"/>
          </w:cols>
          <w:pgMar w:left="320" w:top="760" w:right="299" w:bottom="1440" w:gutter="0" w:footer="0" w:header="0"/>
          <w:type w:val="continuous"/>
        </w:sectPr>
      </w:pPr>
    </w:p>
    <w:p>
      <w:pPr>
        <w:ind w:left="120" w:right="1920"/>
        <w:spacing w:after="0" w:line="235" w:lineRule="auto"/>
        <w:rPr>
          <w:sz w:val="20"/>
          <w:szCs w:val="20"/>
          <w:color w:val="auto"/>
        </w:rPr>
      </w:pPr>
      <w:r>
        <w:rPr>
          <w:rFonts w:ascii="Calibri" w:cs="Calibri" w:eastAsia="Calibri" w:hAnsi="Calibri"/>
          <w:sz w:val="18"/>
          <w:szCs w:val="18"/>
          <w:color w:val="auto"/>
        </w:rPr>
        <w:t>Net income atributable to Hoya Topco's redeemable noncontrolling interests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tabs>
          <w:tab w:leader="none" w:pos="1740" w:val="left"/>
          <w:tab w:leader="none" w:pos="2420" w:val="left"/>
          <w:tab w:leader="none" w:pos="410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4,665</w:t>
        <w:tab/>
        <w:t>$</w:t>
      </w:r>
      <w:r>
        <w:rPr>
          <w:sz w:val="20"/>
          <w:szCs w:val="20"/>
          <w:color w:val="auto"/>
        </w:rPr>
        <w:tab/>
      </w:r>
      <w:r>
        <w:rPr>
          <w:rFonts w:ascii="Calibri" w:cs="Calibri" w:eastAsia="Calibri" w:hAnsi="Calibri"/>
          <w:sz w:val="17"/>
          <w:szCs w:val="17"/>
          <w:color w:val="auto"/>
        </w:rPr>
        <w:t>18,090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-181610</wp:posOffset>
            </wp:positionV>
            <wp:extent cx="7132320" cy="291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5800" w:space="720"/>
            <w:col w:w="4760"/>
          </w:cols>
          <w:pgMar w:left="320" w:top="760" w:right="299" w:bottom="1440" w:gutter="0" w:footer="0" w:header="0"/>
          <w:type w:val="continuous"/>
        </w:sectPr>
      </w:pPr>
    </w:p>
    <w:p>
      <w:pPr>
        <w:jc w:val="both"/>
        <w:ind w:right="40"/>
        <w:spacing w:after="0" w:line="235" w:lineRule="auto"/>
        <w:rPr>
          <w:sz w:val="20"/>
          <w:szCs w:val="20"/>
          <w:color w:val="auto"/>
        </w:rPr>
      </w:pPr>
      <w:r>
        <w:rPr>
          <w:rFonts w:ascii="Calibri" w:cs="Calibri" w:eastAsia="Calibri" w:hAnsi="Calibri"/>
          <w:sz w:val="18"/>
          <w:szCs w:val="18"/>
          <w:color w:val="auto"/>
        </w:rPr>
        <w:t>Net income atributable to Class A common stockholders–basic is calculated by subtractng the porton of Hoya Intermediate’s net income atributable to redeemable noncontrolling interests from our total net income, which includes our net income for actvites outside of our investment in Hoya Intermediate, including income tax expense for VSI’s porton of income, as well as the full results of Hoya Intermediate on a consolidated basis.</w:t>
      </w: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0" w:right="299" w:bottom="1440" w:gutter="0" w:footer="0" w:header="0"/>
          <w:type w:val="continuous"/>
        </w:sectPr>
      </w:pPr>
    </w:p>
    <w:bookmarkStart w:id="24" w:name="page25"/>
    <w:bookmarkEnd w:id="2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income per Class A common stock–diluted is based on the average number of shares of our Class A common stock used for the basic earnings per share calculaton, adjusted for the weighted average number of Class A common share equivalents outstanding for the period determined using the treasury stock and if-converted methods, as applicable. Net income atributable to Class A common stockholders–diluted is adjusted for (i) our share of Hoya Intermediate’s consolidated net income afer giving efect to Intermediate Units that convert into potental shares of our Class A common stock, to the extent it is dilutve, and (ii) the impact of changes in the fair value of Hoya Intermediate Warrants, to the extent they are dilutve.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sets forth the computaton of basic and diluted net income per share of Class A common stock for the periods in which shares of our Class A and Class B common stock were outstanding (in thousands,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00" w:type="dxa"/>
            <w:vAlign w:val="bottom"/>
          </w:tcPr>
          <w:p>
            <w:pPr>
              <w:spacing w:after="0"/>
              <w:rPr>
                <w:sz w:val="19"/>
                <w:szCs w:val="19"/>
                <w:color w:val="auto"/>
              </w:rPr>
            </w:pPr>
          </w:p>
        </w:tc>
        <w:tc>
          <w:tcPr>
            <w:tcW w:w="3720" w:type="dxa"/>
            <w:vAlign w:val="bottom"/>
            <w:gridSpan w:val="4"/>
          </w:tcPr>
          <w:p>
            <w:pPr>
              <w:jc w:val="right"/>
              <w:ind w:right="260"/>
              <w:spacing w:after="0"/>
              <w:rPr>
                <w:sz w:val="20"/>
                <w:szCs w:val="20"/>
                <w:color w:val="auto"/>
              </w:rPr>
            </w:pPr>
            <w:r>
              <w:rPr>
                <w:rFonts w:ascii="Calibri" w:cs="Calibri" w:eastAsia="Calibri" w:hAnsi="Calibri"/>
                <w:sz w:val="18"/>
                <w:szCs w:val="18"/>
                <w:b w:val="1"/>
                <w:bCs w:val="1"/>
                <w:color w:val="auto"/>
              </w:rPr>
              <w:t>Three Months Ended March 31,</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5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6500" w:type="dxa"/>
            <w:vAlign w:val="bottom"/>
          </w:tcPr>
          <w:p>
            <w:pPr>
              <w:spacing w:after="0"/>
              <w:rPr>
                <w:sz w:val="18"/>
                <w:szCs w:val="18"/>
                <w:color w:val="auto"/>
              </w:rPr>
            </w:pPr>
          </w:p>
        </w:tc>
        <w:tc>
          <w:tcPr>
            <w:tcW w:w="130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auto"/>
              </w:rPr>
              <w:t>2024</w:t>
            </w:r>
          </w:p>
        </w:tc>
        <w:tc>
          <w:tcPr>
            <w:tcW w:w="900" w:type="dxa"/>
            <w:vAlign w:val="bottom"/>
          </w:tcPr>
          <w:p>
            <w:pPr>
              <w:spacing w:after="0"/>
              <w:rPr>
                <w:sz w:val="18"/>
                <w:szCs w:val="18"/>
                <w:color w:val="auto"/>
              </w:rPr>
            </w:pPr>
          </w:p>
        </w:tc>
        <w:tc>
          <w:tcPr>
            <w:tcW w:w="1520" w:type="dxa"/>
            <w:vAlign w:val="bottom"/>
            <w:gridSpan w:val="2"/>
          </w:tcPr>
          <w:p>
            <w:pPr>
              <w:jc w:val="right"/>
              <w:spacing w:after="0" w:line="213" w:lineRule="exact"/>
              <w:rPr>
                <w:sz w:val="20"/>
                <w:szCs w:val="20"/>
                <w:color w:val="auto"/>
              </w:rPr>
            </w:pPr>
            <w:r>
              <w:rPr>
                <w:rFonts w:ascii="Calibri" w:cs="Calibri" w:eastAsia="Calibri" w:hAnsi="Calibri"/>
                <w:sz w:val="18"/>
                <w:szCs w:val="18"/>
                <w:b w:val="1"/>
                <w:bCs w:val="1"/>
                <w:color w:val="auto"/>
              </w:rPr>
              <w:t>2023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5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5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Numerator—basic:</w:t>
            </w:r>
          </w:p>
        </w:tc>
        <w:tc>
          <w:tcPr>
            <w:tcW w:w="1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w:t>
            </w:r>
          </w:p>
        </w:tc>
        <w:tc>
          <w:tcPr>
            <w:tcW w:w="1300" w:type="dxa"/>
            <w:vAlign w:val="bottom"/>
          </w:tcPr>
          <w:p>
            <w:pPr>
              <w:jc w:val="right"/>
              <w:ind w:right="111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10,742</w:t>
            </w:r>
          </w:p>
        </w:tc>
        <w:tc>
          <w:tcPr>
            <w:tcW w:w="1520" w:type="dxa"/>
            <w:vAlign w:val="bottom"/>
            <w:gridSpan w:val="2"/>
          </w:tcPr>
          <w:p>
            <w:pPr>
              <w:jc w:val="right"/>
              <w:ind w:right="118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30,272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Less: Income atributable to redeemable noncontrolling interests</w:t>
            </w:r>
          </w:p>
        </w:tc>
        <w:tc>
          <w:tcPr>
            <w:tcW w:w="1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4,665</w:t>
            </w:r>
          </w:p>
        </w:tc>
        <w:tc>
          <w:tcPr>
            <w:tcW w:w="2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18,090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500" w:type="dxa"/>
            <w:vAlign w:val="bottom"/>
            <w:tcBorders>
              <w:top w:val="single" w:sz="8" w:color="CFF0FC"/>
            </w:tcBorders>
          </w:tcPr>
          <w:p>
            <w:pPr>
              <w:ind w:left="120"/>
              <w:spacing w:after="0" w:line="208" w:lineRule="exact"/>
              <w:rPr>
                <w:sz w:val="20"/>
                <w:szCs w:val="20"/>
                <w:color w:val="auto"/>
              </w:rPr>
            </w:pPr>
            <w:r>
              <w:rPr>
                <w:rFonts w:ascii="Calibri" w:cs="Calibri" w:eastAsia="Calibri" w:hAnsi="Calibri"/>
                <w:sz w:val="18"/>
                <w:szCs w:val="18"/>
                <w:color w:val="auto"/>
              </w:rPr>
              <w:t>Net income atributable to Class A Common Stockholders—basic</w:t>
            </w:r>
          </w:p>
        </w:tc>
        <w:tc>
          <w:tcPr>
            <w:tcW w:w="1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6,077</w:t>
            </w:r>
          </w:p>
        </w:tc>
        <w:tc>
          <w:tcPr>
            <w:tcW w:w="24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12,182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Denominator—basic:</w:t>
            </w:r>
          </w:p>
        </w:tc>
        <w:tc>
          <w:tcPr>
            <w:tcW w:w="1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Weighted average Class A common stock outstanding—basic</w:t>
            </w:r>
          </w:p>
        </w:tc>
        <w:tc>
          <w:tcPr>
            <w:tcW w:w="1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w w:val="96"/>
              </w:rPr>
              <w:t>134,068,276</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77,410,820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5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income per Class A common stock—basic</w:t>
            </w:r>
          </w:p>
        </w:tc>
        <w:tc>
          <w:tcPr>
            <w:tcW w:w="1300" w:type="dxa"/>
            <w:vAlign w:val="bottom"/>
            <w:tcBorders>
              <w:bottom w:val="single" w:sz="8" w:color="CFF0FC"/>
            </w:tcBorders>
            <w:shd w:val="clear" w:color="auto" w:fill="CFF0FC"/>
          </w:tcPr>
          <w:p>
            <w:pPr>
              <w:jc w:val="right"/>
              <w:ind w:right="1110"/>
              <w:spacing w:after="0" w:line="213" w:lineRule="exact"/>
              <w:rPr>
                <w:sz w:val="20"/>
                <w:szCs w:val="20"/>
                <w:color w:val="auto"/>
              </w:rPr>
            </w:pPr>
            <w:r>
              <w:rPr>
                <w:rFonts w:ascii="Calibri" w:cs="Calibri" w:eastAsia="Calibri" w:hAnsi="Calibri"/>
                <w:sz w:val="18"/>
                <w:szCs w:val="18"/>
                <w:b w:val="1"/>
                <w:bCs w:val="1"/>
                <w:color w:val="auto"/>
                <w:w w:val="87"/>
              </w:rPr>
              <w:t>$</w:t>
            </w:r>
          </w:p>
        </w:tc>
        <w:tc>
          <w:tcPr>
            <w:tcW w:w="9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0.05</w:t>
            </w:r>
          </w:p>
        </w:tc>
        <w:tc>
          <w:tcPr>
            <w:tcW w:w="1520" w:type="dxa"/>
            <w:vAlign w:val="bottom"/>
            <w:tcBorders>
              <w:bottom w:val="single" w:sz="8" w:color="CFF0FC"/>
            </w:tcBorders>
            <w:gridSpan w:val="2"/>
            <w:shd w:val="clear" w:color="auto" w:fill="CFF0FC"/>
          </w:tcPr>
          <w:p>
            <w:pPr>
              <w:jc w:val="right"/>
              <w:ind w:right="1180"/>
              <w:spacing w:after="0" w:line="213"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Numerator—diluted:</w:t>
            </w:r>
          </w:p>
        </w:tc>
        <w:tc>
          <w:tcPr>
            <w:tcW w:w="1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atributable to Class A Common Stockholders—basic</w:t>
            </w:r>
          </w:p>
        </w:tc>
        <w:tc>
          <w:tcPr>
            <w:tcW w:w="1300" w:type="dxa"/>
            <w:vAlign w:val="bottom"/>
          </w:tcPr>
          <w:p>
            <w:pPr>
              <w:jc w:val="right"/>
              <w:ind w:right="111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6,077</w:t>
            </w:r>
          </w:p>
        </w:tc>
        <w:tc>
          <w:tcPr>
            <w:tcW w:w="1520" w:type="dxa"/>
            <w:vAlign w:val="bottom"/>
            <w:gridSpan w:val="2"/>
          </w:tcPr>
          <w:p>
            <w:pPr>
              <w:jc w:val="right"/>
              <w:ind w:right="118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12,182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income efect of dilutve securites:</w:t>
            </w:r>
          </w:p>
        </w:tc>
        <w:tc>
          <w:tcPr>
            <w:tcW w:w="1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dilutve Noncontrolling Interest</w:t>
            </w:r>
          </w:p>
        </w:tc>
        <w:tc>
          <w:tcPr>
            <w:tcW w:w="1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3,248</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16,849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50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8"/>
                <w:szCs w:val="18"/>
                <w:color w:val="auto"/>
              </w:rPr>
              <w:t>Efect of RSUs</w:t>
            </w:r>
          </w:p>
        </w:tc>
        <w:tc>
          <w:tcPr>
            <w:tcW w:w="1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500" w:type="dxa"/>
            <w:vAlign w:val="bottom"/>
            <w:tcBorders>
              <w:top w:val="single" w:sz="8" w:color="CFF0FC"/>
            </w:tcBorders>
          </w:tcPr>
          <w:p>
            <w:pPr>
              <w:ind w:left="120"/>
              <w:spacing w:after="0" w:line="201" w:lineRule="exact"/>
              <w:rPr>
                <w:sz w:val="20"/>
                <w:szCs w:val="20"/>
                <w:color w:val="auto"/>
              </w:rPr>
            </w:pPr>
            <w:r>
              <w:rPr>
                <w:rFonts w:ascii="Calibri" w:cs="Calibri" w:eastAsia="Calibri" w:hAnsi="Calibri"/>
                <w:sz w:val="18"/>
                <w:szCs w:val="18"/>
                <w:color w:val="auto"/>
              </w:rPr>
              <w:t>Net income atributable to Class A Common Stockholders—</w:t>
            </w:r>
          </w:p>
        </w:tc>
        <w:tc>
          <w:tcPr>
            <w:tcW w:w="1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9,329</w:t>
            </w:r>
          </w:p>
        </w:tc>
        <w:tc>
          <w:tcPr>
            <w:tcW w:w="2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29,051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diluted</w:t>
            </w:r>
          </w:p>
        </w:tc>
        <w:tc>
          <w:tcPr>
            <w:tcW w:w="1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Denominator—diluted:</w:t>
            </w:r>
          </w:p>
        </w:tc>
        <w:tc>
          <w:tcPr>
            <w:tcW w:w="1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Weighted average Class A common stock outstanding—basic</w:t>
            </w:r>
          </w:p>
        </w:tc>
        <w:tc>
          <w:tcPr>
            <w:tcW w:w="1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w w:val="96"/>
              </w:rPr>
              <w:t>134,068,276</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77,410,820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Weighted average efect of dilutve securites:</w:t>
            </w:r>
          </w:p>
        </w:tc>
        <w:tc>
          <w:tcPr>
            <w:tcW w:w="1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dilutve Noncontrolling Interest</w:t>
            </w:r>
          </w:p>
        </w:tc>
        <w:tc>
          <w:tcPr>
            <w:tcW w:w="1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76,225,000</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w w:val="96"/>
              </w:rPr>
              <w:t>118,200,000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Efect of RSUs</w:t>
            </w:r>
          </w:p>
        </w:tc>
        <w:tc>
          <w:tcPr>
            <w:tcW w:w="1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616,585</w:t>
            </w:r>
          </w:p>
        </w:tc>
        <w:tc>
          <w:tcPr>
            <w:tcW w:w="2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213,162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120"/>
              <w:spacing w:after="0"/>
              <w:rPr>
                <w:sz w:val="20"/>
                <w:szCs w:val="20"/>
                <w:color w:val="auto"/>
              </w:rPr>
            </w:pPr>
            <w:r>
              <w:rPr>
                <w:rFonts w:ascii="Calibri" w:cs="Calibri" w:eastAsia="Calibri" w:hAnsi="Calibri"/>
                <w:sz w:val="18"/>
                <w:szCs w:val="18"/>
                <w:color w:val="auto"/>
              </w:rPr>
              <w:t>Weighted average Class A common stock outstanding—diluted</w:t>
            </w:r>
          </w:p>
        </w:tc>
        <w:tc>
          <w:tcPr>
            <w:tcW w:w="130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w w:val="96"/>
              </w:rPr>
              <w:t>210,909,861</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w w:val="96"/>
              </w:rPr>
              <w:t>195,823,982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50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Net income per Class A common stock—diluted</w:t>
            </w:r>
          </w:p>
        </w:tc>
        <w:tc>
          <w:tcPr>
            <w:tcW w:w="1300" w:type="dxa"/>
            <w:vAlign w:val="bottom"/>
            <w:tcBorders>
              <w:bottom w:val="single" w:sz="8" w:color="CFF0FC"/>
            </w:tcBorders>
            <w:shd w:val="clear" w:color="auto" w:fill="CFF0FC"/>
          </w:tcPr>
          <w:p>
            <w:pPr>
              <w:jc w:val="right"/>
              <w:ind w:right="1110"/>
              <w:spacing w:after="0" w:line="213" w:lineRule="exact"/>
              <w:rPr>
                <w:sz w:val="20"/>
                <w:szCs w:val="20"/>
                <w:color w:val="auto"/>
              </w:rPr>
            </w:pPr>
            <w:r>
              <w:rPr>
                <w:rFonts w:ascii="Calibri" w:cs="Calibri" w:eastAsia="Calibri" w:hAnsi="Calibri"/>
                <w:sz w:val="18"/>
                <w:szCs w:val="18"/>
                <w:b w:val="1"/>
                <w:bCs w:val="1"/>
                <w:color w:val="auto"/>
                <w:w w:val="87"/>
              </w:rPr>
              <w:t>$</w:t>
            </w:r>
          </w:p>
        </w:tc>
        <w:tc>
          <w:tcPr>
            <w:tcW w:w="9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0.04</w:t>
            </w:r>
          </w:p>
        </w:tc>
        <w:tc>
          <w:tcPr>
            <w:tcW w:w="1520" w:type="dxa"/>
            <w:vAlign w:val="bottom"/>
            <w:tcBorders>
              <w:bottom w:val="single" w:sz="8" w:color="CFF0FC"/>
            </w:tcBorders>
            <w:gridSpan w:val="2"/>
            <w:shd w:val="clear" w:color="auto" w:fill="CFF0FC"/>
          </w:tcPr>
          <w:p>
            <w:pPr>
              <w:jc w:val="right"/>
              <w:ind w:right="1180"/>
              <w:spacing w:after="0" w:line="213"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b w:val="1"/>
                <w:bCs w:val="1"/>
                <w:color w:val="auto"/>
              </w:rPr>
              <w:t>0.15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-3007995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-2365375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-2348230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-1414145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Potental shares of our Class A common stock are excluded from the computaton of diluted net income per share of Class A common stock if their efect would have been ant-dilutve for the period presented or if the issuance of shares is contngent upon events that did not occur by the end of the period.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5" w:name="page26"/>
    <w:bookmarkEnd w:id="2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presents potentally dilutve securites excluded from the computaton of diluted net income per share of Class A common stock for the periods presented that could potentally dilute earnings per share in the future:</w:t>
      </w:r>
    </w:p>
    <w:p>
      <w:pPr>
        <w:spacing w:after="0" w:line="132" w:lineRule="exact"/>
        <w:rPr>
          <w:sz w:val="20"/>
          <w:szCs w:val="20"/>
          <w:color w:val="auto"/>
        </w:rPr>
      </w:pPr>
    </w:p>
    <w:p>
      <w:pPr>
        <w:ind w:left="7660"/>
        <w:spacing w:after="0"/>
        <w:rPr>
          <w:sz w:val="20"/>
          <w:szCs w:val="20"/>
          <w:color w:val="auto"/>
        </w:rPr>
      </w:pPr>
      <w:r>
        <w:rPr>
          <w:rFonts w:ascii="Calibri" w:cs="Calibri" w:eastAsia="Calibri" w:hAnsi="Calibri"/>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23495</wp:posOffset>
            </wp:positionV>
            <wp:extent cx="29660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20" w:type="dxa"/>
            <w:vAlign w:val="bottom"/>
            <w:gridSpan w:val="2"/>
          </w:tcPr>
          <w:p>
            <w:pPr>
              <w:ind w:left="7400"/>
              <w:spacing w:after="0"/>
              <w:rPr>
                <w:sz w:val="20"/>
                <w:szCs w:val="20"/>
                <w:color w:val="auto"/>
              </w:rPr>
            </w:pPr>
            <w:r>
              <w:rPr>
                <w:rFonts w:ascii="Calibri" w:cs="Calibri" w:eastAsia="Calibri" w:hAnsi="Calibri"/>
                <w:sz w:val="18"/>
                <w:szCs w:val="18"/>
                <w:b w:val="1"/>
                <w:bCs w:val="1"/>
                <w:color w:val="auto"/>
              </w:rPr>
              <w:t>2024</w:t>
            </w:r>
          </w:p>
        </w:tc>
        <w:tc>
          <w:tcPr>
            <w:tcW w:w="860" w:type="dxa"/>
            <w:vAlign w:val="bottom"/>
          </w:tcPr>
          <w:p>
            <w:pPr>
              <w:spacing w:after="0"/>
              <w:rPr>
                <w:sz w:val="19"/>
                <w:szCs w:val="19"/>
                <w:color w:val="auto"/>
              </w:rPr>
            </w:pPr>
          </w:p>
        </w:tc>
        <w:tc>
          <w:tcPr>
            <w:tcW w:w="2460" w:type="dxa"/>
            <w:vAlign w:val="bottom"/>
            <w:gridSpan w:val="2"/>
          </w:tcPr>
          <w:p>
            <w:pPr>
              <w:jc w:val="right"/>
              <w:ind w:right="94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r>
      <w:tr>
        <w:trPr>
          <w:trHeight w:val="37"/>
        </w:trPr>
        <w:tc>
          <w:tcPr>
            <w:tcW w:w="64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782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RSUs</w:t>
            </w: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3,830,006</w:t>
            </w:r>
          </w:p>
        </w:tc>
        <w:tc>
          <w:tcPr>
            <w:tcW w:w="2460" w:type="dxa"/>
            <w:vAlign w:val="bottom"/>
            <w:tcBorders>
              <w:bottom w:val="single" w:sz="8" w:color="CFF0FC"/>
            </w:tcBorders>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color w:val="auto"/>
              </w:rPr>
              <w:t>991,301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8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Stock optons</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8,807,848</w:t>
            </w:r>
          </w:p>
        </w:tc>
        <w:tc>
          <w:tcPr>
            <w:tcW w:w="24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9,698,759</w:t>
            </w:r>
          </w:p>
        </w:tc>
        <w:tc>
          <w:tcPr>
            <w:tcW w:w="100" w:type="dxa"/>
            <w:vAlign w:val="bottom"/>
          </w:tcPr>
          <w:p>
            <w:pPr>
              <w:spacing w:after="0"/>
              <w:rPr>
                <w:sz w:val="18"/>
                <w:szCs w:val="18"/>
                <w:color w:val="auto"/>
              </w:rPr>
            </w:pPr>
          </w:p>
        </w:tc>
      </w:tr>
      <w:tr>
        <w:trPr>
          <w:trHeight w:val="28"/>
        </w:trPr>
        <w:tc>
          <w:tcPr>
            <w:tcW w:w="6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2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Public Warrants and Private Warrants</w:t>
            </w: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13,286,644</w:t>
            </w:r>
          </w:p>
        </w:tc>
        <w:tc>
          <w:tcPr>
            <w:tcW w:w="246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13,286,644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8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Exercise Warrants</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24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34,000,000</w:t>
            </w:r>
          </w:p>
        </w:tc>
        <w:tc>
          <w:tcPr>
            <w:tcW w:w="100" w:type="dxa"/>
            <w:vAlign w:val="bottom"/>
          </w:tcPr>
          <w:p>
            <w:pPr>
              <w:spacing w:after="0"/>
              <w:rPr>
                <w:sz w:val="18"/>
                <w:szCs w:val="18"/>
                <w:color w:val="auto"/>
              </w:rPr>
            </w:pPr>
          </w:p>
        </w:tc>
      </w:tr>
      <w:tr>
        <w:trPr>
          <w:trHeight w:val="28"/>
        </w:trPr>
        <w:tc>
          <w:tcPr>
            <w:tcW w:w="6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7820" w:type="dxa"/>
            <w:vAlign w:val="bottom"/>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Hoya Intermediate Warrants</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4,000,000</w:t>
            </w:r>
          </w:p>
        </w:tc>
        <w:tc>
          <w:tcPr>
            <w:tcW w:w="24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6,000,000</w:t>
            </w:r>
          </w:p>
        </w:tc>
        <w:tc>
          <w:tcPr>
            <w:tcW w:w="100" w:type="dxa"/>
            <w:vAlign w:val="bottom"/>
            <w:shd w:val="clear" w:color="auto" w:fill="CFF0FC"/>
          </w:tcPr>
          <w:p>
            <w:pPr>
              <w:spacing w:after="0"/>
              <w:rPr>
                <w:sz w:val="18"/>
                <w:szCs w:val="18"/>
                <w:color w:val="auto"/>
              </w:rPr>
            </w:pPr>
          </w:p>
        </w:tc>
      </w:tr>
      <w:tr>
        <w:trPr>
          <w:trHeight w:val="28"/>
        </w:trPr>
        <w:tc>
          <w:tcPr>
            <w:tcW w:w="646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6" w:name="page27"/>
    <w:bookmarkEnd w:id="26"/>
    <w:p>
      <w:pPr>
        <w:ind w:left="1980"/>
        <w:spacing w:after="0"/>
        <w:rPr>
          <w:sz w:val="20"/>
          <w:szCs w:val="20"/>
          <w:color w:val="auto"/>
        </w:rPr>
      </w:pPr>
      <w:r>
        <w:rPr>
          <w:rFonts w:ascii="Calibri" w:cs="Calibri" w:eastAsia="Calibri" w:hAnsi="Calibri"/>
          <w:sz w:val="18"/>
          <w:szCs w:val="18"/>
          <w:b w:val="1"/>
          <w:bCs w:val="1"/>
          <w:color w:val="auto"/>
        </w:rPr>
        <w:t>Item 2. MANAGEMENT’S DISCUSSION AND ANALYSIS OF FINANCIAL CONDITION AND RESULTS OF OPERATIONS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This discussion is intended to help readers understand our fnancial conditon and results of operatons and is provided as an additon to, and should be read together with, our condensed consolidated fnancial statements and accompanying notes included elsewhere in this Report, as well as our audited consolidated fnancial statements and accompanying notes contained in our 2023 Form 10-K. This discussion contains forward-looking statements, which are subject to risks and uncertaintes that could cause actual results or outcomes to difer materially from those contemplated by the forward-looking statements. Such risks and uncertaintes include, but are not limited to, those discussed in the “Risk Factors” and “Forward-Looking Statements” sectons of this Report and our 2023 Form 10-K.</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We are an online tcket marketplace that utlizes our technology platorm to connect fans of live events seamlessly with tcket sellers. Our mission is to empower and enable fans to </w:t>
      </w:r>
      <w:r>
        <w:rPr>
          <w:rFonts w:ascii="Calibri" w:cs="Calibri" w:eastAsia="Calibri" w:hAnsi="Calibri"/>
          <w:sz w:val="17"/>
          <w:szCs w:val="17"/>
          <w:i w:val="1"/>
          <w:iCs w:val="1"/>
          <w:color w:val="auto"/>
        </w:rPr>
        <w:t>Experience It Live</w:t>
      </w:r>
      <w:r>
        <w:rPr>
          <w:rFonts w:ascii="Calibri" w:cs="Calibri" w:eastAsia="Calibri" w:hAnsi="Calibri"/>
          <w:sz w:val="17"/>
          <w:szCs w:val="17"/>
          <w:color w:val="auto"/>
        </w:rPr>
        <w:t>. We believe in the power of shared experiences to connect people with live events delivering some of life’s most excitng moments. We operate a technology platorm and marketplace that enables tcket buyers to easily discover and purchase tckets to live events and atractons and book hotel rooms and packages, while enabling tcket sellers and partners to seamlessly manage their operatons. We diferentate from compettors by ofering an extensive breadth and depth of tcket listngs at a compettve value. The following table summarizes our Marketplace Gross Order Value (“Marketplace GOV”), revenues, net income and Adjusted EBITDA for the three months ended March 31, 2024 and 2023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spacing w:after="0"/>
              <w:rPr>
                <w:sz w:val="19"/>
                <w:szCs w:val="19"/>
                <w:color w:val="auto"/>
              </w:rPr>
            </w:pPr>
          </w:p>
        </w:tc>
        <w:tc>
          <w:tcPr>
            <w:tcW w:w="4020" w:type="dxa"/>
            <w:vAlign w:val="bottom"/>
            <w:gridSpan w:val="4"/>
          </w:tcPr>
          <w:p>
            <w:pPr>
              <w:jc w:val="right"/>
              <w:ind w:right="500"/>
              <w:spacing w:after="0"/>
              <w:rPr>
                <w:sz w:val="20"/>
                <w:szCs w:val="20"/>
                <w:color w:val="auto"/>
              </w:rPr>
            </w:pPr>
            <w:r>
              <w:rPr>
                <w:rFonts w:ascii="Calibri" w:cs="Calibri" w:eastAsia="Calibri" w:hAnsi="Calibri"/>
                <w:sz w:val="18"/>
                <w:szCs w:val="18"/>
                <w:b w:val="1"/>
                <w:bCs w:val="1"/>
                <w:color w:val="auto"/>
              </w:rPr>
              <w:t>Three months ended March 31,</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63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6360" w:type="dxa"/>
            <w:vAlign w:val="bottom"/>
          </w:tcPr>
          <w:p>
            <w:pPr>
              <w:spacing w:after="0"/>
              <w:rPr>
                <w:sz w:val="18"/>
                <w:szCs w:val="18"/>
                <w:color w:val="auto"/>
              </w:rPr>
            </w:pPr>
          </w:p>
        </w:tc>
        <w:tc>
          <w:tcPr>
            <w:tcW w:w="1380" w:type="dxa"/>
            <w:vAlign w:val="bottom"/>
          </w:tcPr>
          <w:p>
            <w:pPr>
              <w:jc w:val="right"/>
              <w:ind w:right="10"/>
              <w:spacing w:after="0" w:line="208" w:lineRule="exact"/>
              <w:rPr>
                <w:sz w:val="20"/>
                <w:szCs w:val="20"/>
                <w:color w:val="auto"/>
              </w:rPr>
            </w:pPr>
            <w:r>
              <w:rPr>
                <w:rFonts w:ascii="Calibri" w:cs="Calibri" w:eastAsia="Calibri" w:hAnsi="Calibri"/>
                <w:sz w:val="18"/>
                <w:szCs w:val="18"/>
                <w:b w:val="1"/>
                <w:bCs w:val="1"/>
                <w:color w:val="auto"/>
              </w:rPr>
              <w:t>2024</w:t>
            </w:r>
          </w:p>
        </w:tc>
        <w:tc>
          <w:tcPr>
            <w:tcW w:w="820" w:type="dxa"/>
            <w:vAlign w:val="bottom"/>
          </w:tcPr>
          <w:p>
            <w:pPr>
              <w:spacing w:after="0"/>
              <w:rPr>
                <w:sz w:val="18"/>
                <w:szCs w:val="18"/>
                <w:color w:val="auto"/>
              </w:rPr>
            </w:pPr>
          </w:p>
        </w:tc>
        <w:tc>
          <w:tcPr>
            <w:tcW w:w="1820" w:type="dxa"/>
            <w:vAlign w:val="bottom"/>
            <w:gridSpan w:val="2"/>
          </w:tcPr>
          <w:p>
            <w:pPr>
              <w:jc w:val="right"/>
              <w:ind w:right="160"/>
              <w:spacing w:after="0" w:line="208" w:lineRule="exact"/>
              <w:rPr>
                <w:sz w:val="20"/>
                <w:szCs w:val="20"/>
                <w:color w:val="auto"/>
              </w:rPr>
            </w:pPr>
            <w:r>
              <w:rPr>
                <w:rFonts w:ascii="Calibri" w:cs="Calibri" w:eastAsia="Calibri" w:hAnsi="Calibri"/>
                <w:sz w:val="18"/>
                <w:szCs w:val="18"/>
                <w:b w:val="1"/>
                <w:bCs w:val="1"/>
                <w:color w:val="auto"/>
              </w:rPr>
              <w:t>2023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6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3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 GOV*</w:t>
            </w:r>
          </w:p>
        </w:tc>
        <w:tc>
          <w:tcPr>
            <w:tcW w:w="1380" w:type="dxa"/>
            <w:vAlign w:val="bottom"/>
            <w:tcBorders>
              <w:bottom w:val="single" w:sz="8" w:color="CFF0FC"/>
            </w:tcBorders>
            <w:shd w:val="clear" w:color="auto" w:fill="CFF0FC"/>
          </w:tcPr>
          <w:p>
            <w:pPr>
              <w:jc w:val="right"/>
              <w:ind w:right="1190"/>
              <w:spacing w:after="0" w:line="208"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1,028,477</w:t>
            </w:r>
          </w:p>
        </w:tc>
        <w:tc>
          <w:tcPr>
            <w:tcW w:w="1820" w:type="dxa"/>
            <w:vAlign w:val="bottom"/>
            <w:tcBorders>
              <w:bottom w:val="single" w:sz="8" w:color="CFF0FC"/>
            </w:tcBorders>
            <w:gridSpan w:val="2"/>
            <w:shd w:val="clear" w:color="auto" w:fill="CFF0FC"/>
          </w:tcPr>
          <w:p>
            <w:pPr>
              <w:jc w:val="right"/>
              <w:ind w:right="1340"/>
              <w:spacing w:after="0" w:line="208"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855,528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360" w:type="dxa"/>
            <w:vAlign w:val="bottom"/>
          </w:tcPr>
          <w:p>
            <w:pPr>
              <w:ind w:left="20"/>
              <w:spacing w:after="0" w:line="215" w:lineRule="exact"/>
              <w:rPr>
                <w:sz w:val="20"/>
                <w:szCs w:val="20"/>
                <w:color w:val="auto"/>
              </w:rPr>
            </w:pPr>
            <w:r>
              <w:rPr>
                <w:rFonts w:ascii="Calibri" w:cs="Calibri" w:eastAsia="Calibri" w:hAnsi="Calibri"/>
                <w:sz w:val="18"/>
                <w:szCs w:val="18"/>
                <w:color w:val="auto"/>
              </w:rPr>
              <w:t>Revenues</w:t>
            </w:r>
          </w:p>
        </w:tc>
        <w:tc>
          <w:tcPr>
            <w:tcW w:w="13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190,852</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161,063</w:t>
            </w:r>
          </w:p>
        </w:tc>
        <w:tc>
          <w:tcPr>
            <w:tcW w:w="100" w:type="dxa"/>
            <w:vAlign w:val="bottom"/>
          </w:tcPr>
          <w:p>
            <w:pPr>
              <w:spacing w:after="0"/>
              <w:rPr>
                <w:sz w:val="18"/>
                <w:szCs w:val="18"/>
                <w:color w:val="auto"/>
              </w:rPr>
            </w:pPr>
          </w:p>
        </w:tc>
      </w:tr>
      <w:tr>
        <w:trPr>
          <w:trHeight w:val="28"/>
        </w:trPr>
        <w:tc>
          <w:tcPr>
            <w:tcW w:w="6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3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13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10,742</w:t>
            </w:r>
          </w:p>
        </w:tc>
        <w:tc>
          <w:tcPr>
            <w:tcW w:w="3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30,272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36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EBITDA*</w:t>
            </w:r>
          </w:p>
        </w:tc>
        <w:tc>
          <w:tcPr>
            <w:tcW w:w="1380" w:type="dxa"/>
            <w:vAlign w:val="bottom"/>
          </w:tcPr>
          <w:p>
            <w:pPr>
              <w:jc w:val="right"/>
              <w:ind w:right="119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38,920</w:t>
            </w:r>
          </w:p>
        </w:tc>
        <w:tc>
          <w:tcPr>
            <w:tcW w:w="1820" w:type="dxa"/>
            <w:vAlign w:val="bottom"/>
            <w:gridSpan w:val="2"/>
          </w:tcPr>
          <w:p>
            <w:pPr>
              <w:jc w:val="right"/>
              <w:ind w:right="13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42,435</w:t>
            </w:r>
          </w:p>
        </w:tc>
        <w:tc>
          <w:tcPr>
            <w:tcW w:w="100" w:type="dxa"/>
            <w:vAlign w:val="bottom"/>
          </w:tcPr>
          <w:p>
            <w:pPr>
              <w:spacing w:after="0"/>
              <w:rPr>
                <w:sz w:val="18"/>
                <w:szCs w:val="18"/>
                <w:color w:val="auto"/>
              </w:rPr>
            </w:pPr>
          </w:p>
        </w:tc>
      </w:tr>
    </w:tbl>
    <w:p>
      <w:pPr>
        <w:spacing w:after="0" w:line="114" w:lineRule="exact"/>
        <w:rPr>
          <w:sz w:val="20"/>
          <w:szCs w:val="20"/>
          <w:color w:val="auto"/>
        </w:rPr>
      </w:pPr>
    </w:p>
    <w:p>
      <w:pPr>
        <w:ind w:left="300" w:right="20" w:hanging="292"/>
        <w:spacing w:after="0" w:line="235" w:lineRule="auto"/>
        <w:tabs>
          <w:tab w:leader="none" w:pos="318"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See the “Key Business Metrics and Non-GAAP Financial Measure” secton below for more informaton on Marketplace GOV and Adjusted EBITDA, which is a fnancial measure not defned under accountng principles generally accepted in the United States of America (“GAAP”).</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processing tcket sales for live events and atractons and from facilitatng the booking of hotel rooms and packages from our Owned Propertes and from our Private Label Ofering. Our Owned Propertes consist of our websites and mobile applicatons, including Vivid Seats, Vegas.com (as defned herein) and Wavedash (as defned herein), and our Private Label Ofering consists of numerous distributon partners. The Owned Propertes component of our Marketplace segment also includes our Vivid Picks daily fantasy sports ofering, where users partake in contests by making picks from a variety of sport and player matchups. Using our online platorm, we facilitate customer payments, deposits and withdrawals, coordinate tcket deliveries and provide customer service. We do not hold tcket inventory in our Marketplace segment.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primarily earn revenue from service and delivery fees charged to tcket buyers. We also earn referral fee revenue by ofering event tcket insurance to tcket buyers using a third-party insurance provider. The revenue we earn from our Vivid Picks daily fantasy sports ofering is the diference between cash entry fees collected and cash amounts paid out to users for winning picks, less customer promotons and incentves.</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incur costs for developing and maintaining our platorm, providing back-ofce support and customer service, facilitatng payments and deposits, and shipping non-electronic tckets. We also incur substantal marketng costs, primarily related to online advertsing.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jc w:val="both"/>
        <w:spacing w:after="0" w:line="235" w:lineRule="auto"/>
        <w:rPr>
          <w:sz w:val="20"/>
          <w:szCs w:val="20"/>
          <w:color w:val="auto"/>
        </w:rPr>
      </w:pPr>
      <w:r>
        <w:rPr>
          <w:rFonts w:ascii="Calibri" w:cs="Calibri" w:eastAsia="Calibri" w:hAnsi="Calibri"/>
          <w:sz w:val="18"/>
          <w:szCs w:val="18"/>
          <w:color w:val="auto"/>
        </w:rPr>
        <w:t>A key component of our platorm is Skybox, a proprietary enterprise resource planning (“ERP“) tool used by the majority of tcket sellers. Skybox is a free-to-use system that helps tcket sellers manage tcket inventories, adjust pricing and fulfll orders across multple tcket resale marketplaces. Professional tcket sellers use an ERP to manage their operatons, and Skybox is their most widely adopted ERP.</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tcketng marketplaces, including our own. Our Resale segment also provides internal research and development support for Skybox and our ongoing eforts to deliver industry-leading seller sofware and tools.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Business Metrics and Non-GAAP Financial Measure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the following metrics to evaluate our performance, identfy trends, formulate fnancial projectons and make strategic decisions. We believe these metrics provide useful informaton to investors and others in understanding and evaluatng our results of operatons in the same manner as our management team.</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key business metrics and non-GAAP fnancial measure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spacing w:after="0"/>
              <w:rPr>
                <w:sz w:val="19"/>
                <w:szCs w:val="19"/>
                <w:color w:val="auto"/>
              </w:rPr>
            </w:pPr>
          </w:p>
        </w:tc>
        <w:tc>
          <w:tcPr>
            <w:tcW w:w="4020" w:type="dxa"/>
            <w:vAlign w:val="bottom"/>
            <w:gridSpan w:val="4"/>
          </w:tcPr>
          <w:p>
            <w:pPr>
              <w:jc w:val="right"/>
              <w:ind w:right="500"/>
              <w:spacing w:after="0"/>
              <w:rPr>
                <w:sz w:val="20"/>
                <w:szCs w:val="20"/>
                <w:color w:val="auto"/>
              </w:rPr>
            </w:pPr>
            <w:r>
              <w:rPr>
                <w:rFonts w:ascii="Calibri" w:cs="Calibri" w:eastAsia="Calibri" w:hAnsi="Calibri"/>
                <w:sz w:val="18"/>
                <w:szCs w:val="18"/>
                <w:b w:val="1"/>
                <w:bCs w:val="1"/>
                <w:color w:val="auto"/>
              </w:rPr>
              <w:t>Three Months Ended March 31,</w:t>
            </w:r>
          </w:p>
        </w:tc>
        <w:tc>
          <w:tcPr>
            <w:tcW w:w="860" w:type="dxa"/>
            <w:vAlign w:val="bottom"/>
          </w:tcPr>
          <w:p>
            <w:pPr>
              <w:spacing w:after="0"/>
              <w:rPr>
                <w:sz w:val="19"/>
                <w:szCs w:val="19"/>
                <w:color w:val="auto"/>
              </w:rPr>
            </w:pPr>
          </w:p>
        </w:tc>
      </w:tr>
      <w:tr>
        <w:trPr>
          <w:trHeight w:val="37"/>
        </w:trPr>
        <w:tc>
          <w:tcPr>
            <w:tcW w:w="63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8"/>
        </w:trPr>
        <w:tc>
          <w:tcPr>
            <w:tcW w:w="6360" w:type="dxa"/>
            <w:vAlign w:val="bottom"/>
          </w:tcPr>
          <w:p>
            <w:pPr>
              <w:spacing w:after="0"/>
              <w:rPr>
                <w:sz w:val="18"/>
                <w:szCs w:val="18"/>
                <w:color w:val="auto"/>
              </w:rPr>
            </w:pPr>
          </w:p>
        </w:tc>
        <w:tc>
          <w:tcPr>
            <w:tcW w:w="1380" w:type="dxa"/>
            <w:vAlign w:val="bottom"/>
          </w:tcPr>
          <w:p>
            <w:pPr>
              <w:jc w:val="right"/>
              <w:ind w:right="10"/>
              <w:spacing w:after="0" w:line="208" w:lineRule="exact"/>
              <w:rPr>
                <w:sz w:val="20"/>
                <w:szCs w:val="20"/>
                <w:color w:val="auto"/>
              </w:rPr>
            </w:pPr>
            <w:r>
              <w:rPr>
                <w:rFonts w:ascii="Calibri" w:cs="Calibri" w:eastAsia="Calibri" w:hAnsi="Calibri"/>
                <w:sz w:val="18"/>
                <w:szCs w:val="18"/>
                <w:b w:val="1"/>
                <w:bCs w:val="1"/>
                <w:color w:val="auto"/>
              </w:rPr>
              <w:t>2024</w:t>
            </w:r>
          </w:p>
        </w:tc>
        <w:tc>
          <w:tcPr>
            <w:tcW w:w="940" w:type="dxa"/>
            <w:vAlign w:val="bottom"/>
          </w:tcPr>
          <w:p>
            <w:pPr>
              <w:spacing w:after="0"/>
              <w:rPr>
                <w:sz w:val="18"/>
                <w:szCs w:val="18"/>
                <w:color w:val="auto"/>
              </w:rPr>
            </w:pPr>
          </w:p>
        </w:tc>
        <w:tc>
          <w:tcPr>
            <w:tcW w:w="1700" w:type="dxa"/>
            <w:vAlign w:val="bottom"/>
            <w:gridSpan w:val="2"/>
          </w:tcPr>
          <w:p>
            <w:pPr>
              <w:jc w:val="right"/>
              <w:ind w:right="160"/>
              <w:spacing w:after="0" w:line="208" w:lineRule="exact"/>
              <w:rPr>
                <w:sz w:val="20"/>
                <w:szCs w:val="20"/>
                <w:color w:val="auto"/>
              </w:rPr>
            </w:pPr>
            <w:r>
              <w:rPr>
                <w:rFonts w:ascii="Calibri" w:cs="Calibri" w:eastAsia="Calibri" w:hAnsi="Calibri"/>
                <w:sz w:val="18"/>
                <w:szCs w:val="18"/>
                <w:b w:val="1"/>
                <w:bCs w:val="1"/>
                <w:color w:val="auto"/>
              </w:rPr>
              <w:t>2023</w:t>
            </w:r>
          </w:p>
        </w:tc>
        <w:tc>
          <w:tcPr>
            <w:tcW w:w="860" w:type="dxa"/>
            <w:vAlign w:val="bottom"/>
          </w:tcPr>
          <w:p>
            <w:pPr>
              <w:spacing w:after="0"/>
              <w:rPr>
                <w:sz w:val="18"/>
                <w:szCs w:val="18"/>
                <w:color w:val="auto"/>
              </w:rPr>
            </w:pPr>
          </w:p>
        </w:tc>
      </w:tr>
      <w:tr>
        <w:trPr>
          <w:trHeight w:val="28"/>
        </w:trPr>
        <w:tc>
          <w:tcPr>
            <w:tcW w:w="6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360" w:type="dxa"/>
            <w:vAlign w:val="bottom"/>
            <w:shd w:val="clear" w:color="auto" w:fill="CFF0FC"/>
          </w:tcPr>
          <w:p>
            <w:pPr>
              <w:ind w:left="20"/>
              <w:spacing w:after="0" w:line="236" w:lineRule="exact"/>
              <w:rPr>
                <w:sz w:val="20"/>
                <w:szCs w:val="20"/>
                <w:color w:val="auto"/>
              </w:rPr>
            </w:pPr>
            <w:r>
              <w:rPr>
                <w:rFonts w:ascii="Calibri" w:cs="Calibri" w:eastAsia="Calibri" w:hAnsi="Calibri"/>
                <w:sz w:val="18"/>
                <w:szCs w:val="18"/>
                <w:color w:val="auto"/>
              </w:rPr>
              <w:t>Marketplace GOV</w:t>
            </w:r>
            <w:r>
              <w:rPr>
                <w:rFonts w:ascii="Calibri" w:cs="Calibri" w:eastAsia="Calibri" w:hAnsi="Calibri"/>
                <w:sz w:val="24"/>
                <w:szCs w:val="24"/>
                <w:color w:val="auto"/>
                <w:vertAlign w:val="superscript"/>
              </w:rPr>
              <w:t>(1)</w:t>
            </w:r>
          </w:p>
        </w:tc>
        <w:tc>
          <w:tcPr>
            <w:tcW w:w="1380" w:type="dxa"/>
            <w:vAlign w:val="bottom"/>
            <w:shd w:val="clear" w:color="auto" w:fill="CFF0FC"/>
          </w:tcPr>
          <w:p>
            <w:pPr>
              <w:jc w:val="right"/>
              <w:ind w:right="119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1,028,477</w:t>
            </w:r>
          </w:p>
        </w:tc>
        <w:tc>
          <w:tcPr>
            <w:tcW w:w="1700" w:type="dxa"/>
            <w:vAlign w:val="bottom"/>
            <w:gridSpan w:val="2"/>
            <w:shd w:val="clear" w:color="auto" w:fill="CFF0FC"/>
          </w:tcPr>
          <w:p>
            <w:pPr>
              <w:jc w:val="right"/>
              <w:ind w:right="134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855,528</w:t>
            </w:r>
          </w:p>
        </w:tc>
      </w:tr>
      <w:tr>
        <w:trPr>
          <w:trHeight w:val="243"/>
        </w:trPr>
        <w:tc>
          <w:tcPr>
            <w:tcW w:w="6360" w:type="dxa"/>
            <w:vAlign w:val="bottom"/>
          </w:tcPr>
          <w:p>
            <w:pPr>
              <w:ind w:left="20"/>
              <w:spacing w:after="0" w:line="243" w:lineRule="exact"/>
              <w:rPr>
                <w:sz w:val="20"/>
                <w:szCs w:val="20"/>
                <w:color w:val="auto"/>
              </w:rPr>
            </w:pPr>
            <w:r>
              <w:rPr>
                <w:rFonts w:ascii="Calibri" w:cs="Calibri" w:eastAsia="Calibri" w:hAnsi="Calibri"/>
                <w:sz w:val="18"/>
                <w:szCs w:val="18"/>
                <w:color w:val="auto"/>
              </w:rPr>
              <w:t>Total Marketplace orders</w:t>
            </w:r>
            <w:r>
              <w:rPr>
                <w:rFonts w:ascii="Calibri" w:cs="Calibri" w:eastAsia="Calibri" w:hAnsi="Calibri"/>
                <w:sz w:val="24"/>
                <w:szCs w:val="24"/>
                <w:color w:val="auto"/>
                <w:vertAlign w:val="superscript"/>
              </w:rPr>
              <w:t>(2)</w:t>
            </w:r>
          </w:p>
        </w:tc>
        <w:tc>
          <w:tcPr>
            <w:tcW w:w="1380" w:type="dxa"/>
            <w:vAlign w:val="bottom"/>
          </w:tcPr>
          <w:p>
            <w:pPr>
              <w:spacing w:after="0"/>
              <w:rPr>
                <w:sz w:val="21"/>
                <w:szCs w:val="21"/>
                <w:color w:val="auto"/>
              </w:rPr>
            </w:pPr>
          </w:p>
        </w:tc>
        <w:tc>
          <w:tcPr>
            <w:tcW w:w="9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2,876</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2,275</w:t>
            </w:r>
          </w:p>
        </w:tc>
      </w:tr>
      <w:tr>
        <w:trPr>
          <w:trHeight w:val="243"/>
        </w:trPr>
        <w:tc>
          <w:tcPr>
            <w:tcW w:w="63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Total Resale orders</w:t>
            </w:r>
            <w:r>
              <w:rPr>
                <w:rFonts w:ascii="Calibri" w:cs="Calibri" w:eastAsia="Calibri" w:hAnsi="Calibri"/>
                <w:sz w:val="24"/>
                <w:szCs w:val="24"/>
                <w:color w:val="auto"/>
                <w:vertAlign w:val="superscript"/>
              </w:rPr>
              <w:t>(3)</w:t>
            </w:r>
          </w:p>
        </w:tc>
        <w:tc>
          <w:tcPr>
            <w:tcW w:w="13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99</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87</w:t>
            </w:r>
          </w:p>
        </w:tc>
      </w:tr>
      <w:tr>
        <w:trPr>
          <w:trHeight w:val="280"/>
        </w:trPr>
        <w:tc>
          <w:tcPr>
            <w:tcW w:w="6360" w:type="dxa"/>
            <w:vAlign w:val="bottom"/>
          </w:tcPr>
          <w:p>
            <w:pPr>
              <w:ind w:left="20"/>
              <w:spacing w:after="0" w:line="28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4"/>
                <w:szCs w:val="24"/>
                <w:color w:val="auto"/>
                <w:vertAlign w:val="superscript"/>
              </w:rPr>
              <w:t>(4)</w:t>
            </w:r>
          </w:p>
        </w:tc>
        <w:tc>
          <w:tcPr>
            <w:tcW w:w="1380" w:type="dxa"/>
            <w:vAlign w:val="bottom"/>
          </w:tcPr>
          <w:p>
            <w:pPr>
              <w:jc w:val="right"/>
              <w:ind w:right="119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38,920</w:t>
            </w:r>
          </w:p>
        </w:tc>
        <w:tc>
          <w:tcPr>
            <w:tcW w:w="1700" w:type="dxa"/>
            <w:vAlign w:val="bottom"/>
            <w:gridSpan w:val="2"/>
          </w:tcPr>
          <w:p>
            <w:pPr>
              <w:jc w:val="right"/>
              <w:ind w:right="134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42,435</w:t>
            </w:r>
          </w:p>
        </w:tc>
      </w:tr>
    </w:tbl>
    <w:p>
      <w:pPr>
        <w:spacing w:after="0" w:line="48" w:lineRule="exact"/>
        <w:rPr>
          <w:sz w:val="20"/>
          <w:szCs w:val="20"/>
          <w:color w:val="auto"/>
        </w:rPr>
      </w:pPr>
    </w:p>
    <w:p>
      <w:pPr>
        <w:jc w:val="both"/>
        <w:ind w:left="460" w:hanging="452"/>
        <w:spacing w:after="0" w:line="235" w:lineRule="auto"/>
        <w:tabs>
          <w:tab w:leader="none" w:pos="4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Marketplace GOV represents the total transactonal amount of Marketplace segment orders placed on our platorm in a period, inclusive of fees, exclusive of taxes and net of cancellatons that occurred during that period. During the three months ended March 31, 2024, Marketplace GOV was negatvely impacted by cancellatons in the amount of $18.3 million compared to $12.1 million during the three months ended March 31, 2023.</w:t>
      </w:r>
    </w:p>
    <w:p>
      <w:pPr>
        <w:spacing w:after="0" w:line="110" w:lineRule="exact"/>
        <w:rPr>
          <w:rFonts w:ascii="Calibri" w:cs="Calibri" w:eastAsia="Calibri" w:hAnsi="Calibri"/>
          <w:sz w:val="18"/>
          <w:szCs w:val="18"/>
          <w:color w:val="auto"/>
        </w:rPr>
      </w:pPr>
    </w:p>
    <w:p>
      <w:pPr>
        <w:jc w:val="both"/>
        <w:ind w:left="460" w:hanging="452"/>
        <w:spacing w:after="0" w:line="235" w:lineRule="auto"/>
        <w:tabs>
          <w:tab w:leader="none" w:pos="4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Total Marketplace orders represents the volume of Marketplace segment orders placed on our platorm in a period, net of cancellatons that occurred during that period. During the three months ended March 31, 2024, our Marketplace segment experienced 50,049 cancellatons compared to 20,480 cancellatons during the three months ended March 31, 2023.</w:t>
      </w:r>
    </w:p>
    <w:p>
      <w:pPr>
        <w:spacing w:after="0" w:line="110" w:lineRule="exact"/>
        <w:rPr>
          <w:rFonts w:ascii="Calibri" w:cs="Calibri" w:eastAsia="Calibri" w:hAnsi="Calibri"/>
          <w:sz w:val="18"/>
          <w:szCs w:val="18"/>
          <w:color w:val="auto"/>
        </w:rPr>
      </w:pPr>
    </w:p>
    <w:p>
      <w:pPr>
        <w:jc w:val="both"/>
        <w:ind w:left="460" w:hanging="452"/>
        <w:spacing w:after="0" w:line="235" w:lineRule="auto"/>
        <w:tabs>
          <w:tab w:leader="none" w:pos="4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Total Resale orders represents the volume of Resale segment orders in a period, net of cancellatons that occurred during that period. During the three months ended March 31, 2024, our Resale segment experienced 872 cancellatons compared to 685 cancellatons during the three months ended March 31, 2023.</w:t>
      </w:r>
    </w:p>
    <w:p>
      <w:pPr>
        <w:spacing w:after="0" w:line="110" w:lineRule="exact"/>
        <w:rPr>
          <w:rFonts w:ascii="Calibri" w:cs="Calibri" w:eastAsia="Calibri" w:hAnsi="Calibri"/>
          <w:sz w:val="18"/>
          <w:szCs w:val="18"/>
          <w:color w:val="auto"/>
        </w:rPr>
      </w:pPr>
    </w:p>
    <w:p>
      <w:pPr>
        <w:jc w:val="both"/>
        <w:ind w:left="460" w:hanging="452"/>
        <w:spacing w:after="0" w:line="254" w:lineRule="auto"/>
        <w:tabs>
          <w:tab w:leader="none" w:pos="46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Adjusted EBITDA is a non-GAAP fnancial measure. We believe Adjusted EBITDA provides useful informaton to investors and others in understanding and evaluatng our results of operatons, as well as provides a useful measure for making period-to-period comparisons of our business performance. See the “Adjusted EBITDA” secton below for more informaton and a reconciliaton of Adjusted EBITDA to its most directly comparable GAAP measure.</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GOV</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is a key driver of our Marketplace segment revenue. Marketplace GOV represents the total transactonal amount of Marketplace segment orders placed on our platorm in a period, inclusive of fees, exclusive of taxes and net of cancellatons that occurred during that period. Marketplace GOV refects our ability to atract and retain customers, as well as the overall health of the industry.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can be impacted by seasonality. Typically, we experience slightly increased actvity in the fourth quarter when all major sports leagues are in season and there is an increase in order volume for theater events during the holiday season and concert on-sales for the following year. Quarterly fuctuatons in Marketplace GOV can also result from the popularity and demand of performers, tours, teams and events, the length and team compositon of sports playof series and championship games, and the number of cancellatons.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58" w:lineRule="auto"/>
        <w:rPr>
          <w:sz w:val="20"/>
          <w:szCs w:val="20"/>
          <w:color w:val="auto"/>
        </w:rPr>
      </w:pPr>
      <w:r>
        <w:rPr>
          <w:rFonts w:ascii="Calibri" w:cs="Calibri" w:eastAsia="Calibri" w:hAnsi="Calibri"/>
          <w:sz w:val="17"/>
          <w:szCs w:val="17"/>
          <w:color w:val="auto"/>
        </w:rPr>
        <w:t>Marketplace GOV increased during the three months ended March 31, 2024 compared to the three months ended March 31, 2023 primarily as a result of an increase in the number of orders processed, which for the three months ended March 31, 2024 included orders processed through Vegas.com and Wavedash.</w:t>
      </w:r>
    </w:p>
    <w:p>
      <w:pPr>
        <w:spacing w:after="0" w:line="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Marketplace Orders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Marketplace orders represents the volume of Marketplace segment orders placed on our platorm in a period, net of cancellatons that occurred during that period. An order can include one or more tckets, hotel rooms or parking passes. Total Marketplace orders allows us to monitor order volume and beter identfy trends within our Marketplace segment. Total Marketplace orders increased during the three months ended March 31, 2024 compared to the three months ended March 31, 2023 primarily as a result of an increase in the number of orders processed, which for the three months ended March 31, 2024 included orders processed through Vegas.com and Wavedash.</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Resale Orders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Resale orders represents the volume of Resale segment orders in a period, net of cancellatons that occurred during that period. An order can include one or more tckets or parking passes. Total Resale orders allows us to monitor order volume and beter identfy trends within our Resale segment. Total Resale orders increased during the three months ended March 31, 2024 compared to the three months ended March 31, 2023 primarily as a result of higher actvity in our Resale segment.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Adjusted EBITDA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present Adjusted EBITDA, which is a non-GAAP fnancial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of our control or not refectve of ongoing performance related directly to the operaton of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a key measure used by our management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as well as provides a useful measure for making period-to-period comparisons of our business performance and highlightng trends in our operatng results.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not based on any comprehensive set of accountng rules or principles and should not be considered a substtute for, or superior to, fnancial measures calculated in accordance with GAAP. Adjusted EBITDA does not refect all amounts associated with our operatng results as determined in accordance with GAAP and may exclude recurring costs, such as interest expense – net, equity-based compensaton, litgaton, setlements and related costs, change in fair value of warrants, change in fair value of derivatve assets and foreign currency revaluaton (gains)/losses. In additon, other companies may calculate Adjusted EBITDA diferently than we do, thereby limitng its usefulness as a comparatve tool. We compensate for these limitatons by providing specifc informaton regarding the GAAP amounts excluded from Adjusted EBITDA.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color w:val="auto"/>
        </w:rPr>
        <w:t>The following table provides a reconciliaton of Adjusted EBITDA to its most directly comparable GAAP measure, net income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40" w:type="dxa"/>
            <w:vAlign w:val="bottom"/>
          </w:tcPr>
          <w:p>
            <w:pPr>
              <w:spacing w:after="0"/>
              <w:rPr>
                <w:sz w:val="19"/>
                <w:szCs w:val="19"/>
                <w:color w:val="auto"/>
              </w:rPr>
            </w:pPr>
          </w:p>
        </w:tc>
        <w:tc>
          <w:tcPr>
            <w:tcW w:w="3820" w:type="dxa"/>
            <w:vAlign w:val="bottom"/>
            <w:gridSpan w:val="4"/>
          </w:tcPr>
          <w:p>
            <w:pPr>
              <w:jc w:val="right"/>
              <w:ind w:right="330"/>
              <w:spacing w:after="0"/>
              <w:rPr>
                <w:sz w:val="20"/>
                <w:szCs w:val="20"/>
                <w:color w:val="auto"/>
              </w:rPr>
            </w:pPr>
            <w:r>
              <w:rPr>
                <w:rFonts w:ascii="Calibri" w:cs="Calibri" w:eastAsia="Calibri" w:hAnsi="Calibri"/>
                <w:sz w:val="18"/>
                <w:szCs w:val="18"/>
                <w:b w:val="1"/>
                <w:bCs w:val="1"/>
                <w:color w:val="auto"/>
              </w:rPr>
              <w:t>Three Months Ended March 31,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66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6640" w:type="dxa"/>
            <w:vAlign w:val="bottom"/>
          </w:tcPr>
          <w:p>
            <w:pPr>
              <w:spacing w:after="0"/>
              <w:rPr>
                <w:sz w:val="18"/>
                <w:szCs w:val="18"/>
                <w:color w:val="auto"/>
              </w:rPr>
            </w:pPr>
          </w:p>
        </w:tc>
        <w:tc>
          <w:tcPr>
            <w:tcW w:w="1400" w:type="dxa"/>
            <w:vAlign w:val="bottom"/>
          </w:tcPr>
          <w:p>
            <w:pPr>
              <w:jc w:val="right"/>
              <w:ind w:right="90"/>
              <w:spacing w:after="0" w:line="208" w:lineRule="exact"/>
              <w:rPr>
                <w:sz w:val="20"/>
                <w:szCs w:val="20"/>
                <w:color w:val="auto"/>
              </w:rPr>
            </w:pPr>
            <w:r>
              <w:rPr>
                <w:rFonts w:ascii="Calibri" w:cs="Calibri" w:eastAsia="Calibri" w:hAnsi="Calibri"/>
                <w:sz w:val="18"/>
                <w:szCs w:val="18"/>
                <w:b w:val="1"/>
                <w:bCs w:val="1"/>
                <w:color w:val="auto"/>
              </w:rPr>
              <w:t>2024</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90"/>
              <w:spacing w:after="0" w:line="208" w:lineRule="exact"/>
              <w:rPr>
                <w:sz w:val="20"/>
                <w:szCs w:val="20"/>
                <w:color w:val="auto"/>
              </w:rPr>
            </w:pPr>
            <w:r>
              <w:rPr>
                <w:rFonts w:ascii="Calibri" w:cs="Calibri" w:eastAsia="Calibri" w:hAnsi="Calibri"/>
                <w:sz w:val="18"/>
                <w:szCs w:val="18"/>
                <w:b w:val="1"/>
                <w:bCs w:val="1"/>
                <w:color w:val="auto"/>
              </w:rPr>
              <w:t>2023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66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6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income</w:t>
            </w:r>
          </w:p>
        </w:tc>
        <w:tc>
          <w:tcPr>
            <w:tcW w:w="1400" w:type="dxa"/>
            <w:vAlign w:val="bottom"/>
            <w:tcBorders>
              <w:bottom w:val="single" w:sz="8" w:color="CFF0FC"/>
            </w:tcBorders>
            <w:shd w:val="clear" w:color="auto" w:fill="CFF0FC"/>
          </w:tcPr>
          <w:p>
            <w:pPr>
              <w:jc w:val="right"/>
              <w:ind w:right="1190"/>
              <w:spacing w:after="0" w:line="208"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10,742</w:t>
            </w:r>
          </w:p>
        </w:tc>
        <w:tc>
          <w:tcPr>
            <w:tcW w:w="3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right"/>
              <w:ind w:right="1190"/>
              <w:spacing w:after="0" w:line="208"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30,272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14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2,269</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285</w:t>
            </w:r>
          </w:p>
        </w:tc>
        <w:tc>
          <w:tcPr>
            <w:tcW w:w="100" w:type="dxa"/>
            <w:vAlign w:val="bottom"/>
          </w:tcPr>
          <w:p>
            <w:pPr>
              <w:spacing w:after="0"/>
              <w:rPr>
                <w:sz w:val="18"/>
                <w:szCs w:val="18"/>
                <w:color w:val="auto"/>
              </w:rPr>
            </w:pPr>
          </w:p>
        </w:tc>
      </w:tr>
      <w:tr>
        <w:trPr>
          <w:trHeight w:val="28"/>
        </w:trPr>
        <w:tc>
          <w:tcPr>
            <w:tcW w:w="6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6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14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5,082</w:t>
            </w:r>
          </w:p>
        </w:tc>
        <w:tc>
          <w:tcPr>
            <w:tcW w:w="3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14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10,483</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2,598</w:t>
            </w:r>
          </w:p>
        </w:tc>
        <w:tc>
          <w:tcPr>
            <w:tcW w:w="100" w:type="dxa"/>
            <w:vAlign w:val="bottom"/>
          </w:tcPr>
          <w:p>
            <w:pPr>
              <w:spacing w:after="0"/>
              <w:rPr>
                <w:sz w:val="18"/>
                <w:szCs w:val="18"/>
                <w:color w:val="auto"/>
              </w:rPr>
            </w:pPr>
          </w:p>
        </w:tc>
      </w:tr>
      <w:tr>
        <w:trPr>
          <w:trHeight w:val="28"/>
        </w:trPr>
        <w:tc>
          <w:tcPr>
            <w:tcW w:w="6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64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Sales tax liability</w:t>
            </w:r>
            <w:r>
              <w:rPr>
                <w:rFonts w:ascii="Calibri" w:cs="Calibri" w:eastAsia="Calibri" w:hAnsi="Calibri"/>
                <w:sz w:val="24"/>
                <w:szCs w:val="24"/>
                <w:color w:val="auto"/>
                <w:vertAlign w:val="superscript"/>
              </w:rPr>
              <w:t>(1)</w:t>
            </w:r>
          </w:p>
        </w:tc>
        <w:tc>
          <w:tcPr>
            <w:tcW w:w="1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(2,732 )</w:t>
            </w:r>
          </w:p>
        </w:tc>
        <w:tc>
          <w:tcPr>
            <w:tcW w:w="13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43"/>
        </w:trPr>
        <w:tc>
          <w:tcPr>
            <w:tcW w:w="6640" w:type="dxa"/>
            <w:vAlign w:val="bottom"/>
          </w:tcPr>
          <w:p>
            <w:pPr>
              <w:ind w:left="20"/>
              <w:spacing w:after="0" w:line="243" w:lineRule="exact"/>
              <w:rPr>
                <w:sz w:val="20"/>
                <w:szCs w:val="20"/>
                <w:color w:val="auto"/>
              </w:rPr>
            </w:pPr>
            <w:r>
              <w:rPr>
                <w:rFonts w:ascii="Calibri" w:cs="Calibri" w:eastAsia="Calibri" w:hAnsi="Calibri"/>
                <w:sz w:val="18"/>
                <w:szCs w:val="18"/>
                <w:color w:val="auto"/>
              </w:rPr>
              <w:t>Transacton costs</w:t>
            </w:r>
            <w:r>
              <w:rPr>
                <w:rFonts w:ascii="Calibri" w:cs="Calibri" w:eastAsia="Calibri" w:hAnsi="Calibri"/>
                <w:sz w:val="24"/>
                <w:szCs w:val="24"/>
                <w:color w:val="auto"/>
                <w:vertAlign w:val="superscript"/>
              </w:rPr>
              <w:t>(2)</w:t>
            </w:r>
          </w:p>
        </w:tc>
        <w:tc>
          <w:tcPr>
            <w:tcW w:w="1400" w:type="dxa"/>
            <w:vAlign w:val="bottom"/>
          </w:tcPr>
          <w:p>
            <w:pPr>
              <w:spacing w:after="0"/>
              <w:rPr>
                <w:sz w:val="21"/>
                <w:szCs w:val="21"/>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1,901</w:t>
            </w: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456</w:t>
            </w:r>
          </w:p>
        </w:tc>
        <w:tc>
          <w:tcPr>
            <w:tcW w:w="100" w:type="dxa"/>
            <w:vAlign w:val="bottom"/>
          </w:tcPr>
          <w:p>
            <w:pPr>
              <w:spacing w:after="0"/>
              <w:rPr>
                <w:sz w:val="21"/>
                <w:szCs w:val="21"/>
                <w:color w:val="auto"/>
              </w:rPr>
            </w:pPr>
          </w:p>
        </w:tc>
      </w:tr>
      <w:tr>
        <w:trPr>
          <w:trHeight w:val="243"/>
        </w:trPr>
        <w:tc>
          <w:tcPr>
            <w:tcW w:w="664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Equity-based compensaton</w:t>
            </w:r>
            <w:r>
              <w:rPr>
                <w:rFonts w:ascii="Calibri" w:cs="Calibri" w:eastAsia="Calibri" w:hAnsi="Calibri"/>
                <w:sz w:val="24"/>
                <w:szCs w:val="24"/>
                <w:color w:val="auto"/>
                <w:vertAlign w:val="superscript"/>
              </w:rPr>
              <w:t>(3)</w:t>
            </w:r>
          </w:p>
        </w:tc>
        <w:tc>
          <w:tcPr>
            <w:tcW w:w="14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8,488</w:t>
            </w:r>
          </w:p>
        </w:tc>
        <w:tc>
          <w:tcPr>
            <w:tcW w:w="3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5,530</w:t>
            </w:r>
          </w:p>
        </w:tc>
        <w:tc>
          <w:tcPr>
            <w:tcW w:w="100" w:type="dxa"/>
            <w:vAlign w:val="bottom"/>
            <w:shd w:val="clear" w:color="auto" w:fill="CFF0FC"/>
          </w:tcPr>
          <w:p>
            <w:pPr>
              <w:spacing w:after="0"/>
              <w:rPr>
                <w:sz w:val="21"/>
                <w:szCs w:val="21"/>
                <w:color w:val="auto"/>
              </w:rPr>
            </w:pPr>
          </w:p>
        </w:tc>
      </w:tr>
      <w:tr>
        <w:trPr>
          <w:trHeight w:val="210"/>
        </w:trPr>
        <w:tc>
          <w:tcPr>
            <w:tcW w:w="6640" w:type="dxa"/>
            <w:vAlign w:val="bottom"/>
          </w:tcPr>
          <w:p>
            <w:pPr>
              <w:ind w:left="20"/>
              <w:spacing w:after="0" w:line="210" w:lineRule="exact"/>
              <w:rPr>
                <w:sz w:val="20"/>
                <w:szCs w:val="20"/>
                <w:color w:val="auto"/>
              </w:rPr>
            </w:pPr>
            <w:r>
              <w:rPr>
                <w:rFonts w:ascii="Calibri" w:cs="Calibri" w:eastAsia="Calibri" w:hAnsi="Calibri"/>
                <w:sz w:val="17"/>
                <w:szCs w:val="17"/>
                <w:color w:val="auto"/>
              </w:rPr>
              <w:t>Litgaton, setlements and related costs</w:t>
            </w:r>
            <w:r>
              <w:rPr>
                <w:rFonts w:ascii="Calibri" w:cs="Calibri" w:eastAsia="Calibri" w:hAnsi="Calibri"/>
                <w:sz w:val="22"/>
                <w:szCs w:val="22"/>
                <w:color w:val="auto"/>
                <w:vertAlign w:val="superscript"/>
              </w:rPr>
              <w:t>(4)</w:t>
            </w:r>
          </w:p>
        </w:tc>
        <w:tc>
          <w:tcPr>
            <w:tcW w:w="1400" w:type="dxa"/>
            <w:vAlign w:val="bottom"/>
          </w:tcPr>
          <w:p>
            <w:pPr>
              <w:spacing w:after="0"/>
              <w:rPr>
                <w:sz w:val="18"/>
                <w:szCs w:val="18"/>
                <w:color w:val="auto"/>
              </w:rPr>
            </w:pPr>
          </w:p>
        </w:tc>
        <w:tc>
          <w:tcPr>
            <w:tcW w:w="680" w:type="dxa"/>
            <w:vAlign w:val="bottom"/>
          </w:tcPr>
          <w:p>
            <w:pPr>
              <w:jc w:val="right"/>
              <w:spacing w:after="0" w:line="209" w:lineRule="exact"/>
              <w:rPr>
                <w:sz w:val="20"/>
                <w:szCs w:val="20"/>
                <w:color w:val="auto"/>
              </w:rPr>
            </w:pPr>
            <w:r>
              <w:rPr>
                <w:rFonts w:ascii="Calibri" w:cs="Calibri" w:eastAsia="Calibri" w:hAnsi="Calibri"/>
                <w:sz w:val="18"/>
                <w:szCs w:val="18"/>
                <w:color w:val="auto"/>
              </w:rPr>
              <w:t>3</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line="209" w:lineRule="exact"/>
              <w:rPr>
                <w:sz w:val="20"/>
                <w:szCs w:val="20"/>
                <w:color w:val="auto"/>
              </w:rPr>
            </w:pPr>
            <w:r>
              <w:rPr>
                <w:rFonts w:ascii="Calibri" w:cs="Calibri" w:eastAsia="Calibri" w:hAnsi="Calibri"/>
                <w:sz w:val="18"/>
                <w:szCs w:val="18"/>
                <w:color w:val="auto"/>
              </w:rPr>
              <w:t>300</w:t>
            </w:r>
          </w:p>
        </w:tc>
        <w:tc>
          <w:tcPr>
            <w:tcW w:w="100" w:type="dxa"/>
            <w:vAlign w:val="bottom"/>
          </w:tcPr>
          <w:p>
            <w:pPr>
              <w:spacing w:after="0"/>
              <w:rPr>
                <w:sz w:val="18"/>
                <w:szCs w:val="18"/>
                <w:color w:val="auto"/>
              </w:rPr>
            </w:pPr>
          </w:p>
        </w:tc>
      </w:tr>
      <w:tr>
        <w:trPr>
          <w:trHeight w:val="207"/>
        </w:trPr>
        <w:tc>
          <w:tcPr>
            <w:tcW w:w="6640" w:type="dxa"/>
            <w:vAlign w:val="bottom"/>
          </w:tcPr>
          <w:p>
            <w:pPr>
              <w:ind w:left="20"/>
              <w:spacing w:after="0" w:line="208" w:lineRule="exact"/>
              <w:rPr>
                <w:sz w:val="20"/>
                <w:szCs w:val="20"/>
                <w:color w:val="auto"/>
              </w:rPr>
            </w:pPr>
            <w:r>
              <w:rPr>
                <w:rFonts w:ascii="Calibri" w:cs="Calibri" w:eastAsia="Calibri" w:hAnsi="Calibri"/>
                <w:sz w:val="17"/>
                <w:szCs w:val="17"/>
                <w:color w:val="auto"/>
              </w:rPr>
              <w:t>Change in fair value of warrants</w:t>
            </w:r>
            <w:r>
              <w:rPr>
                <w:rFonts w:ascii="Calibri" w:cs="Calibri" w:eastAsia="Calibri" w:hAnsi="Calibri"/>
                <w:sz w:val="22"/>
                <w:szCs w:val="22"/>
                <w:color w:val="auto"/>
                <w:vertAlign w:val="superscript"/>
              </w:rPr>
              <w:t>(5)</w:t>
            </w:r>
          </w:p>
        </w:tc>
        <w:tc>
          <w:tcPr>
            <w:tcW w:w="1400" w:type="dxa"/>
            <w:vAlign w:val="bottom"/>
          </w:tcPr>
          <w:p>
            <w:pPr>
              <w:spacing w:after="0"/>
              <w:rPr>
                <w:sz w:val="18"/>
                <w:szCs w:val="18"/>
                <w:color w:val="auto"/>
              </w:rPr>
            </w:pPr>
          </w:p>
        </w:tc>
        <w:tc>
          <w:tcPr>
            <w:tcW w:w="1040" w:type="dxa"/>
            <w:vAlign w:val="bottom"/>
            <w:gridSpan w:val="2"/>
          </w:tcPr>
          <w:p>
            <w:pPr>
              <w:jc w:val="right"/>
              <w:ind w:right="280"/>
              <w:spacing w:after="0" w:line="207" w:lineRule="exact"/>
              <w:rPr>
                <w:sz w:val="20"/>
                <w:szCs w:val="20"/>
                <w:color w:val="auto"/>
              </w:rPr>
            </w:pPr>
            <w:r>
              <w:rPr>
                <w:rFonts w:ascii="Calibri" w:cs="Calibri" w:eastAsia="Calibri" w:hAnsi="Calibri"/>
                <w:sz w:val="18"/>
                <w:szCs w:val="18"/>
                <w:color w:val="auto"/>
              </w:rPr>
              <w:t>(460 )</w:t>
            </w:r>
          </w:p>
        </w:tc>
        <w:tc>
          <w:tcPr>
            <w:tcW w:w="1380" w:type="dxa"/>
            <w:vAlign w:val="bottom"/>
          </w:tcPr>
          <w:p>
            <w:pPr>
              <w:spacing w:after="0"/>
              <w:rPr>
                <w:sz w:val="18"/>
                <w:szCs w:val="18"/>
                <w:color w:val="auto"/>
              </w:rPr>
            </w:pPr>
          </w:p>
        </w:tc>
        <w:tc>
          <w:tcPr>
            <w:tcW w:w="780" w:type="dxa"/>
            <w:vAlign w:val="bottom"/>
            <w:gridSpan w:val="2"/>
          </w:tcPr>
          <w:p>
            <w:pPr>
              <w:jc w:val="right"/>
              <w:ind w:right="40"/>
              <w:spacing w:after="0" w:line="207" w:lineRule="exact"/>
              <w:rPr>
                <w:sz w:val="20"/>
                <w:szCs w:val="20"/>
                <w:color w:val="auto"/>
              </w:rPr>
            </w:pPr>
            <w:r>
              <w:rPr>
                <w:rFonts w:ascii="Calibri" w:cs="Calibri" w:eastAsia="Calibri" w:hAnsi="Calibri"/>
                <w:sz w:val="18"/>
                <w:szCs w:val="18"/>
                <w:color w:val="auto"/>
              </w:rPr>
              <w:t>(327 )</w:t>
            </w:r>
          </w:p>
        </w:tc>
      </w:tr>
      <w:tr>
        <w:trPr>
          <w:trHeight w:val="279"/>
        </w:trPr>
        <w:tc>
          <w:tcPr>
            <w:tcW w:w="6640" w:type="dxa"/>
            <w:vAlign w:val="bottom"/>
          </w:tcPr>
          <w:p>
            <w:pPr>
              <w:ind w:left="20"/>
              <w:spacing w:after="0" w:line="278" w:lineRule="exact"/>
              <w:rPr>
                <w:sz w:val="20"/>
                <w:szCs w:val="20"/>
                <w:color w:val="auto"/>
              </w:rPr>
            </w:pPr>
            <w:r>
              <w:rPr>
                <w:rFonts w:ascii="Calibri" w:cs="Calibri" w:eastAsia="Calibri" w:hAnsi="Calibri"/>
                <w:sz w:val="18"/>
                <w:szCs w:val="18"/>
                <w:color w:val="auto"/>
              </w:rPr>
              <w:t>Change in fair value of derivatve asset</w:t>
            </w:r>
            <w:r>
              <w:rPr>
                <w:rFonts w:ascii="Calibri" w:cs="Calibri" w:eastAsia="Calibri" w:hAnsi="Calibri"/>
                <w:sz w:val="28"/>
                <w:szCs w:val="28"/>
                <w:color w:val="auto"/>
                <w:vertAlign w:val="superscript"/>
              </w:rPr>
              <w:t>(6)</w:t>
            </w:r>
          </w:p>
        </w:tc>
        <w:tc>
          <w:tcPr>
            <w:tcW w:w="1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37</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r>
      <w:tr>
        <w:trPr>
          <w:trHeight w:val="207"/>
        </w:trPr>
        <w:tc>
          <w:tcPr>
            <w:tcW w:w="6640" w:type="dxa"/>
            <w:vAlign w:val="bottom"/>
          </w:tcPr>
          <w:p>
            <w:pPr>
              <w:ind w:left="20"/>
              <w:spacing w:after="0" w:line="208" w:lineRule="exact"/>
              <w:rPr>
                <w:sz w:val="20"/>
                <w:szCs w:val="20"/>
                <w:color w:val="auto"/>
              </w:rPr>
            </w:pPr>
            <w:r>
              <w:rPr>
                <w:rFonts w:ascii="Calibri" w:cs="Calibri" w:eastAsia="Calibri" w:hAnsi="Calibri"/>
                <w:sz w:val="17"/>
                <w:szCs w:val="17"/>
                <w:color w:val="auto"/>
              </w:rPr>
              <w:t>Change in fair value of contngent consideraton</w:t>
            </w:r>
            <w:r>
              <w:rPr>
                <w:rFonts w:ascii="Calibri" w:cs="Calibri" w:eastAsia="Calibri" w:hAnsi="Calibri"/>
                <w:sz w:val="22"/>
                <w:szCs w:val="22"/>
                <w:color w:val="auto"/>
                <w:vertAlign w:val="superscript"/>
              </w:rPr>
              <w:t>(7)</w:t>
            </w:r>
          </w:p>
        </w:tc>
        <w:tc>
          <w:tcPr>
            <w:tcW w:w="1400" w:type="dxa"/>
            <w:vAlign w:val="bottom"/>
          </w:tcPr>
          <w:p>
            <w:pPr>
              <w:spacing w:after="0"/>
              <w:rPr>
                <w:sz w:val="18"/>
                <w:szCs w:val="18"/>
                <w:color w:val="auto"/>
              </w:rPr>
            </w:pPr>
          </w:p>
        </w:tc>
        <w:tc>
          <w:tcPr>
            <w:tcW w:w="1040" w:type="dxa"/>
            <w:vAlign w:val="bottom"/>
            <w:gridSpan w:val="2"/>
          </w:tcPr>
          <w:p>
            <w:pPr>
              <w:jc w:val="right"/>
              <w:ind w:right="360"/>
              <w:spacing w:after="0" w:line="207" w:lineRule="exact"/>
              <w:rPr>
                <w:sz w:val="20"/>
                <w:szCs w:val="20"/>
                <w:color w:val="auto"/>
              </w:rPr>
            </w:pPr>
            <w:r>
              <w:rPr>
                <w:rFonts w:ascii="Calibri" w:cs="Calibri" w:eastAsia="Calibri" w:hAnsi="Calibri"/>
                <w:sz w:val="18"/>
                <w:szCs w:val="18"/>
                <w:color w:val="auto"/>
              </w:rPr>
              <w:t>—</w:t>
            </w:r>
          </w:p>
        </w:tc>
        <w:tc>
          <w:tcPr>
            <w:tcW w:w="1380" w:type="dxa"/>
            <w:vAlign w:val="bottom"/>
          </w:tcPr>
          <w:p>
            <w:pPr>
              <w:spacing w:after="0"/>
              <w:rPr>
                <w:sz w:val="18"/>
                <w:szCs w:val="18"/>
                <w:color w:val="auto"/>
              </w:rPr>
            </w:pPr>
          </w:p>
        </w:tc>
        <w:tc>
          <w:tcPr>
            <w:tcW w:w="680" w:type="dxa"/>
            <w:vAlign w:val="bottom"/>
          </w:tcPr>
          <w:p>
            <w:pPr>
              <w:jc w:val="right"/>
              <w:spacing w:after="0" w:line="207" w:lineRule="exact"/>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18"/>
                <w:szCs w:val="18"/>
                <w:color w:val="auto"/>
              </w:rPr>
            </w:pPr>
          </w:p>
        </w:tc>
      </w:tr>
      <w:tr>
        <w:trPr>
          <w:trHeight w:val="243"/>
        </w:trPr>
        <w:tc>
          <w:tcPr>
            <w:tcW w:w="6640" w:type="dxa"/>
            <w:vAlign w:val="bottom"/>
          </w:tcPr>
          <w:p>
            <w:pPr>
              <w:ind w:left="20"/>
              <w:spacing w:after="0" w:line="243" w:lineRule="exact"/>
              <w:rPr>
                <w:sz w:val="20"/>
                <w:szCs w:val="20"/>
                <w:color w:val="auto"/>
              </w:rPr>
            </w:pPr>
            <w:r>
              <w:rPr>
                <w:rFonts w:ascii="Calibri" w:cs="Calibri" w:eastAsia="Calibri" w:hAnsi="Calibri"/>
                <w:sz w:val="17"/>
                <w:szCs w:val="17"/>
                <w:color w:val="auto"/>
              </w:rPr>
              <w:t>Loss on asset disposals</w:t>
            </w:r>
            <w:r>
              <w:rPr>
                <w:rFonts w:ascii="Calibri" w:cs="Calibri" w:eastAsia="Calibri" w:hAnsi="Calibri"/>
                <w:sz w:val="26"/>
                <w:szCs w:val="26"/>
                <w:color w:val="auto"/>
                <w:vertAlign w:val="superscript"/>
              </w:rPr>
              <w:t>(8)</w:t>
            </w:r>
          </w:p>
        </w:tc>
        <w:tc>
          <w:tcPr>
            <w:tcW w:w="1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102</w:t>
            </w: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21"/>
                <w:szCs w:val="21"/>
                <w:color w:val="auto"/>
              </w:rPr>
            </w:pPr>
          </w:p>
        </w:tc>
      </w:tr>
      <w:tr>
        <w:trPr>
          <w:trHeight w:val="312"/>
        </w:trPr>
        <w:tc>
          <w:tcPr>
            <w:tcW w:w="6640" w:type="dxa"/>
            <w:vAlign w:val="bottom"/>
          </w:tcPr>
          <w:p>
            <w:pPr>
              <w:ind w:left="20"/>
              <w:spacing w:after="0" w:line="312" w:lineRule="exact"/>
              <w:rPr>
                <w:sz w:val="20"/>
                <w:szCs w:val="20"/>
                <w:color w:val="auto"/>
              </w:rPr>
            </w:pPr>
            <w:r>
              <w:rPr>
                <w:rFonts w:ascii="Calibri" w:cs="Calibri" w:eastAsia="Calibri" w:hAnsi="Calibri"/>
                <w:sz w:val="18"/>
                <w:szCs w:val="18"/>
                <w:color w:val="auto"/>
              </w:rPr>
              <w:t>Foreign currency revaluaton loss</w:t>
            </w:r>
            <w:r>
              <w:rPr>
                <w:rFonts w:ascii="Calibri" w:cs="Calibri" w:eastAsia="Calibri" w:hAnsi="Calibri"/>
                <w:sz w:val="28"/>
                <w:szCs w:val="28"/>
                <w:color w:val="auto"/>
                <w:vertAlign w:val="superscript"/>
              </w:rPr>
              <w:t>(9)</w:t>
            </w:r>
          </w:p>
        </w:tc>
        <w:tc>
          <w:tcPr>
            <w:tcW w:w="1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3,005</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r>
      <w:tr>
        <w:trPr>
          <w:trHeight w:val="237"/>
        </w:trPr>
        <w:tc>
          <w:tcPr>
            <w:tcW w:w="664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1400" w:type="dxa"/>
            <w:vAlign w:val="bottom"/>
            <w:tcBorders>
              <w:top w:val="single" w:sz="8" w:color="auto"/>
              <w:bottom w:val="single" w:sz="8" w:color="auto"/>
            </w:tcBorders>
          </w:tcPr>
          <w:p>
            <w:pPr>
              <w:jc w:val="right"/>
              <w:ind w:right="1190"/>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38,920</w:t>
            </w:r>
          </w:p>
        </w:tc>
        <w:tc>
          <w:tcPr>
            <w:tcW w:w="36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ind w:right="1190"/>
              <w:spacing w:after="0" w:line="215" w:lineRule="exact"/>
              <w:rPr>
                <w:sz w:val="20"/>
                <w:szCs w:val="20"/>
                <w:color w:val="auto"/>
              </w:rPr>
            </w:pPr>
            <w:r>
              <w:rPr>
                <w:rFonts w:ascii="Calibri" w:cs="Calibri" w:eastAsia="Calibri" w:hAnsi="Calibri"/>
                <w:sz w:val="18"/>
                <w:szCs w:val="18"/>
                <w:b w:val="1"/>
                <w:bCs w:val="1"/>
                <w:color w:val="auto"/>
                <w:w w:val="87"/>
              </w:rPr>
              <w:t>$</w:t>
            </w:r>
          </w:p>
        </w:tc>
        <w:tc>
          <w:tcPr>
            <w:tcW w:w="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42,435</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6" w:lineRule="exact"/>
        <w:rPr>
          <w:sz w:val="20"/>
          <w:szCs w:val="20"/>
          <w:color w:val="auto"/>
        </w:rPr>
      </w:pPr>
    </w:p>
    <w:p>
      <w:pPr>
        <w:jc w:val="both"/>
        <w:ind w:left="460" w:hanging="452"/>
        <w:spacing w:after="0" w:line="235" w:lineRule="auto"/>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have historically incurred sales tax expense in jurisdictons where we expected to collect and remit indirect taxes, but were not yet collectng from customers. In the frst quarter of 2024, we setled certain liabilites for local admissions taxes for less than our estmated liability recorded as of December 31, 2023.</w:t>
      </w:r>
    </w:p>
    <w:p>
      <w:pPr>
        <w:spacing w:after="0" w:line="110" w:lineRule="exact"/>
        <w:rPr>
          <w:rFonts w:ascii="Calibri" w:cs="Calibri" w:eastAsia="Calibri" w:hAnsi="Calibri"/>
          <w:sz w:val="18"/>
          <w:szCs w:val="18"/>
          <w:color w:val="auto"/>
        </w:rPr>
      </w:pPr>
    </w:p>
    <w:p>
      <w:pPr>
        <w:ind w:left="460" w:hanging="452"/>
        <w:spacing w:after="0" w:line="235" w:lineRule="auto"/>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Consists of legal, accountng, tax and other professional fees; personnel-related costs, which consist of retenton bonuses; and integraton costs. Transacton costs in both periods were primarily related to our acquisitons and strategic investments.</w:t>
      </w:r>
    </w:p>
    <w:p>
      <w:pPr>
        <w:spacing w:after="0" w:line="109" w:lineRule="exact"/>
        <w:rPr>
          <w:rFonts w:ascii="Calibri" w:cs="Calibri" w:eastAsia="Calibri" w:hAnsi="Calibri"/>
          <w:sz w:val="18"/>
          <w:szCs w:val="18"/>
          <w:color w:val="auto"/>
        </w:rPr>
      </w:pPr>
    </w:p>
    <w:p>
      <w:pPr>
        <w:ind w:left="460" w:hanging="452"/>
        <w:spacing w:after="0" w:line="235" w:lineRule="auto"/>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profts interests issued prior to our merger transacton with Horizon Acquisiton Corporaton (the “Merger Transacton”) and equity granted pursuant to our 2021 Incentve Award Plan, as amended (the “2021 Plan”), which are not considered indicatve of our core operatng performance.</w:t>
      </w:r>
    </w:p>
    <w:p>
      <w:pPr>
        <w:spacing w:after="0" w:line="104" w:lineRule="exact"/>
        <w:rPr>
          <w:rFonts w:ascii="Calibri" w:cs="Calibri" w:eastAsia="Calibri" w:hAnsi="Calibri"/>
          <w:sz w:val="18"/>
          <w:szCs w:val="18"/>
          <w:color w:val="auto"/>
        </w:rPr>
      </w:pPr>
    </w:p>
    <w:p>
      <w:pPr>
        <w:ind w:left="460" w:hanging="452"/>
        <w:spacing w:after="0"/>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external legal costs, setlement costs and insurance recoveries that were unrelated to our core business operatons.</w:t>
      </w:r>
    </w:p>
    <w:p>
      <w:pPr>
        <w:spacing w:after="0" w:line="109" w:lineRule="exact"/>
        <w:rPr>
          <w:rFonts w:ascii="Calibri" w:cs="Calibri" w:eastAsia="Calibri" w:hAnsi="Calibri"/>
          <w:sz w:val="18"/>
          <w:szCs w:val="18"/>
          <w:color w:val="auto"/>
        </w:rPr>
      </w:pPr>
    </w:p>
    <w:p>
      <w:pPr>
        <w:ind w:left="460" w:hanging="452"/>
        <w:spacing w:after="0" w:line="235" w:lineRule="auto"/>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warrants to purchase common units (“Intermediate Units”) of Hoya Intermediate, LLC (“Hoya Intermediate”) held by Hoya Topco, LLC (“Hoya Topco”) following the Merger Transacton.</w:t>
      </w:r>
    </w:p>
    <w:p>
      <w:pPr>
        <w:spacing w:after="0" w:line="104" w:lineRule="exact"/>
        <w:rPr>
          <w:rFonts w:ascii="Calibri" w:cs="Calibri" w:eastAsia="Calibri" w:hAnsi="Calibri"/>
          <w:sz w:val="18"/>
          <w:szCs w:val="18"/>
          <w:color w:val="auto"/>
        </w:rPr>
      </w:pPr>
    </w:p>
    <w:p>
      <w:pPr>
        <w:ind w:left="460" w:hanging="452"/>
        <w:spacing w:after="0"/>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derivatves recorded at fair value.</w:t>
      </w:r>
    </w:p>
    <w:p>
      <w:pPr>
        <w:spacing w:after="0" w:line="104" w:lineRule="exact"/>
        <w:rPr>
          <w:rFonts w:ascii="Calibri" w:cs="Calibri" w:eastAsia="Calibri" w:hAnsi="Calibri"/>
          <w:sz w:val="18"/>
          <w:szCs w:val="18"/>
          <w:color w:val="auto"/>
        </w:rPr>
      </w:pPr>
    </w:p>
    <w:p>
      <w:pPr>
        <w:ind w:left="460" w:hanging="452"/>
        <w:spacing w:after="0"/>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the revaluaton of Vivid Picks cash earnouts.</w:t>
      </w:r>
    </w:p>
    <w:p>
      <w:pPr>
        <w:spacing w:after="0" w:line="104" w:lineRule="exact"/>
        <w:rPr>
          <w:rFonts w:ascii="Calibri" w:cs="Calibri" w:eastAsia="Calibri" w:hAnsi="Calibri"/>
          <w:sz w:val="18"/>
          <w:szCs w:val="18"/>
          <w:color w:val="auto"/>
        </w:rPr>
      </w:pPr>
    </w:p>
    <w:p>
      <w:pPr>
        <w:ind w:left="460" w:hanging="452"/>
        <w:spacing w:after="0"/>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asset disposals, which are not considered indicatve of our core operatng performance.</w:t>
      </w:r>
    </w:p>
    <w:p>
      <w:pPr>
        <w:spacing w:after="0" w:line="109" w:lineRule="exact"/>
        <w:rPr>
          <w:rFonts w:ascii="Calibri" w:cs="Calibri" w:eastAsia="Calibri" w:hAnsi="Calibri"/>
          <w:sz w:val="18"/>
          <w:szCs w:val="18"/>
          <w:color w:val="auto"/>
        </w:rPr>
      </w:pPr>
    </w:p>
    <w:p>
      <w:pPr>
        <w:ind w:left="460" w:hanging="452"/>
        <w:spacing w:after="0" w:line="235" w:lineRule="auto"/>
        <w:tabs>
          <w:tab w:leader="none" w:pos="4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Relates to unrealized foreign currency revaluaton loss from the remeasurement of non-operatng assets and liabilites denominated in non-functonal currencies on the balance sheet date.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Factors Afectng our Performance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During the three months ended March 31, 2024, there were no material changes to the “Key Factors Afectng Our Performance” disclosed in our 2023 Form 10-K. Our fnancial positon and results of operatons depend to a signifcant extent on those factors.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Business Acquisitons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Vegas.com Acquisiton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November 3, 2023, we acquired VDC Holdco, LLC, the parent company of Vegas.com, LLC (together, “Vegas.com”), an online tcket marketplace for live event enthusiasts exploring Las Vegas, Nevada. The purchase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jc w:val="both"/>
        <w:ind w:right="60"/>
        <w:spacing w:after="0" w:line="235" w:lineRule="auto"/>
        <w:rPr>
          <w:sz w:val="20"/>
          <w:szCs w:val="20"/>
          <w:color w:val="auto"/>
        </w:rPr>
      </w:pPr>
      <w:r>
        <w:rPr>
          <w:rFonts w:ascii="Calibri" w:cs="Calibri" w:eastAsia="Calibri" w:hAnsi="Calibri"/>
          <w:sz w:val="18"/>
          <w:szCs w:val="18"/>
          <w:color w:val="auto"/>
        </w:rPr>
        <w:t>price was $248.3 million, comprising $152.8 million in cash and approximately 15.6 million shares of our Class A common stock. We fnanced the cash porton of the purchase price at closing with cash on hand. The acquisiton was accounted for as an acquisiton of a business in accordance with the acquisiton method of accountng.</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Wavedash Acquisiton</w:t>
      </w:r>
    </w:p>
    <w:p>
      <w:pPr>
        <w:spacing w:after="0" w:line="109"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On September 8, 2023, we acquired WD Holdings Co., Ltd., the parent company of Wavedash Co., Ltd. (together, “Wavedash”), an online tcket marketplace headquartered in Tokyo, Japan. The purchase price was JPY 10,946.1 million, or approximately $74.3 million based on the exchange rate in efect on the acquisiton date, before considering the net efect of cash acquired. We fnanced the purchase price at closing with cash on hand. The acquisiton was accounted for as an acquisiton of a business in accordance with the acquisiton method of accountng.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Comparison of the Three Months Ended March 31, 2024 and 2023</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our results of operatons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jc w:val="right"/>
              <w:ind w:right="620"/>
              <w:spacing w:after="0"/>
              <w:rPr>
                <w:sz w:val="20"/>
                <w:szCs w:val="20"/>
                <w:color w:val="auto"/>
              </w:rPr>
            </w:pPr>
            <w:r>
              <w:rPr>
                <w:rFonts w:ascii="Calibri" w:cs="Calibri" w:eastAsia="Calibri" w:hAnsi="Calibri"/>
                <w:sz w:val="14"/>
                <w:szCs w:val="14"/>
                <w:b w:val="1"/>
                <w:bCs w:val="1"/>
                <w:color w:val="auto"/>
              </w:rPr>
              <w:t>Three Months Ended March 31,</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vMerge w:val="restart"/>
          </w:tcPr>
          <w:p>
            <w:pPr>
              <w:jc w:val="right"/>
              <w:ind w:right="560"/>
              <w:spacing w:after="0"/>
              <w:rPr>
                <w:sz w:val="20"/>
                <w:szCs w:val="20"/>
                <w:color w:val="auto"/>
              </w:rPr>
            </w:pPr>
            <w:r>
              <w:rPr>
                <w:rFonts w:ascii="Calibri" w:cs="Calibri" w:eastAsia="Calibri" w:hAnsi="Calibri"/>
                <w:sz w:val="14"/>
                <w:szCs w:val="14"/>
                <w:b w:val="1"/>
                <w:bCs w:val="1"/>
                <w:color w:val="auto"/>
              </w:rPr>
              <w:t>Change</w:t>
            </w:r>
          </w:p>
        </w:tc>
        <w:tc>
          <w:tcPr>
            <w:tcW w:w="1400" w:type="dxa"/>
            <w:vAlign w:val="bottom"/>
            <w:gridSpan w:val="3"/>
            <w:vMerge w:val="restart"/>
          </w:tcPr>
          <w:p>
            <w:pPr>
              <w:jc w:val="right"/>
              <w:ind w:right="50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68"/>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8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6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Revenues</w:t>
            </w:r>
          </w:p>
        </w:tc>
        <w:tc>
          <w:tcPr>
            <w:tcW w:w="24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190,852</w:t>
            </w:r>
          </w:p>
        </w:tc>
        <w:tc>
          <w:tcPr>
            <w:tcW w:w="520" w:type="dxa"/>
            <w:vAlign w:val="bottom"/>
            <w:tcBorders>
              <w:bottom w:val="single" w:sz="8" w:color="CFF0FC"/>
            </w:tcBorders>
            <w:gridSpan w:val="2"/>
            <w:shd w:val="clear" w:color="auto" w:fill="CFF0FC"/>
          </w:tcPr>
          <w:p>
            <w:pPr>
              <w:jc w:val="right"/>
              <w:ind w:right="108"/>
              <w:spacing w:after="0" w:line="164" w:lineRule="exact"/>
              <w:rPr>
                <w:sz w:val="20"/>
                <w:szCs w:val="20"/>
                <w:color w:val="auto"/>
              </w:rPr>
            </w:pPr>
            <w:r>
              <w:rPr>
                <w:rFonts w:ascii="Calibri" w:cs="Calibri" w:eastAsia="Calibri" w:hAnsi="Calibri"/>
                <w:sz w:val="14"/>
                <w:szCs w:val="14"/>
                <w:color w:val="auto"/>
              </w:rPr>
              <w:t>$</w:t>
            </w:r>
          </w:p>
        </w:tc>
        <w:tc>
          <w:tcPr>
            <w:tcW w:w="94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161,063</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29,789</w:t>
            </w:r>
          </w:p>
        </w:tc>
        <w:tc>
          <w:tcPr>
            <w:tcW w:w="2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18 %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0"/>
              <w:spacing w:after="0"/>
              <w:rPr>
                <w:sz w:val="20"/>
                <w:szCs w:val="20"/>
                <w:color w:val="auto"/>
              </w:rPr>
            </w:pPr>
            <w:r>
              <w:rPr>
                <w:rFonts w:ascii="Calibri" w:cs="Calibri" w:eastAsia="Calibri" w:hAnsi="Calibri"/>
                <w:sz w:val="14"/>
                <w:szCs w:val="14"/>
                <w:b w:val="1"/>
                <w:bCs w:val="1"/>
                <w:color w:val="auto"/>
              </w:rPr>
              <w:t>Costs and expenses: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Cost of revenues (exclusive of depreciaton and amortzaton shown separately below)</w:t>
            </w:r>
          </w:p>
        </w:tc>
        <w:tc>
          <w:tcPr>
            <w:tcW w:w="2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49,583</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37,760</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11,823</w:t>
            </w:r>
          </w:p>
        </w:tc>
        <w:tc>
          <w:tcPr>
            <w:tcW w:w="2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31 %</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0"/>
              <w:spacing w:after="0"/>
              <w:rPr>
                <w:sz w:val="20"/>
                <w:szCs w:val="20"/>
                <w:color w:val="auto"/>
              </w:rPr>
            </w:pPr>
            <w:r>
              <w:rPr>
                <w:rFonts w:ascii="Calibri" w:cs="Calibri" w:eastAsia="Calibri" w:hAnsi="Calibri"/>
                <w:sz w:val="14"/>
                <w:szCs w:val="14"/>
                <w:color w:val="auto"/>
              </w:rPr>
              <w:t>Marketng and selling</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67,745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54,772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12,973</w:t>
            </w:r>
          </w:p>
        </w:tc>
        <w:tc>
          <w:tcPr>
            <w:tcW w:w="2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alibri" w:cs="Calibri" w:eastAsia="Calibri" w:hAnsi="Calibri"/>
                <w:sz w:val="14"/>
                <w:szCs w:val="14"/>
                <w:color w:val="auto"/>
              </w:rPr>
              <w:t>24 %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General and administratve</w:t>
            </w:r>
          </w:p>
        </w:tc>
        <w:tc>
          <w:tcPr>
            <w:tcW w:w="2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42,366</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32,389</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9,977</w:t>
            </w:r>
          </w:p>
        </w:tc>
        <w:tc>
          <w:tcPr>
            <w:tcW w:w="2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31 %</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0"/>
              <w:spacing w:after="0"/>
              <w:rPr>
                <w:sz w:val="20"/>
                <w:szCs w:val="20"/>
                <w:color w:val="auto"/>
              </w:rPr>
            </w:pPr>
            <w:r>
              <w:rPr>
                <w:rFonts w:ascii="Calibri" w:cs="Calibri" w:eastAsia="Calibri" w:hAnsi="Calibri"/>
                <w:sz w:val="14"/>
                <w:szCs w:val="14"/>
                <w:color w:val="auto"/>
              </w:rPr>
              <w:t>Depreciaton and amortzaton</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10,483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2,598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7,885</w:t>
            </w:r>
          </w:p>
        </w:tc>
        <w:tc>
          <w:tcPr>
            <w:tcW w:w="2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alibri" w:cs="Calibri" w:eastAsia="Calibri" w:hAnsi="Calibri"/>
                <w:sz w:val="14"/>
                <w:szCs w:val="14"/>
                <w:color w:val="auto"/>
              </w:rPr>
              <w:t>304 %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Calibri" w:cs="Calibri" w:eastAsia="Calibri" w:hAnsi="Calibri"/>
                <w:sz w:val="14"/>
                <w:szCs w:val="14"/>
                <w:color w:val="auto"/>
              </w:rPr>
              <w:t>Change in fair value of contngent consideraton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(34 )</w:t>
            </w:r>
          </w:p>
        </w:tc>
        <w:tc>
          <w:tcPr>
            <w:tcW w:w="1400" w:type="dxa"/>
            <w:vAlign w:val="bottom"/>
            <w:gridSpan w:val="3"/>
          </w:tcPr>
          <w:p>
            <w:pPr>
              <w:jc w:val="right"/>
              <w:spacing w:after="0"/>
              <w:rPr>
                <w:sz w:val="20"/>
                <w:szCs w:val="20"/>
                <w:color w:val="auto"/>
              </w:rPr>
            </w:pPr>
            <w:r>
              <w:rPr>
                <w:rFonts w:ascii="Calibri" w:cs="Calibri" w:eastAsia="Calibri" w:hAnsi="Calibri"/>
                <w:sz w:val="14"/>
                <w:szCs w:val="14"/>
                <w:color w:val="auto"/>
              </w:rPr>
              <w:t>(100 )%</w:t>
            </w:r>
          </w:p>
        </w:tc>
        <w:tc>
          <w:tcPr>
            <w:tcW w:w="0" w:type="dxa"/>
            <w:vAlign w:val="bottom"/>
          </w:tcPr>
          <w:p>
            <w:pPr>
              <w:spacing w:after="0"/>
              <w:rPr>
                <w:sz w:val="1"/>
                <w:szCs w:val="1"/>
                <w:color w:val="auto"/>
              </w:rPr>
            </w:pPr>
          </w:p>
        </w:tc>
      </w:tr>
      <w:tr>
        <w:trPr>
          <w:trHeight w:val="33"/>
        </w:trPr>
        <w:tc>
          <w:tcPr>
            <w:tcW w:w="56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b w:val="1"/>
                <w:bCs w:val="1"/>
                <w:color w:val="auto"/>
              </w:rPr>
              <w:t>20,675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b w:val="1"/>
                <w:bCs w:val="1"/>
                <w:color w:val="auto"/>
              </w:rPr>
              <w:t>33,510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(12,835 )</w:t>
            </w:r>
          </w:p>
        </w:tc>
        <w:tc>
          <w:tcPr>
            <w:tcW w:w="14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(38 )%</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Other (income) expense:</w:t>
            </w:r>
          </w:p>
        </w:tc>
        <w:tc>
          <w:tcPr>
            <w:tcW w:w="2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5,082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3,280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1,802</w:t>
            </w:r>
          </w:p>
        </w:tc>
        <w:tc>
          <w:tcPr>
            <w:tcW w:w="2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alibri" w:cs="Calibri" w:eastAsia="Calibri" w:hAnsi="Calibri"/>
                <w:sz w:val="14"/>
                <w:szCs w:val="14"/>
                <w:color w:val="auto"/>
              </w:rPr>
              <w:t>55 %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 (income) expense</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2,582</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(327 )</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2,909</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890 %</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66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660" w:type="dxa"/>
            <w:vAlign w:val="bottom"/>
          </w:tcPr>
          <w:p>
            <w:pPr>
              <w:ind w:left="20"/>
              <w:spacing w:after="0"/>
              <w:rPr>
                <w:sz w:val="20"/>
                <w:szCs w:val="20"/>
                <w:color w:val="auto"/>
              </w:rPr>
            </w:pPr>
            <w:r>
              <w:rPr>
                <w:rFonts w:ascii="Calibri" w:cs="Calibri" w:eastAsia="Calibri" w:hAnsi="Calibri"/>
                <w:sz w:val="14"/>
                <w:szCs w:val="14"/>
                <w:b w:val="1"/>
                <w:bCs w:val="1"/>
                <w:color w:val="auto"/>
              </w:rPr>
              <w:t>Income before income taxes</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b w:val="1"/>
                <w:bCs w:val="1"/>
                <w:color w:val="auto"/>
              </w:rPr>
              <w:t>13,011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b w:val="1"/>
                <w:bCs w:val="1"/>
                <w:color w:val="auto"/>
              </w:rPr>
              <w:t>30,557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(17,546 )</w:t>
            </w:r>
          </w:p>
        </w:tc>
        <w:tc>
          <w:tcPr>
            <w:tcW w:w="14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(57 )%</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Income tax expense</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2,269</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1,984</w:t>
            </w:r>
          </w:p>
        </w:tc>
        <w:tc>
          <w:tcPr>
            <w:tcW w:w="2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696 %</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6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660" w:type="dxa"/>
            <w:vAlign w:val="bottom"/>
          </w:tcPr>
          <w:p>
            <w:pPr>
              <w:ind w:left="20"/>
              <w:spacing w:after="0"/>
              <w:rPr>
                <w:sz w:val="20"/>
                <w:szCs w:val="20"/>
                <w:color w:val="auto"/>
              </w:rPr>
            </w:pPr>
            <w:r>
              <w:rPr>
                <w:rFonts w:ascii="Calibri" w:cs="Calibri" w:eastAsia="Calibri" w:hAnsi="Calibri"/>
                <w:sz w:val="14"/>
                <w:szCs w:val="14"/>
                <w:b w:val="1"/>
                <w:bCs w:val="1"/>
                <w:color w:val="auto"/>
              </w:rPr>
              <w:t>Net income</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b w:val="1"/>
                <w:bCs w:val="1"/>
                <w:color w:val="auto"/>
              </w:rPr>
              <w:t>10,742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b w:val="1"/>
                <w:bCs w:val="1"/>
                <w:color w:val="auto"/>
              </w:rPr>
              <w:t>30,272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(19,530 )</w:t>
            </w:r>
          </w:p>
        </w:tc>
        <w:tc>
          <w:tcPr>
            <w:tcW w:w="14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(65 )%</w:t>
            </w: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Calibri" w:cs="Calibri" w:eastAsia="Calibri" w:hAnsi="Calibri"/>
                <w:sz w:val="14"/>
                <w:szCs w:val="14"/>
                <w:color w:val="auto"/>
              </w:rPr>
              <w:t>Net income atributable to redeemable noncontrolling interests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4,665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18,090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(13,425 )</w:t>
            </w:r>
          </w:p>
        </w:tc>
        <w:tc>
          <w:tcPr>
            <w:tcW w:w="1400" w:type="dxa"/>
            <w:vAlign w:val="bottom"/>
            <w:gridSpan w:val="3"/>
          </w:tcPr>
          <w:p>
            <w:pPr>
              <w:jc w:val="right"/>
              <w:spacing w:after="0"/>
              <w:rPr>
                <w:sz w:val="20"/>
                <w:szCs w:val="20"/>
                <w:color w:val="auto"/>
              </w:rPr>
            </w:pPr>
            <w:r>
              <w:rPr>
                <w:rFonts w:ascii="Calibri" w:cs="Calibri" w:eastAsia="Calibri" w:hAnsi="Calibri"/>
                <w:sz w:val="14"/>
                <w:szCs w:val="14"/>
                <w:color w:val="auto"/>
              </w:rPr>
              <w:t>(74 )%</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ind w:left="20"/>
              <w:spacing w:after="0"/>
              <w:rPr>
                <w:sz w:val="20"/>
                <w:szCs w:val="20"/>
                <w:color w:val="auto"/>
              </w:rPr>
            </w:pPr>
            <w:r>
              <w:rPr>
                <w:rFonts w:ascii="Calibri" w:cs="Calibri" w:eastAsia="Calibri" w:hAnsi="Calibri"/>
                <w:sz w:val="14"/>
                <w:szCs w:val="14"/>
                <w:b w:val="1"/>
                <w:bCs w:val="1"/>
                <w:color w:val="auto"/>
              </w:rPr>
              <w:t>Net income atributable to Class A Common Stockholders</w:t>
            </w:r>
          </w:p>
        </w:tc>
        <w:tc>
          <w:tcPr>
            <w:tcW w:w="240" w:type="dxa"/>
            <w:vAlign w:val="bottom"/>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14"/>
                <w:szCs w:val="14"/>
                <w:b w:val="1"/>
                <w:bCs w:val="1"/>
                <w:color w:val="auto"/>
              </w:rPr>
              <w:t>6,077</w:t>
            </w:r>
          </w:p>
        </w:tc>
        <w:tc>
          <w:tcPr>
            <w:tcW w:w="26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Calibri" w:cs="Calibri" w:eastAsia="Calibri" w:hAnsi="Calibri"/>
                <w:sz w:val="14"/>
                <w:szCs w:val="14"/>
                <w:b w:val="1"/>
                <w:bCs w:val="1"/>
                <w:color w:val="auto"/>
                <w:w w:val="83"/>
              </w:rPr>
              <w:t>$</w:t>
            </w:r>
          </w:p>
        </w:tc>
        <w:tc>
          <w:tcPr>
            <w:tcW w:w="940" w:type="dxa"/>
            <w:vAlign w:val="bottom"/>
          </w:tcPr>
          <w:p>
            <w:pPr>
              <w:jc w:val="right"/>
              <w:spacing w:after="0"/>
              <w:rPr>
                <w:sz w:val="20"/>
                <w:szCs w:val="20"/>
                <w:color w:val="auto"/>
              </w:rPr>
            </w:pPr>
            <w:r>
              <w:rPr>
                <w:rFonts w:ascii="Calibri" w:cs="Calibri" w:eastAsia="Calibri" w:hAnsi="Calibri"/>
                <w:sz w:val="14"/>
                <w:szCs w:val="14"/>
                <w:b w:val="1"/>
                <w:bCs w:val="1"/>
                <w:color w:val="auto"/>
              </w:rPr>
              <w:t>12,182</w:t>
            </w:r>
          </w:p>
        </w:tc>
        <w:tc>
          <w:tcPr>
            <w:tcW w:w="2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114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(6,105 )</w:t>
            </w:r>
          </w:p>
        </w:tc>
        <w:tc>
          <w:tcPr>
            <w:tcW w:w="14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(50 )%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-693420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-693420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-693420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-427990</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-427990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-427990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by segment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340" w:type="dxa"/>
            <w:vAlign w:val="bottom"/>
            <w:gridSpan w:val="4"/>
          </w:tcPr>
          <w:p>
            <w:pPr>
              <w:jc w:val="right"/>
              <w:ind w:right="348"/>
              <w:spacing w:after="0"/>
              <w:rPr>
                <w:sz w:val="20"/>
                <w:szCs w:val="20"/>
                <w:color w:val="auto"/>
              </w:rPr>
            </w:pPr>
            <w:r>
              <w:rPr>
                <w:rFonts w:ascii="Calibri" w:cs="Calibri" w:eastAsia="Calibri" w:hAnsi="Calibri"/>
                <w:sz w:val="14"/>
                <w:szCs w:val="14"/>
                <w:b w:val="1"/>
                <w:bCs w:val="1"/>
                <w:color w:val="auto"/>
              </w:rPr>
              <w:t>Three Months Ended 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vMerge w:val="restart"/>
          </w:tcPr>
          <w:p>
            <w:pPr>
              <w:jc w:val="right"/>
              <w:ind w:right="58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240" w:type="dxa"/>
            <w:vAlign w:val="bottom"/>
            <w:gridSpan w:val="3"/>
            <w:vMerge w:val="restart"/>
          </w:tcPr>
          <w:p>
            <w:pPr>
              <w:ind w:left="26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20" w:type="dxa"/>
            <w:vAlign w:val="bottom"/>
          </w:tcPr>
          <w:p>
            <w:pPr>
              <w:spacing w:after="0"/>
              <w:rPr>
                <w:sz w:val="14"/>
                <w:szCs w:val="14"/>
                <w:color w:val="auto"/>
              </w:rPr>
            </w:pPr>
          </w:p>
        </w:tc>
        <w:tc>
          <w:tcPr>
            <w:tcW w:w="1220" w:type="dxa"/>
            <w:vAlign w:val="bottom"/>
          </w:tcPr>
          <w:p>
            <w:pPr>
              <w:jc w:val="right"/>
              <w:ind w:right="68"/>
              <w:spacing w:after="0" w:line="164" w:lineRule="exact"/>
              <w:rPr>
                <w:sz w:val="20"/>
                <w:szCs w:val="20"/>
                <w:color w:val="auto"/>
              </w:rPr>
            </w:pPr>
            <w:r>
              <w:rPr>
                <w:rFonts w:ascii="Calibri" w:cs="Calibri" w:eastAsia="Calibri" w:hAnsi="Calibri"/>
                <w:sz w:val="14"/>
                <w:szCs w:val="14"/>
                <w:b w:val="1"/>
                <w:bCs w:val="1"/>
                <w:color w:val="auto"/>
              </w:rPr>
              <w:t>2024</w:t>
            </w:r>
          </w:p>
        </w:tc>
        <w:tc>
          <w:tcPr>
            <w:tcW w:w="640" w:type="dxa"/>
            <w:vAlign w:val="bottom"/>
          </w:tcPr>
          <w:p>
            <w:pPr>
              <w:spacing w:after="0"/>
              <w:rPr>
                <w:sz w:val="14"/>
                <w:szCs w:val="14"/>
                <w:color w:val="auto"/>
              </w:rPr>
            </w:pPr>
          </w:p>
        </w:tc>
        <w:tc>
          <w:tcPr>
            <w:tcW w:w="1480" w:type="dxa"/>
            <w:vAlign w:val="bottom"/>
            <w:gridSpan w:val="2"/>
          </w:tcPr>
          <w:p>
            <w:pPr>
              <w:jc w:val="right"/>
              <w:ind w:right="88"/>
              <w:spacing w:after="0" w:line="164" w:lineRule="exact"/>
              <w:rPr>
                <w:sz w:val="20"/>
                <w:szCs w:val="20"/>
                <w:color w:val="auto"/>
              </w:rPr>
            </w:pPr>
            <w:r>
              <w:rPr>
                <w:rFonts w:ascii="Calibri" w:cs="Calibri" w:eastAsia="Calibri" w:hAnsi="Calibri"/>
                <w:sz w:val="14"/>
                <w:szCs w:val="14"/>
                <w:b w:val="1"/>
                <w:bCs w:val="1"/>
                <w:color w:val="auto"/>
              </w:rPr>
              <w:t>2023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2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220" w:type="dxa"/>
            <w:vAlign w:val="bottom"/>
          </w:tcPr>
          <w:p>
            <w:pPr>
              <w:jc w:val="right"/>
              <w:ind w:right="106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160,012</w:t>
            </w:r>
          </w:p>
        </w:tc>
        <w:tc>
          <w:tcPr>
            <w:tcW w:w="1480" w:type="dxa"/>
            <w:vAlign w:val="bottom"/>
            <w:gridSpan w:val="2"/>
          </w:tcPr>
          <w:p>
            <w:pPr>
              <w:jc w:val="right"/>
              <w:ind w:right="106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136,581</w:t>
            </w:r>
          </w:p>
        </w:tc>
        <w:tc>
          <w:tcPr>
            <w:tcW w:w="500" w:type="dxa"/>
            <w:vAlign w:val="bottom"/>
            <w:gridSpan w:val="2"/>
          </w:tcPr>
          <w:p>
            <w:pPr>
              <w:jc w:val="right"/>
              <w:ind w:right="228"/>
              <w:spacing w:after="0"/>
              <w:rPr>
                <w:sz w:val="20"/>
                <w:szCs w:val="20"/>
                <w:color w:val="auto"/>
              </w:rPr>
            </w:pPr>
            <w:r>
              <w:rPr>
                <w:rFonts w:ascii="Calibri" w:cs="Calibri" w:eastAsia="Calibri" w:hAnsi="Calibri"/>
                <w:sz w:val="14"/>
                <w:szCs w:val="14"/>
                <w:color w:val="auto"/>
              </w:rPr>
              <w:t>$</w:t>
            </w:r>
          </w:p>
        </w:tc>
        <w:tc>
          <w:tcPr>
            <w:tcW w:w="1400" w:type="dxa"/>
            <w:vAlign w:val="bottom"/>
          </w:tcPr>
          <w:p>
            <w:pPr>
              <w:jc w:val="right"/>
              <w:spacing w:after="0"/>
              <w:rPr>
                <w:sz w:val="20"/>
                <w:szCs w:val="20"/>
                <w:color w:val="auto"/>
              </w:rPr>
            </w:pPr>
            <w:r>
              <w:rPr>
                <w:rFonts w:ascii="Calibri" w:cs="Calibri" w:eastAsia="Calibri" w:hAnsi="Calibri"/>
                <w:sz w:val="14"/>
                <w:szCs w:val="14"/>
                <w:color w:val="auto"/>
              </w:rPr>
              <w:t>23,431</w:t>
            </w:r>
          </w:p>
        </w:tc>
        <w:tc>
          <w:tcPr>
            <w:tcW w:w="1440" w:type="dxa"/>
            <w:vAlign w:val="bottom"/>
            <w:gridSpan w:val="3"/>
          </w:tcPr>
          <w:p>
            <w:pPr>
              <w:jc w:val="right"/>
              <w:spacing w:after="0"/>
              <w:rPr>
                <w:sz w:val="20"/>
                <w:szCs w:val="20"/>
                <w:color w:val="auto"/>
              </w:rPr>
            </w:pPr>
            <w:r>
              <w:rPr>
                <w:rFonts w:ascii="Calibri" w:cs="Calibri" w:eastAsia="Calibri" w:hAnsi="Calibri"/>
                <w:sz w:val="14"/>
                <w:szCs w:val="14"/>
                <w:color w:val="auto"/>
              </w:rPr>
              <w:t>17 %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2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30,840</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24,482</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6,358</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26 %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92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tcPr>
          <w:p>
            <w:pPr>
              <w:ind w:left="20"/>
              <w:spacing w:after="0"/>
              <w:rPr>
                <w:sz w:val="20"/>
                <w:szCs w:val="20"/>
                <w:color w:val="auto"/>
              </w:rPr>
            </w:pPr>
            <w:r>
              <w:rPr>
                <w:rFonts w:ascii="Calibri" w:cs="Calibri" w:eastAsia="Calibri" w:hAnsi="Calibri"/>
                <w:sz w:val="14"/>
                <w:szCs w:val="14"/>
                <w:b w:val="1"/>
                <w:bCs w:val="1"/>
                <w:color w:val="auto"/>
              </w:rPr>
              <w:t>Total revenues</w:t>
            </w:r>
          </w:p>
        </w:tc>
        <w:tc>
          <w:tcPr>
            <w:tcW w:w="1220" w:type="dxa"/>
            <w:vAlign w:val="bottom"/>
          </w:tcPr>
          <w:p>
            <w:pPr>
              <w:jc w:val="right"/>
              <w:ind w:right="106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190,852</w:t>
            </w:r>
          </w:p>
        </w:tc>
        <w:tc>
          <w:tcPr>
            <w:tcW w:w="24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Calibri" w:cs="Calibri" w:eastAsia="Calibri" w:hAnsi="Calibri"/>
                <w:sz w:val="14"/>
                <w:szCs w:val="14"/>
                <w:b w:val="1"/>
                <w:bCs w:val="1"/>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161,063</w:t>
            </w:r>
          </w:p>
        </w:tc>
        <w:tc>
          <w:tcPr>
            <w:tcW w:w="12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Calibri" w:cs="Calibri" w:eastAsia="Calibri" w:hAnsi="Calibri"/>
                <w:sz w:val="14"/>
                <w:szCs w:val="14"/>
                <w:b w:val="1"/>
                <w:bCs w:val="1"/>
                <w:color w:val="auto"/>
                <w:w w:val="83"/>
              </w:rPr>
              <w:t>$</w:t>
            </w:r>
          </w:p>
        </w:tc>
        <w:tc>
          <w:tcPr>
            <w:tcW w:w="1400" w:type="dxa"/>
            <w:vAlign w:val="bottom"/>
          </w:tcPr>
          <w:p>
            <w:pPr>
              <w:jc w:val="right"/>
              <w:spacing w:after="0"/>
              <w:rPr>
                <w:sz w:val="20"/>
                <w:szCs w:val="20"/>
                <w:color w:val="auto"/>
              </w:rPr>
            </w:pPr>
            <w:r>
              <w:rPr>
                <w:rFonts w:ascii="Calibri" w:cs="Calibri" w:eastAsia="Calibri" w:hAnsi="Calibri"/>
                <w:sz w:val="14"/>
                <w:szCs w:val="14"/>
                <w:b w:val="1"/>
                <w:bCs w:val="1"/>
                <w:color w:val="auto"/>
              </w:rPr>
              <w:t>29,789</w:t>
            </w: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18 %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-162560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-162560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Total revenues increased $29.8 million, or 18%, during the three months ended March 31, 2024 compared to the three months ended March 31, 2023. The increase, which occurred in both our Marketplace and Resale segments, resulted primarily from an increase in orders processed.</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13" w:right="27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i w:val="1"/>
          <w:iCs w:val="1"/>
          <w:color w:val="auto"/>
        </w:rPr>
        <w:t>Marketplace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Marketplace revenues by event category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340" w:type="dxa"/>
            <w:vAlign w:val="bottom"/>
            <w:gridSpan w:val="4"/>
          </w:tcPr>
          <w:p>
            <w:pPr>
              <w:jc w:val="right"/>
              <w:ind w:right="348"/>
              <w:spacing w:after="0"/>
              <w:rPr>
                <w:sz w:val="20"/>
                <w:szCs w:val="20"/>
                <w:color w:val="auto"/>
              </w:rPr>
            </w:pPr>
            <w:r>
              <w:rPr>
                <w:rFonts w:ascii="Calibri" w:cs="Calibri" w:eastAsia="Calibri" w:hAnsi="Calibri"/>
                <w:sz w:val="14"/>
                <w:szCs w:val="14"/>
                <w:b w:val="1"/>
                <w:bCs w:val="1"/>
                <w:color w:val="auto"/>
              </w:rPr>
              <w:t>Three Months Ended 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vMerge w:val="restart"/>
          </w:tcPr>
          <w:p>
            <w:pPr>
              <w:jc w:val="right"/>
              <w:ind w:right="48"/>
              <w:spacing w:after="0"/>
              <w:rPr>
                <w:sz w:val="20"/>
                <w:szCs w:val="20"/>
                <w:color w:val="auto"/>
              </w:rPr>
            </w:pPr>
            <w:r>
              <w:rPr>
                <w:rFonts w:ascii="Calibri" w:cs="Calibri" w:eastAsia="Calibri" w:hAnsi="Calibri"/>
                <w:sz w:val="14"/>
                <w:szCs w:val="14"/>
                <w:b w:val="1"/>
                <w:bCs w:val="1"/>
                <w:color w:val="auto"/>
              </w:rPr>
              <w:t>Change</w:t>
            </w: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3"/>
            <w:vMerge w:val="restart"/>
          </w:tcPr>
          <w:p>
            <w:pPr>
              <w:jc w:val="right"/>
              <w:ind w:right="44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20" w:type="dxa"/>
            <w:vAlign w:val="bottom"/>
          </w:tcPr>
          <w:p>
            <w:pPr>
              <w:spacing w:after="0"/>
              <w:rPr>
                <w:sz w:val="14"/>
                <w:szCs w:val="14"/>
                <w:color w:val="auto"/>
              </w:rPr>
            </w:pPr>
          </w:p>
        </w:tc>
        <w:tc>
          <w:tcPr>
            <w:tcW w:w="1220" w:type="dxa"/>
            <w:vAlign w:val="bottom"/>
          </w:tcPr>
          <w:p>
            <w:pPr>
              <w:jc w:val="right"/>
              <w:ind w:right="68"/>
              <w:spacing w:after="0" w:line="164" w:lineRule="exact"/>
              <w:rPr>
                <w:sz w:val="20"/>
                <w:szCs w:val="20"/>
                <w:color w:val="auto"/>
              </w:rPr>
            </w:pPr>
            <w:r>
              <w:rPr>
                <w:rFonts w:ascii="Calibri" w:cs="Calibri" w:eastAsia="Calibri" w:hAnsi="Calibri"/>
                <w:sz w:val="14"/>
                <w:szCs w:val="14"/>
                <w:b w:val="1"/>
                <w:bCs w:val="1"/>
                <w:color w:val="auto"/>
              </w:rPr>
              <w:t>2024</w:t>
            </w:r>
          </w:p>
        </w:tc>
        <w:tc>
          <w:tcPr>
            <w:tcW w:w="640" w:type="dxa"/>
            <w:vAlign w:val="bottom"/>
          </w:tcPr>
          <w:p>
            <w:pPr>
              <w:spacing w:after="0"/>
              <w:rPr>
                <w:sz w:val="14"/>
                <w:szCs w:val="14"/>
                <w:color w:val="auto"/>
              </w:rPr>
            </w:pPr>
          </w:p>
        </w:tc>
        <w:tc>
          <w:tcPr>
            <w:tcW w:w="1480" w:type="dxa"/>
            <w:vAlign w:val="bottom"/>
            <w:gridSpan w:val="2"/>
          </w:tcPr>
          <w:p>
            <w:pPr>
              <w:jc w:val="right"/>
              <w:ind w:right="88"/>
              <w:spacing w:after="0" w:line="164" w:lineRule="exact"/>
              <w:rPr>
                <w:sz w:val="20"/>
                <w:szCs w:val="20"/>
                <w:color w:val="auto"/>
              </w:rPr>
            </w:pPr>
            <w:r>
              <w:rPr>
                <w:rFonts w:ascii="Calibri" w:cs="Calibri" w:eastAsia="Calibri" w:hAnsi="Calibri"/>
                <w:sz w:val="14"/>
                <w:szCs w:val="14"/>
                <w:b w:val="1"/>
                <w:bCs w:val="1"/>
                <w:color w:val="auto"/>
              </w:rPr>
              <w:t>2023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2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20"/>
              <w:spacing w:after="0"/>
              <w:rPr>
                <w:sz w:val="20"/>
                <w:szCs w:val="20"/>
                <w:color w:val="auto"/>
              </w:rPr>
            </w:pPr>
            <w:r>
              <w:rPr>
                <w:rFonts w:ascii="Calibri" w:cs="Calibri" w:eastAsia="Calibri" w:hAnsi="Calibri"/>
                <w:sz w:val="14"/>
                <w:szCs w:val="14"/>
                <w:color w:val="auto"/>
              </w:rPr>
              <w:t>Concerts</w:t>
            </w:r>
          </w:p>
        </w:tc>
        <w:tc>
          <w:tcPr>
            <w:tcW w:w="1220" w:type="dxa"/>
            <w:vAlign w:val="bottom"/>
          </w:tcPr>
          <w:p>
            <w:pPr>
              <w:jc w:val="right"/>
              <w:ind w:right="106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68,029</w:t>
            </w:r>
          </w:p>
        </w:tc>
        <w:tc>
          <w:tcPr>
            <w:tcW w:w="1480" w:type="dxa"/>
            <w:vAlign w:val="bottom"/>
            <w:gridSpan w:val="2"/>
          </w:tcPr>
          <w:p>
            <w:pPr>
              <w:jc w:val="right"/>
              <w:ind w:right="106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74,879</w:t>
            </w:r>
          </w:p>
        </w:tc>
        <w:tc>
          <w:tcPr>
            <w:tcW w:w="1360" w:type="dxa"/>
            <w:vAlign w:val="bottom"/>
            <w:gridSpan w:val="2"/>
          </w:tcPr>
          <w:p>
            <w:pPr>
              <w:jc w:val="right"/>
              <w:ind w:right="1088"/>
              <w:spacing w:after="0"/>
              <w:rPr>
                <w:sz w:val="20"/>
                <w:szCs w:val="20"/>
                <w:color w:val="auto"/>
              </w:rPr>
            </w:pPr>
            <w:r>
              <w:rPr>
                <w:rFonts w:ascii="Calibri" w:cs="Calibri" w:eastAsia="Calibri" w:hAnsi="Calibri"/>
                <w:sz w:val="14"/>
                <w:szCs w:val="14"/>
                <w:color w:val="auto"/>
              </w:rPr>
              <w:t>$</w:t>
            </w:r>
          </w:p>
        </w:tc>
        <w:tc>
          <w:tcPr>
            <w:tcW w:w="76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(6,850 )</w:t>
            </w:r>
          </w:p>
        </w:tc>
        <w:tc>
          <w:tcPr>
            <w:tcW w:w="1280" w:type="dxa"/>
            <w:vAlign w:val="bottom"/>
            <w:gridSpan w:val="3"/>
          </w:tcPr>
          <w:p>
            <w:pPr>
              <w:jc w:val="right"/>
              <w:spacing w:after="0"/>
              <w:rPr>
                <w:sz w:val="20"/>
                <w:szCs w:val="20"/>
                <w:color w:val="auto"/>
              </w:rPr>
            </w:pPr>
            <w:r>
              <w:rPr>
                <w:rFonts w:ascii="Calibri" w:cs="Calibri" w:eastAsia="Calibri" w:hAnsi="Calibri"/>
                <w:sz w:val="14"/>
                <w:szCs w:val="14"/>
                <w:color w:val="auto"/>
              </w:rPr>
              <w:t>(9 )%</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Sports</w:t>
            </w:r>
          </w:p>
        </w:tc>
        <w:tc>
          <w:tcPr>
            <w:tcW w:w="12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47,348</w:t>
            </w:r>
          </w:p>
        </w:tc>
        <w:tc>
          <w:tcPr>
            <w:tcW w:w="24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45,600</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1,748</w:t>
            </w:r>
          </w:p>
        </w:tc>
        <w:tc>
          <w:tcPr>
            <w:tcW w:w="2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4 %</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20"/>
              <w:spacing w:after="0"/>
              <w:rPr>
                <w:sz w:val="20"/>
                <w:szCs w:val="20"/>
                <w:color w:val="auto"/>
              </w:rPr>
            </w:pPr>
            <w:r>
              <w:rPr>
                <w:rFonts w:ascii="Calibri" w:cs="Calibri" w:eastAsia="Calibri" w:hAnsi="Calibri"/>
                <w:sz w:val="14"/>
                <w:szCs w:val="14"/>
                <w:color w:val="auto"/>
              </w:rPr>
              <w:t>Theater</w:t>
            </w: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37,907</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15,390</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22,517</w:t>
            </w:r>
          </w:p>
        </w:tc>
        <w:tc>
          <w:tcPr>
            <w:tcW w:w="2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alibri" w:cs="Calibri" w:eastAsia="Calibri" w:hAnsi="Calibri"/>
                <w:sz w:val="14"/>
                <w:szCs w:val="14"/>
                <w:color w:val="auto"/>
              </w:rPr>
              <w:t>146 %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w:t>
            </w:r>
          </w:p>
        </w:tc>
        <w:tc>
          <w:tcPr>
            <w:tcW w:w="12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6,728</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712</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6,016</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845 %</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92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220" w:type="dxa"/>
            <w:vAlign w:val="bottom"/>
          </w:tcPr>
          <w:p>
            <w:pPr>
              <w:jc w:val="right"/>
              <w:ind w:right="106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160,012</w:t>
            </w:r>
          </w:p>
        </w:tc>
        <w:tc>
          <w:tcPr>
            <w:tcW w:w="24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Calibri" w:cs="Calibri" w:eastAsia="Calibri" w:hAnsi="Calibri"/>
                <w:sz w:val="14"/>
                <w:szCs w:val="14"/>
                <w:b w:val="1"/>
                <w:bCs w:val="1"/>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136,581</w:t>
            </w:r>
          </w:p>
        </w:tc>
        <w:tc>
          <w:tcPr>
            <w:tcW w:w="120" w:type="dxa"/>
            <w:vAlign w:val="bottom"/>
          </w:tcPr>
          <w:p>
            <w:pPr>
              <w:spacing w:after="0"/>
              <w:rPr>
                <w:sz w:val="17"/>
                <w:szCs w:val="17"/>
                <w:color w:val="auto"/>
              </w:rPr>
            </w:pPr>
          </w:p>
        </w:tc>
        <w:tc>
          <w:tcPr>
            <w:tcW w:w="1240" w:type="dxa"/>
            <w:vAlign w:val="bottom"/>
          </w:tcPr>
          <w:p>
            <w:pPr>
              <w:jc w:val="right"/>
              <w:ind w:right="1088"/>
              <w:spacing w:after="0"/>
              <w:rPr>
                <w:sz w:val="20"/>
                <w:szCs w:val="20"/>
                <w:color w:val="auto"/>
              </w:rPr>
            </w:pPr>
            <w:r>
              <w:rPr>
                <w:rFonts w:ascii="Calibri" w:cs="Calibri" w:eastAsia="Calibri" w:hAnsi="Calibri"/>
                <w:sz w:val="14"/>
                <w:szCs w:val="14"/>
                <w:b w:val="1"/>
                <w:bCs w:val="1"/>
                <w:color w:val="auto"/>
                <w:w w:val="83"/>
              </w:rPr>
              <w:t>$</w:t>
            </w:r>
          </w:p>
        </w:tc>
        <w:tc>
          <w:tcPr>
            <w:tcW w:w="540" w:type="dxa"/>
            <w:vAlign w:val="bottom"/>
          </w:tcPr>
          <w:p>
            <w:pPr>
              <w:jc w:val="right"/>
              <w:spacing w:after="0"/>
              <w:rPr>
                <w:sz w:val="20"/>
                <w:szCs w:val="20"/>
                <w:color w:val="auto"/>
              </w:rPr>
            </w:pPr>
            <w:r>
              <w:rPr>
                <w:rFonts w:ascii="Calibri" w:cs="Calibri" w:eastAsia="Calibri" w:hAnsi="Calibri"/>
                <w:sz w:val="14"/>
                <w:szCs w:val="14"/>
                <w:b w:val="1"/>
                <w:bCs w:val="1"/>
                <w:color w:val="auto"/>
              </w:rPr>
              <w:t>23,431</w:t>
            </w: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17 %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-162560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-162560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Marketplace revenues increased $23.4 million, or 17%, during the three months ended March 31, 2024 compared to the three months ended March 31, 2023. The increase resulted primarily from an increase in the number of orders processed, partcularly for theater events, and that the three months ended March 31, 2024 included orders processed through Vegas.com and Wavedash.</w:t>
      </w:r>
    </w:p>
    <w:p>
      <w:pPr>
        <w:spacing w:after="0" w:line="111"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Total Marketplace orders increased 0.6 million, or 26%, during the three months ended March 31, 2024 compared to the three months ended March 31, 2023.</w:t>
      </w:r>
    </w:p>
    <w:p>
      <w:pPr>
        <w:spacing w:after="0" w:line="110"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Cancellaton charges, which are recognized as a reducton to revenues, were $9.2 million and $3.6 million for the three months ended March 31, 2024 and 2023, respectvely. The increase was primarily due to lower customer credit breakage, as well as an increase in cancellatons due primarily to the three months ended March 31, 2024 including cancellatons through Vegas.com and Wavedash.</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Marketplace revenues by business model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340" w:type="dxa"/>
            <w:vAlign w:val="bottom"/>
            <w:gridSpan w:val="4"/>
          </w:tcPr>
          <w:p>
            <w:pPr>
              <w:jc w:val="right"/>
              <w:ind w:right="348"/>
              <w:spacing w:after="0"/>
              <w:rPr>
                <w:sz w:val="20"/>
                <w:szCs w:val="20"/>
                <w:color w:val="auto"/>
              </w:rPr>
            </w:pPr>
            <w:r>
              <w:rPr>
                <w:rFonts w:ascii="Calibri" w:cs="Calibri" w:eastAsia="Calibri" w:hAnsi="Calibri"/>
                <w:sz w:val="14"/>
                <w:szCs w:val="14"/>
                <w:b w:val="1"/>
                <w:bCs w:val="1"/>
                <w:color w:val="auto"/>
              </w:rPr>
              <w:t>Three Months Ended 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gridSpan w:val="2"/>
            <w:vMerge w:val="restart"/>
          </w:tcPr>
          <w:p>
            <w:pPr>
              <w:jc w:val="right"/>
              <w:ind w:right="880"/>
              <w:spacing w:after="0"/>
              <w:rPr>
                <w:sz w:val="20"/>
                <w:szCs w:val="20"/>
                <w:color w:val="auto"/>
              </w:rPr>
            </w:pPr>
            <w:r>
              <w:rPr>
                <w:rFonts w:ascii="Calibri" w:cs="Calibri" w:eastAsia="Calibri" w:hAnsi="Calibri"/>
                <w:sz w:val="14"/>
                <w:szCs w:val="14"/>
                <w:b w:val="1"/>
                <w:bCs w:val="1"/>
                <w:color w:val="auto"/>
              </w:rPr>
              <w:t>Change</w:t>
            </w:r>
          </w:p>
        </w:tc>
        <w:tc>
          <w:tcPr>
            <w:tcW w:w="1280" w:type="dxa"/>
            <w:vAlign w:val="bottom"/>
            <w:gridSpan w:val="3"/>
            <w:vMerge w:val="restart"/>
          </w:tcPr>
          <w:p>
            <w:pPr>
              <w:jc w:val="right"/>
              <w:ind w:right="44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20" w:type="dxa"/>
            <w:vAlign w:val="bottom"/>
          </w:tcPr>
          <w:p>
            <w:pPr>
              <w:spacing w:after="0"/>
              <w:rPr>
                <w:sz w:val="14"/>
                <w:szCs w:val="14"/>
                <w:color w:val="auto"/>
              </w:rPr>
            </w:pPr>
          </w:p>
        </w:tc>
        <w:tc>
          <w:tcPr>
            <w:tcW w:w="1220" w:type="dxa"/>
            <w:vAlign w:val="bottom"/>
          </w:tcPr>
          <w:p>
            <w:pPr>
              <w:jc w:val="right"/>
              <w:ind w:right="68"/>
              <w:spacing w:after="0" w:line="164" w:lineRule="exact"/>
              <w:rPr>
                <w:sz w:val="20"/>
                <w:szCs w:val="20"/>
                <w:color w:val="auto"/>
              </w:rPr>
            </w:pPr>
            <w:r>
              <w:rPr>
                <w:rFonts w:ascii="Calibri" w:cs="Calibri" w:eastAsia="Calibri" w:hAnsi="Calibri"/>
                <w:sz w:val="14"/>
                <w:szCs w:val="14"/>
                <w:b w:val="1"/>
                <w:bCs w:val="1"/>
                <w:color w:val="auto"/>
              </w:rPr>
              <w:t>2024</w:t>
            </w:r>
          </w:p>
        </w:tc>
        <w:tc>
          <w:tcPr>
            <w:tcW w:w="640" w:type="dxa"/>
            <w:vAlign w:val="bottom"/>
          </w:tcPr>
          <w:p>
            <w:pPr>
              <w:spacing w:after="0"/>
              <w:rPr>
                <w:sz w:val="14"/>
                <w:szCs w:val="14"/>
                <w:color w:val="auto"/>
              </w:rPr>
            </w:pPr>
          </w:p>
        </w:tc>
        <w:tc>
          <w:tcPr>
            <w:tcW w:w="1480" w:type="dxa"/>
            <w:vAlign w:val="bottom"/>
            <w:gridSpan w:val="2"/>
          </w:tcPr>
          <w:p>
            <w:pPr>
              <w:jc w:val="right"/>
              <w:ind w:right="88"/>
              <w:spacing w:after="0" w:line="164" w:lineRule="exact"/>
              <w:rPr>
                <w:sz w:val="20"/>
                <w:szCs w:val="20"/>
                <w:color w:val="auto"/>
              </w:rPr>
            </w:pPr>
            <w:r>
              <w:rPr>
                <w:rFonts w:ascii="Calibri" w:cs="Calibri" w:eastAsia="Calibri" w:hAnsi="Calibri"/>
                <w:sz w:val="14"/>
                <w:szCs w:val="14"/>
                <w:b w:val="1"/>
                <w:bCs w:val="1"/>
                <w:color w:val="auto"/>
              </w:rPr>
              <w:t>2023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Revenues:</w:t>
            </w:r>
          </w:p>
        </w:tc>
        <w:tc>
          <w:tcPr>
            <w:tcW w:w="12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20"/>
              <w:spacing w:after="0"/>
              <w:rPr>
                <w:sz w:val="20"/>
                <w:szCs w:val="20"/>
                <w:color w:val="auto"/>
              </w:rPr>
            </w:pPr>
            <w:r>
              <w:rPr>
                <w:rFonts w:ascii="Calibri" w:cs="Calibri" w:eastAsia="Calibri" w:hAnsi="Calibri"/>
                <w:sz w:val="14"/>
                <w:szCs w:val="14"/>
                <w:color w:val="auto"/>
              </w:rPr>
              <w:t>Owned Propertes</w:t>
            </w:r>
          </w:p>
        </w:tc>
        <w:tc>
          <w:tcPr>
            <w:tcW w:w="1220" w:type="dxa"/>
            <w:vAlign w:val="bottom"/>
          </w:tcPr>
          <w:p>
            <w:pPr>
              <w:jc w:val="right"/>
              <w:ind w:right="106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126,571</w:t>
            </w:r>
          </w:p>
        </w:tc>
        <w:tc>
          <w:tcPr>
            <w:tcW w:w="1480" w:type="dxa"/>
            <w:vAlign w:val="bottom"/>
            <w:gridSpan w:val="2"/>
          </w:tcPr>
          <w:p>
            <w:pPr>
              <w:jc w:val="right"/>
              <w:ind w:right="106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102,815</w:t>
            </w:r>
          </w:p>
        </w:tc>
        <w:tc>
          <w:tcPr>
            <w:tcW w:w="500" w:type="dxa"/>
            <w:vAlign w:val="bottom"/>
            <w:gridSpan w:val="2"/>
          </w:tcPr>
          <w:p>
            <w:pPr>
              <w:jc w:val="right"/>
              <w:ind w:right="228"/>
              <w:spacing w:after="0"/>
              <w:rPr>
                <w:sz w:val="20"/>
                <w:szCs w:val="20"/>
                <w:color w:val="auto"/>
              </w:rPr>
            </w:pPr>
            <w:r>
              <w:rPr>
                <w:rFonts w:ascii="Calibri" w:cs="Calibri" w:eastAsia="Calibri" w:hAnsi="Calibri"/>
                <w:sz w:val="14"/>
                <w:szCs w:val="14"/>
                <w:color w:val="auto"/>
              </w:rPr>
              <w:t>$</w:t>
            </w:r>
          </w:p>
        </w:tc>
        <w:tc>
          <w:tcPr>
            <w:tcW w:w="1400" w:type="dxa"/>
            <w:vAlign w:val="bottom"/>
          </w:tcPr>
          <w:p>
            <w:pPr>
              <w:jc w:val="right"/>
              <w:spacing w:after="0"/>
              <w:rPr>
                <w:sz w:val="20"/>
                <w:szCs w:val="20"/>
                <w:color w:val="auto"/>
              </w:rPr>
            </w:pPr>
            <w:r>
              <w:rPr>
                <w:rFonts w:ascii="Calibri" w:cs="Calibri" w:eastAsia="Calibri" w:hAnsi="Calibri"/>
                <w:sz w:val="14"/>
                <w:szCs w:val="14"/>
                <w:color w:val="auto"/>
              </w:rPr>
              <w:t>23,756</w:t>
            </w:r>
          </w:p>
        </w:tc>
        <w:tc>
          <w:tcPr>
            <w:tcW w:w="2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alibri" w:cs="Calibri" w:eastAsia="Calibri" w:hAnsi="Calibri"/>
                <w:sz w:val="14"/>
                <w:szCs w:val="14"/>
                <w:color w:val="auto"/>
              </w:rPr>
              <w:t>23 %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Calibri" w:cs="Calibri" w:eastAsia="Calibri" w:hAnsi="Calibri"/>
                <w:sz w:val="14"/>
                <w:szCs w:val="14"/>
                <w:color w:val="auto"/>
              </w:rPr>
              <w:t>Private Label</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33,441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33,766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(325 )</w:t>
            </w:r>
          </w:p>
        </w:tc>
        <w:tc>
          <w:tcPr>
            <w:tcW w:w="1280" w:type="dxa"/>
            <w:vAlign w:val="bottom"/>
            <w:gridSpan w:val="3"/>
          </w:tcPr>
          <w:p>
            <w:pPr>
              <w:jc w:val="right"/>
              <w:spacing w:after="0"/>
              <w:rPr>
                <w:sz w:val="20"/>
                <w:szCs w:val="20"/>
                <w:color w:val="auto"/>
              </w:rPr>
            </w:pPr>
            <w:r>
              <w:rPr>
                <w:rFonts w:ascii="Calibri" w:cs="Calibri" w:eastAsia="Calibri" w:hAnsi="Calibri"/>
                <w:sz w:val="14"/>
                <w:szCs w:val="14"/>
                <w:color w:val="auto"/>
              </w:rPr>
              <w:t>(1 )%</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220" w:type="dxa"/>
            <w:vAlign w:val="bottom"/>
          </w:tcPr>
          <w:p>
            <w:pPr>
              <w:jc w:val="right"/>
              <w:ind w:right="1068"/>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160,012</w:t>
            </w:r>
          </w:p>
        </w:tc>
        <w:tc>
          <w:tcPr>
            <w:tcW w:w="24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Calibri" w:cs="Calibri" w:eastAsia="Calibri" w:hAnsi="Calibri"/>
                <w:sz w:val="14"/>
                <w:szCs w:val="14"/>
                <w:b w:val="1"/>
                <w:bCs w:val="1"/>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136,581</w:t>
            </w:r>
          </w:p>
        </w:tc>
        <w:tc>
          <w:tcPr>
            <w:tcW w:w="12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Calibri" w:cs="Calibri" w:eastAsia="Calibri" w:hAnsi="Calibri"/>
                <w:sz w:val="14"/>
                <w:szCs w:val="14"/>
                <w:b w:val="1"/>
                <w:bCs w:val="1"/>
                <w:color w:val="auto"/>
                <w:w w:val="83"/>
              </w:rPr>
              <w:t>$</w:t>
            </w:r>
          </w:p>
        </w:tc>
        <w:tc>
          <w:tcPr>
            <w:tcW w:w="1400" w:type="dxa"/>
            <w:vAlign w:val="bottom"/>
          </w:tcPr>
          <w:p>
            <w:pPr>
              <w:jc w:val="right"/>
              <w:spacing w:after="0"/>
              <w:rPr>
                <w:sz w:val="20"/>
                <w:szCs w:val="20"/>
                <w:color w:val="auto"/>
              </w:rPr>
            </w:pPr>
            <w:r>
              <w:rPr>
                <w:rFonts w:ascii="Calibri" w:cs="Calibri" w:eastAsia="Calibri" w:hAnsi="Calibri"/>
                <w:sz w:val="14"/>
                <w:szCs w:val="14"/>
                <w:b w:val="1"/>
                <w:bCs w:val="1"/>
                <w:color w:val="auto"/>
              </w:rPr>
              <w:t>23,431</w:t>
            </w:r>
          </w:p>
        </w:tc>
        <w:tc>
          <w:tcPr>
            <w:tcW w:w="220" w:type="dxa"/>
            <w:vAlign w:val="bottom"/>
          </w:tcPr>
          <w:p>
            <w:pPr>
              <w:spacing w:after="0"/>
              <w:rPr>
                <w:sz w:val="17"/>
                <w:szCs w:val="17"/>
                <w:color w:val="auto"/>
              </w:rPr>
            </w:pPr>
          </w:p>
        </w:tc>
        <w:tc>
          <w:tcPr>
            <w:tcW w:w="1280" w:type="dxa"/>
            <w:vAlign w:val="bottom"/>
            <w:gridSpan w:val="3"/>
          </w:tcPr>
          <w:p>
            <w:pPr>
              <w:jc w:val="right"/>
              <w:ind w:right="40"/>
              <w:spacing w:after="0"/>
              <w:rPr>
                <w:sz w:val="20"/>
                <w:szCs w:val="20"/>
                <w:color w:val="auto"/>
              </w:rPr>
            </w:pPr>
            <w:r>
              <w:rPr>
                <w:rFonts w:ascii="Calibri" w:cs="Calibri" w:eastAsia="Calibri" w:hAnsi="Calibri"/>
                <w:sz w:val="14"/>
                <w:szCs w:val="14"/>
                <w:b w:val="1"/>
                <w:bCs w:val="1"/>
                <w:color w:val="auto"/>
              </w:rPr>
              <w:t>17 %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6"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The increase in revenue from Owned Propertes during the three months ended March 31, 2024 compared to the three months ended March 31, 2023 resulted primarily from an increase in the number of orders processed and that the three months ended March 31, 2024 included orders processed through Vegas.com and Wavedash.</w:t>
      </w:r>
    </w:p>
    <w:p>
      <w:pPr>
        <w:spacing w:after="0" w:line="111" w:lineRule="exact"/>
        <w:rPr>
          <w:sz w:val="20"/>
          <w:szCs w:val="20"/>
          <w:color w:val="auto"/>
        </w:rPr>
      </w:pPr>
    </w:p>
    <w:p>
      <w:pPr>
        <w:jc w:val="both"/>
        <w:ind w:right="60"/>
        <w:spacing w:after="0" w:line="258" w:lineRule="auto"/>
        <w:rPr>
          <w:sz w:val="20"/>
          <w:szCs w:val="20"/>
          <w:color w:val="auto"/>
        </w:rPr>
      </w:pPr>
      <w:r>
        <w:rPr>
          <w:rFonts w:ascii="Calibri" w:cs="Calibri" w:eastAsia="Calibri" w:hAnsi="Calibri"/>
          <w:sz w:val="17"/>
          <w:szCs w:val="17"/>
          <w:color w:val="auto"/>
        </w:rPr>
        <w:t>The decrease in revenue from Private Label during the three months ended March 31, 2024 compared to the three months ended March 31, 2023 resulted primarily from the negatve impact to revenue of customer credit breakage, which more than ofset an increase in revenue from higher order volumes.</w:t>
      </w:r>
    </w:p>
    <w:p>
      <w:pPr>
        <w:spacing w:after="0" w:line="94"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In our Marketplace segment, we also earn referral fee revenue by ofering event tcket insurance to tcket buyers using a third-party insurance provider. Our referral fee revenue was $6.8 million and $7.2 million during the three months ended March 31, 2024 and 2023, respectvely. The decrease was primarily due to a decline in the insurance atachment rate to orders.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Resale revenues increased $6.4 million, or 26%, during the three months ended March 31, 2024 compared to the three months ended March 31, 2023. The increase resulted primarily from higher order volume.</w:t>
      </w:r>
    </w:p>
    <w:p>
      <w:pPr>
        <w:spacing w:after="0" w:line="110"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Total Resale orders increased less than 0.1 million, or 14%, during the three months ended March 31, 2024 compared to the three months ended March 31, 2023.</w:t>
      </w:r>
    </w:p>
    <w:p>
      <w:pPr>
        <w:spacing w:after="0" w:line="110"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Cancellaton charges, which are classifed as a reducton to revenues, negatvely impacted Resale revenues by $0.3 million for the three months ended March 31, 2024 compared to $0.5 million for the three months ended March 31, 2023. The decrease resulted primarily from fewer cancellatons.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8" w:right="27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color w:val="auto"/>
        </w:rPr>
        <w:t>Cost of Revenues (exclusive of Depreciaton and Amortzaton)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cost of revenues by segment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80" w:type="dxa"/>
            <w:vAlign w:val="bottom"/>
            <w:gridSpan w:val="3"/>
          </w:tcPr>
          <w:p>
            <w:pPr>
              <w:jc w:val="right"/>
              <w:ind w:right="328"/>
              <w:spacing w:after="0"/>
              <w:rPr>
                <w:sz w:val="20"/>
                <w:szCs w:val="20"/>
                <w:color w:val="auto"/>
              </w:rPr>
            </w:pPr>
            <w:r>
              <w:rPr>
                <w:rFonts w:ascii="Calibri" w:cs="Calibri" w:eastAsia="Calibri" w:hAnsi="Calibri"/>
                <w:sz w:val="14"/>
                <w:szCs w:val="14"/>
                <w:b w:val="1"/>
                <w:bCs w:val="1"/>
                <w:color w:val="auto"/>
              </w:rPr>
              <w:t>Three Months Ended March 31,</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vMerge w:val="restart"/>
          </w:tcPr>
          <w:p>
            <w:pPr>
              <w:jc w:val="right"/>
              <w:ind w:right="46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1900" w:type="dxa"/>
            <w:vAlign w:val="bottom"/>
            <w:gridSpan w:val="3"/>
            <w:vMerge w:val="restart"/>
          </w:tcPr>
          <w:p>
            <w:pPr>
              <w:ind w:left="60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640" w:type="dxa"/>
            <w:vAlign w:val="bottom"/>
          </w:tcPr>
          <w:p>
            <w:pPr>
              <w:spacing w:after="0"/>
              <w:rPr>
                <w:sz w:val="14"/>
                <w:szCs w:val="14"/>
                <w:color w:val="auto"/>
              </w:rPr>
            </w:pPr>
          </w:p>
        </w:tc>
        <w:tc>
          <w:tcPr>
            <w:tcW w:w="1640" w:type="dxa"/>
            <w:vAlign w:val="bottom"/>
            <w:gridSpan w:val="2"/>
          </w:tcPr>
          <w:p>
            <w:pPr>
              <w:jc w:val="right"/>
              <w:ind w:right="108"/>
              <w:spacing w:after="0" w:line="164" w:lineRule="exact"/>
              <w:rPr>
                <w:sz w:val="20"/>
                <w:szCs w:val="20"/>
                <w:color w:val="auto"/>
              </w:rPr>
            </w:pPr>
            <w:r>
              <w:rPr>
                <w:rFonts w:ascii="Calibri" w:cs="Calibri" w:eastAsia="Calibri" w:hAnsi="Calibri"/>
                <w:sz w:val="14"/>
                <w:szCs w:val="14"/>
                <w:b w:val="1"/>
                <w:bCs w:val="1"/>
                <w:color w:val="auto"/>
              </w:rPr>
              <w:t>2023</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40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Cost of revenues:</w:t>
            </w:r>
          </w:p>
        </w:tc>
        <w:tc>
          <w:tcPr>
            <w:tcW w:w="9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980" w:type="dxa"/>
            <w:vAlign w:val="bottom"/>
          </w:tcPr>
          <w:p>
            <w:pPr>
              <w:jc w:val="right"/>
              <w:ind w:right="808"/>
              <w:spacing w:after="0"/>
              <w:rPr>
                <w:sz w:val="20"/>
                <w:szCs w:val="20"/>
                <w:color w:val="auto"/>
              </w:rPr>
            </w:pPr>
            <w:r>
              <w:rPr>
                <w:rFonts w:ascii="Calibri" w:cs="Calibri" w:eastAsia="Calibri" w:hAnsi="Calibri"/>
                <w:sz w:val="14"/>
                <w:szCs w:val="14"/>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26,141</w:t>
            </w:r>
          </w:p>
        </w:tc>
        <w:tc>
          <w:tcPr>
            <w:tcW w:w="1640" w:type="dxa"/>
            <w:vAlign w:val="bottom"/>
            <w:gridSpan w:val="2"/>
          </w:tcPr>
          <w:p>
            <w:pPr>
              <w:jc w:val="right"/>
              <w:ind w:right="1068"/>
              <w:spacing w:after="0"/>
              <w:rPr>
                <w:sz w:val="20"/>
                <w:szCs w:val="20"/>
                <w:color w:val="auto"/>
              </w:rPr>
            </w:pPr>
            <w:r>
              <w:rPr>
                <w:rFonts w:ascii="Calibri" w:cs="Calibri" w:eastAsia="Calibri" w:hAnsi="Calibri"/>
                <w:sz w:val="14"/>
                <w:szCs w:val="14"/>
                <w:color w:val="auto"/>
              </w:rPr>
              <w:t>$</w:t>
            </w:r>
          </w:p>
        </w:tc>
        <w:tc>
          <w:tcPr>
            <w:tcW w:w="580" w:type="dxa"/>
            <w:vAlign w:val="bottom"/>
          </w:tcPr>
          <w:p>
            <w:pPr>
              <w:jc w:val="right"/>
              <w:spacing w:after="0"/>
              <w:rPr>
                <w:sz w:val="20"/>
                <w:szCs w:val="20"/>
                <w:color w:val="auto"/>
              </w:rPr>
            </w:pPr>
            <w:r>
              <w:rPr>
                <w:rFonts w:ascii="Calibri" w:cs="Calibri" w:eastAsia="Calibri" w:hAnsi="Calibri"/>
                <w:sz w:val="14"/>
                <w:szCs w:val="14"/>
                <w:color w:val="auto"/>
              </w:rPr>
              <w:t>20,060</w:t>
            </w:r>
          </w:p>
        </w:tc>
        <w:tc>
          <w:tcPr>
            <w:tcW w:w="700" w:type="dxa"/>
            <w:vAlign w:val="bottom"/>
            <w:gridSpan w:val="2"/>
          </w:tcPr>
          <w:p>
            <w:pPr>
              <w:jc w:val="right"/>
              <w:ind w:right="168"/>
              <w:spacing w:after="0"/>
              <w:rPr>
                <w:sz w:val="20"/>
                <w:szCs w:val="20"/>
                <w:color w:val="auto"/>
              </w:rPr>
            </w:pPr>
            <w:r>
              <w:rPr>
                <w:rFonts w:ascii="Calibri" w:cs="Calibri" w:eastAsia="Calibri" w:hAnsi="Calibri"/>
                <w:sz w:val="14"/>
                <w:szCs w:val="14"/>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6,081</w:t>
            </w:r>
          </w:p>
        </w:tc>
        <w:tc>
          <w:tcPr>
            <w:tcW w:w="2100" w:type="dxa"/>
            <w:vAlign w:val="bottom"/>
            <w:gridSpan w:val="3"/>
          </w:tcPr>
          <w:p>
            <w:pPr>
              <w:jc w:val="right"/>
              <w:spacing w:after="0"/>
              <w:rPr>
                <w:sz w:val="20"/>
                <w:szCs w:val="20"/>
                <w:color w:val="auto"/>
              </w:rPr>
            </w:pPr>
            <w:r>
              <w:rPr>
                <w:rFonts w:ascii="Calibri" w:cs="Calibri" w:eastAsia="Calibri" w:hAnsi="Calibri"/>
                <w:sz w:val="14"/>
                <w:szCs w:val="14"/>
                <w:color w:val="auto"/>
              </w:rPr>
              <w:t>30 %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9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23,442</w:t>
            </w:r>
          </w:p>
        </w:tc>
        <w:tc>
          <w:tcPr>
            <w:tcW w:w="4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17,700</w:t>
            </w:r>
          </w:p>
        </w:tc>
        <w:tc>
          <w:tcPr>
            <w:tcW w:w="3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5,742</w:t>
            </w:r>
          </w:p>
        </w:tc>
        <w:tc>
          <w:tcPr>
            <w:tcW w:w="22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32 %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40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Pr>
          <w:p>
            <w:pPr>
              <w:ind w:left="20"/>
              <w:spacing w:after="0"/>
              <w:rPr>
                <w:sz w:val="20"/>
                <w:szCs w:val="20"/>
                <w:color w:val="auto"/>
              </w:rPr>
            </w:pPr>
            <w:r>
              <w:rPr>
                <w:rFonts w:ascii="Calibri" w:cs="Calibri" w:eastAsia="Calibri" w:hAnsi="Calibri"/>
                <w:sz w:val="14"/>
                <w:szCs w:val="14"/>
                <w:b w:val="1"/>
                <w:bCs w:val="1"/>
                <w:color w:val="auto"/>
              </w:rPr>
              <w:t>Total cost of revenues</w:t>
            </w:r>
          </w:p>
        </w:tc>
        <w:tc>
          <w:tcPr>
            <w:tcW w:w="980" w:type="dxa"/>
            <w:vAlign w:val="bottom"/>
          </w:tcPr>
          <w:p>
            <w:pPr>
              <w:jc w:val="right"/>
              <w:ind w:right="808"/>
              <w:spacing w:after="0"/>
              <w:rPr>
                <w:sz w:val="20"/>
                <w:szCs w:val="20"/>
                <w:color w:val="auto"/>
              </w:rPr>
            </w:pPr>
            <w:r>
              <w:rPr>
                <w:rFonts w:ascii="Calibri" w:cs="Calibri" w:eastAsia="Calibri" w:hAnsi="Calibri"/>
                <w:sz w:val="14"/>
                <w:szCs w:val="14"/>
                <w:b w:val="1"/>
                <w:bCs w:val="1"/>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49,583</w:t>
            </w:r>
          </w:p>
        </w:tc>
        <w:tc>
          <w:tcPr>
            <w:tcW w:w="420" w:type="dxa"/>
            <w:vAlign w:val="bottom"/>
          </w:tcPr>
          <w:p>
            <w:pPr>
              <w:spacing w:after="0"/>
              <w:rPr>
                <w:sz w:val="17"/>
                <w:szCs w:val="17"/>
                <w:color w:val="auto"/>
              </w:rPr>
            </w:pPr>
          </w:p>
        </w:tc>
        <w:tc>
          <w:tcPr>
            <w:tcW w:w="1220" w:type="dxa"/>
            <w:vAlign w:val="bottom"/>
          </w:tcPr>
          <w:p>
            <w:pPr>
              <w:jc w:val="right"/>
              <w:ind w:right="1068"/>
              <w:spacing w:after="0"/>
              <w:rPr>
                <w:sz w:val="20"/>
                <w:szCs w:val="20"/>
                <w:color w:val="auto"/>
              </w:rPr>
            </w:pPr>
            <w:r>
              <w:rPr>
                <w:rFonts w:ascii="Calibri" w:cs="Calibri" w:eastAsia="Calibri" w:hAnsi="Calibri"/>
                <w:sz w:val="14"/>
                <w:szCs w:val="14"/>
                <w:b w:val="1"/>
                <w:bCs w:val="1"/>
                <w:color w:val="auto"/>
                <w:w w:val="83"/>
              </w:rPr>
              <w:t>$</w:t>
            </w:r>
          </w:p>
        </w:tc>
        <w:tc>
          <w:tcPr>
            <w:tcW w:w="580" w:type="dxa"/>
            <w:vAlign w:val="bottom"/>
          </w:tcPr>
          <w:p>
            <w:pPr>
              <w:jc w:val="right"/>
              <w:spacing w:after="0"/>
              <w:rPr>
                <w:sz w:val="20"/>
                <w:szCs w:val="20"/>
                <w:color w:val="auto"/>
              </w:rPr>
            </w:pPr>
            <w:r>
              <w:rPr>
                <w:rFonts w:ascii="Calibri" w:cs="Calibri" w:eastAsia="Calibri" w:hAnsi="Calibri"/>
                <w:sz w:val="14"/>
                <w:szCs w:val="14"/>
                <w:b w:val="1"/>
                <w:bCs w:val="1"/>
                <w:color w:val="auto"/>
              </w:rPr>
              <w:t>37,760</w:t>
            </w:r>
          </w:p>
        </w:tc>
        <w:tc>
          <w:tcPr>
            <w:tcW w:w="38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Calibri" w:cs="Calibri" w:eastAsia="Calibri" w:hAnsi="Calibri"/>
                <w:sz w:val="14"/>
                <w:szCs w:val="14"/>
                <w:b w:val="1"/>
                <w:bCs w:val="1"/>
                <w:color w:val="auto"/>
                <w:w w:val="83"/>
              </w:rPr>
              <w:t>$</w:t>
            </w:r>
          </w:p>
        </w:tc>
        <w:tc>
          <w:tcPr>
            <w:tcW w:w="1200" w:type="dxa"/>
            <w:vAlign w:val="bottom"/>
          </w:tcPr>
          <w:p>
            <w:pPr>
              <w:jc w:val="right"/>
              <w:spacing w:after="0"/>
              <w:rPr>
                <w:sz w:val="20"/>
                <w:szCs w:val="20"/>
                <w:color w:val="auto"/>
              </w:rPr>
            </w:pPr>
            <w:r>
              <w:rPr>
                <w:rFonts w:ascii="Calibri" w:cs="Calibri" w:eastAsia="Calibri" w:hAnsi="Calibri"/>
                <w:sz w:val="14"/>
                <w:szCs w:val="14"/>
                <w:b w:val="1"/>
                <w:bCs w:val="1"/>
                <w:color w:val="auto"/>
              </w:rPr>
              <w:t>11,823</w:t>
            </w:r>
          </w:p>
        </w:tc>
        <w:tc>
          <w:tcPr>
            <w:tcW w:w="22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31 %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-162560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-162560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Total cost of revenues increased $11.8 million, or 31%, for the three months ended March 31, 2024 compared to the three months ended March 31, 2023.</w:t>
      </w:r>
    </w:p>
    <w:p>
      <w:pPr>
        <w:spacing w:after="0" w:line="235" w:lineRule="auto"/>
        <w:rPr>
          <w:sz w:val="20"/>
          <w:szCs w:val="20"/>
          <w:color w:val="auto"/>
        </w:rPr>
      </w:pPr>
      <w:r>
        <w:rPr>
          <w:rFonts w:ascii="Calibri" w:cs="Calibri" w:eastAsia="Calibri" w:hAnsi="Calibri"/>
          <w:sz w:val="18"/>
          <w:szCs w:val="18"/>
          <w:color w:val="auto"/>
        </w:rPr>
        <w:t>The increase resulted primarily from higher revenues in both our Marketplace and Resale segments.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09"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Marketplace cost of revenues increased $6.1 million, or 30%, for the three months ended March 31, 2024 compared to the three months ended March 31, 2023. The increase was relatvely consistent with the 20% increase in Marketplace GOV for the same period.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Resale cost of revenues increased $5.7 million, or 32%, for the three months ended March 31, 2024 compared to the three months ended March 31, 2023.</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increase was relatvely consistent with the 26% increase in Resale revenues for the same period.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Marketng and Selling</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marketng and selling expenses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900" w:type="dxa"/>
            <w:vAlign w:val="bottom"/>
            <w:gridSpan w:val="4"/>
          </w:tcPr>
          <w:p>
            <w:pPr>
              <w:jc w:val="right"/>
              <w:ind w:right="168"/>
              <w:spacing w:after="0"/>
              <w:rPr>
                <w:sz w:val="20"/>
                <w:szCs w:val="20"/>
                <w:color w:val="auto"/>
              </w:rPr>
            </w:pPr>
            <w:r>
              <w:rPr>
                <w:rFonts w:ascii="Calibri" w:cs="Calibri" w:eastAsia="Calibri" w:hAnsi="Calibri"/>
                <w:sz w:val="14"/>
                <w:szCs w:val="14"/>
                <w:b w:val="1"/>
                <w:bCs w:val="1"/>
                <w:color w:val="auto"/>
              </w:rPr>
              <w:t>Three Months Ended March 31,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vMerge w:val="restart"/>
          </w:tcPr>
          <w:p>
            <w:pPr>
              <w:jc w:val="right"/>
              <w:ind w:right="46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
                <w:szCs w:val="2"/>
                <w:color w:val="auto"/>
              </w:rPr>
            </w:pPr>
          </w:p>
        </w:tc>
        <w:tc>
          <w:tcPr>
            <w:tcW w:w="2000" w:type="dxa"/>
            <w:vAlign w:val="bottom"/>
            <w:gridSpan w:val="3"/>
            <w:vMerge w:val="restart"/>
          </w:tcPr>
          <w:p>
            <w:pPr>
              <w:ind w:left="64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060" w:type="dxa"/>
            <w:vAlign w:val="bottom"/>
          </w:tcPr>
          <w:p>
            <w:pPr>
              <w:jc w:val="right"/>
              <w:ind w:right="48"/>
              <w:spacing w:after="0" w:line="164" w:lineRule="exact"/>
              <w:rPr>
                <w:sz w:val="20"/>
                <w:szCs w:val="20"/>
                <w:color w:val="auto"/>
              </w:rPr>
            </w:pPr>
            <w:r>
              <w:rPr>
                <w:rFonts w:ascii="Calibri" w:cs="Calibri" w:eastAsia="Calibri" w:hAnsi="Calibri"/>
                <w:sz w:val="14"/>
                <w:szCs w:val="14"/>
                <w:b w:val="1"/>
                <w:bCs w:val="1"/>
                <w:color w:val="auto"/>
              </w:rPr>
              <w:t>2024</w:t>
            </w:r>
          </w:p>
        </w:tc>
        <w:tc>
          <w:tcPr>
            <w:tcW w:w="540" w:type="dxa"/>
            <w:vAlign w:val="bottom"/>
          </w:tcPr>
          <w:p>
            <w:pPr>
              <w:spacing w:after="0"/>
              <w:rPr>
                <w:sz w:val="14"/>
                <w:szCs w:val="14"/>
                <w:color w:val="auto"/>
              </w:rPr>
            </w:pPr>
          </w:p>
        </w:tc>
        <w:tc>
          <w:tcPr>
            <w:tcW w:w="1300" w:type="dxa"/>
            <w:vAlign w:val="bottom"/>
            <w:gridSpan w:val="2"/>
          </w:tcPr>
          <w:p>
            <w:pPr>
              <w:jc w:val="right"/>
              <w:ind w:right="48"/>
              <w:spacing w:after="0" w:line="164" w:lineRule="exact"/>
              <w:rPr>
                <w:sz w:val="20"/>
                <w:szCs w:val="20"/>
                <w:color w:val="auto"/>
              </w:rPr>
            </w:pPr>
            <w:r>
              <w:rPr>
                <w:rFonts w:ascii="Calibri" w:cs="Calibri" w:eastAsia="Calibri" w:hAnsi="Calibri"/>
                <w:sz w:val="14"/>
                <w:szCs w:val="14"/>
                <w:b w:val="1"/>
                <w:bCs w:val="1"/>
                <w:color w:val="auto"/>
              </w:rPr>
              <w:t>2023</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Marketng and selling:</w:t>
            </w:r>
          </w:p>
        </w:tc>
        <w:tc>
          <w:tcPr>
            <w:tcW w:w="10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20"/>
              <w:spacing w:after="0"/>
              <w:rPr>
                <w:sz w:val="20"/>
                <w:szCs w:val="20"/>
                <w:color w:val="auto"/>
              </w:rPr>
            </w:pPr>
            <w:r>
              <w:rPr>
                <w:rFonts w:ascii="Calibri" w:cs="Calibri" w:eastAsia="Calibri" w:hAnsi="Calibri"/>
                <w:sz w:val="14"/>
                <w:szCs w:val="14"/>
                <w:color w:val="auto"/>
              </w:rPr>
              <w:t>Online</w:t>
            </w:r>
          </w:p>
        </w:tc>
        <w:tc>
          <w:tcPr>
            <w:tcW w:w="1060" w:type="dxa"/>
            <w:vAlign w:val="bottom"/>
          </w:tcPr>
          <w:p>
            <w:pPr>
              <w:jc w:val="right"/>
              <w:ind w:right="908"/>
              <w:spacing w:after="0"/>
              <w:rPr>
                <w:sz w:val="20"/>
                <w:szCs w:val="20"/>
                <w:color w:val="auto"/>
              </w:rPr>
            </w:pPr>
            <w:r>
              <w:rPr>
                <w:rFonts w:ascii="Calibri" w:cs="Calibri" w:eastAsia="Calibri" w:hAnsi="Calibri"/>
                <w:sz w:val="14"/>
                <w:szCs w:val="14"/>
                <w:color w:val="auto"/>
                <w:w w:val="83"/>
              </w:rPr>
              <w:t>$</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61,904</w:t>
            </w:r>
          </w:p>
        </w:tc>
        <w:tc>
          <w:tcPr>
            <w:tcW w:w="1300" w:type="dxa"/>
            <w:vAlign w:val="bottom"/>
            <w:gridSpan w:val="2"/>
          </w:tcPr>
          <w:p>
            <w:pPr>
              <w:jc w:val="right"/>
              <w:ind w:right="888"/>
              <w:spacing w:after="0"/>
              <w:rPr>
                <w:sz w:val="20"/>
                <w:szCs w:val="20"/>
                <w:color w:val="auto"/>
              </w:rPr>
            </w:pPr>
            <w:r>
              <w:rPr>
                <w:rFonts w:ascii="Calibri" w:cs="Calibri" w:eastAsia="Calibri" w:hAnsi="Calibri"/>
                <w:sz w:val="14"/>
                <w:szCs w:val="14"/>
                <w:color w:val="auto"/>
              </w:rPr>
              <w:t>$</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49,108</w:t>
            </w:r>
          </w:p>
        </w:tc>
        <w:tc>
          <w:tcPr>
            <w:tcW w:w="52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12,796</w:t>
            </w:r>
          </w:p>
        </w:tc>
        <w:tc>
          <w:tcPr>
            <w:tcW w:w="2200" w:type="dxa"/>
            <w:vAlign w:val="bottom"/>
            <w:gridSpan w:val="3"/>
          </w:tcPr>
          <w:p>
            <w:pPr>
              <w:jc w:val="right"/>
              <w:spacing w:after="0"/>
              <w:rPr>
                <w:sz w:val="20"/>
                <w:szCs w:val="20"/>
                <w:color w:val="auto"/>
              </w:rPr>
            </w:pPr>
            <w:r>
              <w:rPr>
                <w:rFonts w:ascii="Calibri" w:cs="Calibri" w:eastAsia="Calibri" w:hAnsi="Calibri"/>
                <w:sz w:val="14"/>
                <w:szCs w:val="14"/>
                <w:color w:val="auto"/>
              </w:rPr>
              <w:t>26 %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8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Ofine</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5,841</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5,664</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177</w:t>
            </w:r>
          </w:p>
        </w:tc>
        <w:tc>
          <w:tcPr>
            <w:tcW w:w="22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3 %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marketng and selling</w:t>
            </w:r>
          </w:p>
        </w:tc>
        <w:tc>
          <w:tcPr>
            <w:tcW w:w="1060" w:type="dxa"/>
            <w:vAlign w:val="bottom"/>
          </w:tcPr>
          <w:p>
            <w:pPr>
              <w:jc w:val="right"/>
              <w:ind w:right="908"/>
              <w:spacing w:after="0"/>
              <w:rPr>
                <w:sz w:val="20"/>
                <w:szCs w:val="20"/>
                <w:color w:val="auto"/>
              </w:rPr>
            </w:pPr>
            <w:r>
              <w:rPr>
                <w:rFonts w:ascii="Calibri" w:cs="Calibri" w:eastAsia="Calibri" w:hAnsi="Calibri"/>
                <w:sz w:val="14"/>
                <w:szCs w:val="14"/>
                <w:b w:val="1"/>
                <w:bCs w:val="1"/>
                <w:color w:val="auto"/>
                <w:w w:val="83"/>
              </w:rPr>
              <w:t>$</w:t>
            </w:r>
          </w:p>
        </w:tc>
        <w:tc>
          <w:tcPr>
            <w:tcW w:w="540" w:type="dxa"/>
            <w:vAlign w:val="bottom"/>
          </w:tcPr>
          <w:p>
            <w:pPr>
              <w:jc w:val="right"/>
              <w:spacing w:after="0"/>
              <w:rPr>
                <w:sz w:val="20"/>
                <w:szCs w:val="20"/>
                <w:color w:val="auto"/>
              </w:rPr>
            </w:pPr>
            <w:r>
              <w:rPr>
                <w:rFonts w:ascii="Calibri" w:cs="Calibri" w:eastAsia="Calibri" w:hAnsi="Calibri"/>
                <w:sz w:val="14"/>
                <w:szCs w:val="14"/>
                <w:b w:val="1"/>
                <w:bCs w:val="1"/>
                <w:color w:val="auto"/>
              </w:rPr>
              <w:t>67,745</w:t>
            </w:r>
          </w:p>
        </w:tc>
        <w:tc>
          <w:tcPr>
            <w:tcW w:w="24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Calibri" w:cs="Calibri" w:eastAsia="Calibri" w:hAnsi="Calibri"/>
                <w:sz w:val="14"/>
                <w:szCs w:val="14"/>
                <w:b w:val="1"/>
                <w:bCs w:val="1"/>
                <w:color w:val="auto"/>
              </w:rPr>
              <w:t>$</w:t>
            </w:r>
          </w:p>
        </w:tc>
        <w:tc>
          <w:tcPr>
            <w:tcW w:w="540" w:type="dxa"/>
            <w:vAlign w:val="bottom"/>
          </w:tcPr>
          <w:p>
            <w:pPr>
              <w:jc w:val="right"/>
              <w:spacing w:after="0"/>
              <w:rPr>
                <w:sz w:val="20"/>
                <w:szCs w:val="20"/>
                <w:color w:val="auto"/>
              </w:rPr>
            </w:pPr>
            <w:r>
              <w:rPr>
                <w:rFonts w:ascii="Calibri" w:cs="Calibri" w:eastAsia="Calibri" w:hAnsi="Calibri"/>
                <w:sz w:val="14"/>
                <w:szCs w:val="14"/>
                <w:b w:val="1"/>
                <w:bCs w:val="1"/>
                <w:color w:val="auto"/>
              </w:rPr>
              <w:t>54,772</w:t>
            </w:r>
          </w:p>
        </w:tc>
        <w:tc>
          <w:tcPr>
            <w:tcW w:w="2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Calibri" w:cs="Calibri" w:eastAsia="Calibri" w:hAnsi="Calibri"/>
                <w:sz w:val="14"/>
                <w:szCs w:val="14"/>
                <w:b w:val="1"/>
                <w:bCs w:val="1"/>
                <w:color w:val="auto"/>
                <w:w w:val="83"/>
              </w:rPr>
              <w:t>$</w:t>
            </w:r>
          </w:p>
        </w:tc>
        <w:tc>
          <w:tcPr>
            <w:tcW w:w="1220" w:type="dxa"/>
            <w:vAlign w:val="bottom"/>
          </w:tcPr>
          <w:p>
            <w:pPr>
              <w:jc w:val="right"/>
              <w:spacing w:after="0"/>
              <w:rPr>
                <w:sz w:val="20"/>
                <w:szCs w:val="20"/>
                <w:color w:val="auto"/>
              </w:rPr>
            </w:pPr>
            <w:r>
              <w:rPr>
                <w:rFonts w:ascii="Calibri" w:cs="Calibri" w:eastAsia="Calibri" w:hAnsi="Calibri"/>
                <w:sz w:val="14"/>
                <w:szCs w:val="14"/>
                <w:b w:val="1"/>
                <w:bCs w:val="1"/>
                <w:color w:val="auto"/>
              </w:rPr>
              <w:t>12,973</w:t>
            </w:r>
          </w:p>
        </w:tc>
        <w:tc>
          <w:tcPr>
            <w:tcW w:w="22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24 %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-162560</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-162560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-162560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Marketng and selling expenses, which are entrely atributable to our Marketplace segment, increased $13.0 million, or 24%, during the three months ended March 31, 2024 compared to the three months ended March 31, 2023. The increase primarily resulted from greater spending on online advertsing, which increased by $12.8 million, or 26%, during the three months ended March 31, 2024 compared to the three months ended March 31, 2023. The increase in spending on online advertsing was relatvely consistent with the 20% increase in Marketplace GOV over the same period as we scaled advertsing to higher volumes, including volume associated with Vegas.com and Wavedash.</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and Administratve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general and administratve expenses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900" w:type="dxa"/>
            <w:vAlign w:val="bottom"/>
            <w:gridSpan w:val="4"/>
          </w:tcPr>
          <w:p>
            <w:pPr>
              <w:jc w:val="right"/>
              <w:ind w:right="168"/>
              <w:spacing w:after="0"/>
              <w:rPr>
                <w:sz w:val="20"/>
                <w:szCs w:val="20"/>
                <w:color w:val="auto"/>
              </w:rPr>
            </w:pPr>
            <w:r>
              <w:rPr>
                <w:rFonts w:ascii="Calibri" w:cs="Calibri" w:eastAsia="Calibri" w:hAnsi="Calibri"/>
                <w:sz w:val="14"/>
                <w:szCs w:val="14"/>
                <w:b w:val="1"/>
                <w:bCs w:val="1"/>
                <w:color w:val="auto"/>
              </w:rPr>
              <w:t>Three Months Ended March 31,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vMerge w:val="restart"/>
          </w:tcPr>
          <w:p>
            <w:pPr>
              <w:jc w:val="right"/>
              <w:ind w:right="760"/>
              <w:spacing w:after="0"/>
              <w:rPr>
                <w:sz w:val="20"/>
                <w:szCs w:val="20"/>
                <w:color w:val="auto"/>
              </w:rPr>
            </w:pPr>
            <w:r>
              <w:rPr>
                <w:rFonts w:ascii="Calibri" w:cs="Calibri" w:eastAsia="Calibri" w:hAnsi="Calibri"/>
                <w:sz w:val="14"/>
                <w:szCs w:val="14"/>
                <w:b w:val="1"/>
                <w:bCs w:val="1"/>
                <w:color w:val="auto"/>
              </w:rPr>
              <w:t>Change</w:t>
            </w:r>
          </w:p>
        </w:tc>
        <w:tc>
          <w:tcPr>
            <w:tcW w:w="2040" w:type="dxa"/>
            <w:vAlign w:val="bottom"/>
            <w:gridSpan w:val="3"/>
            <w:vMerge w:val="restart"/>
          </w:tcPr>
          <w:p>
            <w:pPr>
              <w:jc w:val="right"/>
              <w:ind w:right="82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060" w:type="dxa"/>
            <w:vAlign w:val="bottom"/>
          </w:tcPr>
          <w:p>
            <w:pPr>
              <w:jc w:val="right"/>
              <w:ind w:right="48"/>
              <w:spacing w:after="0" w:line="164" w:lineRule="exact"/>
              <w:rPr>
                <w:sz w:val="20"/>
                <w:szCs w:val="20"/>
                <w:color w:val="auto"/>
              </w:rPr>
            </w:pPr>
            <w:r>
              <w:rPr>
                <w:rFonts w:ascii="Calibri" w:cs="Calibri" w:eastAsia="Calibri" w:hAnsi="Calibri"/>
                <w:sz w:val="14"/>
                <w:szCs w:val="14"/>
                <w:b w:val="1"/>
                <w:bCs w:val="1"/>
                <w:color w:val="auto"/>
              </w:rPr>
              <w:t>2024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8"/>
              <w:spacing w:after="0" w:line="164" w:lineRule="exact"/>
              <w:rPr>
                <w:sz w:val="20"/>
                <w:szCs w:val="20"/>
                <w:color w:val="auto"/>
              </w:rPr>
            </w:pPr>
            <w:r>
              <w:rPr>
                <w:rFonts w:ascii="Calibri" w:cs="Calibri" w:eastAsia="Calibri" w:hAnsi="Calibri"/>
                <w:sz w:val="14"/>
                <w:szCs w:val="14"/>
                <w:b w:val="1"/>
                <w:bCs w:val="1"/>
                <w:color w:val="auto"/>
              </w:rPr>
              <w:t>2023</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86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General and administratve:</w:t>
            </w:r>
          </w:p>
        </w:tc>
        <w:tc>
          <w:tcPr>
            <w:tcW w:w="10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20"/>
              <w:spacing w:after="0"/>
              <w:rPr>
                <w:sz w:val="20"/>
                <w:szCs w:val="20"/>
                <w:color w:val="auto"/>
              </w:rPr>
            </w:pPr>
            <w:r>
              <w:rPr>
                <w:rFonts w:ascii="Calibri" w:cs="Calibri" w:eastAsia="Calibri" w:hAnsi="Calibri"/>
                <w:sz w:val="14"/>
                <w:szCs w:val="14"/>
                <w:color w:val="auto"/>
              </w:rPr>
              <w:t>Personnel expenses</w:t>
            </w:r>
          </w:p>
        </w:tc>
        <w:tc>
          <w:tcPr>
            <w:tcW w:w="1060" w:type="dxa"/>
            <w:vAlign w:val="bottom"/>
          </w:tcPr>
          <w:p>
            <w:pPr>
              <w:jc w:val="right"/>
              <w:ind w:right="908"/>
              <w:spacing w:after="0"/>
              <w:rPr>
                <w:sz w:val="20"/>
                <w:szCs w:val="20"/>
                <w:color w:val="auto"/>
              </w:rPr>
            </w:pPr>
            <w:r>
              <w:rPr>
                <w:rFonts w:ascii="Calibri" w:cs="Calibri" w:eastAsia="Calibri" w:hAnsi="Calibri"/>
                <w:sz w:val="14"/>
                <w:szCs w:val="14"/>
                <w:color w:val="auto"/>
                <w:w w:val="83"/>
              </w:rPr>
              <w:t>$</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32,601</w:t>
            </w:r>
          </w:p>
        </w:tc>
        <w:tc>
          <w:tcPr>
            <w:tcW w:w="240" w:type="dxa"/>
            <w:vAlign w:val="bottom"/>
          </w:tcPr>
          <w:p>
            <w:pPr>
              <w:spacing w:after="0"/>
              <w:rPr>
                <w:sz w:val="14"/>
                <w:szCs w:val="14"/>
                <w:color w:val="auto"/>
              </w:rPr>
            </w:pPr>
          </w:p>
        </w:tc>
        <w:tc>
          <w:tcPr>
            <w:tcW w:w="1060" w:type="dxa"/>
            <w:vAlign w:val="bottom"/>
          </w:tcPr>
          <w:p>
            <w:pPr>
              <w:jc w:val="right"/>
              <w:ind w:right="888"/>
              <w:spacing w:after="0"/>
              <w:rPr>
                <w:sz w:val="20"/>
                <w:szCs w:val="20"/>
                <w:color w:val="auto"/>
              </w:rPr>
            </w:pPr>
            <w:r>
              <w:rPr>
                <w:rFonts w:ascii="Calibri" w:cs="Calibri" w:eastAsia="Calibri" w:hAnsi="Calibri"/>
                <w:sz w:val="14"/>
                <w:szCs w:val="14"/>
                <w:color w:val="auto"/>
              </w:rPr>
              <w:t>$</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24,691</w:t>
            </w:r>
          </w:p>
        </w:tc>
        <w:tc>
          <w:tcPr>
            <w:tcW w:w="52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7,910</w:t>
            </w:r>
          </w:p>
        </w:tc>
        <w:tc>
          <w:tcPr>
            <w:tcW w:w="2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alibri" w:cs="Calibri" w:eastAsia="Calibri" w:hAnsi="Calibri"/>
                <w:sz w:val="14"/>
                <w:szCs w:val="14"/>
                <w:color w:val="auto"/>
              </w:rPr>
              <w:t>32 %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rPr>
                <w:sz w:val="20"/>
                <w:szCs w:val="20"/>
                <w:color w:val="auto"/>
              </w:rPr>
            </w:pPr>
            <w:r>
              <w:rPr>
                <w:rFonts w:ascii="Calibri" w:cs="Calibri" w:eastAsia="Calibri" w:hAnsi="Calibri"/>
                <w:sz w:val="14"/>
                <w:szCs w:val="14"/>
                <w:color w:val="auto"/>
              </w:rPr>
              <w:t>Non-income tax expense (beneft)</w:t>
            </w:r>
          </w:p>
        </w:tc>
        <w:tc>
          <w:tcPr>
            <w:tcW w:w="10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(2,379 )</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456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(2,835 )</w:t>
            </w:r>
          </w:p>
        </w:tc>
        <w:tc>
          <w:tcPr>
            <w:tcW w:w="2040" w:type="dxa"/>
            <w:vAlign w:val="bottom"/>
            <w:gridSpan w:val="3"/>
          </w:tcPr>
          <w:p>
            <w:pPr>
              <w:jc w:val="right"/>
              <w:spacing w:after="0"/>
              <w:rPr>
                <w:sz w:val="20"/>
                <w:szCs w:val="20"/>
                <w:color w:val="auto"/>
              </w:rPr>
            </w:pPr>
            <w:r>
              <w:rPr>
                <w:rFonts w:ascii="Calibri" w:cs="Calibri" w:eastAsia="Calibri" w:hAnsi="Calibri"/>
                <w:sz w:val="14"/>
                <w:szCs w:val="14"/>
                <w:color w:val="auto"/>
              </w:rPr>
              <w:t>(622 )%</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Calibri" w:cs="Calibri" w:eastAsia="Calibri" w:hAnsi="Calibri"/>
                <w:sz w:val="14"/>
                <w:szCs w:val="14"/>
                <w:color w:val="auto"/>
              </w:rPr>
              <w:t>Other</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12,144</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7,242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4,902</w:t>
            </w:r>
          </w:p>
        </w:tc>
        <w:tc>
          <w:tcPr>
            <w:tcW w:w="220" w:type="dxa"/>
            <w:vAlign w:val="bottom"/>
          </w:tcPr>
          <w:p>
            <w:pPr>
              <w:spacing w:after="0"/>
              <w:rPr>
                <w:sz w:val="18"/>
                <w:szCs w:val="18"/>
                <w:color w:val="auto"/>
              </w:rPr>
            </w:pPr>
          </w:p>
        </w:tc>
        <w:tc>
          <w:tcPr>
            <w:tcW w:w="2040" w:type="dxa"/>
            <w:vAlign w:val="bottom"/>
            <w:gridSpan w:val="3"/>
          </w:tcPr>
          <w:p>
            <w:pPr>
              <w:jc w:val="right"/>
              <w:ind w:right="60"/>
              <w:spacing w:after="0"/>
              <w:rPr>
                <w:sz w:val="20"/>
                <w:szCs w:val="20"/>
                <w:color w:val="auto"/>
              </w:rPr>
            </w:pPr>
            <w:r>
              <w:rPr>
                <w:rFonts w:ascii="Calibri" w:cs="Calibri" w:eastAsia="Calibri" w:hAnsi="Calibri"/>
                <w:sz w:val="14"/>
                <w:szCs w:val="14"/>
                <w:color w:val="auto"/>
              </w:rPr>
              <w:t>68 %</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Total general and administratve</w:t>
            </w:r>
          </w:p>
        </w:tc>
        <w:tc>
          <w:tcPr>
            <w:tcW w:w="1060" w:type="dxa"/>
            <w:vAlign w:val="bottom"/>
            <w:shd w:val="clear" w:color="auto" w:fill="CFF0FC"/>
          </w:tcPr>
          <w:p>
            <w:pPr>
              <w:jc w:val="right"/>
              <w:ind w:right="908"/>
              <w:spacing w:after="0"/>
              <w:rPr>
                <w:sz w:val="20"/>
                <w:szCs w:val="20"/>
                <w:color w:val="auto"/>
              </w:rPr>
            </w:pPr>
            <w:r>
              <w:rPr>
                <w:rFonts w:ascii="Calibri" w:cs="Calibri" w:eastAsia="Calibri" w:hAnsi="Calibri"/>
                <w:sz w:val="14"/>
                <w:szCs w:val="14"/>
                <w:b w:val="1"/>
                <w:bCs w:val="1"/>
                <w:color w:val="auto"/>
                <w:w w:val="83"/>
              </w:rPr>
              <w:t>$</w:t>
            </w: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42,366</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88"/>
              <w:spacing w:after="0"/>
              <w:rPr>
                <w:sz w:val="20"/>
                <w:szCs w:val="20"/>
                <w:color w:val="auto"/>
              </w:rPr>
            </w:pPr>
            <w:r>
              <w:rPr>
                <w:rFonts w:ascii="Calibri" w:cs="Calibri" w:eastAsia="Calibri" w:hAnsi="Calibri"/>
                <w:sz w:val="14"/>
                <w:szCs w:val="14"/>
                <w:b w:val="1"/>
                <w:bCs w:val="1"/>
                <w:color w:val="auto"/>
              </w:rPr>
              <w:t>$</w:t>
            </w:r>
          </w:p>
        </w:tc>
        <w:tc>
          <w:tcPr>
            <w:tcW w:w="5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32,389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Calibri" w:cs="Calibri" w:eastAsia="Calibri" w:hAnsi="Calibri"/>
                <w:sz w:val="14"/>
                <w:szCs w:val="14"/>
                <w:b w:val="1"/>
                <w:bCs w:val="1"/>
                <w:color w:val="auto"/>
                <w:w w:val="83"/>
              </w:rPr>
              <w:t>$</w:t>
            </w:r>
          </w:p>
        </w:tc>
        <w:tc>
          <w:tcPr>
            <w:tcW w:w="122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9,977</w:t>
            </w:r>
          </w:p>
        </w:tc>
        <w:tc>
          <w:tcPr>
            <w:tcW w:w="2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b w:val="1"/>
                <w:bCs w:val="1"/>
                <w:color w:val="auto"/>
              </w:rPr>
              <w:t>31 %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Total general and administratve expenses increased $10.0 million, or 31%, for the three months ended March 31, 2024 compared to the three months ended March 31, 2023. The increase was primarily due to higher personnel expenses from higher employee headcount, including headcount added through our acquisitons of Vegas.com and Wavedash, and from higher equity-based compensaton expense. Higher professional fees, including those incurred with our acquisitons of Vegas.com and Wavedash, are refected in other expenses and also contributed to the increase.</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8" w:right="27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color w:val="auto"/>
        </w:rPr>
        <w:t>Depreciaton and Amortzaton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and amortzaton expenses increased $7.9 million, or 304%, during the three months ended March 31, 2024 compared to the three months ended March 31, 2023. The increase was primarily due to the intangibles acquired as part of our acquisitons of Vegas.com and Wavedash and, to a lesser extent, an increase in capitalized development actvites related to our platorm. The magnitude of the increase atributable to the amortzaton of acquired intangibles had a signifcant impact on net income for the three months ended March 31, 2024 compared to the three months ended March 31, 2023.</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(Income) Expense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expense increased $1.8 million, or 55%, for the three months ended March 31, 2024 compared to the three months ended March 31, 2023. The increase was primarily due to higher interest rates, partally ofset by interest earned on cash balances.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 Expense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(income) expense increased $2.9 million, or 890%, for the three months ended March 31, 2024 compared to the three months ended March 31, 2023. The increase was primarily due to the fair value remeasurement of warrants, net of foreign currency revaluaton losses due to unrealized gains arising from the remeasurement of non-operatng assets and liabilites denominated in non-functonal currencies on the balance sheet date.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 Expense (Beneft)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Income tax expense increased $2.0 million during the three months ended March 31, 2024 compared to the three months ended March 31, 2023. The increase was primarily due to our valuaton allowance on our U.S. net operatng losses, interest limitatons and tax credit carryforwards as of March 31, 2023 that resulted in recording minimal income tax expense in the frst quarter of 2023. The valuaton allowance was subsequently released in the second quarter of 2023.</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historically fnanced our operatons primarily through cash generated from operatons.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primary source of funds is cash generated from operatons. Our existng cash and cash equivalents are sufcient to fund our liquidity needs for the next 12 months and thereafer for the foreseeable future. As of March 31, 2024, we had $154.0 million of cash and cash equivalents, which consist of interest-bearing deposit accounts, money market accounts managed by fnancial insttutons and highly liquid investments with maturites of three months or less. For the three months ended March 31, 2024, we generated positve cash fows from our operatng actvites.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Loan Agreements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30, 2017, we entered into a $575.0 million frst lien debt facility, which included a $525.0 million term loan (the “June 2017 First Lien Term Loan”). We had an outstanding loan balance of $465.7 million under the June 2017 First Lien Loan as of December 31, 2021. In the frst quarter of 2022, we repaid $190.7 million of the outstanding June 2017 First Lien Loan. On February 3, 2022, we entered into an amendment which refnanced the remaining balance of the June 2017 First Lien Loan with a new $275.0 million term loan (the “February 2022 First Lien Loan”), which has a maturity date of February 3, 2029, and added a new $100.0 million revolving credit facility (the “Revolving Facility”) with a maturity date of February 3, 2027. The terms of the February 2022 First Lien Loan specify a secured overnight fnancing rate (“SOFR”)-based foatng interest rate and contain a springing fnancial covenant that requires compliance with a frst lien net leverage rato when revolver borrowings exceed certain levels.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(subject to a 0.5% foor) plus 3.25%.</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jc w:val="both"/>
        <w:spacing w:after="0" w:line="235" w:lineRule="auto"/>
        <w:rPr>
          <w:sz w:val="20"/>
          <w:szCs w:val="20"/>
          <w:color w:val="auto"/>
        </w:rPr>
      </w:pPr>
      <w:r>
        <w:rPr>
          <w:rFonts w:ascii="Calibri" w:cs="Calibri" w:eastAsia="Calibri" w:hAnsi="Calibri"/>
          <w:sz w:val="18"/>
          <w:szCs w:val="18"/>
          <w:color w:val="auto"/>
        </w:rPr>
        <w:t>In connecton with our acquisiton of Wavedash, we assumed long-term debt owed to Shoko Chukin Bank (the “Shoko Chukin Bank Loan”) of JPY 458.3 million (approximately $3.1 million), which has a maturity date of June 24, 2026 and is subject to a fxed interest rate of 1.27% per annum.</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March 31, 2024, we have the February 2022 First Lien Loan and the Shoko Chukin Bank Loan outstanding and we had no outstanding borrowings under the Revolving Facility.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Programs</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On February 29, 2024, our Board of Directors (our “Board”) authorized a share repurchase program for up to $100.0 million of our Class A common stock, which program was publicly announced on March 5, 2024 and does not have a fxed expiraton date (the “2024 Repurchase Program”). As of March 31, 2024, we have repurchased 0.7 million shares of our Class A Common Stock for $4.1 million under the 2024 Repurchase Program and paid less than $0.1 million in commissions. As of March 31, 2024, approximately $95.9 million remained available for future repurchases under the 2024 Repurchase Program.</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25, 2022, our Board authorized a share repurchase program for up to $40.0 million of our Class A common stock, which program was publicly announced on May 26, 2022 (the “2022 Repurchase Program”). The 2022 Repurchase Program’s authorizaton was fully utlized during 2022 and the three months ended March 31, 2023. Cumulatvely under the 2022 Repurchase Program, we repurchased 5.3 million shares of our Class A common stock for $40.0 million and paid $0.1 million in commissions.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Share repurchases are accounted for as Treasury stock in the Condensed Consolidated Balance Sheets.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Distributons to Non-Controlling Interests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its Limited Liability Company Agreement, Hoya Intermediate is required to make pro rata tax distributons to its members, of which $3.7 million is owed to non-controlling interests as of March 31, 2024.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entered into a Tax Receivable Agreement (the “TRA”) with the existng Hoya Intermediate shareholders that provides for our payment to such shareholders of 85% of the amount of the tax savings, if any,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TRA.</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Amounts payable under the TRA are contngent upon the generaton of future taxable income over the term of the TRA and future changes in tax laws. If we do not generate sufcient taxable income in the aggregate over the term of the TRA to utlize the tax benefts, then we would not be required to make the related payments. As of March 31, 2024, we estmate that the tax savings associated with all tax atributes described above would require us to pay $165.7 million, primarily over the next 15 years. As of March 31, 2024, $5.5 million is due within the next 12 months.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20"/>
                <w:szCs w:val="20"/>
                <w:color w:val="auto"/>
              </w:rPr>
            </w:pPr>
            <w:r>
              <w:rPr>
                <w:rFonts w:ascii="Calibri" w:cs="Calibri" w:eastAsia="Calibri" w:hAnsi="Calibri"/>
                <w:sz w:val="18"/>
                <w:szCs w:val="18"/>
                <w:b w:val="1"/>
                <w:bCs w:val="1"/>
                <w:color w:val="auto"/>
              </w:rPr>
              <w:t>Cash Flows</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5380" w:type="dxa"/>
            <w:vAlign w:val="bottom"/>
          </w:tcPr>
          <w:p>
            <w:pPr>
              <w:spacing w:after="0"/>
              <w:rPr>
                <w:sz w:val="20"/>
                <w:szCs w:val="20"/>
                <w:color w:val="auto"/>
              </w:rPr>
            </w:pPr>
            <w:r>
              <w:rPr>
                <w:rFonts w:ascii="Calibri" w:cs="Calibri" w:eastAsia="Calibri" w:hAnsi="Calibri"/>
                <w:sz w:val="18"/>
                <w:szCs w:val="18"/>
                <w:color w:val="auto"/>
              </w:rPr>
              <w:t>The following table summarizes our cash fows (in thousands):</w:t>
            </w: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5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Three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3"/>
          </w:tcPr>
          <w:p>
            <w:pPr>
              <w:jc w:val="right"/>
              <w:ind w:right="310"/>
              <w:spacing w:after="0" w:line="216" w:lineRule="exact"/>
              <w:rPr>
                <w:sz w:val="20"/>
                <w:szCs w:val="20"/>
                <w:color w:val="auto"/>
              </w:rPr>
            </w:pPr>
            <w:r>
              <w:rPr>
                <w:rFonts w:ascii="Calibri" w:cs="Calibri" w:eastAsia="Calibri" w:hAnsi="Calibri"/>
                <w:sz w:val="18"/>
                <w:szCs w:val="18"/>
                <w:b w:val="1"/>
                <w:bCs w:val="1"/>
                <w:color w:val="auto"/>
              </w:rPr>
              <w:t>March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
        </w:trPr>
        <w:tc>
          <w:tcPr>
            <w:tcW w:w="53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5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10"/>
              <w:spacing w:after="0" w:line="208"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510"/>
              <w:spacing w:after="0" w:line="208" w:lineRule="exact"/>
              <w:rPr>
                <w:sz w:val="20"/>
                <w:szCs w:val="20"/>
                <w:color w:val="auto"/>
              </w:rPr>
            </w:pPr>
            <w:r>
              <w:rPr>
                <w:rFonts w:ascii="Calibri" w:cs="Calibri" w:eastAsia="Calibri" w:hAnsi="Calibri"/>
                <w:sz w:val="18"/>
                <w:szCs w:val="18"/>
                <w:b w:val="1"/>
                <w:bCs w:val="1"/>
                <w:color w:val="auto"/>
                <w:w w:val="93"/>
              </w:rPr>
              <w:t>2023</w:t>
            </w:r>
          </w:p>
        </w:tc>
        <w:tc>
          <w:tcPr>
            <w:tcW w:w="100" w:type="dxa"/>
            <w:vAlign w:val="bottom"/>
          </w:tcPr>
          <w:p>
            <w:pPr>
              <w:spacing w:after="0"/>
              <w:rPr>
                <w:sz w:val="18"/>
                <w:szCs w:val="18"/>
                <w:color w:val="auto"/>
              </w:rPr>
            </w:pPr>
          </w:p>
        </w:tc>
      </w:tr>
      <w:tr>
        <w:trPr>
          <w:trHeight w:val="28"/>
        </w:trPr>
        <w:tc>
          <w:tcPr>
            <w:tcW w:w="5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cash provided by operatng actvites</w:t>
            </w:r>
          </w:p>
        </w:tc>
        <w:tc>
          <w:tcPr>
            <w:tcW w:w="2680" w:type="dxa"/>
            <w:vAlign w:val="bottom"/>
            <w:tcBorders>
              <w:bottom w:val="single" w:sz="8" w:color="CFF0FC"/>
            </w:tcBorders>
            <w:gridSpan w:val="2"/>
            <w:shd w:val="clear" w:color="auto" w:fill="CFF0FC"/>
          </w:tcPr>
          <w:p>
            <w:pPr>
              <w:jc w:val="right"/>
              <w:ind w:right="260"/>
              <w:spacing w:after="0" w:line="208"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39,165</w:t>
            </w: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ind w:right="41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65,111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38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(5,287 )</w:t>
            </w:r>
          </w:p>
        </w:tc>
        <w:tc>
          <w:tcPr>
            <w:tcW w:w="600" w:type="dxa"/>
            <w:vAlign w:val="bottom"/>
          </w:tcPr>
          <w:p>
            <w:pPr>
              <w:spacing w:after="0"/>
              <w:rPr>
                <w:sz w:val="18"/>
                <w:szCs w:val="18"/>
                <w:color w:val="auto"/>
              </w:rPr>
            </w:pPr>
          </w:p>
        </w:tc>
        <w:tc>
          <w:tcPr>
            <w:tcW w:w="10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(2,607 )</w:t>
            </w:r>
          </w:p>
        </w:tc>
      </w:tr>
      <w:tr>
        <w:trPr>
          <w:trHeight w:val="28"/>
        </w:trPr>
        <w:tc>
          <w:tcPr>
            <w:tcW w:w="5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3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cash used in fnancing actvites</w:t>
            </w:r>
          </w:p>
        </w:tc>
        <w:tc>
          <w:tcPr>
            <w:tcW w:w="2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(4,613 )</w:t>
            </w: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(10,800 )</w:t>
            </w:r>
          </w:p>
        </w:tc>
      </w:tr>
      <w:tr>
        <w:trPr>
          <w:trHeight w:val="215"/>
        </w:trPr>
        <w:tc>
          <w:tcPr>
            <w:tcW w:w="5380" w:type="dxa"/>
            <w:vAlign w:val="bottom"/>
          </w:tcPr>
          <w:p>
            <w:pPr>
              <w:ind w:left="20"/>
              <w:spacing w:after="0" w:line="215" w:lineRule="exact"/>
              <w:rPr>
                <w:sz w:val="20"/>
                <w:szCs w:val="20"/>
                <w:color w:val="auto"/>
              </w:rPr>
            </w:pPr>
            <w:r>
              <w:rPr>
                <w:rFonts w:ascii="Calibri" w:cs="Calibri" w:eastAsia="Calibri" w:hAnsi="Calibri"/>
                <w:sz w:val="18"/>
                <w:szCs w:val="18"/>
                <w:color w:val="auto"/>
                <w:w w:val="99"/>
              </w:rPr>
              <w:t>Impact of foreign exchange on cash, cash equivalents, and restricted cash</w:t>
            </w: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(820 )</w:t>
            </w:r>
          </w:p>
        </w:tc>
        <w:tc>
          <w:tcPr>
            <w:tcW w:w="600" w:type="dxa"/>
            <w:vAlign w:val="bottom"/>
          </w:tcPr>
          <w:p>
            <w:pPr>
              <w:spacing w:after="0"/>
              <w:rPr>
                <w:sz w:val="18"/>
                <w:szCs w:val="18"/>
                <w:color w:val="auto"/>
              </w:rPr>
            </w:pPr>
          </w:p>
        </w:tc>
        <w:tc>
          <w:tcPr>
            <w:tcW w:w="10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1"/>
        </w:trPr>
        <w:tc>
          <w:tcPr>
            <w:tcW w:w="53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Net increase in cash and cash equivalents</w:t>
            </w:r>
          </w:p>
        </w:tc>
        <w:tc>
          <w:tcPr>
            <w:tcW w:w="2680" w:type="dxa"/>
            <w:vAlign w:val="bottom"/>
            <w:tcBorders>
              <w:bottom w:val="single" w:sz="8" w:color="CFF0FC"/>
            </w:tcBorders>
            <w:gridSpan w:val="2"/>
            <w:shd w:val="clear" w:color="auto" w:fill="CFF0FC"/>
          </w:tcPr>
          <w:p>
            <w:pPr>
              <w:jc w:val="right"/>
              <w:ind w:right="260"/>
              <w:spacing w:after="0" w:line="208" w:lineRule="exact"/>
              <w:rPr>
                <w:sz w:val="20"/>
                <w:szCs w:val="20"/>
                <w:color w:val="auto"/>
              </w:rPr>
            </w:pPr>
            <w:r>
              <w:rPr>
                <w:rFonts w:ascii="Calibri" w:cs="Calibri" w:eastAsia="Calibri" w:hAnsi="Calibri"/>
                <w:sz w:val="18"/>
                <w:szCs w:val="18"/>
                <w:b w:val="1"/>
                <w:bCs w:val="1"/>
                <w:color w:val="auto"/>
              </w:rPr>
              <w:t>$</w:t>
            </w:r>
          </w:p>
        </w:tc>
        <w:tc>
          <w:tcPr>
            <w:tcW w:w="12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28,445</w:t>
            </w:r>
          </w:p>
        </w:tc>
        <w:tc>
          <w:tcPr>
            <w:tcW w:w="3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410"/>
              <w:spacing w:after="0" w:line="208" w:lineRule="exact"/>
              <w:rPr>
                <w:sz w:val="20"/>
                <w:szCs w:val="20"/>
                <w:color w:val="auto"/>
              </w:rPr>
            </w:pPr>
            <w:r>
              <w:rPr>
                <w:rFonts w:ascii="Calibri" w:cs="Calibri" w:eastAsia="Calibri" w:hAnsi="Calibri"/>
                <w:sz w:val="18"/>
                <w:szCs w:val="18"/>
                <w:b w:val="1"/>
                <w:bCs w:val="1"/>
                <w:color w:val="auto"/>
                <w:w w:val="87"/>
              </w:rPr>
              <w:t>$</w:t>
            </w: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b w:val="1"/>
                <w:bCs w:val="1"/>
                <w:color w:val="auto"/>
              </w:rPr>
              <w:t>51,704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21"/>
        </w:trPr>
        <w:tc>
          <w:tcPr>
            <w:tcW w:w="538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1890"/>
              <w:spacing w:after="0"/>
              <w:rPr>
                <w:sz w:val="20"/>
                <w:szCs w:val="20"/>
                <w:color w:val="auto"/>
              </w:rPr>
            </w:pPr>
            <w:r>
              <w:rPr>
                <w:rFonts w:ascii="Calibri" w:cs="Calibri" w:eastAsia="Calibri" w:hAnsi="Calibri"/>
                <w:sz w:val="18"/>
                <w:szCs w:val="18"/>
                <w:color w:val="auto"/>
              </w:rPr>
              <w:t>33</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86"/>
        </w:trPr>
        <w:tc>
          <w:tcPr>
            <w:tcW w:w="53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-1071245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Provided by Operatng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$39.2 million for the three months ended March 31, 2024 due to $10.7 million in net income, net non-cash charges of $23.0 million and net cash infows from a $5.4 million change in net operatng assets. The net cash infows from the change in net operatng assets were primarily due to an increase in accounts payable resultng from seasonal fuctuatons.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$65.1 million for the three months ended March 31, 2023 due to $30.3 million in net income, net non-cash charges of $8.2 million and net cash infows from a $26.6 million change in net operatng assets. The net cash infows from the change in net operatng assets were primarily due to an increase in accounts payable resultng from seasonal fuctuatons.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Used in Investng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investng actvites was $5.3 million and $2.6 million for the three months ended March 31, 2024 and 2023, respectvely, which was primarily related to capital spending on development actvites related to our platorm.</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Used in Financing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was $4.6 million for the three months ended March 31, 2024, which was primarily related to the 2024 Repurchase Program.</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for the three months ended March 31, 2023 was $10.8 million, which was primarily related to the 2022 Repurchase Program.</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condensed consolidated fnancial statements are prepared in accordance with GAAP, which requires us to make estmates and assumptons that afect the reported amounts of assets, liabilites, revenue, costs and expenses, and related disclosures. On an ongoing basis, we evaluate our estmates and assumptons. Actual results may difer from these estmates under diferent assumptons or conditons. The estmates and assumptons associated with revenue recogniton, equity-based compensaton, warrants and earnouts, recoverability of our goodwill, indefnite-lived intangible assets, defnite-lived intangible assets, long-lived assets and valuaton allowances have the greatest potental impact on our consolidated fnancial statements. Accordingly, these are the policies that are the most critcal to aid in fully understanding and evaluatng our condensed consolidated fnancial statements. For a descripton of our critcal accountng policies and estmates, see our 2023 Form 10-K. During the three months ended March 31, 2024, there were no material changes to the critcal accountng policies disclosed in our 2023 Form 10-K.</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2, </w:t>
      </w:r>
      <w:r>
        <w:rPr>
          <w:rFonts w:ascii="Calibri" w:cs="Calibri" w:eastAsia="Calibri" w:hAnsi="Calibri"/>
          <w:sz w:val="18"/>
          <w:szCs w:val="18"/>
          <w:i w:val="1"/>
          <w:iCs w:val="1"/>
          <w:color w:val="auto"/>
        </w:rPr>
        <w:t>New Accountng Standards</w:t>
      </w:r>
      <w:r>
        <w:rPr>
          <w:rFonts w:ascii="Calibri" w:cs="Calibri" w:eastAsia="Calibri" w:hAnsi="Calibri"/>
          <w:sz w:val="18"/>
          <w:szCs w:val="18"/>
          <w:color w:val="auto"/>
        </w:rPr>
        <w:t>, to our unaudited condensed consolidated fnancial statements included elsewhere in this Report for a descripton of recently adopted accountng pronouncements and issued accountng pronouncements not yet adopted.</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Rate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market risk is afected by changes in interest rates. The February 2022 First Lien Loan bears a foatng interest rate based on market rates plus an applicable spread. We will be susceptble to fuctuatons in interest rates if we do not hedge the interest rate exposure arising from our foatng-rate debt, which may adversely impact our fnancial results. A hypothetcal 1% change in interest rates, assuming rates are above our interest rate foor, would have impacted our interest expense by $0.7 million based on amounts outstanding under the February 2022 First Lien Loan during the three months ended March 31, 2024.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i w:val="1"/>
          <w:iCs w:val="1"/>
          <w:color w:val="auto"/>
        </w:rPr>
        <w:t>Foreign Currency Exchange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reportng currency is the U.S. dollar, while certain of our internatonal subsidiaries’ functonal currency is their local currency. Our internatonal revenue, as well as costs and expenses denominated in foreign currencies, expose us to the risk of fuctuatons in foreign currency exchange rates against the U.S. dollar. Accordingly, we are subject to foreign currency risk, which may adversely impact our fnancial results.</w:t>
      </w:r>
    </w:p>
    <w:p>
      <w:pPr>
        <w:spacing w:after="0" w:line="111" w:lineRule="exact"/>
        <w:rPr>
          <w:sz w:val="20"/>
          <w:szCs w:val="20"/>
          <w:color w:val="auto"/>
        </w:rPr>
      </w:pPr>
    </w:p>
    <w:p>
      <w:pPr>
        <w:spacing w:after="0"/>
        <w:rPr>
          <w:sz w:val="20"/>
          <w:szCs w:val="20"/>
          <w:color w:val="auto"/>
        </w:rPr>
      </w:pPr>
      <w:r>
        <w:rPr>
          <w:rFonts w:ascii="Calibri" w:cs="Calibri" w:eastAsia="Calibri" w:hAnsi="Calibri"/>
          <w:sz w:val="17"/>
          <w:szCs w:val="17"/>
          <w:color w:val="auto"/>
        </w:rPr>
        <w:t>We are also exposed to foreign exchange rate fuctuatons as we translate the fnancial statements of our foreign subsidiaries into U.S. dollars in consolidaton.</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not entered into derivatve or hedging transactons, but we may do so in the future if our exposure to foreign currency becomes more signifcant.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fuctuatons in exchange rates resultng from the current macroeconomic environment, we may experience negatve impacts on the translaton adjustments resultng from the conversion of the fnancial statements of our foreign subsidiaries into U.S. dollars, as well as the revaluaton adjustments on U.S. dollar denominated intercompany loans. Foreign currency translaton adjustment included in the Condensed Consolidated Statements of Comprehensive Income was $(1.9) million during the three months ended March 31, 2024. As of March 31, 2024, a hypothetcal 10% change in foreign currency exchange rates applicable to our business would have impacted our foreign currency revaluaton gain or loss, which is refected in the Condensed Consolidated Statements of Operatons, by $4.2 million.</w:t>
      </w:r>
    </w:p>
    <w:p>
      <w:pPr>
        <w:spacing w:after="0" w:line="108" w:lineRule="exact"/>
        <w:rPr>
          <w:sz w:val="20"/>
          <w:szCs w:val="20"/>
          <w:color w:val="auto"/>
        </w:rPr>
      </w:pPr>
    </w:p>
    <w:p>
      <w:pPr>
        <w:ind w:left="4460"/>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Limitatons on Efectveness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 there are resource constraints and that management is required to apply judgment in evaluatng the benefts of possible controls and procedures relatve to their costs.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Evaluaton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Disclosure controls and procedures (as defned in Rules 13a-15(e) and 15d-15(e) under the Exchange Act) are designed to ensure that informaton required to be disclosed in reports fled or submited under the Exchange Act is recorded, processed, summarized, and reported within the tme periods specifed in the SEC rules and forms, and that such informaton is accumulated and communicated to management, including our principal executve and principal fnancial ofcers, as appropriate, to allow tmely decisions regarding required disclosures.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 with the partcipaton of our principal executve and principal fnancial ofcers, has evaluated the efectveness of our disclosure controls and procedures (as defned in Rules 13a-15(e) and 15d-15(e) under the Exchange Act) as of the end of the period covered by this Report. Based on such evaluaton, our principal executve and principal fnancial ofcers concluded that our disclosure controls and procedures were not efectve at the reasonable assurance level as of March 31, 2024 due to the material weakness in our internal control over fnancial reportng described below.</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Material Weakness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audit of our consolidated fnancial statements as of December 31, 2023, 2022 and 2021, we identfed a material weakness in our internal control over fnancial reportng related to the implementaton of segregaton of dutes as part of our control actvites, the establishment of clearly defned roles within our fnance and accountng functons and the number of personnel in those functons with an appropriate level of technical accountng and SEC reportng experience which, in the aggregate, consttute a material weakness.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Remediaton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contnue to strengthen our internal control over fnancial reportng and are commited to ensuring that such controls are designed and operatng efectvely. During the three months ended March 31, 2024, we contnued to review our internal control procedures, to implement new controls and processes, to hire additonal qualifed personnel and to establish more robust processes to support our internal control over fnancial reportng, including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35" w:lineRule="auto"/>
        <w:rPr>
          <w:sz w:val="20"/>
          <w:szCs w:val="20"/>
          <w:color w:val="auto"/>
        </w:rPr>
      </w:pPr>
      <w:r>
        <w:rPr>
          <w:rFonts w:ascii="Calibri" w:cs="Calibri" w:eastAsia="Calibri" w:hAnsi="Calibri"/>
          <w:sz w:val="18"/>
          <w:szCs w:val="18"/>
          <w:color w:val="auto"/>
        </w:rPr>
        <w:t>by creatng clearly defned roles and responsibilites and the appropriate segregaton of dutes. These actons have begun to be validated through testng and, when fully implemented, we believe they will be efectve in remediatng the material weakness. However, additonal tme is required to complete implementng the enhanced procedures and to test and ensure the efectveness and sustainability of the improved controls. The material weakness will not be considered remediated untl the applicable controls have been in place and operatng for a sufcient period of tme and management has concluded, through testng, that these controls are efectve. We contnue to devote signifcant tme and atenton to these eforts.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Changes in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with respect to the contnuing remediaton actvites described above, there were no changes in our internal control over fnancial reportng (as defned in Rules 13a-15(f) and 15d-15(f) under the Exchange Act) during the quarter ended March 31, 2024 that have materially afected, or are reasonably likely to materially afect, our internal control over fnancial reportng. We are contnuing to review the internal control structures of Wavedash and Vegas.com and, if necessary, will make appropriate changes as we contnue to integrate such businesses into our overall internal control over fnancial reportng.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4680"/>
        <w:spacing w:after="0"/>
        <w:rPr>
          <w:sz w:val="20"/>
          <w:szCs w:val="20"/>
          <w:color w:val="auto"/>
        </w:rPr>
      </w:pPr>
      <w:r>
        <w:rPr>
          <w:rFonts w:ascii="Calibri" w:cs="Calibri" w:eastAsia="Calibri" w:hAnsi="Calibri"/>
          <w:sz w:val="18"/>
          <w:szCs w:val="18"/>
          <w:b w:val="1"/>
          <w:bCs w:val="1"/>
          <w:color w:val="auto"/>
        </w:rPr>
        <w:t xml:space="preserve">Part II </w:t>
      </w:r>
      <w:r>
        <w:rPr>
          <w:rFonts w:ascii="Times New Roman" w:cs="Times New Roman" w:eastAsia="Times New Roman" w:hAnsi="Times New Roman"/>
          <w:sz w:val="18"/>
          <w:szCs w:val="18"/>
          <w:b w:val="1"/>
          <w:bCs w:val="1"/>
          <w:color w:val="auto"/>
        </w:rPr>
        <w:t>-</w:t>
      </w:r>
      <w:r>
        <w:rPr>
          <w:rFonts w:ascii="Calibri" w:cs="Calibri" w:eastAsia="Calibri" w:hAnsi="Calibri"/>
          <w:sz w:val="18"/>
          <w:szCs w:val="18"/>
          <w:b w:val="1"/>
          <w:bCs w:val="1"/>
          <w:color w:val="auto"/>
        </w:rPr>
        <w:t xml:space="preserve"> Other Informaton</w:t>
      </w:r>
    </w:p>
    <w:p>
      <w:pPr>
        <w:spacing w:after="0" w:line="113" w:lineRule="exact"/>
        <w:rPr>
          <w:sz w:val="20"/>
          <w:szCs w:val="20"/>
          <w:color w:val="auto"/>
        </w:rPr>
      </w:pPr>
    </w:p>
    <w:p>
      <w:pPr>
        <w:ind w:left="4700"/>
        <w:spacing w:after="0"/>
        <w:rPr>
          <w:sz w:val="20"/>
          <w:szCs w:val="20"/>
          <w:color w:val="auto"/>
        </w:rPr>
      </w:pPr>
      <w:r>
        <w:rPr>
          <w:rFonts w:ascii="Calibri" w:cs="Calibri" w:eastAsia="Calibri" w:hAnsi="Calibri"/>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jc w:val="center"/>
        <w:spacing w:after="0" w:line="235" w:lineRule="auto"/>
        <w:rPr>
          <w:sz w:val="20"/>
          <w:szCs w:val="20"/>
          <w:color w:val="auto"/>
        </w:rPr>
      </w:pPr>
      <w:r>
        <w:rPr>
          <w:rFonts w:ascii="Calibri" w:cs="Calibri" w:eastAsia="Calibri" w:hAnsi="Calibri"/>
          <w:sz w:val="18"/>
          <w:szCs w:val="18"/>
          <w:b w:val="1"/>
          <w:bCs w:val="1"/>
          <w:color w:val="auto"/>
        </w:rPr>
        <w:t>Item 1A. Risk Factors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the other informaton set forth in this Report, you should carefully consider the risks and uncertaintes discussed in the “Risk Factors” secton of our 2023 Form 10-K. These risks and uncertaintes could cause actual results to difer materially from historical results or the results contemplated by the forward-looking statements contained in this Report. During the three months ended March 31, 2024, there were no material changes to the risk factors disclosed in our 2023 Form 10-K.</w:t>
      </w:r>
    </w:p>
    <w:p>
      <w:pPr>
        <w:spacing w:after="0" w:line="111" w:lineRule="exact"/>
        <w:rPr>
          <w:sz w:val="20"/>
          <w:szCs w:val="20"/>
          <w:color w:val="auto"/>
        </w:rPr>
      </w:pPr>
    </w:p>
    <w:p>
      <w:pPr>
        <w:ind w:right="3180" w:firstLine="3188"/>
        <w:spacing w:after="0" w:line="348" w:lineRule="auto"/>
        <w:rPr>
          <w:sz w:val="20"/>
          <w:szCs w:val="20"/>
          <w:color w:val="auto"/>
        </w:rPr>
      </w:pPr>
      <w:r>
        <w:rPr>
          <w:rFonts w:ascii="Calibri" w:cs="Calibri" w:eastAsia="Calibri" w:hAnsi="Calibri"/>
          <w:sz w:val="18"/>
          <w:szCs w:val="18"/>
          <w:b w:val="1"/>
          <w:bCs w:val="1"/>
          <w:color w:val="auto"/>
        </w:rPr>
        <w:t xml:space="preserve">Item 2. Unregistered Sales of Equity Securites and Use of Proceeds </w:t>
      </w:r>
      <w:r>
        <w:rPr>
          <w:rFonts w:ascii="Calibri" w:cs="Calibri" w:eastAsia="Calibri" w:hAnsi="Calibri"/>
          <w:sz w:val="18"/>
          <w:szCs w:val="18"/>
          <w:i w:val="1"/>
          <w:iCs w:val="1"/>
          <w:color w:val="auto"/>
        </w:rPr>
        <w:t>Purchases of Equity Securites by the Issuer and Afliated Purchasers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provides informaton about repurchases of our common stock during the three months ended March 31, 2024 (in thousands,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Total Number of Shares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Total Number of</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Purchased As Part of</w:t>
            </w:r>
          </w:p>
        </w:tc>
        <w:tc>
          <w:tcPr>
            <w:tcW w:w="320" w:type="dxa"/>
            <w:vAlign w:val="bottom"/>
          </w:tcPr>
          <w:p>
            <w:pPr>
              <w:spacing w:after="0"/>
              <w:rPr>
                <w:sz w:val="18"/>
                <w:szCs w:val="18"/>
                <w:color w:val="auto"/>
              </w:rPr>
            </w:pPr>
          </w:p>
        </w:tc>
        <w:tc>
          <w:tcPr>
            <w:tcW w:w="2900" w:type="dxa"/>
            <w:vAlign w:val="bottom"/>
            <w:gridSpan w:val="3"/>
          </w:tcPr>
          <w:p>
            <w:pPr>
              <w:ind w:left="80"/>
              <w:spacing w:after="0" w:line="216" w:lineRule="exact"/>
              <w:rPr>
                <w:sz w:val="20"/>
                <w:szCs w:val="20"/>
                <w:color w:val="auto"/>
              </w:rPr>
            </w:pPr>
            <w:r>
              <w:rPr>
                <w:rFonts w:ascii="Calibri" w:cs="Calibri" w:eastAsia="Calibri" w:hAnsi="Calibri"/>
                <w:sz w:val="18"/>
                <w:szCs w:val="18"/>
                <w:b w:val="1"/>
                <w:bCs w:val="1"/>
                <w:color w:val="auto"/>
              </w:rPr>
              <w:t>Approximate Dollar Value of Shares</w:t>
            </w:r>
          </w:p>
        </w:tc>
      </w:tr>
      <w:tr>
        <w:trPr>
          <w:trHeight w:val="193"/>
        </w:trPr>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w w:val="96"/>
              </w:rPr>
              <w:t>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10"/>
              <w:spacing w:after="0" w:line="193" w:lineRule="exact"/>
              <w:rPr>
                <w:sz w:val="20"/>
                <w:szCs w:val="20"/>
                <w:color w:val="auto"/>
              </w:rPr>
            </w:pPr>
            <w:r>
              <w:rPr>
                <w:rFonts w:ascii="Calibri" w:cs="Calibri" w:eastAsia="Calibri" w:hAnsi="Calibri"/>
                <w:sz w:val="18"/>
                <w:szCs w:val="18"/>
                <w:b w:val="1"/>
                <w:bCs w:val="1"/>
                <w:color w:val="auto"/>
                <w:w w:val="96"/>
              </w:rPr>
              <w:t>Average Price Paid</w:t>
            </w:r>
          </w:p>
        </w:tc>
        <w:tc>
          <w:tcPr>
            <w:tcW w:w="240" w:type="dxa"/>
            <w:vAlign w:val="bottom"/>
          </w:tcPr>
          <w:p>
            <w:pPr>
              <w:spacing w:after="0"/>
              <w:rPr>
                <w:sz w:val="16"/>
                <w:szCs w:val="16"/>
                <w:color w:val="auto"/>
              </w:rPr>
            </w:pPr>
          </w:p>
        </w:tc>
        <w:tc>
          <w:tcPr>
            <w:tcW w:w="270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w w:val="98"/>
              </w:rPr>
              <w:t>Publicly Announced</w:t>
            </w:r>
          </w:p>
        </w:tc>
        <w:tc>
          <w:tcPr>
            <w:tcW w:w="320" w:type="dxa"/>
            <w:vAlign w:val="bottom"/>
          </w:tcPr>
          <w:p>
            <w:pPr>
              <w:spacing w:after="0"/>
              <w:rPr>
                <w:sz w:val="16"/>
                <w:szCs w:val="16"/>
                <w:color w:val="auto"/>
              </w:rPr>
            </w:pPr>
          </w:p>
        </w:tc>
        <w:tc>
          <w:tcPr>
            <w:tcW w:w="2900" w:type="dxa"/>
            <w:vAlign w:val="bottom"/>
            <w:gridSpan w:val="3"/>
          </w:tcPr>
          <w:p>
            <w:pPr>
              <w:ind w:left="20"/>
              <w:spacing w:after="0" w:line="193" w:lineRule="exact"/>
              <w:rPr>
                <w:sz w:val="20"/>
                <w:szCs w:val="20"/>
                <w:color w:val="auto"/>
              </w:rPr>
            </w:pPr>
            <w:r>
              <w:rPr>
                <w:rFonts w:ascii="Calibri" w:cs="Calibri" w:eastAsia="Calibri" w:hAnsi="Calibri"/>
                <w:sz w:val="18"/>
                <w:szCs w:val="18"/>
                <w:b w:val="1"/>
                <w:bCs w:val="1"/>
                <w:color w:val="auto"/>
              </w:rPr>
              <w:t>That May Yet Be Purchased Under the</w:t>
            </w:r>
          </w:p>
        </w:tc>
      </w:tr>
      <w:tr>
        <w:trPr>
          <w:trHeight w:val="276"/>
        </w:trPr>
        <w:tc>
          <w:tcPr>
            <w:tcW w:w="1660" w:type="dxa"/>
            <w:vAlign w:val="bottom"/>
            <w:tcBorders>
              <w:bottom w:val="single" w:sz="8" w:color="auto"/>
            </w:tcBorders>
          </w:tcPr>
          <w:p>
            <w:pPr>
              <w:ind w:left="600"/>
              <w:spacing w:after="0"/>
              <w:rPr>
                <w:sz w:val="20"/>
                <w:szCs w:val="20"/>
                <w:color w:val="auto"/>
              </w:rPr>
            </w:pPr>
            <w:r>
              <w:rPr>
                <w:rFonts w:ascii="Calibri" w:cs="Calibri" w:eastAsia="Calibri" w:hAnsi="Calibri"/>
                <w:sz w:val="18"/>
                <w:szCs w:val="18"/>
                <w:b w:val="1"/>
                <w:bCs w:val="1"/>
                <w:color w:val="auto"/>
              </w:rPr>
              <w:t>Period</w:t>
            </w:r>
          </w:p>
        </w:tc>
        <w:tc>
          <w:tcPr>
            <w:tcW w:w="20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7"/>
              </w:rPr>
              <w:t>Purchased</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70"/>
              <w:spacing w:after="0" w:line="276" w:lineRule="exact"/>
              <w:rPr>
                <w:sz w:val="20"/>
                <w:szCs w:val="20"/>
                <w:color w:val="auto"/>
              </w:rPr>
            </w:pPr>
            <w:r>
              <w:rPr>
                <w:rFonts w:ascii="Calibri" w:cs="Calibri" w:eastAsia="Calibri" w:hAnsi="Calibri"/>
                <w:sz w:val="18"/>
                <w:szCs w:val="18"/>
                <w:b w:val="1"/>
                <w:bCs w:val="1"/>
                <w:color w:val="auto"/>
              </w:rPr>
              <w:t>Per Share</w:t>
            </w:r>
            <w:r>
              <w:rPr>
                <w:rFonts w:ascii="Calibri" w:cs="Calibri" w:eastAsia="Calibri" w:hAnsi="Calibri"/>
                <w:sz w:val="24"/>
                <w:szCs w:val="24"/>
                <w:b w:val="1"/>
                <w:bCs w:val="1"/>
                <w:color w:val="auto"/>
                <w:vertAlign w:val="superscript"/>
              </w:rPr>
              <w:t>(1)</w:t>
            </w:r>
          </w:p>
        </w:tc>
        <w:tc>
          <w:tcPr>
            <w:tcW w:w="24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6"/>
              </w:rPr>
              <w:t>Plans or Programs</w:t>
            </w:r>
          </w:p>
        </w:tc>
        <w:tc>
          <w:tcPr>
            <w:tcW w:w="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590"/>
              <w:spacing w:after="0" w:line="276" w:lineRule="exact"/>
              <w:rPr>
                <w:sz w:val="20"/>
                <w:szCs w:val="20"/>
                <w:color w:val="auto"/>
              </w:rPr>
            </w:pPr>
            <w:r>
              <w:rPr>
                <w:rFonts w:ascii="Calibri" w:cs="Calibri" w:eastAsia="Calibri" w:hAnsi="Calibri"/>
                <w:sz w:val="18"/>
                <w:szCs w:val="18"/>
                <w:b w:val="1"/>
                <w:bCs w:val="1"/>
                <w:color w:val="auto"/>
              </w:rPr>
              <w:t>Plans or Programs</w:t>
            </w:r>
            <w:r>
              <w:rPr>
                <w:rFonts w:ascii="Calibri" w:cs="Calibri" w:eastAsia="Calibri" w:hAnsi="Calibri"/>
                <w:sz w:val="24"/>
                <w:szCs w:val="24"/>
                <w:b w:val="1"/>
                <w:bCs w:val="1"/>
                <w:color w:val="auto"/>
                <w:vertAlign w:val="superscript"/>
              </w:rPr>
              <w:t>(2)</w:t>
            </w:r>
          </w:p>
        </w:tc>
        <w:tc>
          <w:tcPr>
            <w:tcW w:w="100" w:type="dxa"/>
            <w:vAlign w:val="bottom"/>
          </w:tcPr>
          <w:p>
            <w:pPr>
              <w:spacing w:after="0"/>
              <w:rPr>
                <w:sz w:val="24"/>
                <w:szCs w:val="24"/>
                <w:color w:val="auto"/>
              </w:rPr>
            </w:pPr>
          </w:p>
        </w:tc>
      </w:tr>
      <w:tr>
        <w:trPr>
          <w:trHeight w:val="217"/>
        </w:trPr>
        <w:tc>
          <w:tcPr>
            <w:tcW w:w="16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January 1-31, 2024</w:t>
            </w:r>
          </w:p>
        </w:tc>
        <w:tc>
          <w:tcPr>
            <w:tcW w:w="2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gridSpan w:val="2"/>
            <w:shd w:val="clear" w:color="auto" w:fill="CFF0FC"/>
          </w:tcPr>
          <w:p>
            <w:pPr>
              <w:ind w:left="340"/>
              <w:spacing w:after="0" w:line="208" w:lineRule="exact"/>
              <w:rPr>
                <w:sz w:val="20"/>
                <w:szCs w:val="20"/>
                <w:color w:val="auto"/>
              </w:rPr>
            </w:pPr>
            <w:r>
              <w:rPr>
                <w:rFonts w:ascii="Calibri" w:cs="Calibri" w:eastAsia="Calibri" w:hAnsi="Calibri"/>
                <w:sz w:val="18"/>
                <w:szCs w:val="18"/>
                <w:color w:val="auto"/>
              </w:rPr>
              <w:t>$</w:t>
            </w:r>
          </w:p>
        </w:tc>
        <w:tc>
          <w:tcPr>
            <w:tcW w:w="2520" w:type="dxa"/>
            <w:vAlign w:val="bottom"/>
            <w:tcBorders>
              <w:bottom w:val="single" w:sz="8" w:color="CFF0FC"/>
            </w:tcBorders>
            <w:gridSpan w:val="2"/>
            <w:shd w:val="clear" w:color="auto" w:fill="CFF0FC"/>
          </w:tcPr>
          <w:p>
            <w:pPr>
              <w:jc w:val="right"/>
              <w:ind w:right="120"/>
              <w:spacing w:after="0" w:line="208" w:lineRule="exact"/>
              <w:rPr>
                <w:sz w:val="20"/>
                <w:szCs w:val="20"/>
                <w:color w:val="auto"/>
              </w:rPr>
            </w:pPr>
            <w:r>
              <w:rPr>
                <w:rFonts w:ascii="Calibri" w:cs="Calibri" w:eastAsia="Calibri" w:hAnsi="Calibri"/>
                <w:sz w:val="18"/>
                <w:szCs w:val="18"/>
                <w:color w:val="auto"/>
              </w:rPr>
              <w:t>—</w:t>
            </w:r>
          </w:p>
        </w:tc>
      </w:tr>
      <w:tr>
        <w:trPr>
          <w:trHeight w:val="215"/>
        </w:trPr>
        <w:tc>
          <w:tcPr>
            <w:tcW w:w="1660" w:type="dxa"/>
            <w:vAlign w:val="bottom"/>
          </w:tcPr>
          <w:p>
            <w:pPr>
              <w:ind w:left="20"/>
              <w:spacing w:after="0" w:line="215" w:lineRule="exact"/>
              <w:rPr>
                <w:sz w:val="20"/>
                <w:szCs w:val="20"/>
                <w:color w:val="auto"/>
              </w:rPr>
            </w:pPr>
            <w:r>
              <w:rPr>
                <w:rFonts w:ascii="Calibri" w:cs="Calibri" w:eastAsia="Calibri" w:hAnsi="Calibri"/>
                <w:sz w:val="18"/>
                <w:szCs w:val="18"/>
                <w:color w:val="auto"/>
              </w:rPr>
              <w:t>February 1-29, 2024</w:t>
            </w:r>
          </w:p>
        </w:tc>
        <w:tc>
          <w:tcPr>
            <w:tcW w:w="20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jc w:val="right"/>
              <w:spacing w:after="0" w:line="215" w:lineRule="exact"/>
              <w:rPr>
                <w:sz w:val="20"/>
                <w:szCs w:val="20"/>
                <w:color w:val="auto"/>
              </w:rPr>
            </w:pPr>
            <w:r>
              <w:rPr>
                <w:rFonts w:ascii="Calibri" w:cs="Calibri" w:eastAsia="Calibri" w:hAnsi="Calibri"/>
                <w:sz w:val="18"/>
                <w:szCs w:val="18"/>
                <w:color w:val="auto"/>
              </w:rPr>
              <w:t>100,000</w:t>
            </w:r>
          </w:p>
        </w:tc>
        <w:tc>
          <w:tcPr>
            <w:tcW w:w="100" w:type="dxa"/>
            <w:vAlign w:val="bottom"/>
          </w:tcPr>
          <w:p>
            <w:pPr>
              <w:spacing w:after="0"/>
              <w:rPr>
                <w:sz w:val="18"/>
                <w:szCs w:val="18"/>
                <w:color w:val="auto"/>
              </w:rPr>
            </w:pPr>
          </w:p>
        </w:tc>
      </w:tr>
      <w:tr>
        <w:trPr>
          <w:trHeight w:val="28"/>
        </w:trPr>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1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March 1-31, 2024</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715,000</w:t>
            </w:r>
          </w:p>
        </w:tc>
        <w:tc>
          <w:tcPr>
            <w:tcW w:w="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5.74</w:t>
            </w:r>
          </w:p>
        </w:tc>
        <w:tc>
          <w:tcPr>
            <w:tcW w:w="29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715,000</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2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95,894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166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Total</w:t>
            </w:r>
          </w:p>
        </w:tc>
        <w:tc>
          <w:tcPr>
            <w:tcW w:w="200" w:type="dxa"/>
            <w:vAlign w:val="bottom"/>
            <w:tcBorders>
              <w:top w:val="single" w:sz="8" w:color="CFF0FC"/>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715,000</w:t>
            </w:r>
          </w:p>
        </w:tc>
        <w:tc>
          <w:tcPr>
            <w:tcW w:w="4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5.74</w:t>
            </w:r>
          </w:p>
        </w:tc>
        <w:tc>
          <w:tcPr>
            <w:tcW w:w="240" w:type="dxa"/>
            <w:vAlign w:val="bottom"/>
            <w:tcBorders>
              <w:top w:val="single" w:sz="8" w:color="CFF0FC"/>
            </w:tcBorders>
          </w:tcPr>
          <w:p>
            <w:pPr>
              <w:spacing w:after="0"/>
              <w:rPr>
                <w:sz w:val="20"/>
                <w:szCs w:val="20"/>
                <w:color w:val="auto"/>
              </w:rPr>
            </w:pPr>
          </w:p>
        </w:tc>
        <w:tc>
          <w:tcPr>
            <w:tcW w:w="27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715,000</w:t>
            </w:r>
          </w:p>
        </w:tc>
        <w:tc>
          <w:tcPr>
            <w:tcW w:w="3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24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95,894</w:t>
            </w:r>
          </w:p>
        </w:tc>
        <w:tc>
          <w:tcPr>
            <w:tcW w:w="100" w:type="dxa"/>
            <w:vAlign w:val="bottom"/>
            <w:tcBorders>
              <w:top w:val="single" w:sz="8" w:color="CFF0FC"/>
            </w:tcBorders>
          </w:tcPr>
          <w:p>
            <w:pPr>
              <w:spacing w:after="0"/>
              <w:rPr>
                <w:sz w:val="20"/>
                <w:szCs w:val="20"/>
                <w:color w:val="auto"/>
              </w:rPr>
            </w:pPr>
          </w:p>
        </w:tc>
      </w:tr>
      <w:tr>
        <w:trPr>
          <w:trHeight w:val="20"/>
        </w:trPr>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-187960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ind w:left="320" w:hanging="312"/>
        <w:spacing w:after="0"/>
        <w:tabs>
          <w:tab w:leader="none" w:pos="3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Excludes brokerage commissions and other costs of executon.</w:t>
      </w:r>
    </w:p>
    <w:p>
      <w:pPr>
        <w:spacing w:after="0" w:line="109" w:lineRule="exact"/>
        <w:rPr>
          <w:rFonts w:ascii="Calibri" w:cs="Calibri" w:eastAsia="Calibri" w:hAnsi="Calibri"/>
          <w:sz w:val="18"/>
          <w:szCs w:val="18"/>
          <w:color w:val="auto"/>
        </w:rPr>
      </w:pPr>
    </w:p>
    <w:p>
      <w:pPr>
        <w:ind w:left="460" w:hanging="452"/>
        <w:spacing w:after="0" w:line="235" w:lineRule="auto"/>
        <w:tabs>
          <w:tab w:leader="none" w:pos="328"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On February 29, 2024, our Board authorized the 2024 Repurchase Program for up to $100.0 million of our Class A common stock. The 2024 Repurchase Program was publicly announced on March 5, 2024, does not have a fxed expiraton date and does not obligate us to purchase any minimum number of shares. Under the 2024 Repurchase Program, we may repurchase shares in privately negotated or open market transactons, including under plans complying with Rule 10b5-1 under the Exchange Act.</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3. Defaults Upon Senior Securites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5. Other Informaton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 2024, our Board approved, at the recommendaton of its Compensaton Commitee, amendments to the employment agreements of certain of our executve ofcers, including Stanley Chia, our Chief Executve Ofcer, and Lawrence Fey, our Chief Financial Ofcer, to provide for the following enhanced benefts upon a terminaton without Cause or for Good Reason (each, as defned in the employment agreements) within one year prior to or following a Change in Control (as defned in the 2021 Plan): a lump-sum cash severance amount equal to a multple of the executve’s annual base salary and target bonus (1.5x for our Chief Executve Ofcer and 1.0x for our Chief Financial Ofcer), and the full acceleraton of the executve’s outstanding equity awards, in each case subject to the executon and non-revocaton of a release of claims.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15"/>
          </w:tcPr>
          <w:p>
            <w:pPr>
              <w:ind w:left="380"/>
              <w:spacing w:after="0"/>
              <w:rPr>
                <w:sz w:val="20"/>
                <w:szCs w:val="20"/>
                <w:color w:val="auto"/>
              </w:rPr>
            </w:pPr>
            <w:r>
              <w:rPr>
                <w:rFonts w:ascii="Calibri" w:cs="Calibri" w:eastAsia="Calibri" w:hAnsi="Calibri"/>
                <w:sz w:val="18"/>
                <w:szCs w:val="18"/>
                <w:b w:val="1"/>
                <w:bCs w:val="1"/>
                <w:color w:val="auto"/>
              </w:rPr>
              <w:t>Item 6. Exhibits</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3"/>
          </w:tcPr>
          <w:p>
            <w:pPr>
              <w:ind w:left="380"/>
              <w:spacing w:after="0"/>
              <w:rPr>
                <w:sz w:val="20"/>
                <w:szCs w:val="20"/>
                <w:color w:val="auto"/>
              </w:rPr>
            </w:pPr>
            <w:r>
              <w:rPr>
                <w:rFonts w:ascii="Calibri" w:cs="Calibri" w:eastAsia="Calibri" w:hAnsi="Calibri"/>
                <w:sz w:val="18"/>
                <w:szCs w:val="18"/>
                <w:b w:val="1"/>
                <w:bCs w:val="1"/>
                <w:color w:val="auto"/>
              </w:rPr>
              <w:t>Incorporated by Reference</w:t>
            </w:r>
          </w:p>
        </w:tc>
        <w:tc>
          <w:tcPr>
            <w:tcW w:w="1120" w:type="dxa"/>
            <w:vAlign w:val="bottom"/>
          </w:tcPr>
          <w:p>
            <w:pPr>
              <w:jc w:val="center"/>
              <w:spacing w:after="0"/>
              <w:rPr>
                <w:sz w:val="20"/>
                <w:szCs w:val="20"/>
                <w:color w:val="auto"/>
              </w:rPr>
            </w:pPr>
            <w:r>
              <w:rPr>
                <w:rFonts w:ascii="Calibri" w:cs="Calibri" w:eastAsia="Calibri" w:hAnsi="Calibri"/>
                <w:sz w:val="18"/>
                <w:szCs w:val="18"/>
                <w:b w:val="1"/>
                <w:bCs w:val="1"/>
                <w:color w:val="auto"/>
              </w:rPr>
              <w:t>Filed /</w:t>
            </w:r>
          </w:p>
        </w:tc>
        <w:tc>
          <w:tcPr>
            <w:tcW w:w="0" w:type="dxa"/>
            <w:vAlign w:val="bottom"/>
          </w:tcPr>
          <w:p>
            <w:pPr>
              <w:spacing w:after="0"/>
              <w:rPr>
                <w:sz w:val="1"/>
                <w:szCs w:val="1"/>
                <w:color w:val="auto"/>
              </w:rPr>
            </w:pPr>
          </w:p>
        </w:tc>
      </w:tr>
      <w:tr>
        <w:trPr>
          <w:trHeight w:val="132"/>
        </w:trPr>
        <w:tc>
          <w:tcPr>
            <w:tcW w:w="1040" w:type="dxa"/>
            <w:vAlign w:val="bottom"/>
            <w:vMerge w:val="restart"/>
          </w:tcPr>
          <w:p>
            <w:pPr>
              <w:ind w:left="20"/>
              <w:spacing w:after="0" w:line="216" w:lineRule="exact"/>
              <w:rPr>
                <w:sz w:val="20"/>
                <w:szCs w:val="20"/>
                <w:color w:val="auto"/>
              </w:rPr>
            </w:pPr>
            <w:r>
              <w:rPr>
                <w:rFonts w:ascii="Calibri" w:cs="Calibri" w:eastAsia="Calibri" w:hAnsi="Calibri"/>
                <w:sz w:val="18"/>
                <w:szCs w:val="18"/>
                <w:b w:val="1"/>
                <w:bCs w:val="1"/>
                <w:color w:val="auto"/>
              </w:rPr>
              <w:t>Exhibit</w:t>
            </w:r>
          </w:p>
        </w:tc>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2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7"/>
              </w:rPr>
              <w:t>Furnished</w:t>
            </w:r>
          </w:p>
        </w:tc>
        <w:tc>
          <w:tcPr>
            <w:tcW w:w="0" w:type="dxa"/>
            <w:vAlign w:val="bottom"/>
          </w:tcPr>
          <w:p>
            <w:pPr>
              <w:spacing w:after="0"/>
              <w:rPr>
                <w:sz w:val="1"/>
                <w:szCs w:val="1"/>
                <w:color w:val="auto"/>
              </w:rPr>
            </w:pPr>
          </w:p>
        </w:tc>
      </w:tr>
      <w:tr>
        <w:trPr>
          <w:trHeight w:val="65"/>
        </w:trPr>
        <w:tc>
          <w:tcPr>
            <w:tcW w:w="104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line="216" w:lineRule="exact"/>
              <w:rPr>
                <w:sz w:val="20"/>
                <w:szCs w:val="20"/>
                <w:color w:val="auto"/>
              </w:rPr>
            </w:pPr>
            <w:r>
              <w:rPr>
                <w:rFonts w:ascii="Calibri" w:cs="Calibri" w:eastAsia="Calibri" w:hAnsi="Calibri"/>
                <w:sz w:val="18"/>
                <w:szCs w:val="18"/>
                <w:b w:val="1"/>
                <w:bCs w:val="1"/>
                <w:color w:val="auto"/>
              </w:rPr>
              <w:t>Number</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0" w:type="dxa"/>
            <w:vAlign w:val="bottom"/>
            <w:gridSpan w:val="18"/>
          </w:tcPr>
          <w:p>
            <w:pPr>
              <w:ind w:left="580"/>
              <w:spacing w:after="0" w:line="216" w:lineRule="exact"/>
              <w:rPr>
                <w:sz w:val="20"/>
                <w:szCs w:val="20"/>
                <w:color w:val="auto"/>
              </w:rPr>
            </w:pPr>
            <w:r>
              <w:rPr>
                <w:rFonts w:ascii="Calibri" w:cs="Calibri" w:eastAsia="Calibri" w:hAnsi="Calibri"/>
                <w:sz w:val="18"/>
                <w:szCs w:val="18"/>
                <w:b w:val="1"/>
                <w:bCs w:val="1"/>
                <w:color w:val="auto"/>
              </w:rPr>
              <w:t>Descripton</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Form</w:t>
            </w:r>
          </w:p>
        </w:tc>
        <w:tc>
          <w:tcPr>
            <w:tcW w:w="84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Exhibit</w:t>
            </w:r>
          </w:p>
        </w:tc>
        <w:tc>
          <w:tcPr>
            <w:tcW w:w="1220" w:type="dxa"/>
            <w:vAlign w:val="bottom"/>
          </w:tcPr>
          <w:p>
            <w:pPr>
              <w:ind w:left="220"/>
              <w:spacing w:after="0" w:line="216" w:lineRule="exact"/>
              <w:rPr>
                <w:sz w:val="20"/>
                <w:szCs w:val="20"/>
                <w:color w:val="auto"/>
              </w:rPr>
            </w:pPr>
            <w:r>
              <w:rPr>
                <w:rFonts w:ascii="Calibri" w:cs="Calibri" w:eastAsia="Calibri" w:hAnsi="Calibri"/>
                <w:sz w:val="18"/>
                <w:szCs w:val="18"/>
                <w:b w:val="1"/>
                <w:bCs w:val="1"/>
                <w:color w:val="auto"/>
              </w:rPr>
              <w:t>Filing Date</w:t>
            </w:r>
          </w:p>
        </w:tc>
        <w:tc>
          <w:tcPr>
            <w:tcW w:w="11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Herewith</w:t>
            </w:r>
          </w:p>
        </w:tc>
        <w:tc>
          <w:tcPr>
            <w:tcW w:w="0" w:type="dxa"/>
            <w:vAlign w:val="bottom"/>
          </w:tcPr>
          <w:p>
            <w:pPr>
              <w:spacing w:after="0"/>
              <w:rPr>
                <w:sz w:val="1"/>
                <w:szCs w:val="1"/>
                <w:color w:val="auto"/>
              </w:rPr>
            </w:pPr>
          </w:p>
        </w:tc>
      </w:tr>
      <w:tr>
        <w:trPr>
          <w:trHeight w:val="37"/>
        </w:trPr>
        <w:tc>
          <w:tcPr>
            <w:tcW w:w="1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line="209" w:lineRule="exact"/>
              <w:rPr>
                <w:sz w:val="20"/>
                <w:szCs w:val="20"/>
                <w:color w:val="auto"/>
              </w:rPr>
            </w:pPr>
            <w:r>
              <w:rPr>
                <w:rFonts w:ascii="Calibri" w:cs="Calibri" w:eastAsia="Calibri" w:hAnsi="Calibri"/>
                <w:sz w:val="18"/>
                <w:szCs w:val="18"/>
                <w:color w:val="auto"/>
              </w:rPr>
              <w:t>2.1</w:t>
            </w:r>
          </w:p>
        </w:tc>
        <w:tc>
          <w:tcPr>
            <w:tcW w:w="6280" w:type="dxa"/>
            <w:vAlign w:val="bottom"/>
            <w:tcBorders>
              <w:bottom w:val="single" w:sz="8" w:color="0000FF"/>
            </w:tcBorders>
            <w:gridSpan w:val="17"/>
          </w:tcPr>
          <w:p>
            <w:pPr>
              <w:spacing w:after="0" w:line="209" w:lineRule="exact"/>
              <w:rPr>
                <w:rFonts w:ascii="Calibri" w:cs="Calibri" w:eastAsia="Calibri" w:hAnsi="Calibri"/>
                <w:sz w:val="18"/>
                <w:szCs w:val="18"/>
                <w:color w:val="0000FF"/>
              </w:rPr>
            </w:pPr>
            <w:hyperlink r:id="rId269">
              <w:r>
                <w:rPr>
                  <w:rFonts w:ascii="Calibri" w:cs="Calibri" w:eastAsia="Calibri" w:hAnsi="Calibri"/>
                  <w:sz w:val="18"/>
                  <w:szCs w:val="18"/>
                  <w:color w:val="0000FF"/>
                </w:rPr>
                <w:t>Transacton Agreement, dated April 21, 2021, among Horizon Acquisiton Corporaton,</w:t>
              </w:r>
            </w:hyperlink>
          </w:p>
        </w:tc>
        <w:tc>
          <w:tcPr>
            <w:tcW w:w="120" w:type="dxa"/>
            <w:vAlign w:val="bottom"/>
            <w:gridSpan w:val="3"/>
          </w:tcPr>
          <w:p>
            <w:pPr>
              <w:spacing w:after="0"/>
              <w:rPr>
                <w:sz w:val="18"/>
                <w:szCs w:val="18"/>
                <w:color w:val="auto"/>
              </w:rPr>
            </w:pPr>
          </w:p>
        </w:tc>
        <w:tc>
          <w:tcPr>
            <w:tcW w:w="620" w:type="dxa"/>
            <w:vAlign w:val="bottom"/>
          </w:tcPr>
          <w:p>
            <w:pPr>
              <w:jc w:val="center"/>
              <w:spacing w:after="0" w:line="209" w:lineRule="exact"/>
              <w:rPr>
                <w:sz w:val="20"/>
                <w:szCs w:val="20"/>
                <w:color w:val="auto"/>
              </w:rPr>
            </w:pPr>
            <w:r>
              <w:rPr>
                <w:rFonts w:ascii="Calibri" w:cs="Calibri" w:eastAsia="Calibri" w:hAnsi="Calibri"/>
                <w:sz w:val="18"/>
                <w:szCs w:val="18"/>
                <w:color w:val="auto"/>
              </w:rPr>
              <w:t>S-4</w:t>
            </w:r>
          </w:p>
        </w:tc>
        <w:tc>
          <w:tcPr>
            <w:tcW w:w="84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2.1</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5/28/2021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20"/>
          </w:tcPr>
          <w:p>
            <w:pPr>
              <w:spacing w:after="0" w:line="196" w:lineRule="exact"/>
              <w:rPr>
                <w:rFonts w:ascii="Calibri" w:cs="Calibri" w:eastAsia="Calibri" w:hAnsi="Calibri"/>
                <w:sz w:val="18"/>
                <w:szCs w:val="18"/>
                <w:color w:val="0000FF"/>
              </w:rPr>
            </w:pPr>
            <w:hyperlink r:id="rId269">
              <w:r>
                <w:rPr>
                  <w:rFonts w:ascii="Calibri" w:cs="Calibri" w:eastAsia="Calibri" w:hAnsi="Calibri"/>
                  <w:sz w:val="18"/>
                  <w:szCs w:val="18"/>
                  <w:color w:val="0000FF"/>
                </w:rPr>
                <w:t>Horizon Sponsor, LLC, Hoya Topco, LLC, Hoya Intermediate, LLC and Vivid Seats Inc.</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Calibri" w:cs="Calibri" w:eastAsia="Calibri" w:hAnsi="Calibri"/>
                <w:sz w:val="18"/>
                <w:szCs w:val="18"/>
                <w:color w:val="auto"/>
              </w:rPr>
              <w:t>2.2</w:t>
            </w:r>
          </w:p>
        </w:tc>
        <w:tc>
          <w:tcPr>
            <w:tcW w:w="6240" w:type="dxa"/>
            <w:vAlign w:val="bottom"/>
            <w:tcBorders>
              <w:bottom w:val="single" w:sz="8" w:color="0000FF"/>
            </w:tcBorders>
            <w:gridSpan w:val="15"/>
          </w:tcPr>
          <w:p>
            <w:pPr>
              <w:spacing w:after="0"/>
              <w:rPr>
                <w:rFonts w:ascii="Calibri" w:cs="Calibri" w:eastAsia="Calibri" w:hAnsi="Calibri"/>
                <w:sz w:val="18"/>
                <w:szCs w:val="18"/>
                <w:color w:val="0000FF"/>
                <w:w w:val="99"/>
              </w:rPr>
            </w:pPr>
            <w:hyperlink r:id="rId270">
              <w:r>
                <w:rPr>
                  <w:rFonts w:ascii="Calibri" w:cs="Calibri" w:eastAsia="Calibri" w:hAnsi="Calibri"/>
                  <w:sz w:val="18"/>
                  <w:szCs w:val="18"/>
                  <w:color w:val="0000FF"/>
                  <w:w w:val="99"/>
                </w:rPr>
                <w:t>Purchase, Sale and Redempton Agreement, dated April 21, 2021, among Hoya Topco,</w:t>
              </w:r>
            </w:hyperlink>
          </w:p>
        </w:tc>
        <w:tc>
          <w:tcPr>
            <w:tcW w:w="20" w:type="dxa"/>
            <w:vAlign w:val="bottom"/>
            <w:tcBorders>
              <w:bottom w:val="single" w:sz="8" w:color="0000EE"/>
            </w:tcBorders>
          </w:tcPr>
          <w:p>
            <w:pPr>
              <w:spacing w:after="0"/>
              <w:rPr>
                <w:sz w:val="22"/>
                <w:szCs w:val="22"/>
                <w:color w:val="auto"/>
              </w:rPr>
            </w:pPr>
          </w:p>
        </w:tc>
        <w:tc>
          <w:tcPr>
            <w:tcW w:w="140" w:type="dxa"/>
            <w:vAlign w:val="bottom"/>
            <w:gridSpan w:val="4"/>
          </w:tcPr>
          <w:p>
            <w:pPr>
              <w:spacing w:after="0"/>
              <w:rPr>
                <w:sz w:val="22"/>
                <w:szCs w:val="22"/>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rPr>
              <w:t>S-4</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2.2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5/28/2021</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260" w:type="dxa"/>
            <w:vAlign w:val="bottom"/>
            <w:tcBorders>
              <w:bottom w:val="single" w:sz="8" w:color="0000FF"/>
            </w:tcBorders>
            <w:gridSpan w:val="16"/>
          </w:tcPr>
          <w:p>
            <w:pPr>
              <w:spacing w:after="0" w:line="196" w:lineRule="exact"/>
              <w:rPr>
                <w:rFonts w:ascii="Calibri" w:cs="Calibri" w:eastAsia="Calibri" w:hAnsi="Calibri"/>
                <w:sz w:val="18"/>
                <w:szCs w:val="18"/>
                <w:color w:val="0000FF"/>
              </w:rPr>
            </w:pPr>
            <w:hyperlink r:id="rId270">
              <w:r>
                <w:rPr>
                  <w:rFonts w:ascii="Calibri" w:cs="Calibri" w:eastAsia="Calibri" w:hAnsi="Calibri"/>
                  <w:sz w:val="18"/>
                  <w:szCs w:val="18"/>
                  <w:color w:val="0000FF"/>
                </w:rPr>
                <w:t>LLC, Hoya Intermediate, LLC, Vivid Seats Inc., Crescent Mezzanine Partners VIB, L.P.,</w:t>
              </w:r>
            </w:hyperlink>
          </w:p>
        </w:tc>
        <w:tc>
          <w:tcPr>
            <w:tcW w:w="20" w:type="dxa"/>
            <w:vAlign w:val="bottom"/>
            <w:tcBorders>
              <w:bottom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20" w:type="dxa"/>
            <w:vAlign w:val="bottom"/>
            <w:tcBorders>
              <w:bottom w:val="single" w:sz="8" w:color="0000FF"/>
            </w:tcBorders>
            <w:gridSpan w:val="19"/>
          </w:tcPr>
          <w:p>
            <w:pPr>
              <w:spacing w:after="0" w:line="196" w:lineRule="exact"/>
              <w:rPr>
                <w:rFonts w:ascii="Calibri" w:cs="Calibri" w:eastAsia="Calibri" w:hAnsi="Calibri"/>
                <w:sz w:val="18"/>
                <w:szCs w:val="18"/>
                <w:color w:val="0000FF"/>
                <w:w w:val="99"/>
              </w:rPr>
            </w:pPr>
            <w:hyperlink r:id="rId270">
              <w:r>
                <w:rPr>
                  <w:rFonts w:ascii="Calibri" w:cs="Calibri" w:eastAsia="Calibri" w:hAnsi="Calibri"/>
                  <w:sz w:val="18"/>
                  <w:szCs w:val="18"/>
                  <w:color w:val="0000FF"/>
                  <w:w w:val="99"/>
                </w:rPr>
                <w:t>Crescent Mezzanine Partners VIC, L.P., NPS/Crescent Strategic Partnership II, LP, CM7C</w:t>
              </w:r>
            </w:hyperlink>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260" w:type="dxa"/>
            <w:vAlign w:val="bottom"/>
            <w:tcBorders>
              <w:bottom w:val="single" w:sz="8" w:color="0000FF"/>
            </w:tcBorders>
            <w:gridSpan w:val="16"/>
          </w:tcPr>
          <w:p>
            <w:pPr>
              <w:spacing w:after="0" w:line="196" w:lineRule="exact"/>
              <w:rPr>
                <w:rFonts w:ascii="Calibri" w:cs="Calibri" w:eastAsia="Calibri" w:hAnsi="Calibri"/>
                <w:sz w:val="18"/>
                <w:szCs w:val="18"/>
                <w:color w:val="0000FF"/>
                <w:w w:val="98"/>
              </w:rPr>
            </w:pPr>
            <w:hyperlink r:id="rId270">
              <w:r>
                <w:rPr>
                  <w:rFonts w:ascii="Calibri" w:cs="Calibri" w:eastAsia="Calibri" w:hAnsi="Calibri"/>
                  <w:sz w:val="18"/>
                  <w:szCs w:val="18"/>
                  <w:color w:val="0000FF"/>
                  <w:w w:val="98"/>
                </w:rPr>
                <w:t>VS Equity Holdings, LP, Crescent Mezzanine Partners VIIB, L.P., CM6B Vivid Equity, Inc.,</w:t>
              </w:r>
            </w:hyperlink>
          </w:p>
        </w:tc>
        <w:tc>
          <w:tcPr>
            <w:tcW w:w="20" w:type="dxa"/>
            <w:vAlign w:val="bottom"/>
            <w:tcBorders>
              <w:bottom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00" w:type="dxa"/>
            <w:vAlign w:val="bottom"/>
            <w:tcBorders>
              <w:bottom w:val="single" w:sz="8" w:color="0000FF"/>
            </w:tcBorders>
            <w:gridSpan w:val="18"/>
          </w:tcPr>
          <w:p>
            <w:pPr>
              <w:spacing w:after="0" w:line="196" w:lineRule="exact"/>
              <w:rPr>
                <w:rFonts w:ascii="Calibri" w:cs="Calibri" w:eastAsia="Calibri" w:hAnsi="Calibri"/>
                <w:sz w:val="18"/>
                <w:szCs w:val="18"/>
                <w:color w:val="0000FF"/>
                <w:w w:val="97"/>
              </w:rPr>
            </w:pPr>
            <w:hyperlink r:id="rId270">
              <w:r>
                <w:rPr>
                  <w:rFonts w:ascii="Calibri" w:cs="Calibri" w:eastAsia="Calibri" w:hAnsi="Calibri"/>
                  <w:sz w:val="18"/>
                  <w:szCs w:val="18"/>
                  <w:color w:val="0000FF"/>
                  <w:w w:val="97"/>
                </w:rPr>
                <w:t>CM6C Vivid Equity, Inc., CM7C VS Equity, LLC, CM7B VS Equity, LLC, Crescent Mezzanine</w:t>
              </w:r>
            </w:hyperlink>
          </w:p>
        </w:tc>
        <w:tc>
          <w:tcPr>
            <w:tcW w:w="1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260" w:type="dxa"/>
            <w:vAlign w:val="bottom"/>
            <w:tcBorders>
              <w:bottom w:val="single" w:sz="8" w:color="0000FF"/>
            </w:tcBorders>
            <w:gridSpan w:val="16"/>
          </w:tcPr>
          <w:p>
            <w:pPr>
              <w:spacing w:after="0" w:line="196" w:lineRule="exact"/>
              <w:rPr>
                <w:rFonts w:ascii="Calibri" w:cs="Calibri" w:eastAsia="Calibri" w:hAnsi="Calibri"/>
                <w:sz w:val="18"/>
                <w:szCs w:val="18"/>
                <w:color w:val="0000FF"/>
                <w:w w:val="97"/>
              </w:rPr>
            </w:pPr>
            <w:hyperlink r:id="rId270">
              <w:r>
                <w:rPr>
                  <w:rFonts w:ascii="Calibri" w:cs="Calibri" w:eastAsia="Calibri" w:hAnsi="Calibri"/>
                  <w:sz w:val="18"/>
                  <w:szCs w:val="18"/>
                  <w:color w:val="0000FF"/>
                  <w:w w:val="97"/>
                </w:rPr>
                <w:t>Partners VI, L.P., Crescent Mezzanine Partners VII, L.P., Crescent Mezzanine Partners VII</w:t>
              </w:r>
            </w:hyperlink>
          </w:p>
        </w:tc>
        <w:tc>
          <w:tcPr>
            <w:tcW w:w="20" w:type="dxa"/>
            <w:vAlign w:val="bottom"/>
            <w:tcBorders>
              <w:bottom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280" w:type="dxa"/>
            <w:vAlign w:val="bottom"/>
            <w:tcBorders>
              <w:bottom w:val="single" w:sz="8" w:color="0000FF"/>
            </w:tcBorders>
            <w:gridSpan w:val="17"/>
          </w:tcPr>
          <w:p>
            <w:pPr>
              <w:spacing w:after="0" w:line="196" w:lineRule="exact"/>
              <w:rPr>
                <w:rFonts w:ascii="Calibri" w:cs="Calibri" w:eastAsia="Calibri" w:hAnsi="Calibri"/>
                <w:sz w:val="18"/>
                <w:szCs w:val="18"/>
                <w:color w:val="0000FF"/>
              </w:rPr>
            </w:pPr>
            <w:hyperlink r:id="rId270">
              <w:r>
                <w:rPr>
                  <w:rFonts w:ascii="Calibri" w:cs="Calibri" w:eastAsia="Calibri" w:hAnsi="Calibri"/>
                  <w:sz w:val="18"/>
                  <w:szCs w:val="18"/>
                  <w:color w:val="0000FF"/>
                </w:rPr>
                <w:t>(LTL), L.P., CBDC Universal Equity, Inc., Crescent Capital Group, LP and Horizon</w:t>
              </w:r>
            </w:hyperlink>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20"/>
          </w:tcPr>
          <w:p>
            <w:pPr>
              <w:spacing w:after="0" w:line="196" w:lineRule="exact"/>
              <w:rPr>
                <w:rFonts w:ascii="Calibri" w:cs="Calibri" w:eastAsia="Calibri" w:hAnsi="Calibri"/>
                <w:sz w:val="18"/>
                <w:szCs w:val="18"/>
                <w:color w:val="0000FF"/>
              </w:rPr>
            </w:pPr>
            <w:hyperlink r:id="rId270">
              <w:r>
                <w:rPr>
                  <w:rFonts w:ascii="Calibri" w:cs="Calibri" w:eastAsia="Calibri" w:hAnsi="Calibri"/>
                  <w:sz w:val="18"/>
                  <w:szCs w:val="18"/>
                  <w:color w:val="0000FF"/>
                </w:rPr>
                <w:t>Acquisiton Corporaton</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2.3</w:t>
            </w:r>
          </w:p>
        </w:tc>
        <w:tc>
          <w:tcPr>
            <w:tcW w:w="6280" w:type="dxa"/>
            <w:vAlign w:val="bottom"/>
            <w:tcBorders>
              <w:bottom w:val="single" w:sz="8" w:color="0000FF"/>
            </w:tcBorders>
            <w:gridSpan w:val="17"/>
          </w:tcPr>
          <w:p>
            <w:pPr>
              <w:spacing w:after="0"/>
              <w:rPr>
                <w:rFonts w:ascii="Calibri" w:cs="Calibri" w:eastAsia="Calibri" w:hAnsi="Calibri"/>
                <w:sz w:val="18"/>
                <w:szCs w:val="18"/>
                <w:color w:val="0000FF"/>
              </w:rPr>
            </w:pPr>
            <w:hyperlink r:id="rId271">
              <w:r>
                <w:rPr>
                  <w:rFonts w:ascii="Calibri" w:cs="Calibri" w:eastAsia="Calibri" w:hAnsi="Calibri"/>
                  <w:sz w:val="18"/>
                  <w:szCs w:val="18"/>
                  <w:color w:val="0000FF"/>
                </w:rPr>
                <w:t>Plan of Merger, dated October 18, 2021, among Horizon Acquisiton Corporaton,</w:t>
              </w:r>
            </w:hyperlink>
          </w:p>
        </w:tc>
        <w:tc>
          <w:tcPr>
            <w:tcW w:w="120" w:type="dxa"/>
            <w:vAlign w:val="bottom"/>
            <w:gridSpan w:val="3"/>
          </w:tcPr>
          <w:p>
            <w:pPr>
              <w:spacing w:after="0"/>
              <w:rPr>
                <w:sz w:val="22"/>
                <w:szCs w:val="22"/>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rPr>
              <w:t>10-Q</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2.3</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11/15/2021</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0" w:type="dxa"/>
            <w:vAlign w:val="bottom"/>
            <w:gridSpan w:val="20"/>
          </w:tcPr>
          <w:p>
            <w:pPr>
              <w:spacing w:after="0" w:line="196" w:lineRule="exact"/>
              <w:rPr>
                <w:rFonts w:ascii="Calibri" w:cs="Calibri" w:eastAsia="Calibri" w:hAnsi="Calibri"/>
                <w:sz w:val="18"/>
                <w:szCs w:val="18"/>
                <w:color w:val="0000FF"/>
              </w:rPr>
            </w:pPr>
            <w:hyperlink r:id="rId271">
              <w:r>
                <w:rPr>
                  <w:rFonts w:ascii="Calibri" w:cs="Calibri" w:eastAsia="Calibri" w:hAnsi="Calibri"/>
                  <w:sz w:val="18"/>
                  <w:szCs w:val="18"/>
                  <w:color w:val="0000FF"/>
                </w:rPr>
                <w:t>Horizon Sponsor, LLC, Hoya Topco, LLC, Hoya Intermediate, LLC and Vivid Seats Inc.</w:t>
              </w:r>
            </w:hyperlink>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3.1</w:t>
            </w:r>
          </w:p>
        </w:tc>
        <w:tc>
          <w:tcPr>
            <w:tcW w:w="5860" w:type="dxa"/>
            <w:vAlign w:val="bottom"/>
            <w:tcBorders>
              <w:top w:val="single" w:sz="8" w:color="0000FF"/>
            </w:tcBorders>
            <w:gridSpan w:val="14"/>
          </w:tcPr>
          <w:p>
            <w:pPr>
              <w:spacing w:after="0"/>
              <w:rPr>
                <w:rFonts w:ascii="Calibri" w:cs="Calibri" w:eastAsia="Calibri" w:hAnsi="Calibri"/>
                <w:sz w:val="18"/>
                <w:szCs w:val="18"/>
                <w:color w:val="0000FF"/>
              </w:rPr>
            </w:pPr>
            <w:hyperlink r:id="rId272">
              <w:r>
                <w:rPr>
                  <w:rFonts w:ascii="Calibri" w:cs="Calibri" w:eastAsia="Calibri" w:hAnsi="Calibri"/>
                  <w:sz w:val="18"/>
                  <w:szCs w:val="18"/>
                  <w:color w:val="0000FF"/>
                </w:rPr>
                <w:t>Amended and Restated Certfcate of Incorporaton</w:t>
              </w:r>
            </w:hyperlink>
          </w:p>
        </w:tc>
        <w:tc>
          <w:tcPr>
            <w:tcW w:w="540" w:type="dxa"/>
            <w:vAlign w:val="bottom"/>
            <w:gridSpan w:val="6"/>
          </w:tcPr>
          <w:p>
            <w:pPr>
              <w:spacing w:after="0"/>
              <w:rPr>
                <w:sz w:val="22"/>
                <w:szCs w:val="22"/>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3.1</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6400" w:type="dxa"/>
            <w:vAlign w:val="bottom"/>
            <w:gridSpan w:val="20"/>
          </w:tcPr>
          <w:p>
            <w:pPr>
              <w:spacing w:after="0"/>
              <w:rPr>
                <w:rFonts w:ascii="Calibri" w:cs="Calibri" w:eastAsia="Calibri" w:hAnsi="Calibri"/>
                <w:sz w:val="18"/>
                <w:szCs w:val="18"/>
                <w:color w:val="0000FF"/>
              </w:rPr>
            </w:pPr>
            <w:hyperlink r:id="rId273">
              <w:r>
                <w:rPr>
                  <w:rFonts w:ascii="Calibri" w:cs="Calibri" w:eastAsia="Calibri" w:hAnsi="Calibri"/>
                  <w:sz w:val="18"/>
                  <w:szCs w:val="18"/>
                  <w:color w:val="0000FF"/>
                </w:rPr>
                <w:t>First Amendment to Amended and Restated Bylaws</w:t>
              </w:r>
            </w:hyperlink>
          </w:p>
        </w:tc>
        <w:tc>
          <w:tcPr>
            <w:tcW w:w="620" w:type="dxa"/>
            <w:vAlign w:val="bottom"/>
          </w:tcPr>
          <w:p>
            <w:pPr>
              <w:jc w:val="center"/>
              <w:spacing w:after="0"/>
              <w:rPr>
                <w:sz w:val="20"/>
                <w:szCs w:val="20"/>
                <w:color w:val="auto"/>
              </w:rPr>
            </w:pPr>
            <w:r>
              <w:rPr>
                <w:rFonts w:ascii="Calibri" w:cs="Calibri" w:eastAsia="Calibri" w:hAnsi="Calibri"/>
                <w:sz w:val="18"/>
                <w:szCs w:val="18"/>
                <w:color w:val="auto"/>
              </w:rPr>
              <w:t>10-Q</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5/10/2022</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3.3</w:t>
            </w:r>
          </w:p>
        </w:tc>
        <w:tc>
          <w:tcPr>
            <w:tcW w:w="3640" w:type="dxa"/>
            <w:vAlign w:val="bottom"/>
            <w:tcBorders>
              <w:top w:val="single" w:sz="8" w:color="0000FF"/>
            </w:tcBorders>
            <w:gridSpan w:val="5"/>
          </w:tcPr>
          <w:p>
            <w:pPr>
              <w:spacing w:after="0"/>
              <w:rPr>
                <w:rFonts w:ascii="Calibri" w:cs="Calibri" w:eastAsia="Calibri" w:hAnsi="Calibri"/>
                <w:sz w:val="18"/>
                <w:szCs w:val="18"/>
                <w:color w:val="0000FF"/>
              </w:rPr>
            </w:pPr>
            <w:hyperlink r:id="rId274">
              <w:r>
                <w:rPr>
                  <w:rFonts w:ascii="Calibri" w:cs="Calibri" w:eastAsia="Calibri" w:hAnsi="Calibri"/>
                  <w:sz w:val="18"/>
                  <w:szCs w:val="18"/>
                  <w:color w:val="0000FF"/>
                </w:rPr>
                <w:t>Amended and Restated Bylaws</w:t>
              </w:r>
            </w:hyperlink>
          </w:p>
        </w:tc>
        <w:tc>
          <w:tcPr>
            <w:tcW w:w="2760" w:type="dxa"/>
            <w:vAlign w:val="bottom"/>
            <w:gridSpan w:val="15"/>
          </w:tcPr>
          <w:p>
            <w:pPr>
              <w:spacing w:after="0"/>
              <w:rPr>
                <w:sz w:val="22"/>
                <w:szCs w:val="22"/>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4.1</w:t>
            </w:r>
          </w:p>
        </w:tc>
        <w:tc>
          <w:tcPr>
            <w:tcW w:w="6280" w:type="dxa"/>
            <w:vAlign w:val="bottom"/>
            <w:tcBorders>
              <w:bottom w:val="single" w:sz="8" w:color="0000FF"/>
            </w:tcBorders>
            <w:gridSpan w:val="17"/>
          </w:tcPr>
          <w:p>
            <w:pPr>
              <w:spacing w:after="0"/>
              <w:rPr>
                <w:rFonts w:ascii="Calibri" w:cs="Calibri" w:eastAsia="Calibri" w:hAnsi="Calibri"/>
                <w:sz w:val="18"/>
                <w:szCs w:val="18"/>
                <w:color w:val="0000FF"/>
                <w:w w:val="97"/>
              </w:rPr>
            </w:pPr>
            <w:hyperlink r:id="rId275">
              <w:r>
                <w:rPr>
                  <w:rFonts w:ascii="Calibri" w:cs="Calibri" w:eastAsia="Calibri" w:hAnsi="Calibri"/>
                  <w:sz w:val="18"/>
                  <w:szCs w:val="18"/>
                  <w:color w:val="0000FF"/>
                  <w:w w:val="97"/>
                </w:rPr>
                <w:t>Amended and Restated Warrant Agreement, dated October 14, 2021, between Horizon</w:t>
              </w:r>
            </w:hyperlink>
          </w:p>
        </w:tc>
        <w:tc>
          <w:tcPr>
            <w:tcW w:w="120" w:type="dxa"/>
            <w:vAlign w:val="bottom"/>
            <w:gridSpan w:val="3"/>
          </w:tcPr>
          <w:p>
            <w:pPr>
              <w:spacing w:after="0"/>
              <w:rPr>
                <w:sz w:val="22"/>
                <w:szCs w:val="22"/>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3"/>
              </w:rPr>
              <w:t>10.7</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8"/>
              </w:rPr>
              <w:t>10/22/2021</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160" w:type="dxa"/>
            <w:vAlign w:val="bottom"/>
            <w:tcBorders>
              <w:bottom w:val="single" w:sz="8" w:color="0000FF"/>
            </w:tcBorders>
            <w:gridSpan w:val="13"/>
          </w:tcPr>
          <w:p>
            <w:pPr>
              <w:spacing w:after="0" w:line="196" w:lineRule="exact"/>
              <w:rPr>
                <w:rFonts w:ascii="Calibri" w:cs="Calibri" w:eastAsia="Calibri" w:hAnsi="Calibri"/>
                <w:sz w:val="18"/>
                <w:szCs w:val="18"/>
                <w:color w:val="0000FF"/>
                <w:w w:val="98"/>
              </w:rPr>
            </w:pPr>
            <w:hyperlink r:id="rId275">
              <w:r>
                <w:rPr>
                  <w:rFonts w:ascii="Calibri" w:cs="Calibri" w:eastAsia="Calibri" w:hAnsi="Calibri"/>
                  <w:sz w:val="18"/>
                  <w:szCs w:val="18"/>
                  <w:color w:val="0000FF"/>
                  <w:w w:val="98"/>
                </w:rPr>
                <w:t>Acquisiton Corporaton and Contnental Stock Transfer &amp; Trust Company</w:t>
              </w:r>
            </w:hyperlink>
          </w:p>
        </w:tc>
        <w:tc>
          <w:tcPr>
            <w:tcW w:w="124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Calibri" w:cs="Calibri" w:eastAsia="Calibri" w:hAnsi="Calibri"/>
                <w:sz w:val="18"/>
                <w:szCs w:val="18"/>
                <w:color w:val="auto"/>
              </w:rPr>
              <w:t>4.2</w:t>
            </w:r>
          </w:p>
        </w:tc>
        <w:tc>
          <w:tcPr>
            <w:tcW w:w="6400" w:type="dxa"/>
            <w:vAlign w:val="bottom"/>
            <w:gridSpan w:val="20"/>
          </w:tcPr>
          <w:p>
            <w:pPr>
              <w:spacing w:after="0"/>
              <w:rPr>
                <w:rFonts w:ascii="Calibri" w:cs="Calibri" w:eastAsia="Calibri" w:hAnsi="Calibri"/>
                <w:sz w:val="18"/>
                <w:szCs w:val="18"/>
                <w:color w:val="0000FF"/>
              </w:rPr>
            </w:pPr>
            <w:hyperlink r:id="rId276">
              <w:r>
                <w:rPr>
                  <w:rFonts w:ascii="Calibri" w:cs="Calibri" w:eastAsia="Calibri" w:hAnsi="Calibri"/>
                  <w:sz w:val="18"/>
                  <w:szCs w:val="18"/>
                  <w:color w:val="0000FF"/>
                </w:rPr>
                <w:t>Specimen Class A Common Stock Certfcate of Vivid Seats Inc.</w:t>
              </w:r>
            </w:hyperlink>
          </w:p>
        </w:tc>
        <w:tc>
          <w:tcPr>
            <w:tcW w:w="62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4.3</w:t>
            </w:r>
          </w:p>
        </w:tc>
        <w:tc>
          <w:tcPr>
            <w:tcW w:w="3380" w:type="dxa"/>
            <w:vAlign w:val="bottom"/>
            <w:tcBorders>
              <w:top w:val="single" w:sz="8" w:color="0000FF"/>
              <w:bottom w:val="single" w:sz="8" w:color="0000FF"/>
            </w:tcBorders>
            <w:gridSpan w:val="3"/>
          </w:tcPr>
          <w:p>
            <w:pPr>
              <w:spacing w:after="0"/>
              <w:rPr>
                <w:rFonts w:ascii="Calibri" w:cs="Calibri" w:eastAsia="Calibri" w:hAnsi="Calibri"/>
                <w:sz w:val="18"/>
                <w:szCs w:val="18"/>
                <w:color w:val="0000FF"/>
                <w:w w:val="98"/>
              </w:rPr>
            </w:pPr>
            <w:hyperlink r:id="rId277">
              <w:r>
                <w:rPr>
                  <w:rFonts w:ascii="Calibri" w:cs="Calibri" w:eastAsia="Calibri" w:hAnsi="Calibri"/>
                  <w:sz w:val="18"/>
                  <w:szCs w:val="18"/>
                  <w:color w:val="0000FF"/>
                  <w:w w:val="98"/>
                </w:rPr>
                <w:t>Specimen Warrant Certfcate of Vivid Seats Inc.</w:t>
              </w:r>
            </w:hyperlink>
          </w:p>
        </w:tc>
        <w:tc>
          <w:tcPr>
            <w:tcW w:w="20" w:type="dxa"/>
            <w:vAlign w:val="bottom"/>
            <w:tcBorders>
              <w:top w:val="single" w:sz="8" w:color="0000FF"/>
              <w:bottom w:val="single" w:sz="8" w:color="0000EE"/>
            </w:tcBorders>
          </w:tcPr>
          <w:p>
            <w:pPr>
              <w:spacing w:after="0"/>
              <w:rPr>
                <w:sz w:val="22"/>
                <w:szCs w:val="22"/>
                <w:color w:val="auto"/>
              </w:rPr>
            </w:pPr>
          </w:p>
        </w:tc>
        <w:tc>
          <w:tcPr>
            <w:tcW w:w="1000" w:type="dxa"/>
            <w:vAlign w:val="bottom"/>
            <w:tcBorders>
              <w:top w:val="single" w:sz="8" w:color="0000FF"/>
            </w:tcBorders>
            <w:gridSpan w:val="2"/>
          </w:tcPr>
          <w:p>
            <w:pPr>
              <w:spacing w:after="0"/>
              <w:rPr>
                <w:sz w:val="22"/>
                <w:szCs w:val="22"/>
                <w:color w:val="auto"/>
              </w:rPr>
            </w:pPr>
          </w:p>
        </w:tc>
        <w:tc>
          <w:tcPr>
            <w:tcW w:w="2000" w:type="dxa"/>
            <w:vAlign w:val="bottom"/>
            <w:gridSpan w:val="14"/>
          </w:tcPr>
          <w:p>
            <w:pPr>
              <w:spacing w:after="0"/>
              <w:rPr>
                <w:sz w:val="22"/>
                <w:szCs w:val="22"/>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6"/>
              </w:rPr>
              <w:t>4.3</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10.1#</w:t>
            </w:r>
          </w:p>
        </w:tc>
        <w:tc>
          <w:tcPr>
            <w:tcW w:w="4460" w:type="dxa"/>
            <w:vAlign w:val="bottom"/>
            <w:tcBorders>
              <w:bottom w:val="single" w:sz="8" w:color="0000FF"/>
            </w:tcBorders>
            <w:gridSpan w:val="7"/>
          </w:tcPr>
          <w:p>
            <w:pPr>
              <w:spacing w:after="0"/>
              <w:rPr>
                <w:rFonts w:ascii="Calibri" w:cs="Calibri" w:eastAsia="Calibri" w:hAnsi="Calibri"/>
                <w:sz w:val="18"/>
                <w:szCs w:val="18"/>
                <w:color w:val="0000FF"/>
                <w:w w:val="97"/>
              </w:rPr>
            </w:pPr>
            <w:hyperlink r:id="rId278">
              <w:r>
                <w:rPr>
                  <w:rFonts w:ascii="Calibri" w:cs="Calibri" w:eastAsia="Calibri" w:hAnsi="Calibri"/>
                  <w:sz w:val="18"/>
                  <w:szCs w:val="18"/>
                  <w:color w:val="0000FF"/>
                  <w:w w:val="97"/>
                </w:rPr>
                <w:t>First Amendment to Vivid Seats Inc. 2021 Incentve Award Plan</w:t>
              </w:r>
            </w:hyperlink>
          </w:p>
        </w:tc>
        <w:tc>
          <w:tcPr>
            <w:tcW w:w="20" w:type="dxa"/>
            <w:vAlign w:val="bottom"/>
            <w:tcBorders>
              <w:bottom w:val="single" w:sz="8" w:color="0000EE"/>
            </w:tcBorders>
          </w:tcPr>
          <w:p>
            <w:pPr>
              <w:spacing w:after="0"/>
              <w:rPr>
                <w:sz w:val="22"/>
                <w:szCs w:val="22"/>
                <w:color w:val="auto"/>
              </w:rPr>
            </w:pPr>
          </w:p>
        </w:tc>
        <w:tc>
          <w:tcPr>
            <w:tcW w:w="1920" w:type="dxa"/>
            <w:vAlign w:val="bottom"/>
            <w:gridSpan w:val="12"/>
          </w:tcPr>
          <w:p>
            <w:pPr>
              <w:spacing w:after="0"/>
              <w:rPr>
                <w:sz w:val="22"/>
                <w:szCs w:val="22"/>
                <w:color w:val="auto"/>
              </w:rPr>
            </w:pPr>
          </w:p>
        </w:tc>
        <w:tc>
          <w:tcPr>
            <w:tcW w:w="62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40" w:type="dxa"/>
            <w:vAlign w:val="bottom"/>
          </w:tcPr>
          <w:p>
            <w:pPr>
              <w:jc w:val="center"/>
              <w:spacing w:after="0"/>
              <w:rPr>
                <w:sz w:val="20"/>
                <w:szCs w:val="20"/>
                <w:color w:val="auto"/>
              </w:rPr>
            </w:pPr>
            <w:r>
              <w:rPr>
                <w:rFonts w:ascii="Calibri" w:cs="Calibri" w:eastAsia="Calibri" w:hAnsi="Calibri"/>
                <w:sz w:val="18"/>
                <w:szCs w:val="18"/>
                <w:color w:val="auto"/>
                <w:w w:val="93"/>
              </w:rPr>
              <w:t>10.1</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6"/>
              </w:rPr>
              <w:t>2/9/2024</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Calibri" w:cs="Calibri" w:eastAsia="Calibri" w:hAnsi="Calibri"/>
                <w:sz w:val="18"/>
                <w:szCs w:val="18"/>
                <w:color w:val="auto"/>
              </w:rPr>
              <w:t>31.1</w:t>
            </w:r>
          </w:p>
        </w:tc>
        <w:tc>
          <w:tcPr>
            <w:tcW w:w="4860" w:type="dxa"/>
            <w:vAlign w:val="bottom"/>
            <w:tcBorders>
              <w:bottom w:val="single" w:sz="8" w:color="0000FF"/>
            </w:tcBorders>
            <w:gridSpan w:val="12"/>
          </w:tcPr>
          <w:p>
            <w:pPr>
              <w:spacing w:after="0"/>
              <w:rPr>
                <w:sz w:val="20"/>
                <w:szCs w:val="20"/>
                <w:color w:val="auto"/>
              </w:rPr>
            </w:pPr>
            <w:r>
              <w:rPr>
                <w:rFonts w:ascii="Calibri" w:cs="Calibri" w:eastAsia="Calibri" w:hAnsi="Calibri"/>
                <w:sz w:val="18"/>
                <w:szCs w:val="18"/>
                <w:color w:val="0000FF"/>
              </w:rPr>
              <w:t>Rule 13a-14(a) / 15d-14(a) Certfcaton of Principal Executve Ofcer</w:t>
            </w:r>
          </w:p>
        </w:tc>
        <w:tc>
          <w:tcPr>
            <w:tcW w:w="1540" w:type="dxa"/>
            <w:vAlign w:val="bottom"/>
            <w:gridSpan w:val="8"/>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31.2</w:t>
            </w:r>
          </w:p>
        </w:tc>
        <w:tc>
          <w:tcPr>
            <w:tcW w:w="4820" w:type="dxa"/>
            <w:vAlign w:val="bottom"/>
            <w:tcBorders>
              <w:bottom w:val="single" w:sz="8" w:color="0000FF"/>
            </w:tcBorders>
            <w:gridSpan w:val="11"/>
          </w:tcPr>
          <w:p>
            <w:pPr>
              <w:spacing w:after="0"/>
              <w:rPr>
                <w:sz w:val="20"/>
                <w:szCs w:val="20"/>
                <w:color w:val="auto"/>
              </w:rPr>
            </w:pPr>
            <w:r>
              <w:rPr>
                <w:rFonts w:ascii="Calibri" w:cs="Calibri" w:eastAsia="Calibri" w:hAnsi="Calibri"/>
                <w:sz w:val="18"/>
                <w:szCs w:val="18"/>
                <w:color w:val="0000FF"/>
              </w:rPr>
              <w:t>Rule 13a-14(a) / 15d-14(a) Certfcaton of Principal Financial Ofcer</w:t>
            </w:r>
          </w:p>
        </w:tc>
        <w:tc>
          <w:tcPr>
            <w:tcW w:w="1580" w:type="dxa"/>
            <w:vAlign w:val="bottom"/>
            <w:gridSpan w:val="9"/>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32.1</w:t>
            </w:r>
          </w:p>
        </w:tc>
        <w:tc>
          <w:tcPr>
            <w:tcW w:w="6400" w:type="dxa"/>
            <w:vAlign w:val="bottom"/>
            <w:gridSpan w:val="20"/>
          </w:tcPr>
          <w:p>
            <w:pPr>
              <w:spacing w:after="0"/>
              <w:rPr>
                <w:sz w:val="20"/>
                <w:szCs w:val="20"/>
                <w:color w:val="auto"/>
              </w:rPr>
            </w:pPr>
            <w:r>
              <w:rPr>
                <w:rFonts w:ascii="Calibri" w:cs="Calibri" w:eastAsia="Calibri" w:hAnsi="Calibri"/>
                <w:sz w:val="18"/>
                <w:szCs w:val="18"/>
                <w:color w:val="0000FF"/>
              </w:rPr>
              <w:t>18 U.S.C. Secton 1350 Certfcaton of Principal Executve Ofcer</w:t>
            </w: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Calibri" w:cs="Calibri" w:eastAsia="Calibri" w:hAnsi="Calibri"/>
                <w:sz w:val="18"/>
                <w:szCs w:val="18"/>
                <w:color w:val="auto"/>
              </w:rPr>
              <w:t>32.2</w:t>
            </w:r>
          </w:p>
        </w:tc>
        <w:tc>
          <w:tcPr>
            <w:tcW w:w="4560" w:type="dxa"/>
            <w:vAlign w:val="bottom"/>
            <w:tcBorders>
              <w:top w:val="single" w:sz="8" w:color="0000FF"/>
            </w:tcBorders>
            <w:gridSpan w:val="10"/>
          </w:tcPr>
          <w:p>
            <w:pPr>
              <w:spacing w:after="0"/>
              <w:rPr>
                <w:sz w:val="20"/>
                <w:szCs w:val="20"/>
                <w:color w:val="auto"/>
              </w:rPr>
            </w:pPr>
            <w:r>
              <w:rPr>
                <w:rFonts w:ascii="Calibri" w:cs="Calibri" w:eastAsia="Calibri" w:hAnsi="Calibri"/>
                <w:sz w:val="18"/>
                <w:szCs w:val="18"/>
                <w:color w:val="0000FF"/>
              </w:rPr>
              <w:t>18 U.S.C. Secton 1350 Certfcaton of Principal Financial Ofcer</w:t>
            </w:r>
          </w:p>
        </w:tc>
        <w:tc>
          <w:tcPr>
            <w:tcW w:w="1840" w:type="dxa"/>
            <w:vAlign w:val="bottom"/>
            <w:gridSpan w:val="10"/>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40" w:type="dxa"/>
            <w:vAlign w:val="bottom"/>
            <w:tcBorders>
              <w:right w:val="single" w:sz="8" w:color="0000EE"/>
            </w:tcBorders>
            <w:gridSpan w:val="9"/>
            <w:shd w:val="clear" w:color="auto" w:fill="0000FF"/>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040" w:type="dxa"/>
            <w:vAlign w:val="bottom"/>
          </w:tcPr>
          <w:p>
            <w:pPr>
              <w:ind w:left="20"/>
              <w:spacing w:after="0"/>
              <w:rPr>
                <w:sz w:val="20"/>
                <w:szCs w:val="20"/>
                <w:color w:val="auto"/>
              </w:rPr>
            </w:pPr>
            <w:r>
              <w:rPr>
                <w:rFonts w:ascii="Calibri" w:cs="Calibri" w:eastAsia="Calibri" w:hAnsi="Calibri"/>
                <w:sz w:val="18"/>
                <w:szCs w:val="18"/>
                <w:color w:val="auto"/>
              </w:rPr>
              <w:t>101.INS</w:t>
            </w:r>
          </w:p>
        </w:tc>
        <w:tc>
          <w:tcPr>
            <w:tcW w:w="6400" w:type="dxa"/>
            <w:vAlign w:val="bottom"/>
            <w:gridSpan w:val="20"/>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0" w:type="dxa"/>
            <w:vAlign w:val="bottom"/>
            <w:gridSpan w:val="20"/>
          </w:tcPr>
          <w:p>
            <w:pPr>
              <w:spacing w:after="0" w:line="216" w:lineRule="exact"/>
              <w:rPr>
                <w:sz w:val="20"/>
                <w:szCs w:val="20"/>
                <w:color w:val="auto"/>
              </w:rPr>
            </w:pPr>
            <w:r>
              <w:rPr>
                <w:rFonts w:ascii="Calibri" w:cs="Calibri" w:eastAsia="Calibri" w:hAnsi="Calibri"/>
                <w:sz w:val="18"/>
                <w:szCs w:val="18"/>
                <w:color w:val="auto"/>
              </w:rPr>
              <w:t>Interactve Data File because XBRL tags are embedded within the Inline XBRL document</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sz w:val="20"/>
                <w:szCs w:val="20"/>
                <w:color w:val="auto"/>
              </w:rPr>
            </w:pPr>
            <w:r>
              <w:rPr>
                <w:rFonts w:ascii="Calibri" w:cs="Calibri" w:eastAsia="Calibri" w:hAnsi="Calibri"/>
                <w:sz w:val="18"/>
                <w:szCs w:val="18"/>
                <w:color w:val="auto"/>
              </w:rPr>
              <w:t>101.SCH</w:t>
            </w:r>
          </w:p>
        </w:tc>
        <w:tc>
          <w:tcPr>
            <w:tcW w:w="640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84"/>
        </w:trPr>
        <w:tc>
          <w:tcPr>
            <w:tcW w:w="1040" w:type="dxa"/>
            <w:vAlign w:val="bottom"/>
          </w:tcPr>
          <w:p>
            <w:pPr>
              <w:ind w:left="20"/>
              <w:spacing w:after="0"/>
              <w:rPr>
                <w:sz w:val="20"/>
                <w:szCs w:val="20"/>
                <w:color w:val="auto"/>
              </w:rPr>
            </w:pPr>
            <w:r>
              <w:rPr>
                <w:rFonts w:ascii="Calibri" w:cs="Calibri" w:eastAsia="Calibri" w:hAnsi="Calibri"/>
                <w:sz w:val="18"/>
                <w:szCs w:val="18"/>
                <w:color w:val="auto"/>
              </w:rPr>
              <w:t>101.CAL</w:t>
            </w:r>
          </w:p>
        </w:tc>
        <w:tc>
          <w:tcPr>
            <w:tcW w:w="640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Calculaton Linkbase Document</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sz w:val="20"/>
                <w:szCs w:val="20"/>
                <w:color w:val="auto"/>
              </w:rPr>
            </w:pPr>
            <w:r>
              <w:rPr>
                <w:rFonts w:ascii="Calibri" w:cs="Calibri" w:eastAsia="Calibri" w:hAnsi="Calibri"/>
                <w:sz w:val="18"/>
                <w:szCs w:val="18"/>
                <w:color w:val="auto"/>
              </w:rPr>
              <w:t>101.DEF</w:t>
            </w:r>
          </w:p>
        </w:tc>
        <w:tc>
          <w:tcPr>
            <w:tcW w:w="640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Defniton Linkbase Document</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sz w:val="20"/>
                <w:szCs w:val="20"/>
                <w:color w:val="auto"/>
              </w:rPr>
            </w:pPr>
            <w:r>
              <w:rPr>
                <w:rFonts w:ascii="Calibri" w:cs="Calibri" w:eastAsia="Calibri" w:hAnsi="Calibri"/>
                <w:sz w:val="18"/>
                <w:szCs w:val="18"/>
                <w:color w:val="auto"/>
              </w:rPr>
              <w:t>101.LAB</w:t>
            </w:r>
          </w:p>
        </w:tc>
        <w:tc>
          <w:tcPr>
            <w:tcW w:w="640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Label Linkbase Document</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84"/>
        </w:trPr>
        <w:tc>
          <w:tcPr>
            <w:tcW w:w="1040" w:type="dxa"/>
            <w:vAlign w:val="bottom"/>
          </w:tcPr>
          <w:p>
            <w:pPr>
              <w:ind w:left="20"/>
              <w:spacing w:after="0"/>
              <w:rPr>
                <w:sz w:val="20"/>
                <w:szCs w:val="20"/>
                <w:color w:val="auto"/>
              </w:rPr>
            </w:pPr>
            <w:r>
              <w:rPr>
                <w:rFonts w:ascii="Calibri" w:cs="Calibri" w:eastAsia="Calibri" w:hAnsi="Calibri"/>
                <w:sz w:val="18"/>
                <w:szCs w:val="18"/>
                <w:color w:val="auto"/>
              </w:rPr>
              <w:t>101.PRE</w:t>
            </w:r>
          </w:p>
        </w:tc>
        <w:tc>
          <w:tcPr>
            <w:tcW w:w="6400" w:type="dxa"/>
            <w:vAlign w:val="bottom"/>
            <w:gridSpan w:val="20"/>
          </w:tcPr>
          <w:p>
            <w:pPr>
              <w:spacing w:after="0"/>
              <w:rPr>
                <w:sz w:val="20"/>
                <w:szCs w:val="20"/>
                <w:color w:val="auto"/>
              </w:rPr>
            </w:pPr>
            <w:r>
              <w:rPr>
                <w:rFonts w:ascii="Calibri" w:cs="Calibri" w:eastAsia="Calibri" w:hAnsi="Calibri"/>
                <w:sz w:val="18"/>
                <w:szCs w:val="18"/>
                <w:color w:val="auto"/>
              </w:rPr>
              <w:t>Inline XBRL Taxonomy Extension Presentaton Linkbase Document</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661"/>
        </w:trPr>
        <w:tc>
          <w:tcPr>
            <w:tcW w:w="1040" w:type="dxa"/>
            <w:vAlign w:val="bottom"/>
          </w:tcPr>
          <w:p>
            <w:pPr>
              <w:spacing w:after="0"/>
              <w:rPr>
                <w:sz w:val="24"/>
                <w:szCs w:val="24"/>
                <w:color w:val="auto"/>
              </w:rPr>
            </w:pPr>
          </w:p>
        </w:tc>
        <w:tc>
          <w:tcPr>
            <w:tcW w:w="4820" w:type="dxa"/>
            <w:vAlign w:val="bottom"/>
            <w:gridSpan w:val="11"/>
          </w:tcPr>
          <w:p>
            <w:pPr>
              <w:ind w:left="4500"/>
              <w:spacing w:after="0"/>
              <w:rPr>
                <w:sz w:val="20"/>
                <w:szCs w:val="20"/>
                <w:color w:val="auto"/>
              </w:rPr>
            </w:pPr>
            <w:r>
              <w:rPr>
                <w:rFonts w:ascii="Calibri" w:cs="Calibri" w:eastAsia="Calibri" w:hAnsi="Calibri"/>
                <w:sz w:val="18"/>
                <w:szCs w:val="18"/>
                <w:color w:val="auto"/>
              </w:rPr>
              <w:t>38</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0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spacing w:after="0" w:line="23" w:lineRule="exact"/>
        <w:rPr>
          <w:sz w:val="20"/>
          <w:szCs w:val="20"/>
          <w:color w:val="auto"/>
        </w:rPr>
      </w:pPr>
    </w:p>
    <w:p>
      <w:pPr>
        <w:ind w:left="20"/>
        <w:spacing w:after="0"/>
        <w:tabs>
          <w:tab w:leader="none" w:pos="1020" w:val="left"/>
          <w:tab w:leader="none" w:pos="10620" w:val="left"/>
        </w:tabs>
        <w:rPr>
          <w:sz w:val="20"/>
          <w:szCs w:val="20"/>
          <w:color w:val="auto"/>
        </w:rPr>
      </w:pPr>
      <w:r>
        <w:rPr>
          <w:rFonts w:ascii="Calibri" w:cs="Calibri" w:eastAsia="Calibri" w:hAnsi="Calibri"/>
          <w:sz w:val="18"/>
          <w:szCs w:val="18"/>
          <w:color w:val="auto"/>
        </w:rPr>
        <w:t>104</w:t>
      </w:r>
      <w:r>
        <w:rPr>
          <w:sz w:val="20"/>
          <w:szCs w:val="20"/>
          <w:color w:val="auto"/>
        </w:rPr>
        <w:tab/>
      </w:r>
      <w:r>
        <w:rPr>
          <w:rFonts w:ascii="Calibri" w:cs="Calibri" w:eastAsia="Calibri" w:hAnsi="Calibri"/>
          <w:sz w:val="18"/>
          <w:szCs w:val="18"/>
          <w:color w:val="auto"/>
        </w:rPr>
        <w:t>Cover Page Interactve Data File (embedded within the Inline XBRL document)</w:t>
      </w:r>
      <w:r>
        <w:rPr>
          <w:sz w:val="20"/>
          <w:szCs w:val="20"/>
          <w:color w:val="auto"/>
        </w:rPr>
        <w:tab/>
      </w:r>
      <w:r>
        <w:rPr>
          <w:rFonts w:ascii="Calibri" w:cs="Calibri" w:eastAsia="Calibri" w:hAnsi="Calibri"/>
          <w:sz w:val="16"/>
          <w:szCs w:val="16"/>
          <w:color w:val="auto"/>
        </w:rPr>
        <w:t>*</w:t>
      </w:r>
    </w:p>
    <w:p>
      <w:pPr>
        <w:spacing w:after="0" w:line="118" w:lineRule="exact"/>
        <w:rPr>
          <w:sz w:val="20"/>
          <w:szCs w:val="20"/>
          <w:color w:val="auto"/>
        </w:rPr>
      </w:pPr>
    </w:p>
    <w:p>
      <w:pPr>
        <w:ind w:left="320" w:hanging="312"/>
        <w:spacing w:after="0"/>
        <w:tabs>
          <w:tab w:leader="none" w:pos="3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Filed herewith.</w:t>
      </w:r>
    </w:p>
    <w:p>
      <w:pPr>
        <w:spacing w:after="0"/>
        <w:tabs>
          <w:tab w:leader="none" w:pos="30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Furnished herewith.</w:t>
      </w:r>
    </w:p>
    <w:p>
      <w:pPr>
        <w:ind w:left="320" w:hanging="312"/>
        <w:spacing w:after="0" w:line="236" w:lineRule="auto"/>
        <w:tabs>
          <w:tab w:leader="none" w:pos="32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Indicates management contract or compensatory plan.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documents fled as exhibits to this Report are not intended to provide factual informaton other than with respect to the terms of the documents themselves, and should not be relied on for that purpose. In partcular, any representatons and warrantes contained in any such document were made solely within the context of such document and do not apply in any other context or at any tme other than the date on which they were made.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05" w:lineRule="exact"/>
        <w:rPr>
          <w:sz w:val="20"/>
          <w:szCs w:val="20"/>
          <w:color w:val="auto"/>
        </w:rPr>
      </w:pPr>
    </w:p>
    <w:p>
      <w:pPr>
        <w:ind w:left="5680"/>
        <w:spacing w:after="0"/>
        <w:rPr>
          <w:sz w:val="20"/>
          <w:szCs w:val="20"/>
          <w:color w:val="auto"/>
        </w:rPr>
      </w:pPr>
      <w:r>
        <w:rPr>
          <w:rFonts w:ascii="Calibri" w:cs="Calibri" w:eastAsia="Calibri" w:hAnsi="Calibri"/>
          <w:sz w:val="18"/>
          <w:szCs w:val="18"/>
          <w:color w:val="auto"/>
        </w:rPr>
        <w:t>Vivid Seats Inc.</w:t>
      </w:r>
    </w:p>
    <w:p>
      <w:pPr>
        <w:spacing w:after="0" w:line="239"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Stanley Chia</w:t>
      </w:r>
    </w:p>
    <w:p>
      <w:pPr>
        <w:spacing w:after="0" w:line="23"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-130175</wp:posOffset>
            </wp:positionV>
            <wp:extent cx="32575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ind w:left="6120"/>
        <w:spacing w:after="0"/>
        <w:rPr>
          <w:sz w:val="20"/>
          <w:szCs w:val="20"/>
          <w:color w:val="auto"/>
        </w:rPr>
      </w:pPr>
      <w:r>
        <w:rPr>
          <w:rFonts w:ascii="Calibri" w:cs="Calibri" w:eastAsia="Calibri" w:hAnsi="Calibri"/>
          <w:sz w:val="18"/>
          <w:szCs w:val="18"/>
          <w:color w:val="auto"/>
        </w:rPr>
        <w:t>Chief Executve Ofcer</w:t>
      </w:r>
    </w:p>
    <w:p>
      <w:pPr>
        <w:spacing w:after="0" w:line="10"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May 7, 2024</w:t>
      </w:r>
    </w:p>
    <w:p>
      <w:pPr>
        <w:spacing w:after="0" w:line="239"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Lawrence Fey</w:t>
      </w:r>
    </w:p>
    <w:p>
      <w:pPr>
        <w:spacing w:after="0" w:line="23"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-130175</wp:posOffset>
            </wp:positionV>
            <wp:extent cx="32575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ind w:left="6120"/>
        <w:spacing w:after="0"/>
        <w:rPr>
          <w:sz w:val="20"/>
          <w:szCs w:val="20"/>
          <w:color w:val="auto"/>
        </w:rPr>
      </w:pPr>
      <w:r>
        <w:rPr>
          <w:rFonts w:ascii="Calibri" w:cs="Calibri" w:eastAsia="Calibri" w:hAnsi="Calibri"/>
          <w:sz w:val="18"/>
          <w:szCs w:val="18"/>
          <w:color w:val="auto"/>
        </w:rPr>
        <w:t>Chief Financial Ofcer</w:t>
      </w:r>
    </w:p>
    <w:p>
      <w:pPr>
        <w:spacing w:after="0" w:line="10" w:lineRule="exact"/>
        <w:rPr>
          <w:sz w:val="20"/>
          <w:szCs w:val="20"/>
          <w:color w:val="auto"/>
        </w:rPr>
      </w:pPr>
    </w:p>
    <w:p>
      <w:pPr>
        <w:ind w:left="6120"/>
        <w:spacing w:after="0"/>
        <w:rPr>
          <w:sz w:val="20"/>
          <w:szCs w:val="20"/>
          <w:color w:val="auto"/>
        </w:rPr>
      </w:pPr>
      <w:r>
        <w:rPr>
          <w:rFonts w:ascii="Calibri" w:cs="Calibri" w:eastAsia="Calibri" w:hAnsi="Calibri"/>
          <w:sz w:val="18"/>
          <w:szCs w:val="18"/>
          <w:color w:val="auto"/>
        </w:rPr>
        <w:t>May 7,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 13a-14(a) /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 Stanley Chia, certfy that:</w:t>
      </w:r>
    </w:p>
    <w:p>
      <w:pPr>
        <w:spacing w:after="0" w:line="104" w:lineRule="exact"/>
        <w:rPr>
          <w:sz w:val="20"/>
          <w:szCs w:val="20"/>
          <w:color w:val="auto"/>
        </w:rPr>
      </w:pPr>
    </w:p>
    <w:p>
      <w:pPr>
        <w:ind w:left="520" w:hanging="512"/>
        <w:spacing w:after="0"/>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Vivid Seats Inc.;</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9"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20" w:hanging="512"/>
        <w:spacing w:after="0" w:line="235" w:lineRule="auto"/>
        <w:tabs>
          <w:tab w:leader="none" w:pos="328"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May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Executve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3" w:name="page44"/>
    <w:bookmarkEnd w:id="43"/>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 13a-14(a) /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 Lawrence Fey, certfy that:</w:t>
      </w:r>
    </w:p>
    <w:p>
      <w:pPr>
        <w:spacing w:after="0" w:line="104" w:lineRule="exact"/>
        <w:rPr>
          <w:sz w:val="20"/>
          <w:szCs w:val="20"/>
          <w:color w:val="auto"/>
        </w:rPr>
      </w:pPr>
    </w:p>
    <w:p>
      <w:pPr>
        <w:ind w:left="520" w:hanging="512"/>
        <w:spacing w:after="0"/>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Vivid Seats Inc.;</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9"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0"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0"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9"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10" w:lineRule="exact"/>
        <w:rPr>
          <w:rFonts w:ascii="Calibri" w:cs="Calibri" w:eastAsia="Calibri" w:hAnsi="Calibri"/>
          <w:sz w:val="18"/>
          <w:szCs w:val="18"/>
          <w:color w:val="auto"/>
        </w:rPr>
      </w:pPr>
    </w:p>
    <w:p>
      <w:pPr>
        <w:ind w:left="520" w:right="20" w:hanging="512"/>
        <w:spacing w:after="0" w:line="235" w:lineRule="auto"/>
        <w:tabs>
          <w:tab w:leader="none" w:pos="328"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11"/>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May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Financial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4" w:name="page45"/>
    <w:bookmarkEnd w:id="44"/>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04" w:lineRule="exact"/>
        <w:rPr>
          <w:sz w:val="20"/>
          <w:szCs w:val="20"/>
          <w:color w:val="auto"/>
        </w:rPr>
      </w:pPr>
    </w:p>
    <w:p>
      <w:pPr>
        <w:ind w:left="4540"/>
        <w:spacing w:after="0"/>
        <w:rPr>
          <w:sz w:val="20"/>
          <w:szCs w:val="20"/>
          <w:color w:val="auto"/>
        </w:rPr>
      </w:pPr>
      <w:r>
        <w:rPr>
          <w:rFonts w:ascii="Calibri" w:cs="Calibri" w:eastAsia="Calibri" w:hAnsi="Calibri"/>
          <w:sz w:val="18"/>
          <w:szCs w:val="18"/>
          <w:b w:val="1"/>
          <w:bCs w:val="1"/>
          <w:color w:val="auto"/>
        </w:rPr>
        <w:t>CERTIFICATION PURSUANT TO</w:t>
      </w:r>
    </w:p>
    <w:p>
      <w:pPr>
        <w:spacing w:after="0" w:line="8" w:lineRule="exact"/>
        <w:rPr>
          <w:sz w:val="20"/>
          <w:szCs w:val="20"/>
          <w:color w:val="auto"/>
        </w:rPr>
      </w:pPr>
    </w:p>
    <w:p>
      <w:pPr>
        <w:ind w:left="3980"/>
        <w:spacing w:after="0"/>
        <w:rPr>
          <w:sz w:val="20"/>
          <w:szCs w:val="20"/>
          <w:color w:val="auto"/>
        </w:rPr>
      </w:pPr>
      <w:r>
        <w:rPr>
          <w:rFonts w:ascii="Calibri" w:cs="Calibri" w:eastAsia="Calibri" w:hAnsi="Calibri"/>
          <w:sz w:val="18"/>
          <w:szCs w:val="18"/>
          <w:b w:val="1"/>
          <w:bCs w:val="1"/>
          <w:color w:val="auto"/>
        </w:rPr>
        <w:t xml:space="preserve">18 U.S.C. </w:t>
      </w:r>
      <w:r>
        <w:rPr>
          <w:rFonts w:ascii="Calibri" w:cs="Calibri" w:eastAsia="Calibri" w:hAnsi="Calibri"/>
          <w:sz w:val="21"/>
          <w:szCs w:val="21"/>
          <w:b w:val="1"/>
          <w:bCs w:val="1"/>
          <w:color w:val="auto"/>
        </w:rPr>
        <w:t>§</w:t>
      </w:r>
      <w:r>
        <w:rPr>
          <w:rFonts w:ascii="Calibri" w:cs="Calibri" w:eastAsia="Calibri" w:hAnsi="Calibri"/>
          <w:sz w:val="18"/>
          <w:szCs w:val="18"/>
          <w:b w:val="1"/>
          <w:bCs w:val="1"/>
          <w:color w:val="auto"/>
        </w:rPr>
        <w:t xml:space="preserve"> 1350, AS ADOPTED PURSUANT TO</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SECTION 906 OF THE SARBANES-OXLEY ACT OF 2002</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Quarterly Report on Form 10-Q of Vivid Seats Inc. (the “Company”) for the period ended March 31, 2024 as fled with the Securites and Exchange Commission on the date hereof (the “Report”), I, Stanley Chia, Chief Executve Ofcer of the Company, certfy, pursuant to 18 U.S.C. § 1350, as adopted pursuant to Secton 906 of the Sarbanes-Oxley Act of 2002, that:</w:t>
      </w:r>
    </w:p>
    <w:p>
      <w:pPr>
        <w:spacing w:after="0" w:line="106" w:lineRule="exact"/>
        <w:rPr>
          <w:sz w:val="20"/>
          <w:szCs w:val="20"/>
          <w:color w:val="auto"/>
        </w:rPr>
      </w:pPr>
    </w:p>
    <w:p>
      <w:pPr>
        <w:ind w:left="1020" w:hanging="503"/>
        <w:spacing w:after="0"/>
        <w:tabs>
          <w:tab w:leader="none" w:pos="10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13"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May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Executve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Executve Ofcer)</w:t>
      </w:r>
    </w:p>
    <w:p>
      <w:pPr>
        <w:spacing w:after="0" w:line="23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This certfcaton is being furnished solely pursuant to 18 U.S.C. § 1350 and is not being fled as a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04" w:lineRule="exact"/>
        <w:rPr>
          <w:sz w:val="20"/>
          <w:szCs w:val="20"/>
          <w:color w:val="auto"/>
        </w:rPr>
      </w:pPr>
    </w:p>
    <w:p>
      <w:pPr>
        <w:ind w:left="4540"/>
        <w:spacing w:after="0"/>
        <w:rPr>
          <w:sz w:val="20"/>
          <w:szCs w:val="20"/>
          <w:color w:val="auto"/>
        </w:rPr>
      </w:pPr>
      <w:r>
        <w:rPr>
          <w:rFonts w:ascii="Calibri" w:cs="Calibri" w:eastAsia="Calibri" w:hAnsi="Calibri"/>
          <w:sz w:val="18"/>
          <w:szCs w:val="18"/>
          <w:b w:val="1"/>
          <w:bCs w:val="1"/>
          <w:color w:val="auto"/>
        </w:rPr>
        <w:t>CERTIFICATION PURSUANT TO</w:t>
      </w:r>
    </w:p>
    <w:p>
      <w:pPr>
        <w:spacing w:after="0" w:line="8" w:lineRule="exact"/>
        <w:rPr>
          <w:sz w:val="20"/>
          <w:szCs w:val="20"/>
          <w:color w:val="auto"/>
        </w:rPr>
      </w:pPr>
    </w:p>
    <w:p>
      <w:pPr>
        <w:ind w:left="3980"/>
        <w:spacing w:after="0"/>
        <w:rPr>
          <w:sz w:val="20"/>
          <w:szCs w:val="20"/>
          <w:color w:val="auto"/>
        </w:rPr>
      </w:pPr>
      <w:r>
        <w:rPr>
          <w:rFonts w:ascii="Calibri" w:cs="Calibri" w:eastAsia="Calibri" w:hAnsi="Calibri"/>
          <w:sz w:val="18"/>
          <w:szCs w:val="18"/>
          <w:b w:val="1"/>
          <w:bCs w:val="1"/>
          <w:color w:val="auto"/>
        </w:rPr>
        <w:t xml:space="preserve">18 U.S.C. </w:t>
      </w:r>
      <w:r>
        <w:rPr>
          <w:rFonts w:ascii="Calibri" w:cs="Calibri" w:eastAsia="Calibri" w:hAnsi="Calibri"/>
          <w:sz w:val="21"/>
          <w:szCs w:val="21"/>
          <w:b w:val="1"/>
          <w:bCs w:val="1"/>
          <w:color w:val="auto"/>
        </w:rPr>
        <w:t>§</w:t>
      </w:r>
      <w:r>
        <w:rPr>
          <w:rFonts w:ascii="Calibri" w:cs="Calibri" w:eastAsia="Calibri" w:hAnsi="Calibri"/>
          <w:sz w:val="18"/>
          <w:szCs w:val="18"/>
          <w:b w:val="1"/>
          <w:bCs w:val="1"/>
          <w:color w:val="auto"/>
        </w:rPr>
        <w:t xml:space="preserve"> 1350, AS ADOPTED PURSUANT TO</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SECTION 906 OF THE SARBANES-OXLEY ACT OF 2002</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Quarterly Report on Form 10-Q of Vivid Seats Inc. (the “Company”) for the period ended March 31, 2024 as fled with the Securites and Exchange Commission on the date hereof (the “Report”), I, Lawrence Fey, Chief Financial Ofcer of the Company, certfy, pursuant to 18 U.S.C. § 1350, as adopted pursuant to Secton 906 of the Sarbanes-Oxley Act of 2002, that:</w:t>
      </w:r>
    </w:p>
    <w:p>
      <w:pPr>
        <w:spacing w:after="0" w:line="106" w:lineRule="exact"/>
        <w:rPr>
          <w:sz w:val="20"/>
          <w:szCs w:val="20"/>
          <w:color w:val="auto"/>
        </w:rPr>
      </w:pPr>
    </w:p>
    <w:p>
      <w:pPr>
        <w:ind w:left="1020" w:hanging="503"/>
        <w:spacing w:after="0"/>
        <w:tabs>
          <w:tab w:leader="none" w:pos="10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13"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May 7, 2024</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23"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rPr>
          <w:sz w:val="20"/>
          <w:szCs w:val="20"/>
          <w:color w:val="auto"/>
        </w:rPr>
      </w:pPr>
      <w:r>
        <w:rPr>
          <w:rFonts w:ascii="Calibri" w:cs="Calibri" w:eastAsia="Calibri" w:hAnsi="Calibri"/>
          <w:sz w:val="18"/>
          <w:szCs w:val="18"/>
          <w:b w:val="1"/>
          <w:bCs w:val="1"/>
          <w:color w:val="auto"/>
        </w:rPr>
        <w:t>Chief Financial Ofcer</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i w:val="1"/>
          <w:iCs w:val="1"/>
          <w:color w:val="auto"/>
        </w:rPr>
        <w:t>(Principal Financial Ofcer)</w:t>
      </w:r>
    </w:p>
    <w:p>
      <w:pPr>
        <w:spacing w:after="0" w:line="23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the Company and will be retained by the Company and furnished to the Securites and Exchange Commission or its staf upon request.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This certfcaton is being furnished solely pursuant to 18 U.S.C. § 1350 and is not being fled as a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69" Type="http://schemas.openxmlformats.org/officeDocument/2006/relationships/hyperlink" Target="https://www.sec.gov/Archives/edgar/data/0001856031/000119312521175583/d447259ds4.htm#ii447259_10" TargetMode="External"/><Relationship Id="rId270" Type="http://schemas.openxmlformats.org/officeDocument/2006/relationships/hyperlink" Target="https://www.sec.gov/Archives/edgar/data/1856031/000119312521175583/d447259dex22.htm" TargetMode="External"/><Relationship Id="rId271" Type="http://schemas.openxmlformats.org/officeDocument/2006/relationships/hyperlink" Target="https://www.sec.gov/Archives/edgar/data/0001856031/000095017021004585/seat-ex2_3.htm" TargetMode="External"/><Relationship Id="rId272" Type="http://schemas.openxmlformats.org/officeDocument/2006/relationships/hyperlink" Target="https://www.sec.gov/Archives/edgar/data/0001856031/000119312521305506/d216055dex31.htm" TargetMode="External"/><Relationship Id="rId273" Type="http://schemas.openxmlformats.org/officeDocument/2006/relationships/hyperlink" Target="https://www.sec.gov/Archives/edgar/data/1856031/000095017022008705/seat-ex3_2.htm" TargetMode="External"/><Relationship Id="rId274" Type="http://schemas.openxmlformats.org/officeDocument/2006/relationships/hyperlink" Target="https://www.sec.gov/Archives/edgar/data/0001856031/000119312521305506/d216055dex32.htm" TargetMode="External"/><Relationship Id="rId275" Type="http://schemas.openxmlformats.org/officeDocument/2006/relationships/hyperlink" Target="https://www.sec.gov/Archives/edgar/data/0001856031/000119312521305506/d216055dex107.htm" TargetMode="External"/><Relationship Id="rId276" Type="http://schemas.openxmlformats.org/officeDocument/2006/relationships/hyperlink" Target="https://www.sec.gov/Archives/edgar/data/1856031/000095017022003749/seat-ex4_2.htm" TargetMode="External"/><Relationship Id="rId277" Type="http://schemas.openxmlformats.org/officeDocument/2006/relationships/hyperlink" Target="https://www.sec.gov/Archives/edgar/data/1856031/000095017022003749/seat-ex4_3.htm" TargetMode="External"/><Relationship Id="rId278" Type="http://schemas.openxmlformats.org/officeDocument/2006/relationships/hyperlink" Target="https://www.sec.gov/Archives/edgar/data/1856031/000114036124006725/ef2002080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2024-05-07T06:17:19Z</dcterms:created>
  <dcterms:modified xsi:type="dcterms:W3CDTF">2024-05-07T06:17:19Z</dcterms:modified>
</cp:coreProperties>
</file>