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Arnett Austin</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VIVID SEATS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24 E. WASHINGTON ST., STE. 900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CHICAGO</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IL</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60602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Vivid Seats Inc.</w:t>
              </w:r>
            </w:hyperlink>
            <w:r>
              <w:rPr/>
              <w:t xml:space="preserve"> [ </w:t>
            </w:r>
            <w:r>
              <w:rPr>
                <w:rFonts w:ascii="Times;serif" w:hAnsi="Times;serif"/>
                <w:color w:val="0000FF"/>
                <w:sz w:val="24"/>
                <w:shd w:fill="FFFFFF" w:val="clear"/>
              </w:rPr>
              <w:t>SEAT</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General Counsel</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09/11/2026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67"/>
        <w:gridCol w:w="903"/>
        <w:gridCol w:w="772"/>
        <w:gridCol w:w="600"/>
        <w:gridCol w:w="352"/>
        <w:gridCol w:w="857"/>
        <w:gridCol w:w="463"/>
        <w:gridCol w:w="677"/>
        <w:gridCol w:w="1178"/>
        <w:gridCol w:w="1008"/>
        <w:gridCol w:w="928"/>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67"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9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7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67"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5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6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7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78"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8"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8"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6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09/11/2026</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5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5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3,543</w:t>
            </w:r>
          </w:p>
        </w:tc>
        <w:tc>
          <w:tcPr>
            <w:tcW w:w="46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7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117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8,428</w:t>
            </w:r>
          </w:p>
        </w:tc>
        <w:tc>
          <w:tcPr>
            <w:tcW w:w="100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46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09/11/2026</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F</w:t>
            </w:r>
          </w:p>
        </w:tc>
        <w:tc>
          <w:tcPr>
            <w:tcW w:w="35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5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1,247</w:t>
            </w:r>
          </w:p>
        </w:tc>
        <w:tc>
          <w:tcPr>
            <w:tcW w:w="46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67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4.95</w:t>
            </w:r>
          </w:p>
        </w:tc>
        <w:tc>
          <w:tcPr>
            <w:tcW w:w="117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7,181</w:t>
            </w:r>
          </w:p>
        </w:tc>
        <w:tc>
          <w:tcPr>
            <w:tcW w:w="100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467"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09/14/2026</w:t>
            </w:r>
          </w:p>
        </w:tc>
        <w:tc>
          <w:tcPr>
            <w:tcW w:w="77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5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5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64</w:t>
            </w:r>
            <w:r>
              <w:rPr>
                <w:rFonts w:ascii="Times;serif" w:hAnsi="Times;serif"/>
                <w:color w:val="008000"/>
                <w:position w:val="7"/>
                <w:sz w:val="16"/>
                <w:sz w:val="20"/>
                <w:shd w:fill="FFFFFF" w:val="clear"/>
              </w:rPr>
              <w:t>(2)</w:t>
            </w:r>
          </w:p>
        </w:tc>
        <w:tc>
          <w:tcPr>
            <w:tcW w:w="46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67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4.86</w:t>
            </w:r>
          </w:p>
        </w:tc>
        <w:tc>
          <w:tcPr>
            <w:tcW w:w="117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7,117</w:t>
            </w:r>
          </w:p>
        </w:tc>
        <w:tc>
          <w:tcPr>
            <w:tcW w:w="100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969" w:type="dxa"/>
        <w:jc w:val="left"/>
        <w:tblInd w:w="-7" w:type="dxa"/>
        <w:tblLayout w:type="fixed"/>
        <w:tblCellMar>
          <w:top w:w="60" w:type="dxa"/>
          <w:left w:w="60" w:type="dxa"/>
          <w:bottom w:w="60" w:type="dxa"/>
          <w:right w:w="60" w:type="dxa"/>
        </w:tblCellMar>
      </w:tblPr>
      <w:tblGrid>
        <w:gridCol w:w="980"/>
        <w:gridCol w:w="861"/>
        <w:gridCol w:w="891"/>
        <w:gridCol w:w="771"/>
        <w:gridCol w:w="591"/>
        <w:gridCol w:w="300"/>
        <w:gridCol w:w="276"/>
        <w:gridCol w:w="606"/>
        <w:gridCol w:w="906"/>
        <w:gridCol w:w="801"/>
        <w:gridCol w:w="891"/>
        <w:gridCol w:w="681"/>
        <w:gridCol w:w="801"/>
        <w:gridCol w:w="936"/>
        <w:gridCol w:w="831"/>
        <w:gridCol w:w="846"/>
      </w:tblGrid>
      <w:tr>
        <w:trPr>
          <w:tblHeader w:val="true"/>
        </w:trPr>
        <w:tc>
          <w:tcPr>
            <w:tcW w:w="1196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9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8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5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8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6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8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8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Units</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09/11/2026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68</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68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68</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136</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8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Units</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09/11/2026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130</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(4)</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(4)</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68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130</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780</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8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Units</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09/11/2026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3,345</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(5)</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(5)</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68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3,345</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16,724</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Each Restricted Stock Unit ("RSU") represents a contingent right to receive one share of Class A common stock.</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Represents shares sold pursuant to a mandatory "sell to cover" provision of the RSU agreement to satisfy tax withholding obligations arising in connection with the vesting and settlement of the RSUs.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One-third of the RSUs vested on March 11, 2025. The remainder of the RSUs vest in equal quarterly installments such that they will be fully vested on March 11, 2027. The RSUs do not have an expiration date.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One-third of the RSUs vested on March 11, 2026. The remainder of the RSUs vest in equal quarterly installments such that they will be fully vested on March 11, 2028. The RSUs do not have an expiration date.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The RSUs began vesting in equal quarterly installments on March 11, 2026 such that they will be fully vested on December 11, 2027. The RSUs do not have an expiration date.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Austin Arnett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09/15/2026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2098581" TargetMode="External"/><Relationship Id="rId5" Type="http://schemas.openxmlformats.org/officeDocument/2006/relationships/hyperlink" Target="http://www.sec.gov/cgi-bin/browse-edgar?action=getcompany&amp;CIK=0001856031"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802</Words>
  <Characters>4118</Characters>
  <CharactersWithSpaces>4796</CharactersWithSpaces>
  <Paragraphs>152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