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Fey Lawrence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VIVID SEATS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 E. WASHINGTON ST., STE.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Vivid Seats Inc.</w:t>
              </w:r>
            </w:hyperlink>
            <w:r>
              <w:rPr/>
              <w:t xml:space="preserve"> [ </w:t>
            </w:r>
            <w:r>
              <w:rPr>
                <w:rFonts w:ascii="Times;serif" w:hAnsi="Times;serif"/>
                <w:color w:val="0000FF"/>
                <w:sz w:val="24"/>
                <w:shd w:fill="FFFFFF" w:val="clear"/>
              </w:rPr>
              <w:t>SEAT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277,041</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the RSUs vested on May 12, 2025. The remainder of the RSUs vest in equal quarterly installments such that they will be fully vested on May 12, 2027. The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Fey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0290" TargetMode="External"/><Relationship Id="rId5" Type="http://schemas.openxmlformats.org/officeDocument/2006/relationships/hyperlink" Target="http://www.sec.gov/cgi-bin/browse-edgar?action=getcompany&amp;CIK=0001856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3409</Characters>
  <CharactersWithSpaces>3972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