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Calibri" w:cs="Calibri" w:eastAsia="Calibri" w:hAnsi="Calibri"/>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jc w:val="center"/>
        <w:spacing w:after="0" w:line="228" w:lineRule="auto"/>
        <w:rPr>
          <w:sz w:val="20"/>
          <w:szCs w:val="20"/>
          <w:color w:val="auto"/>
        </w:rPr>
      </w:pPr>
      <w:r>
        <w:rPr>
          <w:rFonts w:ascii="Calibri" w:cs="Calibri" w:eastAsia="Calibri" w:hAnsi="Calibri"/>
          <w:sz w:val="29"/>
          <w:szCs w:val="29"/>
          <w:b w:val="1"/>
          <w:bCs w:val="1"/>
          <w:color w:val="auto"/>
        </w:rPr>
        <w:t>SECURITIES AND EXCHANGE COMMISSION</w:t>
      </w:r>
    </w:p>
    <w:p>
      <w:pPr>
        <w:jc w:val="center"/>
        <w:spacing w:after="0" w:line="228" w:lineRule="auto"/>
        <w:rPr>
          <w:sz w:val="20"/>
          <w:szCs w:val="20"/>
          <w:color w:val="auto"/>
        </w:rPr>
      </w:pPr>
      <w:r>
        <w:rPr>
          <w:rFonts w:ascii="Calibri" w:cs="Calibri" w:eastAsia="Calibri" w:hAnsi="Calibri"/>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Calibri" w:cs="Calibri" w:eastAsia="Calibri" w:hAnsi="Calibri"/>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Calibri" w:cs="Calibri" w:eastAsia="Calibri" w:hAnsi="Calibri"/>
          <w:sz w:val="14"/>
          <w:szCs w:val="14"/>
          <w:b w:val="1"/>
          <w:bCs w:val="1"/>
          <w:color w:val="auto"/>
        </w:rPr>
        <w:t>QUARTERLY REPORT PURSUANT TO SECTION 13 OR 15(d) OF THE SECURITIES EXCHANGE ACT OF 1934</w:t>
      </w:r>
    </w:p>
    <w:p>
      <w:pPr>
        <w:ind w:left="4280"/>
        <w:spacing w:after="0" w:line="227" w:lineRule="auto"/>
        <w:rPr>
          <w:sz w:val="20"/>
          <w:szCs w:val="20"/>
          <w:color w:val="auto"/>
        </w:rPr>
      </w:pPr>
      <w:r>
        <w:rPr>
          <w:rFonts w:ascii="Calibri" w:cs="Calibri" w:eastAsia="Calibri" w:hAnsi="Calibri"/>
          <w:sz w:val="14"/>
          <w:szCs w:val="14"/>
          <w:b w:val="1"/>
          <w:bCs w:val="1"/>
          <w:color w:val="auto"/>
        </w:rPr>
        <w:t>For the quarterly period ended June 30, 2022</w:t>
      </w:r>
    </w:p>
    <w:p>
      <w:pPr>
        <w:ind w:left="5540"/>
        <w:spacing w:after="0" w:line="220" w:lineRule="auto"/>
        <w:rPr>
          <w:sz w:val="20"/>
          <w:szCs w:val="20"/>
          <w:color w:val="auto"/>
        </w:rPr>
      </w:pPr>
      <w:r>
        <w:rPr>
          <w:rFonts w:ascii="Calibri" w:cs="Calibri" w:eastAsia="Calibri" w:hAnsi="Calibri"/>
          <w:sz w:val="14"/>
          <w:szCs w:val="14"/>
          <w:b w:val="1"/>
          <w:bCs w:val="1"/>
          <w:color w:val="auto"/>
        </w:rPr>
        <w:t>OR</w:t>
      </w:r>
    </w:p>
    <w:p>
      <w:pPr>
        <w:ind w:left="20"/>
        <w:spacing w:after="0" w:line="235" w:lineRule="auto"/>
        <w:tabs>
          <w:tab w:leader="none" w:pos="460" w:val="left"/>
        </w:tabs>
        <w:rPr>
          <w:sz w:val="20"/>
          <w:szCs w:val="20"/>
          <w:color w:val="auto"/>
        </w:rPr>
      </w:pPr>
      <w:r>
        <w:rPr>
          <w:rFonts w:ascii="MS PGothic" w:cs="MS PGothic" w:eastAsia="MS PGothic" w:hAnsi="MS PGothic"/>
          <w:sz w:val="14"/>
          <w:szCs w:val="14"/>
          <w:color w:val="auto"/>
          <w:highlight w:val="black"/>
        </w:rPr>
        <w:t>☐</w:t>
      </w:r>
      <w:r>
        <w:rPr>
          <w:sz w:val="20"/>
          <w:szCs w:val="20"/>
          <w:color w:val="auto"/>
        </w:rPr>
        <w:tab/>
      </w:r>
      <w:r>
        <w:rPr>
          <w:rFonts w:ascii="Calibri" w:cs="Calibri" w:eastAsia="Calibri" w:hAnsi="Calibri"/>
          <w:sz w:val="14"/>
          <w:szCs w:val="14"/>
          <w:b w:val="1"/>
          <w:bCs w:val="1"/>
          <w:color w:val="auto"/>
        </w:rPr>
        <w:t>TRANSITION REPORT PURSUANT TO SECTION 13 OR 15(d) OF THE SECURITIES EXCHANGE ACT OF 1934</w:t>
      </w:r>
    </w:p>
    <w:p>
      <w:pPr>
        <w:ind w:left="3900"/>
        <w:spacing w:after="0" w:line="228" w:lineRule="auto"/>
        <w:rPr>
          <w:sz w:val="20"/>
          <w:szCs w:val="20"/>
          <w:color w:val="auto"/>
        </w:rPr>
      </w:pPr>
      <w:r>
        <w:rPr>
          <w:rFonts w:ascii="Calibri" w:cs="Calibri" w:eastAsia="Calibri" w:hAnsi="Calibri"/>
          <w:sz w:val="14"/>
          <w:szCs w:val="14"/>
          <w:b w:val="1"/>
          <w:bCs w:val="1"/>
          <w:color w:val="auto"/>
        </w:rPr>
        <w:t>For the transiton period from __________ to __________</w:t>
      </w:r>
    </w:p>
    <w:p>
      <w:pPr>
        <w:jc w:val="center"/>
        <w:spacing w:after="0" w:line="227" w:lineRule="auto"/>
        <w:rPr>
          <w:sz w:val="20"/>
          <w:szCs w:val="20"/>
          <w:color w:val="auto"/>
        </w:rPr>
      </w:pPr>
      <w:r>
        <w:rPr>
          <w:rFonts w:ascii="Calibri" w:cs="Calibri" w:eastAsia="Calibri" w:hAnsi="Calibri"/>
          <w:sz w:val="14"/>
          <w:szCs w:val="14"/>
          <w:b w:val="1"/>
          <w:bCs w:val="1"/>
          <w:color w:val="auto"/>
        </w:rPr>
        <w:t>Commission File Number: 001-40926</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404"/>
        </w:trPr>
        <w:tc>
          <w:tcPr>
            <w:tcW w:w="40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900" w:type="dxa"/>
            <w:vAlign w:val="bottom"/>
            <w:tcBorders>
              <w:top w:val="single" w:sz="8" w:color="auto"/>
            </w:tcBorders>
            <w:gridSpan w:val="3"/>
          </w:tcPr>
          <w:p>
            <w:pPr>
              <w:jc w:val="center"/>
              <w:ind w:right="460"/>
              <w:spacing w:after="0" w:line="403" w:lineRule="exact"/>
              <w:rPr>
                <w:sz w:val="20"/>
                <w:szCs w:val="20"/>
                <w:color w:val="auto"/>
              </w:rPr>
            </w:pPr>
            <w:r>
              <w:rPr>
                <w:rFonts w:ascii="Calibri" w:cs="Calibri" w:eastAsia="Calibri" w:hAnsi="Calibri"/>
                <w:sz w:val="36"/>
                <w:szCs w:val="36"/>
                <w:b w:val="1"/>
                <w:bCs w:val="1"/>
                <w:color w:val="auto"/>
                <w:w w:val="99"/>
              </w:rPr>
              <w:t>Vivid Seats Inc.</w:t>
            </w:r>
          </w:p>
        </w:tc>
        <w:tc>
          <w:tcPr>
            <w:tcW w:w="3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3280" w:type="dxa"/>
            <w:vAlign w:val="bottom"/>
            <w:gridSpan w:val="5"/>
          </w:tcPr>
          <w:p>
            <w:pPr>
              <w:jc w:val="center"/>
              <w:ind w:right="80"/>
              <w:spacing w:after="0"/>
              <w:rPr>
                <w:sz w:val="20"/>
                <w:szCs w:val="20"/>
                <w:color w:val="auto"/>
              </w:rPr>
            </w:pPr>
            <w:r>
              <w:rPr>
                <w:rFonts w:ascii="Calibri" w:cs="Calibri" w:eastAsia="Calibri" w:hAnsi="Calibri"/>
                <w:sz w:val="14"/>
                <w:szCs w:val="14"/>
                <w:b w:val="1"/>
                <w:bCs w:val="1"/>
                <w:color w:val="auto"/>
              </w:rPr>
              <w:t>(Exact Name of Registrant as Specifed in its Charter)</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30"/>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Delaware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40" w:type="dxa"/>
            <w:vAlign w:val="bottom"/>
          </w:tcPr>
          <w:p>
            <w:pPr>
              <w:jc w:val="right"/>
              <w:ind w:right="2388"/>
              <w:spacing w:after="0"/>
              <w:rPr>
                <w:sz w:val="20"/>
                <w:szCs w:val="20"/>
                <w:color w:val="auto"/>
              </w:rPr>
            </w:pPr>
            <w:r>
              <w:rPr>
                <w:rFonts w:ascii="Calibri" w:cs="Calibri" w:eastAsia="Calibri" w:hAnsi="Calibri"/>
                <w:sz w:val="14"/>
                <w:szCs w:val="14"/>
                <w:b w:val="1"/>
                <w:bCs w:val="1"/>
                <w:color w:val="auto"/>
              </w:rPr>
              <w:t>86-3355184</w:t>
            </w:r>
          </w:p>
        </w:tc>
        <w:tc>
          <w:tcPr>
            <w:tcW w:w="0" w:type="dxa"/>
            <w:vAlign w:val="bottom"/>
          </w:tcPr>
          <w:p>
            <w:pPr>
              <w:spacing w:after="0"/>
              <w:rPr>
                <w:sz w:val="1"/>
                <w:szCs w:val="1"/>
                <w:color w:val="auto"/>
              </w:rPr>
            </w:pPr>
          </w:p>
        </w:tc>
      </w:tr>
      <w:tr>
        <w:trPr>
          <w:trHeight w:val="148"/>
        </w:trPr>
        <w:tc>
          <w:tcPr>
            <w:tcW w:w="4020" w:type="dxa"/>
            <w:vAlign w:val="bottom"/>
          </w:tcPr>
          <w:p>
            <w:pPr>
              <w:jc w:val="center"/>
              <w:ind w:left="1548"/>
              <w:spacing w:after="0" w:line="149" w:lineRule="exact"/>
              <w:rPr>
                <w:sz w:val="20"/>
                <w:szCs w:val="20"/>
                <w:color w:val="auto"/>
              </w:rPr>
            </w:pPr>
            <w:r>
              <w:rPr>
                <w:rFonts w:ascii="Calibri" w:cs="Calibri" w:eastAsia="Calibri" w:hAnsi="Calibri"/>
                <w:sz w:val="14"/>
                <w:szCs w:val="14"/>
                <w:b w:val="1"/>
                <w:bCs w:val="1"/>
                <w:color w:val="auto"/>
              </w:rPr>
              <w:t>(State or other jurisdicton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940" w:type="dxa"/>
            <w:vAlign w:val="bottom"/>
          </w:tcPr>
          <w:p>
            <w:pPr>
              <w:jc w:val="center"/>
              <w:ind w:right="1608"/>
              <w:spacing w:after="0" w:line="149" w:lineRule="exact"/>
              <w:rPr>
                <w:sz w:val="20"/>
                <w:szCs w:val="20"/>
                <w:color w:val="auto"/>
              </w:rPr>
            </w:pPr>
            <w:r>
              <w:rPr>
                <w:rFonts w:ascii="Calibri" w:cs="Calibri" w:eastAsia="Calibri" w:hAnsi="Calibri"/>
                <w:sz w:val="14"/>
                <w:szCs w:val="14"/>
                <w:b w:val="1"/>
                <w:bCs w:val="1"/>
                <w:color w:val="auto"/>
              </w:rPr>
              <w:t>(I.R.S. Employer</w:t>
            </w:r>
          </w:p>
        </w:tc>
        <w:tc>
          <w:tcPr>
            <w:tcW w:w="0" w:type="dxa"/>
            <w:vAlign w:val="bottom"/>
          </w:tcPr>
          <w:p>
            <w:pPr>
              <w:spacing w:after="0"/>
              <w:rPr>
                <w:sz w:val="1"/>
                <w:szCs w:val="1"/>
                <w:color w:val="auto"/>
              </w:rPr>
            </w:pPr>
          </w:p>
        </w:tc>
      </w:tr>
      <w:tr>
        <w:trPr>
          <w:trHeight w:val="162"/>
        </w:trPr>
        <w:tc>
          <w:tcPr>
            <w:tcW w:w="4020" w:type="dxa"/>
            <w:vAlign w:val="bottom"/>
          </w:tcPr>
          <w:p>
            <w:pPr>
              <w:jc w:val="center"/>
              <w:ind w:left="1548"/>
              <w:spacing w:after="0" w:line="162" w:lineRule="exact"/>
              <w:rPr>
                <w:sz w:val="20"/>
                <w:szCs w:val="20"/>
                <w:color w:val="auto"/>
              </w:rPr>
            </w:pPr>
            <w:r>
              <w:rPr>
                <w:rFonts w:ascii="Calibri" w:cs="Calibri" w:eastAsia="Calibri" w:hAnsi="Calibri"/>
                <w:sz w:val="14"/>
                <w:szCs w:val="14"/>
                <w:b w:val="1"/>
                <w:bCs w:val="1"/>
                <w:color w:val="auto"/>
              </w:rPr>
              <w:t>incorporaton or organizaton)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940" w:type="dxa"/>
            <w:vAlign w:val="bottom"/>
          </w:tcPr>
          <w:p>
            <w:pPr>
              <w:jc w:val="center"/>
              <w:ind w:right="1588"/>
              <w:spacing w:after="0" w:line="162" w:lineRule="exact"/>
              <w:rPr>
                <w:sz w:val="20"/>
                <w:szCs w:val="20"/>
                <w:color w:val="auto"/>
              </w:rPr>
            </w:pPr>
            <w:r>
              <w:rPr>
                <w:rFonts w:ascii="Calibri" w:cs="Calibri" w:eastAsia="Calibri" w:hAnsi="Calibri"/>
                <w:sz w:val="14"/>
                <w:szCs w:val="14"/>
                <w:b w:val="1"/>
                <w:bCs w:val="1"/>
                <w:color w:val="auto"/>
              </w:rPr>
              <w:t>Identfcaton No.)</w:t>
            </w:r>
          </w:p>
        </w:tc>
        <w:tc>
          <w:tcPr>
            <w:tcW w:w="0" w:type="dxa"/>
            <w:vAlign w:val="bottom"/>
          </w:tcPr>
          <w:p>
            <w:pPr>
              <w:spacing w:after="0"/>
              <w:rPr>
                <w:sz w:val="1"/>
                <w:szCs w:val="1"/>
                <w:color w:val="auto"/>
              </w:rPr>
            </w:pPr>
          </w:p>
        </w:tc>
      </w:tr>
      <w:tr>
        <w:trPr>
          <w:trHeight w:val="148"/>
        </w:trPr>
        <w:tc>
          <w:tcPr>
            <w:tcW w:w="4020" w:type="dxa"/>
            <w:vAlign w:val="bottom"/>
          </w:tcPr>
          <w:p>
            <w:pPr>
              <w:jc w:val="center"/>
              <w:ind w:left="1528"/>
              <w:spacing w:after="0" w:line="149" w:lineRule="exact"/>
              <w:rPr>
                <w:sz w:val="20"/>
                <w:szCs w:val="20"/>
                <w:color w:val="auto"/>
              </w:rPr>
            </w:pPr>
            <w:r>
              <w:rPr>
                <w:rFonts w:ascii="Calibri" w:cs="Calibri" w:eastAsia="Calibri" w:hAnsi="Calibri"/>
                <w:sz w:val="14"/>
                <w:szCs w:val="14"/>
                <w:b w:val="1"/>
                <w:bCs w:val="1"/>
                <w:color w:val="auto"/>
              </w:rPr>
              <w:t>111 N. Canal Street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jc w:val="center"/>
              <w:ind w:left="1548"/>
              <w:spacing w:after="0" w:line="149" w:lineRule="exact"/>
              <w:rPr>
                <w:sz w:val="20"/>
                <w:szCs w:val="20"/>
                <w:color w:val="auto"/>
              </w:rPr>
            </w:pPr>
            <w:r>
              <w:rPr>
                <w:rFonts w:ascii="Calibri" w:cs="Calibri" w:eastAsia="Calibri" w:hAnsi="Calibri"/>
                <w:sz w:val="14"/>
                <w:szCs w:val="14"/>
                <w:b w:val="1"/>
                <w:bCs w:val="1"/>
                <w:color w:val="auto"/>
              </w:rPr>
              <w:t>Suite 800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20" w:type="dxa"/>
            <w:vAlign w:val="bottom"/>
          </w:tcPr>
          <w:p>
            <w:pPr>
              <w:jc w:val="center"/>
              <w:ind w:left="1548"/>
              <w:spacing w:after="0"/>
              <w:rPr>
                <w:sz w:val="20"/>
                <w:szCs w:val="20"/>
                <w:color w:val="auto"/>
              </w:rPr>
            </w:pPr>
            <w:r>
              <w:rPr>
                <w:rFonts w:ascii="Calibri" w:cs="Calibri" w:eastAsia="Calibri" w:hAnsi="Calibri"/>
                <w:sz w:val="14"/>
                <w:szCs w:val="14"/>
                <w:b w:val="1"/>
                <w:bCs w:val="1"/>
                <w:color w:val="auto"/>
              </w:rPr>
              <w:t>Chicago, Illinois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940" w:type="dxa"/>
            <w:vAlign w:val="bottom"/>
          </w:tcPr>
          <w:p>
            <w:pPr>
              <w:jc w:val="right"/>
              <w:ind w:right="2548"/>
              <w:spacing w:after="0"/>
              <w:rPr>
                <w:sz w:val="20"/>
                <w:szCs w:val="20"/>
                <w:color w:val="auto"/>
              </w:rPr>
            </w:pPr>
            <w:r>
              <w:rPr>
                <w:rFonts w:ascii="Calibri" w:cs="Calibri" w:eastAsia="Calibri" w:hAnsi="Calibri"/>
                <w:sz w:val="14"/>
                <w:szCs w:val="14"/>
                <w:b w:val="1"/>
                <w:bCs w:val="1"/>
                <w:color w:val="auto"/>
              </w:rPr>
              <w:t>60606</w:t>
            </w:r>
          </w:p>
        </w:tc>
        <w:tc>
          <w:tcPr>
            <w:tcW w:w="0" w:type="dxa"/>
            <w:vAlign w:val="bottom"/>
          </w:tcPr>
          <w:p>
            <w:pPr>
              <w:spacing w:after="0"/>
              <w:rPr>
                <w:sz w:val="1"/>
                <w:szCs w:val="1"/>
                <w:color w:val="auto"/>
              </w:rPr>
            </w:pPr>
          </w:p>
        </w:tc>
      </w:tr>
      <w:tr>
        <w:trPr>
          <w:trHeight w:val="176"/>
        </w:trPr>
        <w:tc>
          <w:tcPr>
            <w:tcW w:w="4020" w:type="dxa"/>
            <w:vAlign w:val="bottom"/>
          </w:tcPr>
          <w:p>
            <w:pPr>
              <w:jc w:val="center"/>
              <w:ind w:left="1528"/>
              <w:spacing w:after="0"/>
              <w:rPr>
                <w:sz w:val="20"/>
                <w:szCs w:val="20"/>
                <w:color w:val="auto"/>
              </w:rPr>
            </w:pPr>
            <w:r>
              <w:rPr>
                <w:rFonts w:ascii="Calibri" w:cs="Calibri" w:eastAsia="Calibri" w:hAnsi="Calibri"/>
                <w:sz w:val="14"/>
                <w:szCs w:val="14"/>
                <w:b w:val="1"/>
                <w:bCs w:val="1"/>
                <w:color w:val="auto"/>
              </w:rPr>
              <w:t>(Address of principal executve ofces)</w:t>
            </w:r>
          </w:p>
        </w:tc>
        <w:tc>
          <w:tcPr>
            <w:tcW w:w="2060" w:type="dxa"/>
            <w:vAlign w:val="bottom"/>
            <w:gridSpan w:val="3"/>
            <w:vMerge w:val="restart"/>
          </w:tcPr>
          <w:p>
            <w:pPr>
              <w:jc w:val="center"/>
              <w:ind w:left="1088"/>
              <w:spacing w:after="0"/>
              <w:rPr>
                <w:sz w:val="20"/>
                <w:szCs w:val="20"/>
                <w:color w:val="auto"/>
              </w:rPr>
            </w:pPr>
            <w:r>
              <w:rPr>
                <w:rFonts w:ascii="Calibri" w:cs="Calibri" w:eastAsia="Calibri" w:hAnsi="Calibri"/>
                <w:sz w:val="14"/>
                <w:szCs w:val="14"/>
                <w:b w:val="1"/>
                <w:bCs w:val="1"/>
                <w:color w:val="auto"/>
              </w:rPr>
              <w:t>(312) 291-9966</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tcPr>
          <w:p>
            <w:pPr>
              <w:jc w:val="center"/>
              <w:ind w:right="1608"/>
              <w:spacing w:after="0"/>
              <w:rPr>
                <w:sz w:val="20"/>
                <w:szCs w:val="20"/>
                <w:color w:val="auto"/>
              </w:rPr>
            </w:pPr>
            <w:r>
              <w:rPr>
                <w:rFonts w:ascii="Calibri" w:cs="Calibri" w:eastAsia="Calibri" w:hAnsi="Calibri"/>
                <w:sz w:val="14"/>
                <w:szCs w:val="14"/>
                <w:b w:val="1"/>
                <w:bCs w:val="1"/>
                <w:color w:val="auto"/>
              </w:rPr>
              <w:t>(Zip Code)</w:t>
            </w: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20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3280" w:type="dxa"/>
            <w:vAlign w:val="bottom"/>
            <w:gridSpan w:val="5"/>
          </w:tcPr>
          <w:p>
            <w:pPr>
              <w:jc w:val="center"/>
              <w:ind w:right="60"/>
              <w:spacing w:after="0"/>
              <w:rPr>
                <w:sz w:val="20"/>
                <w:szCs w:val="20"/>
                <w:color w:val="auto"/>
              </w:rPr>
            </w:pPr>
            <w:r>
              <w:rPr>
                <w:rFonts w:ascii="Calibri" w:cs="Calibri" w:eastAsia="Calibri" w:hAnsi="Calibri"/>
                <w:sz w:val="14"/>
                <w:szCs w:val="14"/>
                <w:b w:val="1"/>
                <w:bCs w:val="1"/>
                <w:color w:val="auto"/>
              </w:rPr>
              <w:t>Registrant’s telephone number, including area code</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020" w:type="dxa"/>
            <w:vAlign w:val="bottom"/>
          </w:tcPr>
          <w:p>
            <w:pPr>
              <w:spacing w:after="0" w:line="164" w:lineRule="exact"/>
              <w:rPr>
                <w:sz w:val="20"/>
                <w:szCs w:val="20"/>
                <w:color w:val="auto"/>
              </w:rPr>
            </w:pPr>
            <w:r>
              <w:rPr>
                <w:rFonts w:ascii="Calibri" w:cs="Calibri" w:eastAsia="Calibri" w:hAnsi="Calibri"/>
                <w:sz w:val="14"/>
                <w:szCs w:val="14"/>
                <w:color w:val="auto"/>
              </w:rPr>
              <w:t>Securites registered pursuant to Secton 12(b) of the Act: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3"/>
          </w:tcPr>
          <w:p>
            <w:pPr>
              <w:jc w:val="center"/>
              <w:ind w:right="1220"/>
              <w:spacing w:after="0"/>
              <w:rPr>
                <w:sz w:val="20"/>
                <w:szCs w:val="20"/>
                <w:color w:val="auto"/>
              </w:rPr>
            </w:pPr>
            <w:r>
              <w:rPr>
                <w:rFonts w:ascii="Calibri" w:cs="Calibri" w:eastAsia="Calibri" w:hAnsi="Calibri"/>
                <w:sz w:val="14"/>
                <w:szCs w:val="14"/>
                <w:b w:val="1"/>
                <w:bCs w:val="1"/>
                <w:color w:val="auto"/>
              </w:rPr>
              <w:t>Trading</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020" w:type="dxa"/>
            <w:vAlign w:val="bottom"/>
          </w:tcPr>
          <w:p>
            <w:pPr>
              <w:jc w:val="center"/>
              <w:ind w:left="208"/>
              <w:spacing w:after="0"/>
              <w:rPr>
                <w:sz w:val="20"/>
                <w:szCs w:val="20"/>
                <w:color w:val="auto"/>
              </w:rPr>
            </w:pPr>
            <w:r>
              <w:rPr>
                <w:rFonts w:ascii="Calibri" w:cs="Calibri" w:eastAsia="Calibri" w:hAnsi="Calibri"/>
                <w:sz w:val="14"/>
                <w:szCs w:val="14"/>
                <w:b w:val="1"/>
                <w:bCs w:val="1"/>
                <w:color w:val="auto"/>
              </w:rPr>
              <w:t>Title of each class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3"/>
          </w:tcPr>
          <w:p>
            <w:pPr>
              <w:jc w:val="center"/>
              <w:ind w:right="1200"/>
              <w:spacing w:after="0"/>
              <w:rPr>
                <w:sz w:val="20"/>
                <w:szCs w:val="20"/>
                <w:color w:val="auto"/>
              </w:rPr>
            </w:pPr>
            <w:r>
              <w:rPr>
                <w:rFonts w:ascii="Calibri" w:cs="Calibri" w:eastAsia="Calibri" w:hAnsi="Calibri"/>
                <w:sz w:val="14"/>
                <w:szCs w:val="14"/>
                <w:b w:val="1"/>
                <w:bCs w:val="1"/>
                <w:color w:val="auto"/>
              </w:rPr>
              <w:t>Symbol(s)</w:t>
            </w:r>
          </w:p>
        </w:tc>
        <w:tc>
          <w:tcPr>
            <w:tcW w:w="3940" w:type="dxa"/>
            <w:vAlign w:val="bottom"/>
          </w:tcPr>
          <w:p>
            <w:pPr>
              <w:jc w:val="center"/>
              <w:ind w:right="1048"/>
              <w:spacing w:after="0"/>
              <w:rPr>
                <w:sz w:val="20"/>
                <w:szCs w:val="20"/>
                <w:color w:val="auto"/>
              </w:rPr>
            </w:pPr>
            <w:r>
              <w:rPr>
                <w:rFonts w:ascii="Calibri" w:cs="Calibri" w:eastAsia="Calibri" w:hAnsi="Calibri"/>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020" w:type="dxa"/>
            <w:vAlign w:val="bottom"/>
          </w:tcPr>
          <w:p>
            <w:pPr>
              <w:jc w:val="center"/>
              <w:ind w:left="228"/>
              <w:spacing w:after="0" w:line="141" w:lineRule="exact"/>
              <w:rPr>
                <w:sz w:val="20"/>
                <w:szCs w:val="20"/>
                <w:color w:val="auto"/>
              </w:rPr>
            </w:pPr>
            <w:r>
              <w:rPr>
                <w:rFonts w:ascii="Calibri" w:cs="Calibri" w:eastAsia="Calibri" w:hAnsi="Calibri"/>
                <w:sz w:val="14"/>
                <w:szCs w:val="14"/>
                <w:color w:val="auto"/>
              </w:rPr>
              <w:t>Class A common stock, par value $0.0001 per share</w:t>
            </w:r>
          </w:p>
        </w:tc>
        <w:tc>
          <w:tcPr>
            <w:tcW w:w="26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680" w:type="dxa"/>
            <w:vAlign w:val="bottom"/>
          </w:tcPr>
          <w:p>
            <w:pPr>
              <w:jc w:val="center"/>
              <w:spacing w:after="0" w:line="141" w:lineRule="exact"/>
              <w:rPr>
                <w:sz w:val="20"/>
                <w:szCs w:val="20"/>
                <w:color w:val="auto"/>
              </w:rPr>
            </w:pPr>
            <w:r>
              <w:rPr>
                <w:rFonts w:ascii="Calibri" w:cs="Calibri" w:eastAsia="Calibri" w:hAnsi="Calibri"/>
                <w:sz w:val="14"/>
                <w:szCs w:val="14"/>
                <w:color w:val="auto"/>
                <w:w w:val="92"/>
              </w:rPr>
              <w:t>SEAT</w:t>
            </w:r>
          </w:p>
        </w:tc>
        <w:tc>
          <w:tcPr>
            <w:tcW w:w="12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3940" w:type="dxa"/>
            <w:vAlign w:val="bottom"/>
          </w:tcPr>
          <w:p>
            <w:pPr>
              <w:jc w:val="center"/>
              <w:ind w:right="1068"/>
              <w:spacing w:after="0" w:line="141" w:lineRule="exact"/>
              <w:rPr>
                <w:sz w:val="20"/>
                <w:szCs w:val="20"/>
                <w:color w:val="auto"/>
              </w:rPr>
            </w:pPr>
            <w:r>
              <w:rPr>
                <w:rFonts w:ascii="Calibri" w:cs="Calibri" w:eastAsia="Calibri" w:hAnsi="Calibri"/>
                <w:sz w:val="14"/>
                <w:szCs w:val="14"/>
                <w:color w:val="auto"/>
              </w:rPr>
              <w:t>The Nasdaq Stock Market LLC</w:t>
            </w:r>
          </w:p>
        </w:tc>
        <w:tc>
          <w:tcPr>
            <w:tcW w:w="0" w:type="dxa"/>
            <w:vAlign w:val="bottom"/>
          </w:tcPr>
          <w:p>
            <w:pPr>
              <w:spacing w:after="0"/>
              <w:rPr>
                <w:sz w:val="1"/>
                <w:szCs w:val="1"/>
                <w:color w:val="auto"/>
              </w:rPr>
            </w:pPr>
          </w:p>
        </w:tc>
      </w:tr>
      <w:tr>
        <w:trPr>
          <w:trHeight w:val="170"/>
        </w:trPr>
        <w:tc>
          <w:tcPr>
            <w:tcW w:w="4020" w:type="dxa"/>
            <w:vAlign w:val="bottom"/>
          </w:tcPr>
          <w:p>
            <w:pPr>
              <w:jc w:val="center"/>
              <w:ind w:left="208"/>
              <w:spacing w:after="0"/>
              <w:rPr>
                <w:sz w:val="20"/>
                <w:szCs w:val="20"/>
                <w:color w:val="auto"/>
              </w:rPr>
            </w:pPr>
            <w:r>
              <w:rPr>
                <w:rFonts w:ascii="Calibri" w:cs="Calibri" w:eastAsia="Calibri" w:hAnsi="Calibri"/>
                <w:sz w:val="14"/>
                <w:szCs w:val="14"/>
                <w:color w:val="auto"/>
              </w:rPr>
              <w:t>Warrants to purchase one share of Class A 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00" w:type="dxa"/>
            <w:vAlign w:val="bottom"/>
            <w:gridSpan w:val="3"/>
          </w:tcPr>
          <w:p>
            <w:pPr>
              <w:jc w:val="center"/>
              <w:ind w:right="1220"/>
              <w:spacing w:after="0"/>
              <w:rPr>
                <w:sz w:val="20"/>
                <w:szCs w:val="20"/>
                <w:color w:val="auto"/>
              </w:rPr>
            </w:pPr>
            <w:r>
              <w:rPr>
                <w:rFonts w:ascii="Calibri" w:cs="Calibri" w:eastAsia="Calibri" w:hAnsi="Calibri"/>
                <w:sz w:val="14"/>
                <w:szCs w:val="14"/>
                <w:color w:val="auto"/>
                <w:w w:val="98"/>
              </w:rPr>
              <w:t>SEATW</w:t>
            </w:r>
          </w:p>
        </w:tc>
        <w:tc>
          <w:tcPr>
            <w:tcW w:w="3940" w:type="dxa"/>
            <w:vAlign w:val="bottom"/>
          </w:tcPr>
          <w:p>
            <w:pPr>
              <w:jc w:val="center"/>
              <w:ind w:right="1068"/>
              <w:spacing w:after="0"/>
              <w:rPr>
                <w:sz w:val="20"/>
                <w:szCs w:val="20"/>
                <w:color w:val="auto"/>
              </w:rPr>
            </w:pPr>
            <w:r>
              <w:rPr>
                <w:rFonts w:ascii="Calibri" w:cs="Calibri" w:eastAsia="Calibri" w:hAnsi="Calibri"/>
                <w:sz w:val="14"/>
                <w:szCs w:val="14"/>
                <w:color w:val="auto"/>
              </w:rPr>
              <w:t>The Nasdaq Stock Market LLC</w:t>
            </w:r>
          </w:p>
        </w:tc>
        <w:tc>
          <w:tcPr>
            <w:tcW w:w="0" w:type="dxa"/>
            <w:vAlign w:val="bottom"/>
          </w:tcPr>
          <w:p>
            <w:pPr>
              <w:spacing w:after="0"/>
              <w:rPr>
                <w:sz w:val="1"/>
                <w:szCs w:val="1"/>
                <w:color w:val="auto"/>
              </w:rPr>
            </w:pPr>
          </w:p>
        </w:tc>
      </w:tr>
    </w:tbl>
    <w:p>
      <w:pPr>
        <w:spacing w:after="0" w:line="195" w:lineRule="exact"/>
        <w:rPr>
          <w:sz w:val="24"/>
          <w:szCs w:val="24"/>
          <w:color w:val="auto"/>
        </w:rPr>
      </w:pPr>
    </w:p>
    <w:p>
      <w:pPr>
        <w:jc w:val="both"/>
        <w:spacing w:after="0" w:line="178" w:lineRule="exact"/>
        <w:rPr>
          <w:sz w:val="20"/>
          <w:szCs w:val="20"/>
          <w:color w:val="auto"/>
        </w:rPr>
      </w:pPr>
      <w:r>
        <w:rPr>
          <w:rFonts w:ascii="Calibri" w:cs="Calibri" w:eastAsia="Calibri" w:hAnsi="Calibri"/>
          <w:sz w:val="14"/>
          <w:szCs w:val="14"/>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77" w:lineRule="exact"/>
        <w:rPr>
          <w:sz w:val="24"/>
          <w:szCs w:val="24"/>
          <w:color w:val="auto"/>
        </w:rPr>
      </w:pPr>
    </w:p>
    <w:p>
      <w:pPr>
        <w:jc w:val="both"/>
        <w:spacing w:after="0" w:line="185" w:lineRule="exact"/>
        <w:rPr>
          <w:sz w:val="20"/>
          <w:szCs w:val="20"/>
          <w:color w:val="auto"/>
        </w:rPr>
      </w:pPr>
      <w:r>
        <w:rPr>
          <w:rFonts w:ascii="Calibri" w:cs="Calibri" w:eastAsia="Calibri" w:hAnsi="Calibri"/>
          <w:sz w:val="14"/>
          <w:szCs w:val="14"/>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77" w:lineRule="exact"/>
        <w:rPr>
          <w:sz w:val="24"/>
          <w:szCs w:val="24"/>
          <w:color w:val="auto"/>
        </w:rPr>
      </w:pPr>
    </w:p>
    <w:p>
      <w:pPr>
        <w:jc w:val="both"/>
        <w:spacing w:after="0" w:line="233" w:lineRule="auto"/>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smaller reportng company, or an emerging growth company. See the defnitons of “large accelerated fler,” “accelerated fler,” “smaller reportng company,” and “emerging growth company” in Rule 12b-2 of the Exchange Act.</w:t>
      </w:r>
    </w:p>
    <w:p>
      <w:pPr>
        <w:spacing w:after="0" w:line="190"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2100" w:type="dxa"/>
            <w:vAlign w:val="bottom"/>
          </w:tcPr>
          <w:p>
            <w:pPr>
              <w:spacing w:after="0"/>
              <w:rPr>
                <w:sz w:val="20"/>
                <w:szCs w:val="20"/>
                <w:color w:val="auto"/>
              </w:rPr>
            </w:pPr>
            <w:r>
              <w:rPr>
                <w:rFonts w:ascii="Calibri" w:cs="Calibri" w:eastAsia="Calibri" w:hAnsi="Calibri"/>
                <w:sz w:val="14"/>
                <w:szCs w:val="14"/>
                <w:color w:val="auto"/>
              </w:rPr>
              <w:t>Large accelerated fler</w:t>
            </w:r>
          </w:p>
        </w:tc>
        <w:tc>
          <w:tcPr>
            <w:tcW w:w="32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Calibri" w:cs="Calibri" w:eastAsia="Calibri" w:hAnsi="Calibri"/>
                <w:sz w:val="14"/>
                <w:szCs w:val="14"/>
                <w:color w:val="auto"/>
              </w:rPr>
              <w:t>Accelerated fler</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100" w:type="dxa"/>
            <w:vAlign w:val="bottom"/>
          </w:tcPr>
          <w:p>
            <w:pPr>
              <w:spacing w:after="0"/>
              <w:rPr>
                <w:sz w:val="20"/>
                <w:szCs w:val="20"/>
                <w:color w:val="auto"/>
              </w:rPr>
            </w:pPr>
            <w:r>
              <w:rPr>
                <w:rFonts w:ascii="Calibri" w:cs="Calibri" w:eastAsia="Calibri" w:hAnsi="Calibri"/>
                <w:sz w:val="14"/>
                <w:szCs w:val="14"/>
                <w:color w:val="auto"/>
              </w:rPr>
              <w:t>Non-accelerated fler</w:t>
            </w:r>
          </w:p>
        </w:tc>
        <w:tc>
          <w:tcPr>
            <w:tcW w:w="32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2600"/>
              <w:spacing w:after="0"/>
              <w:rPr>
                <w:sz w:val="20"/>
                <w:szCs w:val="20"/>
                <w:color w:val="auto"/>
              </w:rPr>
            </w:pPr>
            <w:r>
              <w:rPr>
                <w:rFonts w:ascii="Calibri" w:cs="Calibri" w:eastAsia="Calibri" w:hAnsi="Calibri"/>
                <w:sz w:val="14"/>
                <w:szCs w:val="14"/>
                <w:color w:val="auto"/>
              </w:rPr>
              <w:t>Smaller reportng company</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00" w:type="dxa"/>
            <w:vAlign w:val="bottom"/>
          </w:tcPr>
          <w:p>
            <w:pPr>
              <w:spacing w:after="0"/>
              <w:rPr>
                <w:sz w:val="20"/>
                <w:szCs w:val="20"/>
                <w:color w:val="auto"/>
              </w:rPr>
            </w:pPr>
            <w:r>
              <w:rPr>
                <w:rFonts w:ascii="Calibri" w:cs="Calibri" w:eastAsia="Calibri" w:hAnsi="Calibri"/>
                <w:sz w:val="14"/>
                <w:szCs w:val="14"/>
                <w:color w:val="auto"/>
              </w:rPr>
              <w:t>Emerging growth company</w:t>
            </w:r>
          </w:p>
        </w:tc>
        <w:tc>
          <w:tcPr>
            <w:tcW w:w="32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pacing w:after="0" w:line="279" w:lineRule="exact"/>
        <w:rPr>
          <w:sz w:val="24"/>
          <w:szCs w:val="24"/>
          <w:color w:val="auto"/>
        </w:rPr>
      </w:pPr>
    </w:p>
    <w:p>
      <w:pPr>
        <w:spacing w:after="0" w:line="178" w:lineRule="exact"/>
        <w:rPr>
          <w:sz w:val="20"/>
          <w:szCs w:val="20"/>
          <w:color w:val="auto"/>
        </w:rPr>
      </w:pPr>
      <w:r>
        <w:rPr>
          <w:rFonts w:ascii="Calibri" w:cs="Calibri" w:eastAsia="Calibri" w:hAnsi="Calibri"/>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72" w:lineRule="exact"/>
        <w:tabs>
          <w:tab w:leader="none" w:pos="6640" w:val="left"/>
          <w:tab w:leader="none" w:pos="7160" w:val="left"/>
        </w:tabs>
        <w:rPr>
          <w:sz w:val="20"/>
          <w:szCs w:val="20"/>
          <w:color w:val="auto"/>
        </w:rPr>
      </w:pPr>
      <w:r>
        <w:rPr>
          <w:rFonts w:ascii="Calibri" w:cs="Calibri" w:eastAsia="Calibri" w:hAnsi="Calibri"/>
          <w:sz w:val="14"/>
          <w:szCs w:val="14"/>
          <w:color w:val="auto"/>
        </w:rPr>
        <w:t>Indicate by check mark whether the registrant is a shell company (as defned in Rule 12b-2 of the Exchange Act).</w:t>
        <w:tab/>
        <w:t xml:space="preserve">Yes </w:t>
      </w:r>
      <w:r>
        <w:rPr>
          <w:rFonts w:ascii="MS PGothic" w:cs="MS PGothic" w:eastAsia="MS PGothic" w:hAnsi="MS PGothic"/>
          <w:sz w:val="14"/>
          <w:szCs w:val="14"/>
          <w:color w:val="auto"/>
        </w:rPr>
        <w:t>☐</w:t>
      </w:r>
      <w:r>
        <w:rPr>
          <w:rFonts w:ascii="Calibri" w:cs="Calibri" w:eastAsia="Calibri" w:hAnsi="Calibri"/>
          <w:sz w:val="14"/>
          <w:szCs w:val="14"/>
          <w:color w:val="auto"/>
        </w:rPr>
        <w:tab/>
        <w:t xml:space="preserve">No </w:t>
      </w:r>
      <w:r>
        <w:rPr>
          <w:rFonts w:ascii="MS PGothic" w:cs="MS PGothic" w:eastAsia="MS PGothic" w:hAnsi="MS PGothic"/>
          <w:sz w:val="14"/>
          <w:szCs w:val="14"/>
          <w:color w:val="auto"/>
        </w:rPr>
        <w:t>☒</w:t>
      </w:r>
    </w:p>
    <w:p>
      <w:pPr>
        <w:spacing w:after="0" w:line="171" w:lineRule="exact"/>
        <w:rPr>
          <w:sz w:val="24"/>
          <w:szCs w:val="24"/>
          <w:color w:val="auto"/>
        </w:rPr>
      </w:pPr>
    </w:p>
    <w:p>
      <w:pPr>
        <w:spacing w:after="0" w:line="245" w:lineRule="auto"/>
        <w:rPr>
          <w:sz w:val="20"/>
          <w:szCs w:val="20"/>
          <w:color w:val="auto"/>
        </w:rPr>
      </w:pPr>
      <w:r>
        <w:rPr>
          <w:rFonts w:ascii="Calibri" w:cs="Calibri" w:eastAsia="Calibri" w:hAnsi="Calibri"/>
          <w:sz w:val="14"/>
          <w:szCs w:val="14"/>
          <w:color w:val="auto"/>
        </w:rPr>
        <w:t>As of July 31, 2022, the registrant had 82,041,142 shares of Class A common stock, $0.0001 par value per share, outstanding and 118,200,000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80" w:type="dxa"/>
            <w:vAlign w:val="bottom"/>
            <w:gridSpan w:val="6"/>
          </w:tcPr>
          <w:p>
            <w:pPr>
              <w:ind w:left="80"/>
              <w:spacing w:after="0"/>
              <w:rPr>
                <w:sz w:val="20"/>
                <w:szCs w:val="20"/>
                <w:color w:val="auto"/>
              </w:rPr>
            </w:pPr>
            <w:r>
              <w:rPr>
                <w:rFonts w:ascii="Calibri" w:cs="Calibri" w:eastAsia="Calibri" w:hAnsi="Calibri"/>
                <w:sz w:val="18"/>
                <w:szCs w:val="18"/>
                <w:b w:val="1"/>
                <w:bCs w:val="1"/>
                <w:color w:val="auto"/>
              </w:rPr>
              <w:t>TABLE OF CONTENTS</w:t>
            </w:r>
          </w:p>
        </w:tc>
        <w:tc>
          <w:tcPr>
            <w:tcW w:w="560" w:type="dxa"/>
            <w:vAlign w:val="bottom"/>
          </w:tcPr>
          <w:p>
            <w:pPr>
              <w:spacing w:after="0"/>
              <w:rPr>
                <w:sz w:val="19"/>
                <w:szCs w:val="19"/>
                <w:color w:val="auto"/>
              </w:rPr>
            </w:pPr>
          </w:p>
        </w:tc>
      </w:tr>
      <w:tr>
        <w:trPr>
          <w:trHeight w:val="40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Page</w:t>
            </w:r>
          </w:p>
        </w:tc>
      </w:tr>
      <w:tr>
        <w:trPr>
          <w:trHeight w:val="23"/>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35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Forward-Looking Statements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1</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b w:val="1"/>
                <w:bCs w:val="1"/>
                <w:color w:val="auto"/>
              </w:rPr>
              <w:t>PART I.</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FINANCIAL INFORMATION</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85"/>
        </w:trPr>
        <w:tc>
          <w:tcPr>
            <w:tcW w:w="1180" w:type="dxa"/>
            <w:vAlign w:val="bottom"/>
            <w:gridSpan w:val="3"/>
          </w:tcPr>
          <w:p>
            <w:pPr>
              <w:ind w:left="20"/>
              <w:spacing w:after="0"/>
              <w:rPr>
                <w:sz w:val="20"/>
                <w:szCs w:val="20"/>
                <w:color w:val="auto"/>
              </w:rPr>
            </w:pPr>
            <w:r>
              <w:rPr>
                <w:rFonts w:ascii="Calibri" w:cs="Calibri" w:eastAsia="Calibri" w:hAnsi="Calibri"/>
                <w:sz w:val="18"/>
                <w:szCs w:val="18"/>
                <w:color w:val="auto"/>
              </w:rPr>
              <w:t>Item 1.</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Financial Statements (Unaudited)</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Condensed Consolidated Balance Sheets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gridSpan w:val="19"/>
          </w:tcPr>
          <w:p>
            <w:pPr>
              <w:spacing w:after="0" w:line="196" w:lineRule="exact"/>
              <w:rPr>
                <w:sz w:val="20"/>
                <w:szCs w:val="20"/>
                <w:color w:val="auto"/>
              </w:rPr>
            </w:pPr>
            <w:r>
              <w:rPr>
                <w:rFonts w:ascii="Calibri" w:cs="Calibri" w:eastAsia="Calibri" w:hAnsi="Calibri"/>
                <w:sz w:val="18"/>
                <w:szCs w:val="18"/>
                <w:color w:val="0000FF"/>
              </w:rPr>
              <w:t>Condensed Consolidated Statements of Operatons</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4</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gridSpan w:val="19"/>
          </w:tcPr>
          <w:p>
            <w:pPr>
              <w:spacing w:after="0" w:line="196" w:lineRule="exact"/>
              <w:rPr>
                <w:sz w:val="20"/>
                <w:szCs w:val="20"/>
                <w:color w:val="auto"/>
              </w:rPr>
            </w:pPr>
            <w:r>
              <w:rPr>
                <w:rFonts w:ascii="Calibri" w:cs="Calibri" w:eastAsia="Calibri" w:hAnsi="Calibri"/>
                <w:sz w:val="18"/>
                <w:szCs w:val="18"/>
                <w:color w:val="0000FF"/>
              </w:rPr>
              <w:t>Condensed Consolidated Statements of Comprehensive Income (Loss)</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5</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Condensed Consolidated Statements of Defcit</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6</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08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gridSpan w:val="19"/>
          </w:tcPr>
          <w:p>
            <w:pPr>
              <w:spacing w:after="0" w:line="196" w:lineRule="exact"/>
              <w:rPr>
                <w:sz w:val="20"/>
                <w:szCs w:val="20"/>
                <w:color w:val="auto"/>
              </w:rPr>
            </w:pPr>
            <w:r>
              <w:rPr>
                <w:rFonts w:ascii="Calibri" w:cs="Calibri" w:eastAsia="Calibri" w:hAnsi="Calibri"/>
                <w:sz w:val="18"/>
                <w:szCs w:val="18"/>
                <w:color w:val="0000FF"/>
              </w:rPr>
              <w:t>Condensed Consolidated Statements of Cash Flows</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8</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00" w:type="dxa"/>
            <w:vAlign w:val="bottom"/>
            <w:gridSpan w:val="19"/>
          </w:tcPr>
          <w:p>
            <w:pPr>
              <w:spacing w:after="0" w:line="196" w:lineRule="exact"/>
              <w:rPr>
                <w:sz w:val="20"/>
                <w:szCs w:val="20"/>
                <w:color w:val="auto"/>
              </w:rPr>
            </w:pPr>
            <w:r>
              <w:rPr>
                <w:rFonts w:ascii="Calibri" w:cs="Calibri" w:eastAsia="Calibri" w:hAnsi="Calibri"/>
                <w:sz w:val="18"/>
                <w:szCs w:val="18"/>
                <w:color w:val="0000FF"/>
              </w:rPr>
              <w:t>Notes to Condensed Consolidated Financial Statements</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9</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700" w:type="dxa"/>
            <w:vAlign w:val="bottom"/>
            <w:tcBorders>
              <w:right w:val="single" w:sz="8" w:color="0000EE"/>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180" w:type="dxa"/>
            <w:vAlign w:val="bottom"/>
            <w:gridSpan w:val="3"/>
          </w:tcPr>
          <w:p>
            <w:pPr>
              <w:ind w:left="20"/>
              <w:spacing w:after="0" w:line="196" w:lineRule="exact"/>
              <w:rPr>
                <w:sz w:val="20"/>
                <w:szCs w:val="20"/>
                <w:color w:val="auto"/>
              </w:rPr>
            </w:pPr>
            <w:r>
              <w:rPr>
                <w:rFonts w:ascii="Calibri" w:cs="Calibri" w:eastAsia="Calibri" w:hAnsi="Calibri"/>
                <w:sz w:val="18"/>
                <w:szCs w:val="18"/>
                <w:color w:val="auto"/>
              </w:rPr>
              <w:t>Item 2.</w:t>
            </w:r>
          </w:p>
        </w:tc>
        <w:tc>
          <w:tcPr>
            <w:tcW w:w="9500" w:type="dxa"/>
            <w:vAlign w:val="bottom"/>
            <w:gridSpan w:val="19"/>
          </w:tcPr>
          <w:p>
            <w:pPr>
              <w:spacing w:after="0" w:line="196" w:lineRule="exact"/>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560" w:type="dxa"/>
            <w:vAlign w:val="bottom"/>
          </w:tcPr>
          <w:p>
            <w:pPr>
              <w:jc w:val="right"/>
              <w:spacing w:after="0" w:line="196" w:lineRule="exact"/>
              <w:rPr>
                <w:sz w:val="20"/>
                <w:szCs w:val="20"/>
                <w:color w:val="auto"/>
              </w:rPr>
            </w:pPr>
            <w:r>
              <w:rPr>
                <w:rFonts w:ascii="Calibri" w:cs="Calibri" w:eastAsia="Calibri" w:hAnsi="Calibri"/>
                <w:sz w:val="18"/>
                <w:szCs w:val="18"/>
                <w:color w:val="auto"/>
              </w:rPr>
              <w:t>25</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3.</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Quanttatve and Qualitatve Disclosures About Market Risk</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35</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4.</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Controls and Procedures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35</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8"/>
        </w:trPr>
        <w:tc>
          <w:tcPr>
            <w:tcW w:w="1180" w:type="dxa"/>
            <w:vAlign w:val="bottom"/>
            <w:gridSpan w:val="3"/>
          </w:tcPr>
          <w:p>
            <w:pPr>
              <w:ind w:left="20"/>
              <w:spacing w:after="0"/>
              <w:rPr>
                <w:sz w:val="20"/>
                <w:szCs w:val="20"/>
                <w:color w:val="auto"/>
              </w:rPr>
            </w:pPr>
            <w:r>
              <w:rPr>
                <w:rFonts w:ascii="Calibri" w:cs="Calibri" w:eastAsia="Calibri" w:hAnsi="Calibri"/>
                <w:sz w:val="18"/>
                <w:szCs w:val="18"/>
                <w:b w:val="1"/>
                <w:bCs w:val="1"/>
                <w:color w:val="auto"/>
              </w:rPr>
              <w:t>PART II.</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OTHER INFORMATION</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36</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8"/>
        </w:trPr>
        <w:tc>
          <w:tcPr>
            <w:tcW w:w="1180" w:type="dxa"/>
            <w:vAlign w:val="bottom"/>
            <w:gridSpan w:val="3"/>
          </w:tcPr>
          <w:p>
            <w:pPr>
              <w:ind w:left="20"/>
              <w:spacing w:after="0"/>
              <w:rPr>
                <w:sz w:val="20"/>
                <w:szCs w:val="20"/>
                <w:color w:val="auto"/>
              </w:rPr>
            </w:pPr>
            <w:r>
              <w:rPr>
                <w:rFonts w:ascii="Calibri" w:cs="Calibri" w:eastAsia="Calibri" w:hAnsi="Calibri"/>
                <w:sz w:val="18"/>
                <w:szCs w:val="18"/>
                <w:color w:val="auto"/>
              </w:rPr>
              <w:t>Item 1.</w:t>
            </w:r>
          </w:p>
        </w:tc>
        <w:tc>
          <w:tcPr>
            <w:tcW w:w="9500" w:type="dxa"/>
            <w:vAlign w:val="bottom"/>
            <w:gridSpan w:val="19"/>
          </w:tcPr>
          <w:p>
            <w:pPr>
              <w:spacing w:after="0"/>
              <w:rPr>
                <w:sz w:val="20"/>
                <w:szCs w:val="20"/>
                <w:color w:val="auto"/>
              </w:rPr>
            </w:pPr>
            <w:r>
              <w:rPr>
                <w:rFonts w:ascii="Calibri" w:cs="Calibri" w:eastAsia="Calibri" w:hAnsi="Calibri"/>
                <w:sz w:val="18"/>
                <w:szCs w:val="18"/>
                <w:color w:val="0000FF"/>
              </w:rPr>
              <w:t>Legal Proceedings</w:t>
            </w:r>
          </w:p>
        </w:tc>
        <w:tc>
          <w:tcPr>
            <w:tcW w:w="560" w:type="dxa"/>
            <w:vAlign w:val="bottom"/>
          </w:tcPr>
          <w:p>
            <w:pPr>
              <w:jc w:val="right"/>
              <w:spacing w:after="0"/>
              <w:rPr>
                <w:sz w:val="20"/>
                <w:szCs w:val="20"/>
                <w:color w:val="auto"/>
              </w:rPr>
            </w:pPr>
            <w:r>
              <w:rPr>
                <w:rFonts w:ascii="Calibri" w:cs="Calibri" w:eastAsia="Calibri" w:hAnsi="Calibri"/>
                <w:sz w:val="18"/>
                <w:szCs w:val="18"/>
                <w:color w:val="auto"/>
              </w:rPr>
              <w:t>36</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1A.</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Risk Factors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36</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2.</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Unregistered Sales of Equity Securites and Use of Proceeds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36</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980" w:type="dxa"/>
            <w:vAlign w:val="bottom"/>
            <w:gridSpan w:val="7"/>
            <w:shd w:val="clear" w:color="auto" w:fill="0000FF"/>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3.</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Defaults Upon Senior Securites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37</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4.</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Mine Safety Disclosures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37</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84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5.</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Other Informaton</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37</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22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auto"/>
              </w:rPr>
              <w:t>Item 6.</w:t>
            </w:r>
          </w:p>
        </w:tc>
        <w:tc>
          <w:tcPr>
            <w:tcW w:w="9500" w:type="dxa"/>
            <w:vAlign w:val="bottom"/>
            <w:gridSpan w:val="19"/>
          </w:tcPr>
          <w:p>
            <w:pPr>
              <w:spacing w:after="0" w:line="183" w:lineRule="exact"/>
              <w:rPr>
                <w:sz w:val="20"/>
                <w:szCs w:val="20"/>
                <w:color w:val="auto"/>
              </w:rPr>
            </w:pPr>
            <w:r>
              <w:rPr>
                <w:rFonts w:ascii="Calibri" w:cs="Calibri" w:eastAsia="Calibri" w:hAnsi="Calibri"/>
                <w:sz w:val="18"/>
                <w:szCs w:val="18"/>
                <w:color w:val="0000FF"/>
              </w:rPr>
              <w:t>Exhibits</w:t>
            </w: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38</w:t>
            </w:r>
          </w:p>
        </w:tc>
      </w:tr>
      <w:tr>
        <w:trPr>
          <w:trHeight w:val="183"/>
        </w:trPr>
        <w:tc>
          <w:tcPr>
            <w:tcW w:w="1180" w:type="dxa"/>
            <w:vAlign w:val="bottom"/>
            <w:gridSpan w:val="3"/>
          </w:tcPr>
          <w:p>
            <w:pPr>
              <w:ind w:left="20"/>
              <w:spacing w:after="0" w:line="183" w:lineRule="exact"/>
              <w:rPr>
                <w:sz w:val="20"/>
                <w:szCs w:val="20"/>
                <w:color w:val="auto"/>
              </w:rPr>
            </w:pPr>
            <w:r>
              <w:rPr>
                <w:rFonts w:ascii="Calibri" w:cs="Calibri" w:eastAsia="Calibri" w:hAnsi="Calibri"/>
                <w:sz w:val="18"/>
                <w:szCs w:val="18"/>
                <w:color w:val="0000FF"/>
              </w:rPr>
              <w:t>Signatures</w:t>
            </w:r>
          </w:p>
        </w:tc>
        <w:tc>
          <w:tcPr>
            <w:tcW w:w="520" w:type="dxa"/>
            <w:vAlign w:val="bottom"/>
            <w:tcBorders>
              <w:top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Calibri" w:cs="Calibri" w:eastAsia="Calibri" w:hAnsi="Calibri"/>
                <w:sz w:val="18"/>
                <w:szCs w:val="18"/>
                <w:color w:val="auto"/>
              </w:rPr>
              <w:t>40</w:t>
            </w:r>
          </w:p>
        </w:tc>
      </w:tr>
      <w:tr>
        <w:trPr>
          <w:trHeight w:val="554"/>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jc w:val="center"/>
        <w:spacing w:after="0"/>
        <w:rPr>
          <w:sz w:val="20"/>
          <w:szCs w:val="20"/>
          <w:color w:val="auto"/>
        </w:rPr>
      </w:pPr>
      <w:r>
        <w:rPr>
          <w:rFonts w:ascii="Calibri" w:cs="Calibri" w:eastAsia="Calibri" w:hAnsi="Calibri"/>
          <w:sz w:val="18"/>
          <w:szCs w:val="18"/>
          <w:b w:val="1"/>
          <w:bCs w:val="1"/>
          <w:color w:val="auto"/>
        </w:rPr>
        <w:t>FORWARD-LOOKING STATEMENTS</w:t>
      </w:r>
    </w:p>
    <w:p>
      <w:pPr>
        <w:spacing w:after="0" w:line="339"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This Quarterly Report on Form 10-Q contains forward-looking statements regarding future events and the future results of Vivid Seats Inc. that are based on our current expectatons, estmates, forecasts and projectons about the industries in which we operate and the beliefs and assumptons of our management. We intend such forward-looking statements to be covered by the safe harbor provisions for forward-looking statements contained in Secton 27A of the Securites Act of 1933, as amended (the "Securites Act"), and Secton 21E of the Securites Exchange Act of 1934, as amended (the "Exchange Act"). Words such as “expect,” “antcipate,” “target,” “goal,” “project,” “intend,” “plan,” “believe,” “seek,” “estmate,” “will,” “likely,” “may,” “designed,” “would,” “future,” “can,” “could,” and other similar expressions which are predictons of, indicate future events and trends or which do not relate to historical maters, are intended to identfy such forward-looking statements. These statements involve a number of risks, uncertaintes and assumptons that are difcult to predict.</w:t>
      </w:r>
    </w:p>
    <w:p>
      <w:pPr>
        <w:spacing w:after="0" w:line="136" w:lineRule="exact"/>
        <w:rPr>
          <w:sz w:val="20"/>
          <w:szCs w:val="20"/>
          <w:color w:val="auto"/>
        </w:rPr>
      </w:pPr>
    </w:p>
    <w:p>
      <w:pPr>
        <w:spacing w:after="0"/>
        <w:rPr>
          <w:sz w:val="20"/>
          <w:szCs w:val="20"/>
          <w:color w:val="auto"/>
        </w:rPr>
      </w:pPr>
      <w:r>
        <w:rPr>
          <w:rFonts w:ascii="Calibri" w:cs="Calibri" w:eastAsia="Calibri" w:hAnsi="Calibri"/>
          <w:sz w:val="18"/>
          <w:szCs w:val="18"/>
          <w:color w:val="auto"/>
        </w:rPr>
        <w:t>For example, we may use forward-looking statements when addressing topics such as:</w:t>
      </w:r>
    </w:p>
    <w:p>
      <w:pPr>
        <w:spacing w:after="0" w:line="150" w:lineRule="exact"/>
        <w:rPr>
          <w:sz w:val="20"/>
          <w:szCs w:val="20"/>
          <w:color w:val="auto"/>
        </w:rPr>
      </w:pPr>
    </w:p>
    <w:p>
      <w:pPr>
        <w:jc w:val="both"/>
        <w:ind w:left="1020" w:hanging="503"/>
        <w:spacing w:after="0" w:line="230" w:lineRule="auto"/>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COVID-19 pandemic, its duraton, its impact on our business, results of operatons, fnancial conditon, liquidity, use of our borrowings, business practces, operatons, suppliers, third-party service providers, customers, employees, industry, ability to meet future performance obligatons and ability to efciently implement advisable safety precautons;</w:t>
      </w:r>
    </w:p>
    <w:p>
      <w:pPr>
        <w:spacing w:after="0" w:line="1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raise fnancing in the future;</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future fnancial performance;</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success in retaining or recruitng, or changes required in, our ofcers, key employees or directors;</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pay dividends on our Class A common stock on the terms currently contemplated or at all; and</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factors relatng to our business, operatons and fnancial performance, including, but not limited to:</w:t>
      </w:r>
    </w:p>
    <w:p>
      <w:pPr>
        <w:spacing w:after="0" w:line="14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the impact of the pandemic on our business and the industries in which we operate;</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compete in the tcketng industry;</w:t>
      </w:r>
    </w:p>
    <w:p>
      <w:pPr>
        <w:spacing w:after="0" w:line="14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maintain relatonships with buyers, sellers and distributon partners;</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contnue to improve our platorm and maintain and enhance our brand;</w:t>
      </w:r>
    </w:p>
    <w:p>
      <w:pPr>
        <w:spacing w:after="0" w:line="156" w:lineRule="exact"/>
        <w:rPr>
          <w:rFonts w:ascii="Times New Roman" w:cs="Times New Roman" w:eastAsia="Times New Roman" w:hAnsi="Times New Roman"/>
          <w:sz w:val="18"/>
          <w:szCs w:val="18"/>
          <w:color w:val="auto"/>
        </w:rPr>
      </w:pPr>
    </w:p>
    <w:p>
      <w:pPr>
        <w:ind w:left="1540" w:hanging="509"/>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8"/>
          <w:szCs w:val="18"/>
          <w:color w:val="auto"/>
        </w:rPr>
        <w:t>the impact of extraordinary events or adverse economic conditons on discretonary consumer and corporate spending or on the supply and demand of live events;</w:t>
      </w:r>
    </w:p>
    <w:p>
      <w:pPr>
        <w:spacing w:after="0" w:line="150"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comply with domestc regulatory regimes;</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successfully defend against litgaton;</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maintain the integrity of our informaton systems and infrastructure, and to mitgate possible cyber security risks;</w:t>
      </w:r>
    </w:p>
    <w:p>
      <w:pPr>
        <w:spacing w:after="0" w:line="156"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Calibri" w:cs="Calibri" w:eastAsia="Calibri" w:hAnsi="Calibri"/>
          <w:sz w:val="17"/>
          <w:szCs w:val="17"/>
          <w:color w:val="auto"/>
        </w:rPr>
        <w:t>our ability to generate sufcient cash fows or raise additonal capital necessary to fund our operatons; and</w:t>
      </w:r>
    </w:p>
    <w:p>
      <w:pPr>
        <w:spacing w:after="0" w:line="166" w:lineRule="exact"/>
        <w:rPr>
          <w:sz w:val="20"/>
          <w:szCs w:val="20"/>
          <w:color w:val="auto"/>
        </w:rPr>
      </w:pPr>
    </w:p>
    <w:p>
      <w:pPr>
        <w:ind w:left="5580" w:right="5220" w:hanging="4554"/>
        <w:spacing w:after="0" w:line="303" w:lineRule="auto"/>
        <w:tabs>
          <w:tab w:leader="none" w:pos="1536" w:val="left"/>
        </w:tabs>
        <w:numPr>
          <w:ilvl w:val="0"/>
          <w:numId w:val="3"/>
        </w:numPr>
        <w:rPr>
          <w:rFonts w:ascii="Times New Roman" w:cs="Times New Roman" w:eastAsia="Times New Roman" w:hAnsi="Times New Roman"/>
          <w:sz w:val="17"/>
          <w:szCs w:val="17"/>
          <w:color w:val="auto"/>
        </w:rPr>
      </w:pPr>
      <w:r>
        <w:rPr>
          <w:rFonts w:ascii="Calibri" w:cs="Calibri" w:eastAsia="Calibri" w:hAnsi="Calibri"/>
          <w:sz w:val="17"/>
          <w:szCs w:val="17"/>
          <w:color w:val="auto"/>
        </w:rPr>
        <w:t>other factors detailed under the secton enttled “Risk Factors.”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jc w:val="both"/>
        <w:spacing w:after="0"/>
        <w:rPr>
          <w:sz w:val="20"/>
          <w:szCs w:val="20"/>
          <w:color w:val="auto"/>
        </w:rPr>
      </w:pPr>
      <w:r>
        <w:rPr>
          <w:rFonts w:ascii="Calibri" w:cs="Calibri" w:eastAsia="Calibri" w:hAnsi="Calibri"/>
          <w:sz w:val="17"/>
          <w:szCs w:val="17"/>
          <w:color w:val="auto"/>
        </w:rPr>
        <w:t>Actual results may difer materially and adversely from those expressed in any forward-looking statements. You are cautoned not to place undue reliance on these forward-looking statements, which speak only as of the date of this document, or in the case of statements incorporated by reference, on the date of the document incorporated by reference. While we believe such informaton forms a reasonable basis for such statements, such informaton may be limited or incomplete, and our statements should not be read to indicate that we have conducted an exhaustve inquiry into, or review of, all potentally available relevant informaton. These statements are inherently uncertain and investors are cautoned not to unduly rely upon these statements.</w:t>
      </w:r>
    </w:p>
    <w:p>
      <w:pPr>
        <w:spacing w:after="0" w:line="137"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Factors that might cause or contribute to such diferences include, but are not limited to, those discussed in this Quarterly Report on Form 10-Q, under the sectons enttled “Management’s Discussion and Analysis of Financial Conditon and Results of Operatons,” in our Annual Report on Form 10-K for the fscal year ended December 31, 2021, which was fled with the Securites and Exchange Commission (the “SEC”) on March 15, 2022, under the secton enttled “Risk Factors,” in our press releases, and in our other flings with the SEC.</w:t>
      </w:r>
    </w:p>
    <w:p>
      <w:pPr>
        <w:spacing w:after="0" w:line="137"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Except as required by applicable law, we do not plan to publicly update or revise any forward-looking statements contained in this Quarterly Report on Form 10-Q, whether as a result of new informaton, future events, or risks. New informaton, future events, or risks may cause the forward-looking events we discuss in this report not to occur.</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 w:name="page5"/>
    <w:bookmarkEnd w:id="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CONDENSED CONSOLIDATED BALANCE SHEETS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2"/>
          </w:tcPr>
          <w:p>
            <w:pPr>
              <w:jc w:val="right"/>
              <w:ind w:right="710"/>
              <w:spacing w:after="0"/>
              <w:rPr>
                <w:sz w:val="20"/>
                <w:szCs w:val="20"/>
                <w:color w:val="auto"/>
              </w:rPr>
            </w:pPr>
            <w:r>
              <w:rPr>
                <w:rFonts w:ascii="Calibri" w:cs="Calibri" w:eastAsia="Calibri" w:hAnsi="Calibri"/>
                <w:sz w:val="18"/>
                <w:szCs w:val="18"/>
                <w:b w:val="1"/>
                <w:bCs w:val="1"/>
                <w:color w:val="auto"/>
              </w:rPr>
              <w:t>June 30,</w:t>
            </w:r>
          </w:p>
        </w:tc>
        <w:tc>
          <w:tcPr>
            <w:tcW w:w="200" w:type="dxa"/>
            <w:vAlign w:val="bottom"/>
          </w:tcPr>
          <w:p>
            <w:pPr>
              <w:spacing w:after="0"/>
              <w:rPr>
                <w:sz w:val="19"/>
                <w:szCs w:val="19"/>
                <w:color w:val="auto"/>
              </w:rPr>
            </w:pPr>
          </w:p>
        </w:tc>
        <w:tc>
          <w:tcPr>
            <w:tcW w:w="1520" w:type="dxa"/>
            <w:vAlign w:val="bottom"/>
            <w:gridSpan w:val="2"/>
          </w:tcPr>
          <w:p>
            <w:pPr>
              <w:jc w:val="right"/>
              <w:ind w:right="33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7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30"/>
              <w:spacing w:after="0" w:line="216" w:lineRule="exact"/>
              <w:rPr>
                <w:sz w:val="20"/>
                <w:szCs w:val="20"/>
                <w:color w:val="auto"/>
              </w:rPr>
            </w:pPr>
            <w:r>
              <w:rPr>
                <w:rFonts w:ascii="Calibri" w:cs="Calibri" w:eastAsia="Calibri" w:hAnsi="Calibri"/>
                <w:sz w:val="18"/>
                <w:szCs w:val="18"/>
                <w:b w:val="1"/>
                <w:bCs w:val="1"/>
                <w:color w:val="auto"/>
              </w:rPr>
              <w:t>2022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550"/>
              <w:spacing w:after="0" w:line="216"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3"/>
        </w:trPr>
        <w:tc>
          <w:tcPr>
            <w:tcW w:w="7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6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Cash and cash equivalents</w:t>
            </w:r>
          </w:p>
        </w:tc>
        <w:tc>
          <w:tcPr>
            <w:tcW w:w="300" w:type="dxa"/>
            <w:vAlign w:val="bottom"/>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w w:val="87"/>
              </w:rPr>
              <w:t>$</w:t>
            </w:r>
          </w:p>
        </w:tc>
        <w:tc>
          <w:tcPr>
            <w:tcW w:w="1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287,811</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w w:val="87"/>
              </w:rPr>
              <w:t>$</w:t>
            </w: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489,530</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120"/>
              <w:spacing w:after="0" w:line="215" w:lineRule="exact"/>
              <w:rPr>
                <w:sz w:val="20"/>
                <w:szCs w:val="20"/>
                <w:color w:val="auto"/>
              </w:rPr>
            </w:pPr>
            <w:r>
              <w:rPr>
                <w:rFonts w:ascii="Calibri" w:cs="Calibri" w:eastAsia="Calibri" w:hAnsi="Calibri"/>
                <w:sz w:val="18"/>
                <w:szCs w:val="18"/>
                <w:color w:val="auto"/>
              </w:rPr>
              <w:t>Restricted cash</w:t>
            </w:r>
          </w:p>
        </w:tc>
        <w:tc>
          <w:tcPr>
            <w:tcW w:w="3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219</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280</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Accounts receivable – net</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44,373</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36,124</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120"/>
              <w:spacing w:after="0" w:line="215" w:lineRule="exact"/>
              <w:rPr>
                <w:sz w:val="20"/>
                <w:szCs w:val="20"/>
                <w:color w:val="auto"/>
              </w:rPr>
            </w:pPr>
            <w:r>
              <w:rPr>
                <w:rFonts w:ascii="Calibri" w:cs="Calibri" w:eastAsia="Calibri" w:hAnsi="Calibri"/>
                <w:sz w:val="18"/>
                <w:szCs w:val="18"/>
                <w:color w:val="auto"/>
              </w:rPr>
              <w:t>Inventory – net</w:t>
            </w:r>
          </w:p>
        </w:tc>
        <w:tc>
          <w:tcPr>
            <w:tcW w:w="3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21,202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11,773</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59,306</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72,504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Total current assets</w:t>
            </w:r>
          </w:p>
        </w:tc>
        <w:tc>
          <w:tcPr>
            <w:tcW w:w="300" w:type="dxa"/>
            <w:vAlign w:val="bottom"/>
          </w:tcPr>
          <w:p>
            <w:pPr>
              <w:spacing w:after="0"/>
              <w:rPr>
                <w:sz w:val="18"/>
                <w:szCs w:val="18"/>
                <w:color w:val="auto"/>
              </w:rPr>
            </w:pPr>
          </w:p>
        </w:tc>
        <w:tc>
          <w:tcPr>
            <w:tcW w:w="13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412,911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610,211</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Property and equipment – net</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3,293</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1,082</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Right-of-use assets – net</w:t>
            </w:r>
          </w:p>
        </w:tc>
        <w:tc>
          <w:tcPr>
            <w:tcW w:w="3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8,806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Intangible assets – net</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80,067</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78,511</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Goodwill</w:t>
            </w:r>
          </w:p>
        </w:tc>
        <w:tc>
          <w:tcPr>
            <w:tcW w:w="3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715,258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718,204</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non-current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2,717</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Total assets</w:t>
            </w:r>
          </w:p>
        </w:tc>
        <w:tc>
          <w:tcPr>
            <w:tcW w:w="300" w:type="dxa"/>
            <w:vAlign w:val="bottom"/>
            <w:tcBorders>
              <w:bottom w:val="single" w:sz="8" w:color="auto"/>
            </w:tcBorders>
          </w:tcPr>
          <w:p>
            <w:pPr>
              <w:jc w:val="right"/>
              <w:ind w:right="110"/>
              <w:spacing w:after="0" w:line="210" w:lineRule="exact"/>
              <w:rPr>
                <w:sz w:val="20"/>
                <w:szCs w:val="20"/>
                <w:color w:val="auto"/>
              </w:rPr>
            </w:pPr>
            <w:r>
              <w:rPr>
                <w:rFonts w:ascii="Calibri" w:cs="Calibri" w:eastAsia="Calibri" w:hAnsi="Calibri"/>
                <w:sz w:val="18"/>
                <w:szCs w:val="18"/>
                <w:b w:val="1"/>
                <w:bCs w:val="1"/>
                <w:color w:val="auto"/>
                <w:w w:val="87"/>
              </w:rPr>
              <w:t>$</w:t>
            </w:r>
          </w:p>
        </w:tc>
        <w:tc>
          <w:tcPr>
            <w:tcW w:w="13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1,223,052</w:t>
            </w:r>
          </w:p>
        </w:tc>
        <w:tc>
          <w:tcPr>
            <w:tcW w:w="3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line="210" w:lineRule="exact"/>
              <w:rPr>
                <w:sz w:val="20"/>
                <w:szCs w:val="20"/>
                <w:color w:val="auto"/>
              </w:rPr>
            </w:pPr>
            <w:r>
              <w:rPr>
                <w:rFonts w:ascii="Calibri" w:cs="Calibri" w:eastAsia="Calibri" w:hAnsi="Calibri"/>
                <w:sz w:val="18"/>
                <w:szCs w:val="18"/>
                <w:b w:val="1"/>
                <w:bCs w:val="1"/>
                <w:color w:val="auto"/>
                <w:w w:val="87"/>
              </w:rPr>
              <w:t>$</w:t>
            </w:r>
          </w:p>
        </w:tc>
        <w:tc>
          <w:tcPr>
            <w:tcW w:w="14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1,408,795</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Calibri" w:cs="Calibri" w:eastAsia="Calibri" w:hAnsi="Calibri"/>
                <w:sz w:val="18"/>
                <w:szCs w:val="18"/>
                <w:b w:val="1"/>
                <w:bCs w:val="1"/>
                <w:color w:val="auto"/>
              </w:rPr>
              <w:t>Liabilites and shareholders’ defcit</w:t>
            </w:r>
          </w:p>
        </w:tc>
        <w:tc>
          <w:tcPr>
            <w:tcW w:w="3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Accounts payable</w:t>
            </w:r>
          </w:p>
        </w:tc>
        <w:tc>
          <w:tcPr>
            <w:tcW w:w="300" w:type="dxa"/>
            <w:vAlign w:val="bottom"/>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w w:val="87"/>
              </w:rPr>
              <w:t>$</w:t>
            </w:r>
          </w:p>
        </w:tc>
        <w:tc>
          <w:tcPr>
            <w:tcW w:w="1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191,454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w w:val="87"/>
              </w:rPr>
              <w:t>$</w:t>
            </w: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191,201</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12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3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246,157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281,156</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Deferred revenue</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32,657</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25,139</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120"/>
              <w:spacing w:after="0" w:line="215" w:lineRule="exact"/>
              <w:rPr>
                <w:sz w:val="20"/>
                <w:szCs w:val="20"/>
                <w:color w:val="auto"/>
              </w:rPr>
            </w:pPr>
            <w:r>
              <w:rPr>
                <w:rFonts w:ascii="Calibri" w:cs="Calibri" w:eastAsia="Calibri" w:hAnsi="Calibri"/>
                <w:sz w:val="18"/>
                <w:szCs w:val="18"/>
                <w:color w:val="auto"/>
              </w:rPr>
              <w:t>Current maturites of long-term debt – net</w:t>
            </w:r>
          </w:p>
        </w:tc>
        <w:tc>
          <w:tcPr>
            <w:tcW w:w="3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2,750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1"/>
        </w:trPr>
        <w:tc>
          <w:tcPr>
            <w:tcW w:w="76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current liabilites</w:t>
            </w:r>
          </w:p>
        </w:tc>
        <w:tc>
          <w:tcPr>
            <w:tcW w:w="3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473,018</w:t>
            </w: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497,496</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debt – net</w:t>
            </w:r>
          </w:p>
        </w:tc>
        <w:tc>
          <w:tcPr>
            <w:tcW w:w="3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265,902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460,132</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Long-term lease liabilites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9,386</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Other liabilites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17,414</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25,834</w:t>
            </w:r>
          </w:p>
        </w:tc>
        <w:tc>
          <w:tcPr>
            <w:tcW w:w="100" w:type="dxa"/>
            <w:vAlign w:val="bottom"/>
          </w:tcPr>
          <w:p>
            <w:pPr>
              <w:spacing w:after="0"/>
              <w:rPr>
                <w:sz w:val="18"/>
                <w:szCs w:val="18"/>
                <w:color w:val="auto"/>
              </w:rPr>
            </w:pPr>
          </w:p>
        </w:tc>
      </w:tr>
      <w:tr>
        <w:trPr>
          <w:trHeight w:val="211"/>
        </w:trPr>
        <w:tc>
          <w:tcPr>
            <w:tcW w:w="76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long-term liabilites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292,702</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485,966</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Commitments and contngencies (Note 12)</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Redeemable noncontrolling interests</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882,954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1,286,016</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Shareholders' defcit</w:t>
            </w: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7"/>
        </w:trPr>
        <w:tc>
          <w:tcPr>
            <w:tcW w:w="7600" w:type="dxa"/>
            <w:vAlign w:val="bottom"/>
          </w:tcPr>
          <w:p>
            <w:pPr>
              <w:ind w:left="120"/>
              <w:spacing w:after="0" w:line="166" w:lineRule="exact"/>
              <w:rPr>
                <w:sz w:val="20"/>
                <w:szCs w:val="20"/>
                <w:color w:val="auto"/>
              </w:rPr>
            </w:pPr>
            <w:r>
              <w:rPr>
                <w:rFonts w:ascii="Calibri" w:cs="Calibri" w:eastAsia="Calibri" w:hAnsi="Calibri"/>
                <w:sz w:val="18"/>
                <w:szCs w:val="18"/>
                <w:color w:val="auto"/>
              </w:rPr>
              <w:t>Class A common stock, $0.0001 par value; 500,000,000 shares authorized at June 30, 2022 and</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600" w:type="dxa"/>
            <w:vAlign w:val="bottom"/>
          </w:tcPr>
          <w:p>
            <w:pPr>
              <w:ind w:left="120"/>
              <w:spacing w:after="0" w:line="189" w:lineRule="exact"/>
              <w:rPr>
                <w:sz w:val="20"/>
                <w:szCs w:val="20"/>
                <w:color w:val="auto"/>
              </w:rPr>
            </w:pPr>
            <w:r>
              <w:rPr>
                <w:rFonts w:ascii="Calibri" w:cs="Calibri" w:eastAsia="Calibri" w:hAnsi="Calibri"/>
                <w:sz w:val="18"/>
                <w:szCs w:val="18"/>
                <w:color w:val="auto"/>
              </w:rPr>
              <w:t>December 31, 2021; 79,241,032 and 79,091,871 issued and outstanding at June 30, 2022 and</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600" w:type="dxa"/>
            <w:vAlign w:val="bottom"/>
          </w:tcPr>
          <w:p>
            <w:pPr>
              <w:ind w:left="120"/>
              <w:spacing w:after="0" w:line="215" w:lineRule="exact"/>
              <w:rPr>
                <w:sz w:val="20"/>
                <w:szCs w:val="20"/>
                <w:color w:val="auto"/>
              </w:rPr>
            </w:pPr>
            <w:r>
              <w:rPr>
                <w:rFonts w:ascii="Calibri" w:cs="Calibri" w:eastAsia="Calibri" w:hAnsi="Calibri"/>
                <w:sz w:val="18"/>
                <w:szCs w:val="18"/>
                <w:color w:val="auto"/>
              </w:rPr>
              <w:t>December 31, 2021, respectvely</w:t>
            </w:r>
          </w:p>
        </w:tc>
        <w:tc>
          <w:tcPr>
            <w:tcW w:w="3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8</w:t>
            </w:r>
          </w:p>
        </w:tc>
        <w:tc>
          <w:tcPr>
            <w:tcW w:w="100" w:type="dxa"/>
            <w:vAlign w:val="bottom"/>
          </w:tcPr>
          <w:p>
            <w:pPr>
              <w:spacing w:after="0"/>
              <w:rPr>
                <w:sz w:val="18"/>
                <w:szCs w:val="18"/>
                <w:color w:val="auto"/>
              </w:rPr>
            </w:pPr>
          </w:p>
        </w:tc>
      </w:tr>
      <w:tr>
        <w:trPr>
          <w:trHeight w:val="23"/>
        </w:trPr>
        <w:tc>
          <w:tcPr>
            <w:tcW w:w="7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7600" w:type="dxa"/>
            <w:vAlign w:val="bottom"/>
            <w:shd w:val="clear" w:color="auto" w:fill="CFF0FC"/>
          </w:tcPr>
          <w:p>
            <w:pPr>
              <w:ind w:left="120"/>
              <w:spacing w:after="0" w:line="166" w:lineRule="exact"/>
              <w:rPr>
                <w:sz w:val="20"/>
                <w:szCs w:val="20"/>
                <w:color w:val="auto"/>
              </w:rPr>
            </w:pPr>
            <w:r>
              <w:rPr>
                <w:rFonts w:ascii="Calibri" w:cs="Calibri" w:eastAsia="Calibri" w:hAnsi="Calibri"/>
                <w:sz w:val="18"/>
                <w:szCs w:val="18"/>
                <w:color w:val="auto"/>
              </w:rPr>
              <w:t>Class B common stock, $0.0001 par value; 250,000,000 shares authorized, 118,200,000 issued and</w:t>
            </w: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8"/>
        </w:trPr>
        <w:tc>
          <w:tcPr>
            <w:tcW w:w="760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outstanding at June 30, 2022 and December 31, 2021</w:t>
            </w:r>
          </w:p>
        </w:tc>
        <w:tc>
          <w:tcPr>
            <w:tcW w:w="3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5"/>
        </w:trPr>
        <w:tc>
          <w:tcPr>
            <w:tcW w:w="7600" w:type="dxa"/>
            <w:vAlign w:val="bottom"/>
          </w:tcPr>
          <w:p>
            <w:pPr>
              <w:ind w:left="120"/>
              <w:spacing w:after="0" w:line="215" w:lineRule="exact"/>
              <w:rPr>
                <w:sz w:val="20"/>
                <w:szCs w:val="20"/>
                <w:color w:val="auto"/>
              </w:rPr>
            </w:pPr>
            <w:r>
              <w:rPr>
                <w:rFonts w:ascii="Calibri" w:cs="Calibri" w:eastAsia="Calibri" w:hAnsi="Calibri"/>
                <w:sz w:val="18"/>
                <w:szCs w:val="18"/>
                <w:color w:val="auto"/>
              </w:rPr>
              <w:t>Additonal paid-in capital</w:t>
            </w:r>
          </w:p>
        </w:tc>
        <w:tc>
          <w:tcPr>
            <w:tcW w:w="30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606,238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182,091</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Accumulated defcit</w:t>
            </w:r>
          </w:p>
        </w:tc>
        <w:tc>
          <w:tcPr>
            <w:tcW w:w="30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30"/>
              <w:spacing w:after="0" w:line="216" w:lineRule="exact"/>
              <w:rPr>
                <w:sz w:val="20"/>
                <w:szCs w:val="20"/>
                <w:color w:val="auto"/>
              </w:rPr>
            </w:pPr>
            <w:r>
              <w:rPr>
                <w:rFonts w:ascii="Calibri" w:cs="Calibri" w:eastAsia="Calibri" w:hAnsi="Calibri"/>
                <w:sz w:val="18"/>
                <w:szCs w:val="18"/>
                <w:color w:val="auto"/>
              </w:rPr>
              <w:t>(1,031,880 )</w:t>
            </w: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(1,042,794 )</w:t>
            </w:r>
          </w:p>
        </w:tc>
      </w:tr>
      <w:tr>
        <w:trPr>
          <w:trHeight w:val="209"/>
        </w:trPr>
        <w:tc>
          <w:tcPr>
            <w:tcW w:w="7600" w:type="dxa"/>
            <w:vAlign w:val="bottom"/>
          </w:tcPr>
          <w:p>
            <w:pPr>
              <w:ind w:left="120"/>
              <w:spacing w:after="0" w:line="199" w:lineRule="exact"/>
              <w:rPr>
                <w:sz w:val="20"/>
                <w:szCs w:val="20"/>
                <w:color w:val="auto"/>
              </w:rPr>
            </w:pPr>
            <w:r>
              <w:rPr>
                <w:rFonts w:ascii="Calibri" w:cs="Calibri" w:eastAsia="Calibri" w:hAnsi="Calibri"/>
                <w:sz w:val="18"/>
                <w:szCs w:val="18"/>
                <w:color w:val="auto"/>
              </w:rPr>
              <w:t>Total Shareholders' defcit</w:t>
            </w:r>
          </w:p>
        </w:tc>
        <w:tc>
          <w:tcPr>
            <w:tcW w:w="3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(425,622</w:t>
            </w:r>
          </w:p>
        </w:tc>
        <w:tc>
          <w:tcPr>
            <w:tcW w:w="300" w:type="dxa"/>
            <w:vAlign w:val="bottom"/>
          </w:tcPr>
          <w:p>
            <w:pPr>
              <w:jc w:val="right"/>
              <w:ind w:right="130"/>
              <w:spacing w:after="0" w:line="195" w:lineRule="exact"/>
              <w:rPr>
                <w:sz w:val="20"/>
                <w:szCs w:val="20"/>
                <w:color w:val="auto"/>
              </w:rPr>
            </w:pPr>
            <w:r>
              <w:rPr>
                <w:rFonts w:ascii="Calibri" w:cs="Calibri" w:eastAsia="Calibri" w:hAnsi="Calibri"/>
                <w:sz w:val="18"/>
                <w:szCs w:val="18"/>
                <w:color w:val="auto"/>
              </w:rPr>
              <w:t>)</w:t>
            </w: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(860,683</w:t>
            </w:r>
          </w:p>
        </w:tc>
        <w:tc>
          <w:tcPr>
            <w:tcW w:w="100" w:type="dxa"/>
            <w:vAlign w:val="bottom"/>
          </w:tcPr>
          <w:p>
            <w:pPr>
              <w:jc w:val="right"/>
              <w:spacing w:after="0" w:line="195" w:lineRule="exact"/>
              <w:rPr>
                <w:sz w:val="20"/>
                <w:szCs w:val="20"/>
                <w:color w:val="auto"/>
              </w:rPr>
            </w:pPr>
            <w:r>
              <w:rPr>
                <w:rFonts w:ascii="Calibri" w:cs="Calibri" w:eastAsia="Calibri" w:hAnsi="Calibri"/>
                <w:sz w:val="18"/>
                <w:szCs w:val="18"/>
                <w:color w:val="auto"/>
                <w:w w:val="72"/>
              </w:rPr>
              <w:t>)</w:t>
            </w:r>
          </w:p>
        </w:tc>
      </w:tr>
      <w:tr>
        <w:trPr>
          <w:trHeight w:val="250"/>
        </w:trPr>
        <w:tc>
          <w:tcPr>
            <w:tcW w:w="760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liabilites, Redeemable noncontrolling interests, and Shareholders' defcit</w:t>
            </w:r>
          </w:p>
        </w:tc>
        <w:tc>
          <w:tcPr>
            <w:tcW w:w="300" w:type="dxa"/>
            <w:vAlign w:val="bottom"/>
            <w:tcBorders>
              <w:bottom w:val="single" w:sz="8" w:color="auto"/>
            </w:tcBorders>
            <w:shd w:val="clear" w:color="auto" w:fill="CFF0FC"/>
          </w:tcPr>
          <w:p>
            <w:pPr>
              <w:jc w:val="right"/>
              <w:ind w:right="110"/>
              <w:spacing w:after="0" w:line="210" w:lineRule="exact"/>
              <w:rPr>
                <w:sz w:val="20"/>
                <w:szCs w:val="20"/>
                <w:color w:val="auto"/>
              </w:rPr>
            </w:pPr>
            <w:r>
              <w:rPr>
                <w:rFonts w:ascii="Calibri" w:cs="Calibri" w:eastAsia="Calibri" w:hAnsi="Calibri"/>
                <w:sz w:val="18"/>
                <w:szCs w:val="18"/>
                <w:b w:val="1"/>
                <w:bCs w:val="1"/>
                <w:color w:val="auto"/>
                <w:w w:val="87"/>
              </w:rPr>
              <w:t>$</w:t>
            </w:r>
          </w:p>
        </w:tc>
        <w:tc>
          <w:tcPr>
            <w:tcW w:w="132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1,223,052</w:t>
            </w:r>
          </w:p>
        </w:tc>
        <w:tc>
          <w:tcPr>
            <w:tcW w:w="3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line="210" w:lineRule="exact"/>
              <w:rPr>
                <w:sz w:val="20"/>
                <w:szCs w:val="20"/>
                <w:color w:val="auto"/>
              </w:rPr>
            </w:pPr>
            <w:r>
              <w:rPr>
                <w:rFonts w:ascii="Calibri" w:cs="Calibri" w:eastAsia="Calibri" w:hAnsi="Calibri"/>
                <w:sz w:val="18"/>
                <w:szCs w:val="18"/>
                <w:b w:val="1"/>
                <w:bCs w:val="1"/>
                <w:color w:val="auto"/>
                <w:w w:val="87"/>
              </w:rPr>
              <w:t>$</w:t>
            </w:r>
          </w:p>
        </w:tc>
        <w:tc>
          <w:tcPr>
            <w:tcW w:w="142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1,408,795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-4302760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-4302760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-3470910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-3470910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-328930</wp:posOffset>
            </wp:positionV>
            <wp:extent cx="9398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-328930</wp:posOffset>
            </wp:positionV>
            <wp:extent cx="9398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CONDENSED CONSOLIDATED STATEMENTS OF OPERATIONS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for per share data)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4"/>
          </w:tcPr>
          <w:p>
            <w:pPr>
              <w:jc w:val="right"/>
              <w:ind w:right="170"/>
              <w:spacing w:after="0"/>
              <w:rPr>
                <w:sz w:val="20"/>
                <w:szCs w:val="20"/>
                <w:color w:val="auto"/>
              </w:rPr>
            </w:pPr>
            <w:r>
              <w:rPr>
                <w:rFonts w:ascii="Calibri" w:cs="Calibri" w:eastAsia="Calibri" w:hAnsi="Calibri"/>
                <w:sz w:val="18"/>
                <w:szCs w:val="18"/>
                <w:b w:val="1"/>
                <w:bCs w:val="1"/>
                <w:color w:val="auto"/>
              </w:rPr>
              <w:t>Three Months Ended June 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5"/>
          </w:tcPr>
          <w:p>
            <w:pPr>
              <w:jc w:val="right"/>
              <w:ind w:right="380"/>
              <w:spacing w:after="0"/>
              <w:rPr>
                <w:sz w:val="20"/>
                <w:szCs w:val="20"/>
                <w:color w:val="auto"/>
              </w:rPr>
            </w:pPr>
            <w:r>
              <w:rPr>
                <w:rFonts w:ascii="Calibri" w:cs="Calibri" w:eastAsia="Calibri" w:hAnsi="Calibri"/>
                <w:sz w:val="18"/>
                <w:szCs w:val="18"/>
                <w:b w:val="1"/>
                <w:bCs w:val="1"/>
                <w:color w:val="auto"/>
              </w:rPr>
              <w:t>Six Months Ended June 30,</w:t>
            </w:r>
          </w:p>
        </w:tc>
        <w:tc>
          <w:tcPr>
            <w:tcW w:w="0" w:type="dxa"/>
            <w:vAlign w:val="bottom"/>
          </w:tcPr>
          <w:p>
            <w:pPr>
              <w:spacing w:after="0"/>
              <w:rPr>
                <w:sz w:val="1"/>
                <w:szCs w:val="1"/>
                <w:color w:val="auto"/>
              </w:rPr>
            </w:pPr>
          </w:p>
        </w:tc>
      </w:tr>
      <w:tr>
        <w:trPr>
          <w:trHeight w:val="23"/>
        </w:trPr>
        <w:tc>
          <w:tcPr>
            <w:tcW w:w="5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5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0"/>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8" w:lineRule="exact"/>
              <w:rPr>
                <w:sz w:val="20"/>
                <w:szCs w:val="20"/>
                <w:color w:val="auto"/>
              </w:rPr>
            </w:pPr>
            <w:r>
              <w:rPr>
                <w:rFonts w:ascii="Calibri" w:cs="Calibri" w:eastAsia="Calibri" w:hAnsi="Calibri"/>
                <w:sz w:val="18"/>
                <w:szCs w:val="18"/>
                <w:b w:val="1"/>
                <w:bCs w:val="1"/>
                <w:color w:val="auto"/>
              </w:rPr>
              <w:t>2021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line="208" w:lineRule="exact"/>
              <w:rPr>
                <w:sz w:val="20"/>
                <w:szCs w:val="20"/>
                <w:color w:val="auto"/>
              </w:rPr>
            </w:pPr>
            <w:r>
              <w:rPr>
                <w:rFonts w:ascii="Calibri" w:cs="Calibri" w:eastAsia="Calibri" w:hAnsi="Calibri"/>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8" w:lineRule="exact"/>
              <w:rPr>
                <w:sz w:val="20"/>
                <w:szCs w:val="20"/>
                <w:color w:val="auto"/>
              </w:rPr>
            </w:pPr>
            <w:r>
              <w:rPr>
                <w:rFonts w:ascii="Calibri" w:cs="Calibri" w:eastAsia="Calibri" w:hAnsi="Calibri"/>
                <w:sz w:val="18"/>
                <w:szCs w:val="18"/>
                <w:b w:val="1"/>
                <w:bCs w:val="1"/>
                <w:color w:val="auto"/>
              </w:rPr>
              <w:t>2021</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147,694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8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115,498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278,466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w w:val="87"/>
              </w:rPr>
              <w:t>$</w:t>
            </w:r>
          </w:p>
        </w:tc>
        <w:tc>
          <w:tcPr>
            <w:tcW w:w="8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139,612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Costs and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5720" w:type="dxa"/>
            <w:vAlign w:val="bottom"/>
            <w:shd w:val="clear" w:color="auto" w:fill="CFF0FC"/>
          </w:tcPr>
          <w:p>
            <w:pPr>
              <w:ind w:left="120"/>
              <w:spacing w:after="0" w:line="167" w:lineRule="exact"/>
              <w:rPr>
                <w:sz w:val="20"/>
                <w:szCs w:val="20"/>
                <w:color w:val="auto"/>
              </w:rPr>
            </w:pPr>
            <w:r>
              <w:rPr>
                <w:rFonts w:ascii="Calibri" w:cs="Calibri" w:eastAsia="Calibri" w:hAnsi="Calibri"/>
                <w:sz w:val="18"/>
                <w:szCs w:val="18"/>
                <w:color w:val="auto"/>
              </w:rPr>
              <w:t>Cost of revenues (exclusive of depreciaton and amortzaton shown</w:t>
            </w: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72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separately below)</w:t>
            </w:r>
          </w:p>
        </w:tc>
        <w:tc>
          <w:tcPr>
            <w:tcW w:w="18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32,422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19,986</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64,586</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23,911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120"/>
              <w:spacing w:after="0" w:line="215" w:lineRule="exact"/>
              <w:rPr>
                <w:sz w:val="20"/>
                <w:szCs w:val="20"/>
                <w:color w:val="auto"/>
              </w:rPr>
            </w:pPr>
            <w:r>
              <w:rPr>
                <w:rFonts w:ascii="Calibri" w:cs="Calibri" w:eastAsia="Calibri" w:hAnsi="Calibri"/>
                <w:sz w:val="18"/>
                <w:szCs w:val="18"/>
                <w:color w:val="auto"/>
              </w:rPr>
              <w:t>Marketng and selling</w:t>
            </w:r>
          </w:p>
        </w:tc>
        <w:tc>
          <w:tcPr>
            <w:tcW w:w="1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59,412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46,422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113,640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line="215" w:lineRule="exact"/>
              <w:rPr>
                <w:sz w:val="20"/>
                <w:szCs w:val="20"/>
                <w:color w:val="auto"/>
              </w:rPr>
            </w:pPr>
            <w:r>
              <w:rPr>
                <w:rFonts w:ascii="Calibri" w:cs="Calibri" w:eastAsia="Calibri" w:hAnsi="Calibri"/>
                <w:sz w:val="18"/>
                <w:szCs w:val="18"/>
                <w:color w:val="auto"/>
              </w:rPr>
              <w:t>54,377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General and administratve</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36,207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29,106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65,482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44,977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120"/>
              <w:spacing w:after="0" w:line="215" w:lineRule="exact"/>
              <w:rPr>
                <w:sz w:val="20"/>
                <w:szCs w:val="20"/>
                <w:color w:val="auto"/>
              </w:rPr>
            </w:pPr>
            <w:r>
              <w:rPr>
                <w:rFonts w:ascii="Calibri" w:cs="Calibri" w:eastAsia="Calibri" w:hAnsi="Calibri"/>
                <w:sz w:val="18"/>
                <w:szCs w:val="18"/>
                <w:color w:val="auto"/>
              </w:rPr>
              <w:t>Depreciaton and amortzaton</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1,726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500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3,111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Income from operatons</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17,927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19,484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31,647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15,552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Other (income) expense: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Interest expense – net</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2,699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16,839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6,641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120"/>
              <w:spacing w:after="0" w:line="215" w:lineRule="exact"/>
              <w:rPr>
                <w:sz w:val="20"/>
                <w:szCs w:val="20"/>
                <w:color w:val="auto"/>
              </w:rPr>
            </w:pPr>
            <w:r>
              <w:rPr>
                <w:rFonts w:ascii="Calibri" w:cs="Calibri" w:eastAsia="Calibri" w:hAnsi="Calibri"/>
                <w:sz w:val="18"/>
                <w:szCs w:val="18"/>
                <w:color w:val="auto"/>
              </w:rPr>
              <w:t>Loss on extnguishment of debt</w:t>
            </w:r>
          </w:p>
        </w:tc>
        <w:tc>
          <w:tcPr>
            <w:tcW w:w="180" w:type="dxa"/>
            <w:vAlign w:val="bottom"/>
          </w:tcPr>
          <w:p>
            <w:pPr>
              <w:spacing w:after="0"/>
              <w:rPr>
                <w:sz w:val="18"/>
                <w:szCs w:val="18"/>
                <w:color w:val="auto"/>
              </w:rPr>
            </w:pPr>
          </w:p>
        </w:tc>
        <w:tc>
          <w:tcPr>
            <w:tcW w:w="1380" w:type="dxa"/>
            <w:vAlign w:val="bottom"/>
            <w:gridSpan w:val="2"/>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4,285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Other income</w:t>
            </w: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line="216" w:lineRule="exact"/>
              <w:rPr>
                <w:sz w:val="20"/>
                <w:szCs w:val="20"/>
                <w:color w:val="auto"/>
              </w:rPr>
            </w:pPr>
            <w:r>
              <w:rPr>
                <w:rFonts w:ascii="Calibri" w:cs="Calibri" w:eastAsia="Calibri" w:hAnsi="Calibri"/>
                <w:sz w:val="18"/>
                <w:szCs w:val="18"/>
                <w:color w:val="auto"/>
              </w:rPr>
              <w:t>(8,832 )</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line="216" w:lineRule="exact"/>
              <w:rPr>
                <w:sz w:val="20"/>
                <w:szCs w:val="20"/>
                <w:color w:val="auto"/>
              </w:rPr>
            </w:pPr>
            <w:r>
              <w:rPr>
                <w:rFonts w:ascii="Calibri" w:cs="Calibri" w:eastAsia="Calibri" w:hAnsi="Calibri"/>
                <w:sz w:val="18"/>
                <w:szCs w:val="18"/>
                <w:color w:val="auto"/>
              </w:rPr>
              <w:t>(6,553 )</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Income (loss) before income taxes</w:t>
            </w:r>
          </w:p>
        </w:tc>
        <w:tc>
          <w:tcPr>
            <w:tcW w:w="180" w:type="dxa"/>
            <w:vAlign w:val="bottom"/>
          </w:tcPr>
          <w:p>
            <w:pPr>
              <w:spacing w:after="0"/>
              <w:rPr>
                <w:sz w:val="18"/>
                <w:szCs w:val="18"/>
                <w:color w:val="auto"/>
              </w:rPr>
            </w:pPr>
          </w:p>
        </w:tc>
        <w:tc>
          <w:tcPr>
            <w:tcW w:w="114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24,060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2,645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27,274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b w:val="1"/>
                <w:bCs w:val="1"/>
                <w:color w:val="auto"/>
              </w:rPr>
              <w:t>(17,606 )</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Income tax expense</w:t>
            </w:r>
          </w:p>
        </w:tc>
        <w:tc>
          <w:tcPr>
            <w:tcW w:w="1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76</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Net income (loss)</w:t>
            </w:r>
          </w:p>
        </w:tc>
        <w:tc>
          <w:tcPr>
            <w:tcW w:w="180" w:type="dxa"/>
            <w:vAlign w:val="bottom"/>
          </w:tcPr>
          <w:p>
            <w:pPr>
              <w:spacing w:after="0"/>
              <w:rPr>
                <w:sz w:val="18"/>
                <w:szCs w:val="18"/>
                <w:color w:val="auto"/>
              </w:rPr>
            </w:pPr>
          </w:p>
        </w:tc>
        <w:tc>
          <w:tcPr>
            <w:tcW w:w="114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24,060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2,645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27,198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line="209" w:lineRule="exact"/>
              <w:rPr>
                <w:sz w:val="20"/>
                <w:szCs w:val="20"/>
                <w:color w:val="auto"/>
              </w:rPr>
            </w:pPr>
            <w:r>
              <w:rPr>
                <w:rFonts w:ascii="Calibri" w:cs="Calibri" w:eastAsia="Calibri" w:hAnsi="Calibri"/>
                <w:sz w:val="18"/>
                <w:szCs w:val="18"/>
                <w:b w:val="1"/>
                <w:bCs w:val="1"/>
                <w:color w:val="auto"/>
              </w:rPr>
              <w:t>(17,606 )</w:t>
            </w:r>
          </w:p>
        </w:tc>
        <w:tc>
          <w:tcPr>
            <w:tcW w:w="0" w:type="dxa"/>
            <w:vAlign w:val="bottom"/>
          </w:tcPr>
          <w:p>
            <w:pPr>
              <w:spacing w:after="0"/>
              <w:rPr>
                <w:sz w:val="1"/>
                <w:szCs w:val="1"/>
                <w:color w:val="auto"/>
              </w:rPr>
            </w:pPr>
          </w:p>
        </w:tc>
      </w:tr>
      <w:tr>
        <w:trPr>
          <w:trHeight w:val="167"/>
        </w:trPr>
        <w:tc>
          <w:tcPr>
            <w:tcW w:w="5720" w:type="dxa"/>
            <w:vAlign w:val="bottom"/>
            <w:shd w:val="clear" w:color="auto" w:fill="CFF0FC"/>
          </w:tcPr>
          <w:p>
            <w:pPr>
              <w:ind w:left="20"/>
              <w:spacing w:after="0" w:line="167" w:lineRule="exact"/>
              <w:rPr>
                <w:sz w:val="20"/>
                <w:szCs w:val="20"/>
                <w:color w:val="auto"/>
              </w:rPr>
            </w:pPr>
            <w:r>
              <w:rPr>
                <w:rFonts w:ascii="Calibri" w:cs="Calibri" w:eastAsia="Calibri" w:hAnsi="Calibri"/>
                <w:sz w:val="18"/>
                <w:szCs w:val="18"/>
                <w:color w:val="auto"/>
              </w:rPr>
              <w:t>Net income (loss) atributable to Hoya Intermediate, LLC shareholders prior to</w:t>
            </w: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reverse recapitalizaton</w:t>
            </w:r>
          </w:p>
        </w:tc>
        <w:tc>
          <w:tcPr>
            <w:tcW w:w="18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2,645</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gridSpan w:val="2"/>
            <w:shd w:val="clear" w:color="auto" w:fill="CFF0FC"/>
          </w:tcPr>
          <w:p>
            <w:pPr>
              <w:jc w:val="right"/>
              <w:ind w:right="240"/>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(17,606 )</w:t>
            </w: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 atributable to redeemable noncontrolling interests</w:t>
            </w:r>
          </w:p>
        </w:tc>
        <w:tc>
          <w:tcPr>
            <w:tcW w:w="1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14,405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16,284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51"/>
        </w:trPr>
        <w:tc>
          <w:tcPr>
            <w:tcW w:w="572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income atributable to Class A Common Stockholders</w:t>
            </w:r>
          </w:p>
        </w:tc>
        <w:tc>
          <w:tcPr>
            <w:tcW w:w="18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87"/>
              </w:rPr>
              <w:t>$</w:t>
            </w:r>
          </w:p>
        </w:tc>
        <w:tc>
          <w:tcPr>
            <w:tcW w:w="114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9,655</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line="210" w:lineRule="exact"/>
              <w:rPr>
                <w:sz w:val="20"/>
                <w:szCs w:val="20"/>
                <w:color w:val="auto"/>
              </w:rPr>
            </w:pPr>
            <w:r>
              <w:rPr>
                <w:rFonts w:ascii="Calibri" w:cs="Calibri" w:eastAsia="Calibri" w:hAnsi="Calibri"/>
                <w:sz w:val="18"/>
                <w:szCs w:val="18"/>
                <w:b w:val="1"/>
                <w:bCs w:val="1"/>
                <w:color w:val="auto"/>
                <w:w w:val="87"/>
              </w:rPr>
              <w:t>$</w:t>
            </w:r>
          </w:p>
        </w:tc>
        <w:tc>
          <w:tcPr>
            <w:tcW w:w="88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87"/>
              </w:rPr>
              <w:t>$</w:t>
            </w:r>
          </w:p>
        </w:tc>
        <w:tc>
          <w:tcPr>
            <w:tcW w:w="10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10,914</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line="210" w:lineRule="exact"/>
              <w:rPr>
                <w:sz w:val="20"/>
                <w:szCs w:val="20"/>
                <w:color w:val="auto"/>
              </w:rPr>
            </w:pPr>
            <w:r>
              <w:rPr>
                <w:rFonts w:ascii="Calibri" w:cs="Calibri" w:eastAsia="Calibri" w:hAnsi="Calibri"/>
                <w:sz w:val="18"/>
                <w:szCs w:val="18"/>
                <w:b w:val="1"/>
                <w:bCs w:val="1"/>
                <w:color w:val="auto"/>
                <w:w w:val="87"/>
              </w:rPr>
              <w:t>$</w:t>
            </w:r>
          </w:p>
        </w:tc>
        <w:tc>
          <w:tcPr>
            <w:tcW w:w="86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720" w:type="dxa"/>
            <w:vAlign w:val="bottom"/>
          </w:tcPr>
          <w:p>
            <w:pPr>
              <w:ind w:left="20"/>
              <w:spacing w:after="0"/>
              <w:rPr>
                <w:sz w:val="20"/>
                <w:szCs w:val="20"/>
                <w:color w:val="auto"/>
              </w:rPr>
            </w:pPr>
            <w:r>
              <w:rPr>
                <w:rFonts w:ascii="Calibri" w:cs="Calibri" w:eastAsia="Calibri" w:hAnsi="Calibri"/>
                <w:sz w:val="18"/>
                <w:szCs w:val="18"/>
                <w:b w:val="1"/>
                <w:bCs w:val="1"/>
                <w:color w:val="auto"/>
              </w:rPr>
              <w:t>Income per Class A Common Stock</w:t>
            </w:r>
            <w:r>
              <w:rPr>
                <w:rFonts w:ascii="Calibri" w:cs="Calibri" w:eastAsia="Calibri" w:hAnsi="Calibri"/>
                <w:sz w:val="24"/>
                <w:szCs w:val="24"/>
                <w:b w:val="1"/>
                <w:bCs w:val="1"/>
                <w:color w:val="auto"/>
                <w:vertAlign w:val="superscript"/>
              </w:rPr>
              <w:t>(1)</w:t>
            </w:r>
            <w:r>
              <w:rPr>
                <w:rFonts w:ascii="Calibri" w:cs="Calibri" w:eastAsia="Calibri" w:hAnsi="Calibri"/>
                <w:sz w:val="18"/>
                <w:szCs w:val="18"/>
                <w:b w:val="1"/>
                <w:bCs w:val="1"/>
                <w:color w:val="auto"/>
              </w:rPr>
              <w:t>:</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line="215" w:lineRule="exact"/>
              <w:rPr>
                <w:sz w:val="20"/>
                <w:szCs w:val="20"/>
                <w:color w:val="auto"/>
              </w:rPr>
            </w:pPr>
            <w:r>
              <w:rPr>
                <w:rFonts w:ascii="Calibri" w:cs="Calibri" w:eastAsia="Calibri" w:hAnsi="Calibri"/>
                <w:sz w:val="18"/>
                <w:szCs w:val="18"/>
                <w:color w:val="auto"/>
              </w:rPr>
              <w:t>Basic</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0.12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0.14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720" w:type="dxa"/>
            <w:vAlign w:val="bottom"/>
          </w:tcPr>
          <w:p>
            <w:pPr>
              <w:ind w:left="20"/>
              <w:spacing w:after="0" w:line="157" w:lineRule="exact"/>
              <w:rPr>
                <w:sz w:val="20"/>
                <w:szCs w:val="20"/>
                <w:color w:val="auto"/>
              </w:rPr>
            </w:pPr>
            <w:r>
              <w:rPr>
                <w:rFonts w:ascii="Calibri" w:cs="Calibri" w:eastAsia="Calibri" w:hAnsi="Calibri"/>
                <w:sz w:val="17"/>
                <w:szCs w:val="17"/>
                <w:color w:val="auto"/>
              </w:rPr>
              <w:t>Diluted</w:t>
            </w:r>
          </w:p>
        </w:tc>
        <w:tc>
          <w:tcPr>
            <w:tcW w:w="180" w:type="dxa"/>
            <w:vAlign w:val="bottom"/>
          </w:tcPr>
          <w:p>
            <w:pPr>
              <w:jc w:val="right"/>
              <w:spacing w:after="0" w:line="157" w:lineRule="exact"/>
              <w:rPr>
                <w:sz w:val="20"/>
                <w:szCs w:val="20"/>
                <w:color w:val="auto"/>
              </w:rPr>
            </w:pPr>
            <w:r>
              <w:rPr>
                <w:rFonts w:ascii="Calibri" w:cs="Calibri" w:eastAsia="Calibri" w:hAnsi="Calibri"/>
                <w:sz w:val="17"/>
                <w:szCs w:val="17"/>
                <w:color w:val="auto"/>
                <w:w w:val="92"/>
              </w:rPr>
              <w:t>$</w:t>
            </w:r>
          </w:p>
        </w:tc>
        <w:tc>
          <w:tcPr>
            <w:tcW w:w="1140" w:type="dxa"/>
            <w:vAlign w:val="bottom"/>
          </w:tcPr>
          <w:p>
            <w:pPr>
              <w:jc w:val="right"/>
              <w:spacing w:after="0" w:line="157" w:lineRule="exact"/>
              <w:rPr>
                <w:sz w:val="20"/>
                <w:szCs w:val="20"/>
                <w:color w:val="auto"/>
              </w:rPr>
            </w:pPr>
            <w:r>
              <w:rPr>
                <w:rFonts w:ascii="Calibri" w:cs="Calibri" w:eastAsia="Calibri" w:hAnsi="Calibri"/>
                <w:sz w:val="17"/>
                <w:szCs w:val="17"/>
                <w:color w:val="auto"/>
              </w:rPr>
              <w:t>0.12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gridSpan w:val="2"/>
          </w:tcPr>
          <w:p>
            <w:pPr>
              <w:jc w:val="right"/>
              <w:spacing w:after="0" w:line="157" w:lineRule="exact"/>
              <w:rPr>
                <w:sz w:val="20"/>
                <w:szCs w:val="20"/>
                <w:color w:val="auto"/>
              </w:rPr>
            </w:pPr>
            <w:r>
              <w:rPr>
                <w:rFonts w:ascii="Calibri" w:cs="Calibri" w:eastAsia="Calibri" w:hAnsi="Calibri"/>
                <w:sz w:val="17"/>
                <w:szCs w:val="17"/>
                <w:color w:val="auto"/>
              </w:rPr>
              <w:t>$</w:t>
            </w:r>
          </w:p>
        </w:tc>
        <w:tc>
          <w:tcPr>
            <w:tcW w:w="1020" w:type="dxa"/>
            <w:vAlign w:val="bottom"/>
          </w:tcPr>
          <w:p>
            <w:pPr>
              <w:jc w:val="right"/>
              <w:spacing w:after="0" w:line="157" w:lineRule="exact"/>
              <w:rPr>
                <w:sz w:val="20"/>
                <w:szCs w:val="20"/>
                <w:color w:val="auto"/>
              </w:rPr>
            </w:pPr>
            <w:r>
              <w:rPr>
                <w:rFonts w:ascii="Calibri" w:cs="Calibri" w:eastAsia="Calibri" w:hAnsi="Calibri"/>
                <w:sz w:val="17"/>
                <w:szCs w:val="17"/>
                <w:color w:val="auto"/>
              </w:rPr>
              <w:t>0.14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5720" w:type="dxa"/>
            <w:vAlign w:val="bottom"/>
          </w:tcPr>
          <w:p>
            <w:pPr>
              <w:ind w:left="20"/>
              <w:spacing w:after="0" w:line="276" w:lineRule="exact"/>
              <w:rPr>
                <w:sz w:val="20"/>
                <w:szCs w:val="20"/>
                <w:color w:val="auto"/>
              </w:rPr>
            </w:pPr>
            <w:r>
              <w:rPr>
                <w:rFonts w:ascii="Calibri" w:cs="Calibri" w:eastAsia="Calibri" w:hAnsi="Calibri"/>
                <w:sz w:val="18"/>
                <w:szCs w:val="18"/>
                <w:b w:val="1"/>
                <w:bCs w:val="1"/>
                <w:color w:val="auto"/>
              </w:rPr>
              <w:t>Weighted average Class A Common Stock outstanding</w:t>
            </w:r>
            <w:r>
              <w:rPr>
                <w:rFonts w:ascii="Calibri" w:cs="Calibri" w:eastAsia="Calibri" w:hAnsi="Calibri"/>
                <w:sz w:val="24"/>
                <w:szCs w:val="24"/>
                <w:b w:val="1"/>
                <w:bCs w:val="1"/>
                <w:color w:val="auto"/>
                <w:vertAlign w:val="superscript"/>
              </w:rPr>
              <w:t>(1)</w:t>
            </w:r>
            <w:r>
              <w:rPr>
                <w:rFonts w:ascii="Calibri" w:cs="Calibri" w:eastAsia="Calibri" w:hAnsi="Calibri"/>
                <w:sz w:val="18"/>
                <w:szCs w:val="18"/>
                <w:b w:val="1"/>
                <w:bCs w:val="1"/>
                <w:color w:val="auto"/>
              </w:rPr>
              <w:t>:</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Basic</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79,256,354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79,204,430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0"/>
              <w:spacing w:after="0" w:line="215" w:lineRule="exact"/>
              <w:rPr>
                <w:sz w:val="20"/>
                <w:szCs w:val="20"/>
                <w:color w:val="auto"/>
              </w:rPr>
            </w:pPr>
            <w:r>
              <w:rPr>
                <w:rFonts w:ascii="Calibri" w:cs="Calibri" w:eastAsia="Calibri" w:hAnsi="Calibri"/>
                <w:sz w:val="18"/>
                <w:szCs w:val="18"/>
                <w:color w:val="auto"/>
              </w:rPr>
              <w:t>Diluted</w:t>
            </w:r>
          </w:p>
        </w:tc>
        <w:tc>
          <w:tcPr>
            <w:tcW w:w="1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79,259,017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line="215" w:lineRule="exact"/>
              <w:rPr>
                <w:sz w:val="20"/>
                <w:szCs w:val="20"/>
                <w:color w:val="auto"/>
              </w:rPr>
            </w:pPr>
            <w:r>
              <w:rPr>
                <w:rFonts w:ascii="Calibri" w:cs="Calibri" w:eastAsia="Calibri" w:hAnsi="Calibri"/>
                <w:sz w:val="18"/>
                <w:szCs w:val="18"/>
                <w:color w:val="auto"/>
              </w:rPr>
              <w:t>79,737,582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-1953260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-1953260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-1953260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-1953260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-1670050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-1670050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-1670050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-1670050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-984250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-967105</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-984250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-967105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-984250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-967105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-821690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-547370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4" w:lineRule="exact"/>
        <w:rPr>
          <w:sz w:val="20"/>
          <w:szCs w:val="20"/>
          <w:color w:val="auto"/>
        </w:rPr>
      </w:pPr>
    </w:p>
    <w:p>
      <w:pPr>
        <w:ind w:right="20" w:firstLine="8"/>
        <w:spacing w:after="0" w:line="245" w:lineRule="auto"/>
        <w:tabs>
          <w:tab w:leader="none" w:pos="248"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There were no shares of Class A Common Stock outstanding prior to October 18, 2021. Therefore, no income (loss) per share informaton has been presented for any period prior to that date.</w:t>
      </w:r>
    </w:p>
    <w:p>
      <w:pPr>
        <w:spacing w:after="0" w:line="14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CONDENSED CONSOLIDATED STATEMENTS OF COMPREHENSIVE INCOME (LOSS)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80" w:type="dxa"/>
            <w:vAlign w:val="bottom"/>
          </w:tcPr>
          <w:p>
            <w:pPr>
              <w:spacing w:after="0"/>
              <w:rPr>
                <w:sz w:val="19"/>
                <w:szCs w:val="19"/>
                <w:color w:val="auto"/>
              </w:rPr>
            </w:pPr>
          </w:p>
        </w:tc>
        <w:tc>
          <w:tcPr>
            <w:tcW w:w="258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Three Months Ended June 30,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40" w:type="dxa"/>
            <w:vAlign w:val="bottom"/>
            <w:gridSpan w:val="5"/>
          </w:tcPr>
          <w:p>
            <w:pPr>
              <w:jc w:val="right"/>
              <w:ind w:right="510"/>
              <w:spacing w:after="0"/>
              <w:rPr>
                <w:sz w:val="20"/>
                <w:szCs w:val="20"/>
                <w:color w:val="auto"/>
              </w:rPr>
            </w:pPr>
            <w:r>
              <w:rPr>
                <w:rFonts w:ascii="Calibri" w:cs="Calibri" w:eastAsia="Calibri" w:hAnsi="Calibri"/>
                <w:sz w:val="18"/>
                <w:szCs w:val="18"/>
                <w:b w:val="1"/>
                <w:bCs w:val="1"/>
                <w:color w:val="auto"/>
              </w:rPr>
              <w:t>Six Months Ended June 30,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86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2022</w:t>
            </w:r>
          </w:p>
        </w:tc>
        <w:tc>
          <w:tcPr>
            <w:tcW w:w="500" w:type="dxa"/>
            <w:vAlign w:val="bottom"/>
          </w:tcPr>
          <w:p>
            <w:pPr>
              <w:spacing w:after="0"/>
              <w:rPr>
                <w:sz w:val="18"/>
                <w:szCs w:val="18"/>
                <w:color w:val="auto"/>
              </w:rPr>
            </w:pPr>
          </w:p>
        </w:tc>
        <w:tc>
          <w:tcPr>
            <w:tcW w:w="1220" w:type="dxa"/>
            <w:vAlign w:val="bottom"/>
            <w:gridSpan w:val="2"/>
          </w:tcPr>
          <w:p>
            <w:pPr>
              <w:jc w:val="right"/>
              <w:ind w:right="10"/>
              <w:spacing w:after="0" w:line="216" w:lineRule="exact"/>
              <w:rPr>
                <w:sz w:val="20"/>
                <w:szCs w:val="20"/>
                <w:color w:val="auto"/>
              </w:rPr>
            </w:pPr>
            <w:r>
              <w:rPr>
                <w:rFonts w:ascii="Calibri" w:cs="Calibri" w:eastAsia="Calibri" w:hAnsi="Calibri"/>
                <w:sz w:val="18"/>
                <w:szCs w:val="18"/>
                <w:b w:val="1"/>
                <w:bCs w:val="1"/>
                <w:color w:val="auto"/>
              </w:rPr>
              <w:t>2021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0"/>
              <w:spacing w:after="0" w:line="216" w:lineRule="exact"/>
              <w:rPr>
                <w:sz w:val="20"/>
                <w:szCs w:val="20"/>
                <w:color w:val="auto"/>
              </w:rPr>
            </w:pPr>
            <w:r>
              <w:rPr>
                <w:rFonts w:ascii="Calibri" w:cs="Calibri" w:eastAsia="Calibri" w:hAnsi="Calibri"/>
                <w:sz w:val="18"/>
                <w:szCs w:val="18"/>
                <w:b w:val="1"/>
                <w:bCs w:val="1"/>
                <w:color w:val="auto"/>
              </w:rPr>
              <w:t>2022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0"/>
              <w:spacing w:after="0" w:line="216"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Net income (loss)</w:t>
            </w:r>
          </w:p>
        </w:tc>
        <w:tc>
          <w:tcPr>
            <w:tcW w:w="860" w:type="dxa"/>
            <w:vAlign w:val="bottom"/>
            <w:shd w:val="clear" w:color="auto" w:fill="CFF0FC"/>
          </w:tcPr>
          <w:p>
            <w:pPr>
              <w:jc w:val="right"/>
              <w:ind w:right="670"/>
              <w:spacing w:after="0" w:line="209" w:lineRule="exact"/>
              <w:rPr>
                <w:sz w:val="20"/>
                <w:szCs w:val="20"/>
                <w:color w:val="auto"/>
              </w:rPr>
            </w:pPr>
            <w:r>
              <w:rPr>
                <w:rFonts w:ascii="Calibri" w:cs="Calibri" w:eastAsia="Calibri" w:hAnsi="Calibri"/>
                <w:sz w:val="18"/>
                <w:szCs w:val="18"/>
                <w:color w:val="auto"/>
                <w:w w:val="87"/>
              </w:rPr>
              <w:t>$</w:t>
            </w:r>
          </w:p>
        </w:tc>
        <w:tc>
          <w:tcPr>
            <w:tcW w:w="5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91"/>
              </w:rPr>
              <w:t>24,060</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0"/>
              <w:spacing w:after="0" w:line="209" w:lineRule="exact"/>
              <w:rPr>
                <w:sz w:val="20"/>
                <w:szCs w:val="20"/>
                <w:color w:val="auto"/>
              </w:rPr>
            </w:pPr>
            <w:r>
              <w:rPr>
                <w:rFonts w:ascii="Calibri" w:cs="Calibri" w:eastAsia="Calibri" w:hAnsi="Calibri"/>
                <w:sz w:val="18"/>
                <w:szCs w:val="18"/>
                <w:color w:val="auto"/>
                <w:w w:val="87"/>
              </w:rPr>
              <w:t>$</w:t>
            </w:r>
          </w:p>
        </w:tc>
        <w:tc>
          <w:tcPr>
            <w:tcW w:w="4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92"/>
              </w:rPr>
              <w:t>2,645</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27,198</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0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(17,606</w:t>
            </w:r>
          </w:p>
        </w:tc>
        <w:tc>
          <w:tcPr>
            <w:tcW w:w="1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72"/>
              </w:rPr>
              <w:t>)</w:t>
            </w:r>
          </w:p>
        </w:tc>
        <w:tc>
          <w:tcPr>
            <w:tcW w:w="0" w:type="dxa"/>
            <w:vAlign w:val="bottom"/>
          </w:tcPr>
          <w:p>
            <w:pPr>
              <w:spacing w:after="0"/>
              <w:rPr>
                <w:sz w:val="1"/>
                <w:szCs w:val="1"/>
                <w:color w:val="auto"/>
              </w:rPr>
            </w:pPr>
          </w:p>
        </w:tc>
      </w:tr>
      <w:tr>
        <w:trPr>
          <w:trHeight w:val="215"/>
        </w:trPr>
        <w:tc>
          <w:tcPr>
            <w:tcW w:w="498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Other comprehensive income (loss):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Unrealized gain on derivatve instruments</w:t>
            </w:r>
          </w:p>
        </w:tc>
        <w:tc>
          <w:tcPr>
            <w:tcW w:w="8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270</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80" w:type="dxa"/>
            <w:vAlign w:val="bottom"/>
          </w:tcPr>
          <w:p>
            <w:pPr>
              <w:ind w:left="20"/>
              <w:spacing w:after="0" w:line="209" w:lineRule="exact"/>
              <w:rPr>
                <w:sz w:val="20"/>
                <w:szCs w:val="20"/>
                <w:color w:val="auto"/>
              </w:rPr>
            </w:pPr>
            <w:r>
              <w:rPr>
                <w:rFonts w:ascii="Calibri" w:cs="Calibri" w:eastAsia="Calibri" w:hAnsi="Calibri"/>
                <w:sz w:val="18"/>
                <w:szCs w:val="18"/>
                <w:color w:val="auto"/>
              </w:rPr>
              <w:t>Comprehensive income (loss), net of taxes</w:t>
            </w:r>
          </w:p>
        </w:tc>
        <w:tc>
          <w:tcPr>
            <w:tcW w:w="860" w:type="dxa"/>
            <w:vAlign w:val="bottom"/>
          </w:tcPr>
          <w:p>
            <w:pPr>
              <w:jc w:val="right"/>
              <w:ind w:right="670"/>
              <w:spacing w:after="0" w:line="209" w:lineRule="exact"/>
              <w:rPr>
                <w:sz w:val="20"/>
                <w:szCs w:val="20"/>
                <w:color w:val="auto"/>
              </w:rPr>
            </w:pPr>
            <w:r>
              <w:rPr>
                <w:rFonts w:ascii="Calibri" w:cs="Calibri" w:eastAsia="Calibri" w:hAnsi="Calibri"/>
                <w:sz w:val="18"/>
                <w:szCs w:val="18"/>
                <w:b w:val="1"/>
                <w:bCs w:val="1"/>
                <w:color w:val="auto"/>
                <w:w w:val="87"/>
              </w:rPr>
              <w:t>$</w:t>
            </w:r>
          </w:p>
        </w:tc>
        <w:tc>
          <w:tcPr>
            <w:tcW w:w="5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w w:val="91"/>
              </w:rPr>
              <w:t>24,060</w:t>
            </w:r>
          </w:p>
        </w:tc>
        <w:tc>
          <w:tcPr>
            <w:tcW w:w="1220" w:type="dxa"/>
            <w:vAlign w:val="bottom"/>
            <w:gridSpan w:val="2"/>
          </w:tcPr>
          <w:p>
            <w:pPr>
              <w:jc w:val="right"/>
              <w:ind w:right="770"/>
              <w:spacing w:after="0" w:line="209" w:lineRule="exact"/>
              <w:rPr>
                <w:sz w:val="20"/>
                <w:szCs w:val="20"/>
                <w:color w:val="auto"/>
              </w:rPr>
            </w:pPr>
            <w:r>
              <w:rPr>
                <w:rFonts w:ascii="Calibri" w:cs="Calibri" w:eastAsia="Calibri" w:hAnsi="Calibri"/>
                <w:sz w:val="18"/>
                <w:szCs w:val="18"/>
                <w:b w:val="1"/>
                <w:bCs w:val="1"/>
                <w:color w:val="auto"/>
              </w:rPr>
              <w:t>$</w:t>
            </w:r>
          </w:p>
        </w:tc>
        <w:tc>
          <w:tcPr>
            <w:tcW w:w="4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w w:val="92"/>
              </w:rPr>
              <w:t>2,915</w:t>
            </w:r>
          </w:p>
        </w:tc>
        <w:tc>
          <w:tcPr>
            <w:tcW w:w="520" w:type="dxa"/>
            <w:vAlign w:val="bottom"/>
            <w:gridSpan w:val="2"/>
          </w:tcPr>
          <w:p>
            <w:pPr>
              <w:jc w:val="right"/>
              <w:ind w:right="110"/>
              <w:spacing w:after="0" w:line="209" w:lineRule="exact"/>
              <w:rPr>
                <w:sz w:val="20"/>
                <w:szCs w:val="20"/>
                <w:color w:val="auto"/>
              </w:rPr>
            </w:pPr>
            <w:r>
              <w:rPr>
                <w:rFonts w:ascii="Calibri" w:cs="Calibri" w:eastAsia="Calibri" w:hAnsi="Calibri"/>
                <w:sz w:val="18"/>
                <w:szCs w:val="18"/>
                <w:b w:val="1"/>
                <w:bCs w:val="1"/>
                <w:color w:val="auto"/>
              </w:rPr>
              <w:t>$</w:t>
            </w:r>
          </w:p>
        </w:tc>
        <w:tc>
          <w:tcPr>
            <w:tcW w:w="10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27,198</w:t>
            </w:r>
          </w:p>
        </w:tc>
        <w:tc>
          <w:tcPr>
            <w:tcW w:w="520" w:type="dxa"/>
            <w:vAlign w:val="bottom"/>
            <w:gridSpan w:val="2"/>
          </w:tcPr>
          <w:p>
            <w:pPr>
              <w:jc w:val="right"/>
              <w:ind w:right="110"/>
              <w:spacing w:after="0" w:line="209" w:lineRule="exact"/>
              <w:rPr>
                <w:sz w:val="20"/>
                <w:szCs w:val="20"/>
                <w:color w:val="auto"/>
              </w:rPr>
            </w:pPr>
            <w:r>
              <w:rPr>
                <w:rFonts w:ascii="Calibri" w:cs="Calibri" w:eastAsia="Calibri" w:hAnsi="Calibri"/>
                <w:sz w:val="18"/>
                <w:szCs w:val="18"/>
                <w:b w:val="1"/>
                <w:bCs w:val="1"/>
                <w:color w:val="auto"/>
              </w:rPr>
              <w:t>$</w:t>
            </w:r>
          </w:p>
        </w:tc>
        <w:tc>
          <w:tcPr>
            <w:tcW w:w="1160" w:type="dxa"/>
            <w:vAlign w:val="bottom"/>
            <w:gridSpan w:val="2"/>
          </w:tcPr>
          <w:p>
            <w:pPr>
              <w:jc w:val="right"/>
              <w:spacing w:after="0" w:line="209" w:lineRule="exact"/>
              <w:rPr>
                <w:sz w:val="20"/>
                <w:szCs w:val="20"/>
                <w:color w:val="auto"/>
              </w:rPr>
            </w:pPr>
            <w:r>
              <w:rPr>
                <w:rFonts w:ascii="Calibri" w:cs="Calibri" w:eastAsia="Calibri" w:hAnsi="Calibri"/>
                <w:sz w:val="18"/>
                <w:szCs w:val="18"/>
                <w:b w:val="1"/>
                <w:bCs w:val="1"/>
                <w:color w:val="auto"/>
              </w:rPr>
              <w:t>(17,093 )</w:t>
            </w:r>
          </w:p>
        </w:tc>
        <w:tc>
          <w:tcPr>
            <w:tcW w:w="0" w:type="dxa"/>
            <w:vAlign w:val="bottom"/>
          </w:tcPr>
          <w:p>
            <w:pPr>
              <w:spacing w:after="0"/>
              <w:rPr>
                <w:sz w:val="1"/>
                <w:szCs w:val="1"/>
                <w:color w:val="auto"/>
              </w:rPr>
            </w:pPr>
          </w:p>
        </w:tc>
      </w:tr>
      <w:tr>
        <w:trPr>
          <w:trHeight w:val="167"/>
        </w:trPr>
        <w:tc>
          <w:tcPr>
            <w:tcW w:w="4980" w:type="dxa"/>
            <w:vAlign w:val="bottom"/>
            <w:shd w:val="clear" w:color="auto" w:fill="CFF0FC"/>
          </w:tcPr>
          <w:p>
            <w:pPr>
              <w:ind w:left="120"/>
              <w:spacing w:after="0" w:line="167" w:lineRule="exact"/>
              <w:rPr>
                <w:sz w:val="20"/>
                <w:szCs w:val="20"/>
                <w:color w:val="auto"/>
              </w:rPr>
            </w:pPr>
            <w:r>
              <w:rPr>
                <w:rFonts w:ascii="Calibri" w:cs="Calibri" w:eastAsia="Calibri" w:hAnsi="Calibri"/>
                <w:sz w:val="18"/>
                <w:szCs w:val="18"/>
                <w:color w:val="auto"/>
              </w:rPr>
              <w:t>Comprehensive income (loss) atributable to Hoya Intermediate,</w:t>
            </w:r>
          </w:p>
        </w:tc>
        <w:tc>
          <w:tcPr>
            <w:tcW w:w="8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98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LLC shareholders prior to reverse recapitalizaton</w:t>
            </w:r>
          </w:p>
        </w:tc>
        <w:tc>
          <w:tcPr>
            <w:tcW w:w="8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2"/>
              </w:rPr>
              <w:t>2,915</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(17,093 )</w:t>
            </w:r>
          </w:p>
        </w:tc>
        <w:tc>
          <w:tcPr>
            <w:tcW w:w="0" w:type="dxa"/>
            <w:vAlign w:val="bottom"/>
          </w:tcPr>
          <w:p>
            <w:pPr>
              <w:spacing w:after="0"/>
              <w:rPr>
                <w:sz w:val="1"/>
                <w:szCs w:val="1"/>
                <w:color w:val="auto"/>
              </w:rPr>
            </w:pPr>
          </w:p>
        </w:tc>
      </w:tr>
      <w:tr>
        <w:trPr>
          <w:trHeight w:val="167"/>
        </w:trPr>
        <w:tc>
          <w:tcPr>
            <w:tcW w:w="4980" w:type="dxa"/>
            <w:vAlign w:val="bottom"/>
          </w:tcPr>
          <w:p>
            <w:pPr>
              <w:ind w:left="120"/>
              <w:spacing w:after="0" w:line="166" w:lineRule="exact"/>
              <w:rPr>
                <w:sz w:val="20"/>
                <w:szCs w:val="20"/>
                <w:color w:val="auto"/>
              </w:rPr>
            </w:pPr>
            <w:r>
              <w:rPr>
                <w:rFonts w:ascii="Calibri" w:cs="Calibri" w:eastAsia="Calibri" w:hAnsi="Calibri"/>
                <w:sz w:val="18"/>
                <w:szCs w:val="18"/>
                <w:color w:val="auto"/>
              </w:rPr>
              <w:t>Comprehensive income atributable to redeemable</w:t>
            </w:r>
          </w:p>
        </w:tc>
        <w:tc>
          <w:tcPr>
            <w:tcW w:w="8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Calibri" w:cs="Calibri" w:eastAsia="Calibri" w:hAnsi="Calibri"/>
                <w:sz w:val="18"/>
                <w:szCs w:val="18"/>
                <w:color w:val="auto"/>
                <w:w w:val="91"/>
              </w:rPr>
              <w:t>14,405</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Calibri" w:cs="Calibri" w:eastAsia="Calibri" w:hAnsi="Calibri"/>
                <w:sz w:val="18"/>
                <w:szCs w:val="18"/>
                <w:color w:val="auto"/>
              </w:rPr>
              <w:t>16,284</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4980" w:type="dxa"/>
            <w:vAlign w:val="bottom"/>
          </w:tcPr>
          <w:p>
            <w:pPr>
              <w:ind w:left="120"/>
              <w:spacing w:after="0" w:line="215" w:lineRule="exact"/>
              <w:rPr>
                <w:sz w:val="20"/>
                <w:szCs w:val="20"/>
                <w:color w:val="auto"/>
              </w:rPr>
            </w:pPr>
            <w:r>
              <w:rPr>
                <w:rFonts w:ascii="Calibri" w:cs="Calibri" w:eastAsia="Calibri" w:hAnsi="Calibri"/>
                <w:sz w:val="18"/>
                <w:szCs w:val="18"/>
                <w:color w:val="auto"/>
              </w:rPr>
              <w:t>noncontrolling interests</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4980" w:type="dxa"/>
            <w:vAlign w:val="bottom"/>
            <w:shd w:val="clear" w:color="auto" w:fill="CFF0FC"/>
          </w:tcPr>
          <w:p>
            <w:pPr>
              <w:ind w:left="20"/>
              <w:spacing w:after="0" w:line="166" w:lineRule="exact"/>
              <w:rPr>
                <w:sz w:val="20"/>
                <w:szCs w:val="20"/>
                <w:color w:val="auto"/>
              </w:rPr>
            </w:pPr>
            <w:r>
              <w:rPr>
                <w:rFonts w:ascii="Calibri" w:cs="Calibri" w:eastAsia="Calibri" w:hAnsi="Calibri"/>
                <w:sz w:val="18"/>
                <w:szCs w:val="18"/>
                <w:b w:val="1"/>
                <w:bCs w:val="1"/>
                <w:color w:val="auto"/>
              </w:rPr>
              <w:t>Comprehensive income atributable to Class A Common</w:t>
            </w:r>
          </w:p>
        </w:tc>
        <w:tc>
          <w:tcPr>
            <w:tcW w:w="860" w:type="dxa"/>
            <w:vAlign w:val="bottom"/>
            <w:vMerge w:val="restart"/>
            <w:shd w:val="clear" w:color="auto" w:fill="CFF0FC"/>
          </w:tcPr>
          <w:p>
            <w:pPr>
              <w:jc w:val="right"/>
              <w:ind w:right="670"/>
              <w:spacing w:after="0"/>
              <w:rPr>
                <w:sz w:val="20"/>
                <w:szCs w:val="20"/>
                <w:color w:val="auto"/>
              </w:rPr>
            </w:pPr>
            <w:r>
              <w:rPr>
                <w:rFonts w:ascii="Calibri" w:cs="Calibri" w:eastAsia="Calibri" w:hAnsi="Calibri"/>
                <w:sz w:val="18"/>
                <w:szCs w:val="18"/>
                <w:b w:val="1"/>
                <w:bCs w:val="1"/>
                <w:color w:val="auto"/>
                <w:w w:val="87"/>
              </w:rPr>
              <w:t>$</w:t>
            </w:r>
          </w:p>
        </w:tc>
        <w:tc>
          <w:tcPr>
            <w:tcW w:w="5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rPr>
              <w:t>9,655</w:t>
            </w:r>
          </w:p>
        </w:tc>
        <w:tc>
          <w:tcPr>
            <w:tcW w:w="260" w:type="dxa"/>
            <w:vAlign w:val="bottom"/>
            <w:vMerge w:val="restart"/>
            <w:shd w:val="clear" w:color="auto" w:fill="CFF0FC"/>
          </w:tcPr>
          <w:p>
            <w:pPr>
              <w:spacing w:after="0"/>
              <w:rPr>
                <w:sz w:val="14"/>
                <w:szCs w:val="14"/>
                <w:color w:val="auto"/>
              </w:rPr>
            </w:pPr>
          </w:p>
        </w:tc>
        <w:tc>
          <w:tcPr>
            <w:tcW w:w="960" w:type="dxa"/>
            <w:vAlign w:val="bottom"/>
            <w:vMerge w:val="restart"/>
            <w:shd w:val="clear" w:color="auto" w:fill="CFF0FC"/>
          </w:tcPr>
          <w:p>
            <w:pPr>
              <w:jc w:val="right"/>
              <w:ind w:right="770"/>
              <w:spacing w:after="0"/>
              <w:rPr>
                <w:sz w:val="20"/>
                <w:szCs w:val="20"/>
                <w:color w:val="auto"/>
              </w:rPr>
            </w:pPr>
            <w:r>
              <w:rPr>
                <w:rFonts w:ascii="Calibri" w:cs="Calibri" w:eastAsia="Calibri" w:hAnsi="Calibri"/>
                <w:sz w:val="18"/>
                <w:szCs w:val="18"/>
                <w:b w:val="1"/>
                <w:bCs w:val="1"/>
                <w:color w:val="auto"/>
                <w:w w:val="87"/>
              </w:rPr>
              <w:t>$</w:t>
            </w:r>
          </w:p>
        </w:tc>
        <w:tc>
          <w:tcPr>
            <w:tcW w:w="4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rPr>
              <w:t>—</w:t>
            </w:r>
          </w:p>
        </w:tc>
        <w:tc>
          <w:tcPr>
            <w:tcW w:w="220" w:type="dxa"/>
            <w:vAlign w:val="bottom"/>
            <w:vMerge w:val="restart"/>
            <w:shd w:val="clear" w:color="auto" w:fill="CFF0FC"/>
          </w:tcPr>
          <w:p>
            <w:pPr>
              <w:spacing w:after="0"/>
              <w:rPr>
                <w:sz w:val="14"/>
                <w:szCs w:val="14"/>
                <w:color w:val="auto"/>
              </w:rPr>
            </w:pPr>
          </w:p>
        </w:tc>
        <w:tc>
          <w:tcPr>
            <w:tcW w:w="300" w:type="dxa"/>
            <w:vAlign w:val="bottom"/>
            <w:vMerge w:val="restart"/>
            <w:shd w:val="clear" w:color="auto" w:fill="CFF0FC"/>
          </w:tcPr>
          <w:p>
            <w:pPr>
              <w:jc w:val="right"/>
              <w:ind w:right="110"/>
              <w:spacing w:after="0"/>
              <w:rPr>
                <w:sz w:val="20"/>
                <w:szCs w:val="20"/>
                <w:color w:val="auto"/>
              </w:rPr>
            </w:pPr>
            <w:r>
              <w:rPr>
                <w:rFonts w:ascii="Calibri" w:cs="Calibri" w:eastAsia="Calibri" w:hAnsi="Calibri"/>
                <w:sz w:val="18"/>
                <w:szCs w:val="18"/>
                <w:b w:val="1"/>
                <w:bCs w:val="1"/>
                <w:color w:val="auto"/>
                <w:w w:val="87"/>
              </w:rPr>
              <w:t>$</w:t>
            </w:r>
          </w:p>
        </w:tc>
        <w:tc>
          <w:tcPr>
            <w:tcW w:w="10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rPr>
              <w:t>10,914</w:t>
            </w:r>
          </w:p>
        </w:tc>
        <w:tc>
          <w:tcPr>
            <w:tcW w:w="220" w:type="dxa"/>
            <w:vAlign w:val="bottom"/>
            <w:vMerge w:val="restart"/>
            <w:shd w:val="clear" w:color="auto" w:fill="CFF0FC"/>
          </w:tcPr>
          <w:p>
            <w:pPr>
              <w:spacing w:after="0"/>
              <w:rPr>
                <w:sz w:val="14"/>
                <w:szCs w:val="14"/>
                <w:color w:val="auto"/>
              </w:rPr>
            </w:pPr>
          </w:p>
        </w:tc>
        <w:tc>
          <w:tcPr>
            <w:tcW w:w="300" w:type="dxa"/>
            <w:vAlign w:val="bottom"/>
            <w:vMerge w:val="restart"/>
            <w:shd w:val="clear" w:color="auto" w:fill="CFF0FC"/>
          </w:tcPr>
          <w:p>
            <w:pPr>
              <w:jc w:val="right"/>
              <w:ind w:right="110"/>
              <w:spacing w:after="0"/>
              <w:rPr>
                <w:sz w:val="20"/>
                <w:szCs w:val="20"/>
                <w:color w:val="auto"/>
              </w:rPr>
            </w:pPr>
            <w:r>
              <w:rPr>
                <w:rFonts w:ascii="Calibri" w:cs="Calibri" w:eastAsia="Calibri" w:hAnsi="Calibri"/>
                <w:sz w:val="18"/>
                <w:szCs w:val="18"/>
                <w:b w:val="1"/>
                <w:bCs w:val="1"/>
                <w:color w:val="auto"/>
                <w:w w:val="87"/>
              </w:rPr>
              <w:t>$</w:t>
            </w:r>
          </w:p>
        </w:tc>
        <w:tc>
          <w:tcPr>
            <w:tcW w:w="10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rPr>
              <w:t>—</w:t>
            </w:r>
          </w:p>
        </w:tc>
        <w:tc>
          <w:tcPr>
            <w:tcW w:w="100" w:type="dxa"/>
            <w:vAlign w:val="bottom"/>
            <w:vMerge w:val="restart"/>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980" w:type="dxa"/>
            <w:vAlign w:val="bottom"/>
            <w:tcBorders>
              <w:bottom w:val="single" w:sz="8" w:color="CFF0FC"/>
            </w:tcBorders>
            <w:shd w:val="clear" w:color="auto" w:fill="CFF0FC"/>
          </w:tcPr>
          <w:p>
            <w:pPr>
              <w:ind w:left="20"/>
              <w:spacing w:after="0" w:line="198" w:lineRule="exact"/>
              <w:rPr>
                <w:sz w:val="20"/>
                <w:szCs w:val="20"/>
                <w:color w:val="auto"/>
              </w:rPr>
            </w:pPr>
            <w:r>
              <w:rPr>
                <w:rFonts w:ascii="Calibri" w:cs="Calibri" w:eastAsia="Calibri" w:hAnsi="Calibri"/>
                <w:sz w:val="18"/>
                <w:szCs w:val="18"/>
                <w:b w:val="1"/>
                <w:bCs w:val="1"/>
                <w:color w:val="auto"/>
              </w:rPr>
              <w:t>Stockholders</w:t>
            </w: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5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vMerge w:val="continue"/>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42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300" w:type="dxa"/>
            <w:vAlign w:val="bottom"/>
            <w:tcBorders>
              <w:bottom w:val="single" w:sz="8" w:color="auto"/>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300" w:type="dxa"/>
            <w:vAlign w:val="bottom"/>
            <w:tcBorders>
              <w:bottom w:val="single" w:sz="8" w:color="auto"/>
            </w:tcBorders>
            <w:vMerge w:val="continue"/>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-916305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-916305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-916305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 w:name="page8"/>
    <w:bookmarkEnd w:id="7"/>
    <w:p>
      <w:pPr>
        <w:jc w:val="center"/>
        <w:ind w:left="3560"/>
        <w:spacing w:after="0"/>
        <w:rPr>
          <w:sz w:val="20"/>
          <w:szCs w:val="20"/>
          <w:color w:val="auto"/>
        </w:rPr>
      </w:pPr>
      <w:r>
        <w:rPr>
          <w:rFonts w:ascii="Calibri" w:cs="Calibri" w:eastAsia="Calibri" w:hAnsi="Calibri"/>
          <w:sz w:val="18"/>
          <w:szCs w:val="18"/>
          <w:b w:val="1"/>
          <w:bCs w:val="1"/>
          <w:color w:val="auto"/>
        </w:rPr>
        <w:t>VIVID SEATS INC.</w:t>
      </w:r>
    </w:p>
    <w:p>
      <w:pPr>
        <w:jc w:val="center"/>
        <w:ind w:left="3580"/>
        <w:spacing w:after="0" w:line="221" w:lineRule="auto"/>
        <w:rPr>
          <w:sz w:val="20"/>
          <w:szCs w:val="20"/>
          <w:color w:val="auto"/>
        </w:rPr>
      </w:pPr>
      <w:r>
        <w:rPr>
          <w:rFonts w:ascii="Calibri" w:cs="Calibri" w:eastAsia="Calibri" w:hAnsi="Calibri"/>
          <w:sz w:val="18"/>
          <w:szCs w:val="18"/>
          <w:b w:val="1"/>
          <w:bCs w:val="1"/>
          <w:color w:val="auto"/>
        </w:rPr>
        <w:t>CONDENSED CONSOLIDATED STATEMENTS OF DEFICIT</w:t>
      </w:r>
    </w:p>
    <w:p>
      <w:pPr>
        <w:jc w:val="center"/>
        <w:ind w:left="3560"/>
        <w:spacing w:after="0" w:line="236" w:lineRule="auto"/>
        <w:rPr>
          <w:sz w:val="20"/>
          <w:szCs w:val="20"/>
          <w:color w:val="auto"/>
        </w:rPr>
      </w:pPr>
      <w:r>
        <w:rPr>
          <w:rFonts w:ascii="Calibri" w:cs="Calibri" w:eastAsia="Calibri" w:hAnsi="Calibri"/>
          <w:sz w:val="18"/>
          <w:szCs w:val="18"/>
          <w:b w:val="1"/>
          <w:bCs w:val="1"/>
          <w:color w:val="auto"/>
        </w:rPr>
        <w:t>(in thousands, except share/unit data) (Unaudited)</w:t>
      </w:r>
    </w:p>
    <w:p>
      <w:pPr>
        <w:spacing w:after="0" w:line="375" w:lineRule="exact"/>
        <w:rPr>
          <w:sz w:val="20"/>
          <w:szCs w:val="20"/>
          <w:color w:val="auto"/>
        </w:rPr>
      </w:pPr>
    </w:p>
    <w:tbl>
      <w:tblPr>
        <w:tblLayout w:type="fixed"/>
        <w:tblInd w:w="2520" w:type="dxa"/>
        <w:tblCellMar>
          <w:top w:w="0" w:type="dxa"/>
          <w:left w:w="0" w:type="dxa"/>
          <w:bottom w:w="0" w:type="dxa"/>
          <w:right w:w="0" w:type="dxa"/>
        </w:tblCellMar>
      </w:tblPr>
      <w:tr>
        <w:trPr>
          <w:trHeight w:val="220"/>
        </w:trPr>
        <w:tc>
          <w:tcPr>
            <w:tcW w:w="1400" w:type="dxa"/>
            <w:vAlign w:val="bottom"/>
            <w:gridSpan w:val="2"/>
          </w:tcPr>
          <w:p>
            <w:pPr>
              <w:jc w:val="center"/>
              <w:spacing w:after="0"/>
              <w:rPr>
                <w:sz w:val="20"/>
                <w:szCs w:val="20"/>
                <w:color w:val="auto"/>
              </w:rPr>
            </w:pPr>
            <w:r>
              <w:rPr>
                <w:rFonts w:ascii="Calibri" w:cs="Calibri" w:eastAsia="Calibri" w:hAnsi="Calibri"/>
                <w:sz w:val="18"/>
                <w:szCs w:val="18"/>
                <w:b w:val="1"/>
                <w:bCs w:val="1"/>
                <w:color w:val="auto"/>
                <w:w w:val="98"/>
              </w:rPr>
              <w:t>Redeemable</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400" w:type="dxa"/>
            <w:vAlign w:val="bottom"/>
            <w:gridSpan w:val="2"/>
          </w:tcPr>
          <w:p>
            <w:pPr>
              <w:jc w:val="center"/>
              <w:spacing w:after="0" w:line="189" w:lineRule="exact"/>
              <w:rPr>
                <w:sz w:val="20"/>
                <w:szCs w:val="20"/>
                <w:color w:val="auto"/>
              </w:rPr>
            </w:pPr>
            <w:r>
              <w:rPr>
                <w:rFonts w:ascii="Calibri" w:cs="Calibri" w:eastAsia="Calibri" w:hAnsi="Calibri"/>
                <w:sz w:val="18"/>
                <w:szCs w:val="18"/>
                <w:b w:val="1"/>
                <w:bCs w:val="1"/>
                <w:color w:val="auto"/>
                <w:w w:val="97"/>
              </w:rPr>
              <w:t>Senior preferred</w:t>
            </w:r>
          </w:p>
        </w:tc>
        <w:tc>
          <w:tcPr>
            <w:tcW w:w="220" w:type="dxa"/>
            <w:vAlign w:val="bottom"/>
          </w:tcPr>
          <w:p>
            <w:pPr>
              <w:spacing w:after="0"/>
              <w:rPr>
                <w:sz w:val="16"/>
                <w:szCs w:val="16"/>
                <w:color w:val="auto"/>
              </w:rPr>
            </w:pPr>
          </w:p>
        </w:tc>
        <w:tc>
          <w:tcPr>
            <w:tcW w:w="1360" w:type="dxa"/>
            <w:vAlign w:val="bottom"/>
            <w:gridSpan w:val="2"/>
          </w:tcPr>
          <w:p>
            <w:pPr>
              <w:jc w:val="center"/>
              <w:spacing w:after="0" w:line="189" w:lineRule="exact"/>
              <w:rPr>
                <w:sz w:val="20"/>
                <w:szCs w:val="20"/>
                <w:color w:val="auto"/>
              </w:rPr>
            </w:pPr>
            <w:r>
              <w:rPr>
                <w:rFonts w:ascii="Calibri" w:cs="Calibri" w:eastAsia="Calibri" w:hAnsi="Calibri"/>
                <w:sz w:val="18"/>
                <w:szCs w:val="18"/>
                <w:b w:val="1"/>
                <w:bCs w:val="1"/>
                <w:color w:val="auto"/>
                <w:w w:val="98"/>
              </w:rPr>
              <w:t>Redeemable</w:t>
            </w:r>
          </w:p>
        </w:tc>
        <w:tc>
          <w:tcPr>
            <w:tcW w:w="120" w:type="dxa"/>
            <w:vAlign w:val="bottom"/>
          </w:tcPr>
          <w:p>
            <w:pPr>
              <w:spacing w:after="0"/>
              <w:rPr>
                <w:sz w:val="16"/>
                <w:szCs w:val="16"/>
                <w:color w:val="auto"/>
              </w:rPr>
            </w:pPr>
          </w:p>
        </w:tc>
        <w:tc>
          <w:tcPr>
            <w:tcW w:w="1180" w:type="dxa"/>
            <w:vAlign w:val="bottom"/>
            <w:gridSpan w:val="2"/>
          </w:tcPr>
          <w:p>
            <w:pPr>
              <w:jc w:val="right"/>
              <w:ind w:right="110"/>
              <w:spacing w:after="0" w:line="189" w:lineRule="exact"/>
              <w:rPr>
                <w:sz w:val="20"/>
                <w:szCs w:val="20"/>
                <w:color w:val="auto"/>
              </w:rPr>
            </w:pPr>
            <w:r>
              <w:rPr>
                <w:rFonts w:ascii="Calibri" w:cs="Calibri" w:eastAsia="Calibri" w:hAnsi="Calibri"/>
                <w:sz w:val="18"/>
                <w:szCs w:val="18"/>
                <w:b w:val="1"/>
                <w:bCs w:val="1"/>
                <w:color w:val="auto"/>
              </w:rPr>
              <w:t>Common</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920" w:type="dxa"/>
            <w:vAlign w:val="bottom"/>
          </w:tcPr>
          <w:p>
            <w:pPr>
              <w:jc w:val="center"/>
              <w:ind w:right="390"/>
              <w:spacing w:after="0" w:line="215" w:lineRule="exact"/>
              <w:rPr>
                <w:sz w:val="20"/>
                <w:szCs w:val="20"/>
                <w:color w:val="auto"/>
              </w:rPr>
            </w:pPr>
            <w:r>
              <w:rPr>
                <w:rFonts w:ascii="Calibri" w:cs="Calibri" w:eastAsia="Calibri" w:hAnsi="Calibri"/>
                <w:sz w:val="18"/>
                <w:szCs w:val="18"/>
                <w:b w:val="1"/>
                <w:bCs w:val="1"/>
                <w:color w:val="auto"/>
                <w:w w:val="96"/>
              </w:rPr>
              <w:t>units</w:t>
            </w:r>
          </w:p>
        </w:tc>
        <w:tc>
          <w:tcPr>
            <w:tcW w:w="220" w:type="dxa"/>
            <w:vAlign w:val="bottom"/>
          </w:tcPr>
          <w:p>
            <w:pPr>
              <w:spacing w:after="0"/>
              <w:rPr>
                <w:sz w:val="18"/>
                <w:szCs w:val="18"/>
                <w:color w:val="auto"/>
              </w:rPr>
            </w:pPr>
          </w:p>
        </w:tc>
        <w:tc>
          <w:tcPr>
            <w:tcW w:w="1360" w:type="dxa"/>
            <w:vAlign w:val="bottom"/>
            <w:gridSpan w:val="2"/>
          </w:tcPr>
          <w:p>
            <w:pPr>
              <w:jc w:val="center"/>
              <w:spacing w:after="0" w:line="215" w:lineRule="exact"/>
              <w:rPr>
                <w:sz w:val="20"/>
                <w:szCs w:val="20"/>
                <w:color w:val="auto"/>
              </w:rPr>
            </w:pPr>
            <w:r>
              <w:rPr>
                <w:rFonts w:ascii="Calibri" w:cs="Calibri" w:eastAsia="Calibri" w:hAnsi="Calibri"/>
                <w:sz w:val="18"/>
                <w:szCs w:val="18"/>
                <w:b w:val="1"/>
                <w:bCs w:val="1"/>
                <w:color w:val="auto"/>
                <w:w w:val="95"/>
              </w:rPr>
              <w:t>Preferred units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ind w:right="230"/>
              <w:spacing w:after="0" w:line="215" w:lineRule="exact"/>
              <w:rPr>
                <w:sz w:val="20"/>
                <w:szCs w:val="20"/>
                <w:color w:val="auto"/>
              </w:rPr>
            </w:pPr>
            <w:r>
              <w:rPr>
                <w:rFonts w:ascii="Calibri" w:cs="Calibri" w:eastAsia="Calibri" w:hAnsi="Calibri"/>
                <w:sz w:val="18"/>
                <w:szCs w:val="18"/>
                <w:b w:val="1"/>
                <w:bCs w:val="1"/>
                <w:color w:val="auto"/>
              </w:rPr>
              <w:t>units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vMerge w:val="restart"/>
          </w:tcPr>
          <w:p>
            <w:pPr>
              <w:jc w:val="center"/>
              <w:ind w:left="130"/>
              <w:spacing w:after="0"/>
              <w:rPr>
                <w:sz w:val="20"/>
                <w:szCs w:val="20"/>
                <w:color w:val="auto"/>
              </w:rPr>
            </w:pPr>
            <w:r>
              <w:rPr>
                <w:rFonts w:ascii="Calibri" w:cs="Calibri" w:eastAsia="Calibri" w:hAnsi="Calibri"/>
                <w:sz w:val="18"/>
                <w:szCs w:val="18"/>
                <w:b w:val="1"/>
                <w:bCs w:val="1"/>
                <w:color w:val="auto"/>
              </w:rPr>
              <w:t>Additon</w:t>
            </w:r>
          </w:p>
        </w:tc>
        <w:tc>
          <w:tcPr>
            <w:tcW w:w="0" w:type="dxa"/>
            <w:vAlign w:val="bottom"/>
          </w:tcPr>
          <w:p>
            <w:pPr>
              <w:spacing w:after="0"/>
              <w:rPr>
                <w:sz w:val="1"/>
                <w:szCs w:val="1"/>
                <w:color w:val="auto"/>
              </w:rPr>
            </w:pPr>
          </w:p>
        </w:tc>
      </w:tr>
      <w:tr>
        <w:trPr>
          <w:trHeight w:val="255"/>
        </w:trPr>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vMerge w:val="restart"/>
          </w:tcPr>
          <w:p>
            <w:pPr>
              <w:ind w:left="200"/>
              <w:spacing w:after="0"/>
              <w:rPr>
                <w:sz w:val="20"/>
                <w:szCs w:val="20"/>
                <w:color w:val="auto"/>
              </w:rPr>
            </w:pPr>
            <w:r>
              <w:rPr>
                <w:rFonts w:ascii="Calibri" w:cs="Calibri" w:eastAsia="Calibri" w:hAnsi="Calibri"/>
                <w:sz w:val="18"/>
                <w:szCs w:val="18"/>
                <w:b w:val="1"/>
                <w:bCs w:val="1"/>
                <w:color w:val="auto"/>
              </w:rPr>
              <w:t>Un</w:t>
            </w:r>
          </w:p>
        </w:tc>
        <w:tc>
          <w:tcPr>
            <w:tcW w:w="72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Amou</w:t>
            </w: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480" w:type="dxa"/>
            <w:vAlign w:val="bottom"/>
            <w:vMerge w:val="restart"/>
          </w:tcPr>
          <w:p>
            <w:pPr>
              <w:ind w:left="60"/>
              <w:spacing w:after="0" w:line="189" w:lineRule="exact"/>
              <w:rPr>
                <w:sz w:val="20"/>
                <w:szCs w:val="20"/>
                <w:color w:val="auto"/>
              </w:rPr>
            </w:pPr>
            <w:r>
              <w:rPr>
                <w:rFonts w:ascii="Calibri" w:cs="Calibri" w:eastAsia="Calibri" w:hAnsi="Calibri"/>
                <w:sz w:val="18"/>
                <w:szCs w:val="18"/>
                <w:b w:val="1"/>
                <w:bCs w:val="1"/>
                <w:color w:val="auto"/>
              </w:rPr>
              <w:t>Units</w:t>
            </w:r>
          </w:p>
        </w:tc>
        <w:tc>
          <w:tcPr>
            <w:tcW w:w="920" w:type="dxa"/>
            <w:vAlign w:val="bottom"/>
            <w:vMerge w:val="restart"/>
          </w:tcPr>
          <w:p>
            <w:pPr>
              <w:ind w:left="300"/>
              <w:spacing w:after="0" w:line="189" w:lineRule="exact"/>
              <w:rPr>
                <w:sz w:val="20"/>
                <w:szCs w:val="20"/>
                <w:color w:val="auto"/>
              </w:rPr>
            </w:pPr>
            <w:r>
              <w:rPr>
                <w:rFonts w:ascii="Calibri" w:cs="Calibri" w:eastAsia="Calibri" w:hAnsi="Calibri"/>
                <w:sz w:val="18"/>
                <w:szCs w:val="18"/>
                <w:b w:val="1"/>
                <w:bCs w:val="1"/>
                <w:color w:val="auto"/>
                <w:w w:val="98"/>
              </w:rPr>
              <w:t>Amount</w:t>
            </w:r>
          </w:p>
        </w:tc>
        <w:tc>
          <w:tcPr>
            <w:tcW w:w="220" w:type="dxa"/>
            <w:vAlign w:val="bottom"/>
          </w:tcPr>
          <w:p>
            <w:pPr>
              <w:spacing w:after="0"/>
              <w:rPr>
                <w:sz w:val="8"/>
                <w:szCs w:val="8"/>
                <w:color w:val="auto"/>
              </w:rPr>
            </w:pPr>
          </w:p>
        </w:tc>
        <w:tc>
          <w:tcPr>
            <w:tcW w:w="600" w:type="dxa"/>
            <w:vAlign w:val="bottom"/>
            <w:vMerge w:val="restart"/>
          </w:tcPr>
          <w:p>
            <w:pPr>
              <w:ind w:left="60"/>
              <w:spacing w:after="0" w:line="189" w:lineRule="exact"/>
              <w:rPr>
                <w:sz w:val="20"/>
                <w:szCs w:val="20"/>
                <w:color w:val="auto"/>
              </w:rPr>
            </w:pPr>
            <w:r>
              <w:rPr>
                <w:rFonts w:ascii="Calibri" w:cs="Calibri" w:eastAsia="Calibri" w:hAnsi="Calibri"/>
                <w:sz w:val="18"/>
                <w:szCs w:val="18"/>
                <w:b w:val="1"/>
                <w:bCs w:val="1"/>
                <w:color w:val="auto"/>
              </w:rPr>
              <w:t>Units</w:t>
            </w:r>
          </w:p>
        </w:tc>
        <w:tc>
          <w:tcPr>
            <w:tcW w:w="760" w:type="dxa"/>
            <w:vAlign w:val="bottom"/>
            <w:vMerge w:val="restart"/>
          </w:tcPr>
          <w:p>
            <w:pPr>
              <w:ind w:left="140"/>
              <w:spacing w:after="0" w:line="189" w:lineRule="exact"/>
              <w:rPr>
                <w:sz w:val="20"/>
                <w:szCs w:val="20"/>
                <w:color w:val="auto"/>
              </w:rPr>
            </w:pPr>
            <w:r>
              <w:rPr>
                <w:rFonts w:ascii="Calibri" w:cs="Calibri" w:eastAsia="Calibri" w:hAnsi="Calibri"/>
                <w:sz w:val="18"/>
                <w:szCs w:val="18"/>
                <w:b w:val="1"/>
                <w:bCs w:val="1"/>
                <w:color w:val="auto"/>
                <w:w w:val="98"/>
              </w:rPr>
              <w:t>Amount</w:t>
            </w:r>
          </w:p>
        </w:tc>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80" w:type="dxa"/>
            <w:vAlign w:val="bottom"/>
            <w:vMerge w:val="restart"/>
          </w:tcPr>
          <w:p>
            <w:pPr>
              <w:jc w:val="center"/>
              <w:ind w:left="110"/>
              <w:spacing w:after="0" w:line="189" w:lineRule="exact"/>
              <w:rPr>
                <w:sz w:val="20"/>
                <w:szCs w:val="20"/>
                <w:color w:val="auto"/>
              </w:rPr>
            </w:pPr>
            <w:r>
              <w:rPr>
                <w:rFonts w:ascii="Calibri" w:cs="Calibri" w:eastAsia="Calibri" w:hAnsi="Calibri"/>
                <w:sz w:val="18"/>
                <w:szCs w:val="18"/>
                <w:b w:val="1"/>
                <w:bCs w:val="1"/>
                <w:color w:val="auto"/>
                <w:w w:val="97"/>
              </w:rPr>
              <w:t>al paid-in</w:t>
            </w:r>
          </w:p>
        </w:tc>
        <w:tc>
          <w:tcPr>
            <w:tcW w:w="0" w:type="dxa"/>
            <w:vAlign w:val="bottom"/>
          </w:tcPr>
          <w:p>
            <w:pPr>
              <w:spacing w:after="0"/>
              <w:rPr>
                <w:sz w:val="1"/>
                <w:szCs w:val="1"/>
                <w:color w:val="auto"/>
              </w:rPr>
            </w:pPr>
          </w:p>
        </w:tc>
      </w:tr>
      <w:tr>
        <w:trPr>
          <w:trHeight w:val="95"/>
        </w:trPr>
        <w:tc>
          <w:tcPr>
            <w:tcW w:w="4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vMerge w:val="restart"/>
          </w:tcPr>
          <w:p>
            <w:pPr>
              <w:ind w:left="220"/>
              <w:spacing w:after="0" w:line="215" w:lineRule="exact"/>
              <w:rPr>
                <w:sz w:val="20"/>
                <w:szCs w:val="20"/>
                <w:color w:val="auto"/>
              </w:rPr>
            </w:pPr>
            <w:r>
              <w:rPr>
                <w:rFonts w:ascii="Calibri" w:cs="Calibri" w:eastAsia="Calibri" w:hAnsi="Calibri"/>
                <w:sz w:val="18"/>
                <w:szCs w:val="18"/>
                <w:b w:val="1"/>
                <w:bCs w:val="1"/>
                <w:color w:val="auto"/>
              </w:rPr>
              <w:t>its</w:t>
            </w:r>
          </w:p>
        </w:tc>
        <w:tc>
          <w:tcPr>
            <w:tcW w:w="720" w:type="dxa"/>
            <w:vAlign w:val="bottom"/>
            <w:vMerge w:val="restart"/>
          </w:tcPr>
          <w:p>
            <w:pPr>
              <w:jc w:val="right"/>
              <w:ind w:right="110"/>
              <w:spacing w:after="0" w:line="215" w:lineRule="exact"/>
              <w:rPr>
                <w:sz w:val="20"/>
                <w:szCs w:val="20"/>
                <w:color w:val="auto"/>
              </w:rPr>
            </w:pPr>
            <w:r>
              <w:rPr>
                <w:rFonts w:ascii="Calibri" w:cs="Calibri" w:eastAsia="Calibri" w:hAnsi="Calibri"/>
                <w:sz w:val="18"/>
                <w:szCs w:val="18"/>
                <w:b w:val="1"/>
                <w:bCs w:val="1"/>
                <w:color w:val="auto"/>
              </w:rPr>
              <w:t>nt</w:t>
            </w: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80" w:type="dxa"/>
            <w:vAlign w:val="bottom"/>
            <w:vMerge w:val="restart"/>
          </w:tcPr>
          <w:p>
            <w:pPr>
              <w:jc w:val="center"/>
              <w:ind w:left="130"/>
              <w:spacing w:after="0" w:line="215" w:lineRule="exact"/>
              <w:rPr>
                <w:sz w:val="20"/>
                <w:szCs w:val="20"/>
                <w:color w:val="auto"/>
              </w:rPr>
            </w:pPr>
            <w:r>
              <w:rPr>
                <w:rFonts w:ascii="Calibri" w:cs="Calibri" w:eastAsia="Calibri" w:hAnsi="Calibri"/>
                <w:sz w:val="18"/>
                <w:szCs w:val="18"/>
                <w:b w:val="1"/>
                <w:bCs w:val="1"/>
                <w:color w:val="auto"/>
                <w:w w:val="99"/>
              </w:rPr>
              <w:t>capital</w:t>
            </w:r>
          </w:p>
        </w:tc>
        <w:tc>
          <w:tcPr>
            <w:tcW w:w="0" w:type="dxa"/>
            <w:vAlign w:val="bottom"/>
          </w:tcPr>
          <w:p>
            <w:pPr>
              <w:spacing w:after="0"/>
              <w:rPr>
                <w:sz w:val="1"/>
                <w:szCs w:val="1"/>
                <w:color w:val="auto"/>
              </w:rPr>
            </w:pPr>
          </w:p>
        </w:tc>
      </w:tr>
      <w:tr>
        <w:trPr>
          <w:trHeight w:val="94"/>
        </w:trPr>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9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Accumulated</w:t>
            </w:r>
          </w:p>
        </w:tc>
        <w:tc>
          <w:tcPr>
            <w:tcW w:w="820" w:type="dxa"/>
            <w:vAlign w:val="bottom"/>
            <w:vMerge w:val="restart"/>
          </w:tcPr>
          <w:p>
            <w:pPr>
              <w:jc w:val="center"/>
              <w:ind w:left="10"/>
              <w:spacing w:after="0"/>
              <w:rPr>
                <w:sz w:val="20"/>
                <w:szCs w:val="20"/>
                <w:color w:val="auto"/>
              </w:rPr>
            </w:pPr>
            <w:r>
              <w:rPr>
                <w:rFonts w:ascii="Calibri" w:cs="Calibri" w:eastAsia="Calibri" w:hAnsi="Calibri"/>
                <w:sz w:val="18"/>
                <w:szCs w:val="18"/>
                <w:b w:val="1"/>
                <w:bCs w:val="1"/>
                <w:color w:val="auto"/>
                <w:w w:val="94"/>
              </w:rPr>
              <w:t>Total</w:t>
            </w:r>
          </w:p>
        </w:tc>
        <w:tc>
          <w:tcPr>
            <w:tcW w:w="0" w:type="dxa"/>
            <w:vAlign w:val="bottom"/>
          </w:tcPr>
          <w:p>
            <w:pPr>
              <w:spacing w:after="0"/>
              <w:rPr>
                <w:sz w:val="1"/>
                <w:szCs w:val="1"/>
                <w:color w:val="auto"/>
              </w:rPr>
            </w:pPr>
          </w:p>
        </w:tc>
      </w:tr>
      <w:tr>
        <w:trPr>
          <w:trHeight w:val="95"/>
        </w:trPr>
        <w:tc>
          <w:tcPr>
            <w:tcW w:w="980" w:type="dxa"/>
            <w:vAlign w:val="bottom"/>
            <w:vMerge w:val="restart"/>
          </w:tcPr>
          <w:p>
            <w:pPr>
              <w:jc w:val="center"/>
              <w:ind w:right="30"/>
              <w:spacing w:after="0" w:line="189" w:lineRule="exact"/>
              <w:rPr>
                <w:sz w:val="20"/>
                <w:szCs w:val="20"/>
                <w:color w:val="auto"/>
              </w:rPr>
            </w:pPr>
            <w:r>
              <w:rPr>
                <w:rFonts w:ascii="Calibri" w:cs="Calibri" w:eastAsia="Calibri" w:hAnsi="Calibri"/>
                <w:sz w:val="18"/>
                <w:szCs w:val="18"/>
                <w:b w:val="1"/>
                <w:bCs w:val="1"/>
                <w:color w:val="auto"/>
                <w:w w:val="97"/>
              </w:rPr>
              <w:t>Accumulate</w:t>
            </w:r>
          </w:p>
        </w:tc>
        <w:tc>
          <w:tcPr>
            <w:tcW w:w="1380" w:type="dxa"/>
            <w:vAlign w:val="bottom"/>
            <w:vMerge w:val="restart"/>
          </w:tcPr>
          <w:p>
            <w:pPr>
              <w:jc w:val="center"/>
              <w:spacing w:after="0" w:line="189" w:lineRule="exact"/>
              <w:rPr>
                <w:sz w:val="20"/>
                <w:szCs w:val="20"/>
                <w:color w:val="auto"/>
              </w:rPr>
            </w:pPr>
            <w:r>
              <w:rPr>
                <w:rFonts w:ascii="Calibri" w:cs="Calibri" w:eastAsia="Calibri" w:hAnsi="Calibri"/>
                <w:sz w:val="18"/>
                <w:szCs w:val="18"/>
                <w:b w:val="1"/>
                <w:bCs w:val="1"/>
                <w:color w:val="auto"/>
                <w:w w:val="97"/>
              </w:rPr>
              <w:t>other</w:t>
            </w: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8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820" w:type="dxa"/>
            <w:vAlign w:val="bottom"/>
            <w:vMerge w:val="restart"/>
          </w:tcPr>
          <w:p>
            <w:pPr>
              <w:jc w:val="center"/>
              <w:ind w:left="50"/>
              <w:spacing w:after="0" w:line="189" w:lineRule="exact"/>
              <w:rPr>
                <w:sz w:val="20"/>
                <w:szCs w:val="20"/>
                <w:color w:val="auto"/>
              </w:rPr>
            </w:pPr>
            <w:r>
              <w:rPr>
                <w:rFonts w:ascii="Calibri" w:cs="Calibri" w:eastAsia="Calibri" w:hAnsi="Calibri"/>
                <w:sz w:val="18"/>
                <w:szCs w:val="18"/>
                <w:b w:val="1"/>
                <w:bCs w:val="1"/>
                <w:color w:val="auto"/>
                <w:w w:val="96"/>
              </w:rPr>
              <w:t>members</w:t>
            </w:r>
          </w:p>
        </w:tc>
        <w:tc>
          <w:tcPr>
            <w:tcW w:w="0" w:type="dxa"/>
            <w:vAlign w:val="bottom"/>
          </w:tcPr>
          <w:p>
            <w:pPr>
              <w:spacing w:after="0"/>
              <w:rPr>
                <w:sz w:val="1"/>
                <w:szCs w:val="1"/>
                <w:color w:val="auto"/>
              </w:rPr>
            </w:pPr>
          </w:p>
        </w:tc>
      </w:tr>
      <w:tr>
        <w:trPr>
          <w:trHeight w:val="95"/>
        </w:trPr>
        <w:tc>
          <w:tcPr>
            <w:tcW w:w="980" w:type="dxa"/>
            <w:vAlign w:val="bottom"/>
            <w:vMerge w:val="restart"/>
          </w:tcPr>
          <w:p>
            <w:pPr>
              <w:jc w:val="center"/>
              <w:ind w:right="50"/>
              <w:spacing w:after="0" w:line="189" w:lineRule="exact"/>
              <w:rPr>
                <w:sz w:val="20"/>
                <w:szCs w:val="20"/>
                <w:color w:val="auto"/>
              </w:rPr>
            </w:pPr>
            <w:r>
              <w:rPr>
                <w:rFonts w:ascii="Calibri" w:cs="Calibri" w:eastAsia="Calibri" w:hAnsi="Calibri"/>
                <w:sz w:val="18"/>
                <w:szCs w:val="18"/>
                <w:b w:val="1"/>
                <w:bCs w:val="1"/>
                <w:color w:val="auto"/>
              </w:rPr>
              <w:t>d defcit</w:t>
            </w:r>
          </w:p>
        </w:tc>
        <w:tc>
          <w:tcPr>
            <w:tcW w:w="1380" w:type="dxa"/>
            <w:vAlign w:val="bottom"/>
            <w:vMerge w:val="restart"/>
          </w:tcPr>
          <w:p>
            <w:pPr>
              <w:jc w:val="center"/>
              <w:spacing w:after="0" w:line="189" w:lineRule="exact"/>
              <w:rPr>
                <w:sz w:val="20"/>
                <w:szCs w:val="20"/>
                <w:color w:val="auto"/>
              </w:rPr>
            </w:pPr>
            <w:r>
              <w:rPr>
                <w:rFonts w:ascii="Calibri" w:cs="Calibri" w:eastAsia="Calibri" w:hAnsi="Calibri"/>
                <w:sz w:val="18"/>
                <w:szCs w:val="18"/>
                <w:b w:val="1"/>
                <w:bCs w:val="1"/>
                <w:color w:val="auto"/>
                <w:w w:val="97"/>
              </w:rPr>
              <w:t>comprehensive</w:t>
            </w: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8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820" w:type="dxa"/>
            <w:vAlign w:val="bottom"/>
            <w:vMerge w:val="restart"/>
          </w:tcPr>
          <w:p>
            <w:pPr>
              <w:jc w:val="center"/>
              <w:ind w:left="30"/>
              <w:spacing w:after="0" w:line="215" w:lineRule="exact"/>
              <w:rPr>
                <w:sz w:val="20"/>
                <w:szCs w:val="20"/>
                <w:color w:val="auto"/>
              </w:rPr>
            </w:pPr>
            <w:r>
              <w:rPr>
                <w:rFonts w:ascii="Calibri" w:cs="Calibri" w:eastAsia="Calibri" w:hAnsi="Calibri"/>
                <w:sz w:val="18"/>
                <w:szCs w:val="18"/>
                <w:b w:val="1"/>
                <w:bCs w:val="1"/>
                <w:color w:val="auto"/>
              </w:rPr>
              <w:t>' defcit</w:t>
            </w:r>
          </w:p>
        </w:tc>
        <w:tc>
          <w:tcPr>
            <w:tcW w:w="0" w:type="dxa"/>
            <w:vAlign w:val="bottom"/>
          </w:tcPr>
          <w:p>
            <w:pPr>
              <w:spacing w:after="0"/>
              <w:rPr>
                <w:sz w:val="1"/>
                <w:szCs w:val="1"/>
                <w:color w:val="auto"/>
              </w:rPr>
            </w:pPr>
          </w:p>
        </w:tc>
      </w:tr>
      <w:tr>
        <w:trPr>
          <w:trHeight w:val="120"/>
        </w:trPr>
        <w:tc>
          <w:tcPr>
            <w:tcW w:w="980" w:type="dxa"/>
            <w:vAlign w:val="bottom"/>
          </w:tcPr>
          <w:p>
            <w:pPr>
              <w:spacing w:after="0"/>
              <w:rPr>
                <w:sz w:val="10"/>
                <w:szCs w:val="10"/>
                <w:color w:val="auto"/>
              </w:rPr>
            </w:pPr>
          </w:p>
        </w:tc>
        <w:tc>
          <w:tcPr>
            <w:tcW w:w="1380" w:type="dxa"/>
            <w:vAlign w:val="bottom"/>
            <w:vMerge w:val="restart"/>
          </w:tcPr>
          <w:p>
            <w:pPr>
              <w:jc w:val="center"/>
              <w:spacing w:after="0" w:line="215" w:lineRule="exact"/>
              <w:rPr>
                <w:sz w:val="20"/>
                <w:szCs w:val="20"/>
                <w:color w:val="auto"/>
              </w:rPr>
            </w:pPr>
            <w:r>
              <w:rPr>
                <w:rFonts w:ascii="Calibri" w:cs="Calibri" w:eastAsia="Calibri" w:hAnsi="Calibri"/>
                <w:sz w:val="18"/>
                <w:szCs w:val="18"/>
                <w:b w:val="1"/>
                <w:bCs w:val="1"/>
                <w:color w:val="auto"/>
                <w:w w:val="97"/>
              </w:rPr>
              <w:t>income (loss)</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98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7680" w:space="260"/>
            <w:col w:w="3300"/>
          </w:cols>
          <w:pgMar w:left="320" w:top="112" w:right="339" w:bottom="1440" w:gutter="0" w:footer="0" w:header="0"/>
        </w:sectPr>
      </w:pPr>
    </w:p>
    <w:tbl>
      <w:tblPr>
        <w:tblLayout w:type="fixed"/>
        <w:tblInd w:w="0" w:type="dxa"/>
        <w:tblCellMar>
          <w:top w:w="0" w:type="dxa"/>
          <w:left w:w="0" w:type="dxa"/>
          <w:bottom w:w="0" w:type="dxa"/>
          <w:right w:w="0" w:type="dxa"/>
        </w:tblCellMar>
      </w:tblPr>
      <w:tr>
        <w:trPr>
          <w:trHeight w:val="180"/>
        </w:trPr>
        <w:tc>
          <w:tcPr>
            <w:tcW w:w="2520" w:type="dxa"/>
            <w:vAlign w:val="bottom"/>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tcBorders>
              <w:top w:val="single" w:sz="8" w:color="auto"/>
            </w:tcBorders>
            <w:gridSpan w:val="2"/>
            <w:shd w:val="clear" w:color="auto" w:fill="CFF0FC"/>
          </w:tcPr>
          <w:p>
            <w:pPr>
              <w:jc w:val="right"/>
              <w:spacing w:after="0" w:line="180" w:lineRule="exact"/>
              <w:rPr>
                <w:sz w:val="20"/>
                <w:szCs w:val="20"/>
                <w:color w:val="auto"/>
              </w:rPr>
            </w:pPr>
            <w:r>
              <w:rPr>
                <w:rFonts w:ascii="Calibri" w:cs="Calibri" w:eastAsia="Calibri" w:hAnsi="Calibri"/>
                <w:sz w:val="18"/>
                <w:szCs w:val="18"/>
                <w:color w:val="auto"/>
              </w:rPr>
              <w:t>1</w:t>
            </w:r>
          </w:p>
        </w:tc>
        <w:tc>
          <w:tcPr>
            <w:tcW w:w="18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89" w:lineRule="exact"/>
              <w:rPr>
                <w:sz w:val="20"/>
                <w:szCs w:val="20"/>
                <w:color w:val="auto"/>
              </w:rPr>
            </w:pPr>
            <w:r>
              <w:rPr>
                <w:rFonts w:ascii="Calibri" w:cs="Calibri" w:eastAsia="Calibri" w:hAnsi="Calibri"/>
                <w:sz w:val="18"/>
                <w:szCs w:val="18"/>
                <w:color w:val="auto"/>
              </w:rPr>
              <w:t>218,28</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560" w:type="dxa"/>
            <w:vAlign w:val="bottom"/>
            <w:gridSpan w:val="3"/>
            <w:shd w:val="clear" w:color="auto" w:fill="CFF0FC"/>
          </w:tcPr>
          <w:p>
            <w:pPr>
              <w:jc w:val="right"/>
              <w:spacing w:after="0" w:line="189" w:lineRule="exact"/>
              <w:rPr>
                <w:sz w:val="20"/>
                <w:szCs w:val="20"/>
                <w:color w:val="auto"/>
              </w:rPr>
            </w:pPr>
            <w:r>
              <w:rPr>
                <w:rFonts w:ascii="Calibri" w:cs="Calibri" w:eastAsia="Calibri" w:hAnsi="Calibri"/>
                <w:sz w:val="18"/>
                <w:szCs w:val="18"/>
                <w:color w:val="auto"/>
              </w:rPr>
              <w:t>0</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line="189" w:lineRule="exact"/>
              <w:rPr>
                <w:sz w:val="20"/>
                <w:szCs w:val="20"/>
                <w:color w:val="auto"/>
              </w:rPr>
            </w:pPr>
            <w:r>
              <w:rPr>
                <w:rFonts w:ascii="Calibri" w:cs="Calibri" w:eastAsia="Calibri" w:hAnsi="Calibri"/>
                <w:sz w:val="18"/>
                <w:szCs w:val="18"/>
                <w:color w:val="auto"/>
              </w:rPr>
              <w:t>(271,78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5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Balances at January 1, 2021</w:t>
            </w: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w:t>
            </w:r>
          </w:p>
        </w:tc>
        <w:tc>
          <w:tcPr>
            <w:tcW w:w="34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74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100</w:t>
            </w:r>
          </w:p>
        </w:tc>
        <w:tc>
          <w:tcPr>
            <w:tcW w:w="380" w:type="dxa"/>
            <w:vAlign w:val="bottom"/>
            <w:tcBorders>
              <w:bottom w:val="single" w:sz="8" w:color="CFF0FC"/>
            </w:tcBorders>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9,939</w:t>
            </w:r>
          </w:p>
        </w:tc>
        <w:tc>
          <w:tcPr>
            <w:tcW w:w="560" w:type="dxa"/>
            <w:vAlign w:val="bottom"/>
            <w:tcBorders>
              <w:bottom w:val="single" w:sz="8" w:color="CFF0FC"/>
            </w:tcBorders>
            <w:gridSpan w:val="3"/>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9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$ 755,716</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w w:val="96"/>
              </w:rPr>
              <w:t>$ (1,026,675 )</w:t>
            </w:r>
          </w:p>
        </w:tc>
        <w:tc>
          <w:tcPr>
            <w:tcW w:w="480" w:type="dxa"/>
            <w:vAlign w:val="bottom"/>
            <w:tcBorders>
              <w:bottom w:val="single" w:sz="8" w:color="CFF0FC"/>
            </w:tcBorders>
            <w:shd w:val="clear" w:color="auto" w:fill="CFF0FC"/>
          </w:tcPr>
          <w:p>
            <w:pPr>
              <w:jc w:val="right"/>
              <w:ind w:right="29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rPr>
              <w:t>(822 )</w:t>
            </w:r>
          </w:p>
        </w:tc>
        <w:tc>
          <w:tcPr>
            <w:tcW w:w="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70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1 )</w:t>
            </w:r>
          </w:p>
        </w:tc>
        <w:tc>
          <w:tcPr>
            <w:tcW w:w="0" w:type="dxa"/>
            <w:vAlign w:val="bottom"/>
          </w:tcPr>
          <w:p>
            <w:pPr>
              <w:spacing w:after="0"/>
              <w:rPr>
                <w:sz w:val="1"/>
                <w:szCs w:val="1"/>
                <w:color w:val="auto"/>
              </w:rPr>
            </w:pPr>
          </w:p>
        </w:tc>
      </w:tr>
      <w:tr>
        <w:trPr>
          <w:trHeight w:val="215"/>
        </w:trPr>
        <w:tc>
          <w:tcPr>
            <w:tcW w:w="2520" w:type="dxa"/>
            <w:vAlign w:val="bottom"/>
          </w:tcPr>
          <w:p>
            <w:pPr>
              <w:ind w:left="20"/>
              <w:spacing w:after="0" w:line="215" w:lineRule="exact"/>
              <w:rPr>
                <w:sz w:val="20"/>
                <w:szCs w:val="20"/>
                <w:color w:val="auto"/>
              </w:rPr>
            </w:pPr>
            <w:r>
              <w:rPr>
                <w:rFonts w:ascii="Calibri" w:cs="Calibri" w:eastAsia="Calibri" w:hAnsi="Calibri"/>
                <w:sz w:val="18"/>
                <w:szCs w:val="18"/>
                <w:color w:val="auto"/>
              </w:rPr>
              <w:t>Net loss</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(20,251 )</w:t>
            </w:r>
          </w:p>
        </w:tc>
        <w:tc>
          <w:tcPr>
            <w:tcW w:w="480" w:type="dxa"/>
            <w:vAlign w:val="bottom"/>
          </w:tcPr>
          <w:p>
            <w:pPr>
              <w:spacing w:after="0"/>
              <w:rPr>
                <w:sz w:val="18"/>
                <w:szCs w:val="18"/>
                <w:color w:val="auto"/>
              </w:rPr>
            </w:pPr>
          </w:p>
        </w:tc>
        <w:tc>
          <w:tcPr>
            <w:tcW w:w="9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w w:val="98"/>
              </w:rPr>
              <w:t>(20,251 )</w:t>
            </w:r>
          </w:p>
        </w:tc>
        <w:tc>
          <w:tcPr>
            <w:tcW w:w="0" w:type="dxa"/>
            <w:vAlign w:val="bottom"/>
          </w:tcPr>
          <w:p>
            <w:pPr>
              <w:spacing w:after="0"/>
              <w:rPr>
                <w:sz w:val="1"/>
                <w:szCs w:val="1"/>
                <w:color w:val="auto"/>
              </w:rPr>
            </w:pPr>
          </w:p>
        </w:tc>
      </w:tr>
      <w:tr>
        <w:trPr>
          <w:trHeight w:val="167"/>
        </w:trPr>
        <w:tc>
          <w:tcPr>
            <w:tcW w:w="2520" w:type="dxa"/>
            <w:vAlign w:val="bottom"/>
            <w:shd w:val="clear" w:color="auto" w:fill="CFF0FC"/>
          </w:tcPr>
          <w:p>
            <w:pPr>
              <w:ind w:left="20"/>
              <w:spacing w:after="0" w:line="167" w:lineRule="exact"/>
              <w:rPr>
                <w:sz w:val="20"/>
                <w:szCs w:val="20"/>
                <w:color w:val="auto"/>
              </w:rPr>
            </w:pPr>
            <w:r>
              <w:rPr>
                <w:rFonts w:ascii="Calibri" w:cs="Calibri" w:eastAsia="Calibri" w:hAnsi="Calibri"/>
                <w:sz w:val="18"/>
                <w:szCs w:val="18"/>
                <w:color w:val="auto"/>
              </w:rPr>
              <w:t>Unrealized gain on derivatve</w:t>
            </w:r>
          </w:p>
        </w:tc>
        <w:tc>
          <w:tcPr>
            <w:tcW w:w="5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5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instruments</w:t>
            </w: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243</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20"/>
              <w:spacing w:after="0" w:line="166" w:lineRule="exact"/>
              <w:rPr>
                <w:sz w:val="20"/>
                <w:szCs w:val="20"/>
                <w:color w:val="auto"/>
              </w:rPr>
            </w:pPr>
            <w:r>
              <w:rPr>
                <w:rFonts w:ascii="Calibri" w:cs="Calibri" w:eastAsia="Calibri" w:hAnsi="Calibri"/>
                <w:sz w:val="18"/>
                <w:szCs w:val="18"/>
                <w:color w:val="auto"/>
              </w:rPr>
              <w:t>Deemed contributon from</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20" w:type="dxa"/>
            <w:vAlign w:val="bottom"/>
          </w:tcPr>
          <w:p>
            <w:pPr>
              <w:ind w:left="20"/>
              <w:spacing w:after="0" w:line="215" w:lineRule="exact"/>
              <w:rPr>
                <w:sz w:val="20"/>
                <w:szCs w:val="20"/>
                <w:color w:val="auto"/>
              </w:rPr>
            </w:pPr>
            <w:r>
              <w:rPr>
                <w:rFonts w:ascii="Calibri" w:cs="Calibri" w:eastAsia="Calibri" w:hAnsi="Calibri"/>
                <w:sz w:val="18"/>
                <w:szCs w:val="18"/>
                <w:color w:val="auto"/>
              </w:rPr>
              <w:t>former parent</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9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1,091</w:t>
            </w:r>
          </w:p>
        </w:tc>
        <w:tc>
          <w:tcPr>
            <w:tcW w:w="180" w:type="dxa"/>
            <w:vAlign w:val="bottom"/>
          </w:tcPr>
          <w:p>
            <w:pPr>
              <w:spacing w:after="0"/>
              <w:rPr>
                <w:sz w:val="18"/>
                <w:szCs w:val="18"/>
                <w:color w:val="auto"/>
              </w:rPr>
            </w:pPr>
          </w:p>
        </w:tc>
        <w:tc>
          <w:tcPr>
            <w:tcW w:w="11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Pr>
          <w:p>
            <w:pPr>
              <w:spacing w:after="0"/>
              <w:rPr>
                <w:sz w:val="18"/>
                <w:szCs w:val="18"/>
                <w:color w:val="auto"/>
              </w:rPr>
            </w:pPr>
          </w:p>
        </w:tc>
        <w:tc>
          <w:tcPr>
            <w:tcW w:w="9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1,091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520" w:type="dxa"/>
            <w:vAlign w:val="bottom"/>
            <w:shd w:val="clear" w:color="auto" w:fill="CFF0FC"/>
          </w:tcPr>
          <w:p>
            <w:pPr>
              <w:ind w:left="20"/>
              <w:spacing w:after="0" w:line="166" w:lineRule="exact"/>
              <w:rPr>
                <w:sz w:val="20"/>
                <w:szCs w:val="20"/>
                <w:color w:val="auto"/>
              </w:rPr>
            </w:pPr>
            <w:r>
              <w:rPr>
                <w:rFonts w:ascii="Calibri" w:cs="Calibri" w:eastAsia="Calibri" w:hAnsi="Calibri"/>
                <w:sz w:val="18"/>
                <w:szCs w:val="18"/>
                <w:color w:val="auto"/>
              </w:rPr>
              <w:t>Accreton of senior preferred</w:t>
            </w:r>
          </w:p>
        </w:tc>
        <w:tc>
          <w:tcPr>
            <w:tcW w:w="5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6,822</w:t>
            </w:r>
          </w:p>
        </w:tc>
        <w:tc>
          <w:tcPr>
            <w:tcW w:w="220" w:type="dxa"/>
            <w:vAlign w:val="bottom"/>
            <w:shd w:val="clear" w:color="auto" w:fill="CFF0FC"/>
          </w:tcPr>
          <w:p>
            <w:pPr>
              <w:spacing w:after="0"/>
              <w:rPr>
                <w:sz w:val="14"/>
                <w:szCs w:val="14"/>
                <w:color w:val="auto"/>
              </w:rPr>
            </w:pPr>
          </w:p>
        </w:tc>
        <w:tc>
          <w:tcPr>
            <w:tcW w:w="5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60" w:type="dxa"/>
            <w:vAlign w:val="bottom"/>
            <w:gridSpan w:val="2"/>
            <w:vMerge w:val="restart"/>
            <w:shd w:val="clear" w:color="auto" w:fill="CFF0FC"/>
          </w:tcPr>
          <w:p>
            <w:pPr>
              <w:jc w:val="right"/>
              <w:ind w:right="160"/>
              <w:spacing w:after="0"/>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4"/>
                <w:szCs w:val="14"/>
                <w:color w:val="auto"/>
              </w:rPr>
            </w:pPr>
          </w:p>
        </w:tc>
        <w:tc>
          <w:tcPr>
            <w:tcW w:w="320" w:type="dxa"/>
            <w:vAlign w:val="bottom"/>
            <w:vMerge w:val="restart"/>
            <w:shd w:val="clear" w:color="auto" w:fill="CFF0FC"/>
          </w:tcPr>
          <w:p>
            <w:pPr>
              <w:ind w:left="140"/>
              <w:spacing w:after="0"/>
              <w:rPr>
                <w:sz w:val="20"/>
                <w:szCs w:val="20"/>
                <w:color w:val="auto"/>
              </w:rPr>
            </w:pPr>
            <w:r>
              <w:rPr>
                <w:rFonts w:ascii="Calibri" w:cs="Calibri" w:eastAsia="Calibri" w:hAnsi="Calibri"/>
                <w:sz w:val="18"/>
                <w:szCs w:val="18"/>
                <w:color w:val="auto"/>
                <w:w w:val="97"/>
              </w:rPr>
              <w:t>—</w:t>
            </w:r>
          </w:p>
        </w:tc>
        <w:tc>
          <w:tcPr>
            <w:tcW w:w="1100" w:type="dxa"/>
            <w:vAlign w:val="bottom"/>
            <w:gridSpan w:val="3"/>
            <w:vMerge w:val="restart"/>
            <w:shd w:val="clear" w:color="auto" w:fill="CFF0FC"/>
          </w:tcPr>
          <w:p>
            <w:pPr>
              <w:jc w:val="right"/>
              <w:ind w:right="120"/>
              <w:spacing w:after="0"/>
              <w:rPr>
                <w:sz w:val="20"/>
                <w:szCs w:val="20"/>
                <w:color w:val="auto"/>
              </w:rPr>
            </w:pPr>
            <w:r>
              <w:rPr>
                <w:rFonts w:ascii="Calibri" w:cs="Calibri" w:eastAsia="Calibri" w:hAnsi="Calibri"/>
                <w:sz w:val="18"/>
                <w:szCs w:val="18"/>
                <w:color w:val="auto"/>
              </w:rPr>
              <w:t>(6,822 )</w:t>
            </w:r>
          </w:p>
        </w:tc>
        <w:tc>
          <w:tcPr>
            <w:tcW w:w="1120" w:type="dxa"/>
            <w:vAlign w:val="bottom"/>
            <w:gridSpan w:val="2"/>
            <w:vMerge w:val="restart"/>
            <w:shd w:val="clear" w:color="auto" w:fill="CFF0FC"/>
          </w:tcPr>
          <w:p>
            <w:pPr>
              <w:jc w:val="right"/>
              <w:ind w:right="200"/>
              <w:spacing w:after="0"/>
              <w:rPr>
                <w:sz w:val="20"/>
                <w:szCs w:val="20"/>
                <w:color w:val="auto"/>
              </w:rPr>
            </w:pPr>
            <w:r>
              <w:rPr>
                <w:rFonts w:ascii="Calibri" w:cs="Calibri" w:eastAsia="Calibri" w:hAnsi="Calibri"/>
                <w:sz w:val="18"/>
                <w:szCs w:val="18"/>
                <w:color w:val="auto"/>
              </w:rPr>
              <w:t>—</w:t>
            </w:r>
          </w:p>
        </w:tc>
        <w:tc>
          <w:tcPr>
            <w:tcW w:w="48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200"/>
              <w:spacing w:after="0"/>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4"/>
                <w:szCs w:val="14"/>
                <w:color w:val="auto"/>
              </w:rPr>
            </w:pPr>
          </w:p>
        </w:tc>
        <w:tc>
          <w:tcPr>
            <w:tcW w:w="700" w:type="dxa"/>
            <w:vAlign w:val="bottom"/>
            <w:gridSpan w:val="2"/>
            <w:vMerge w:val="restart"/>
            <w:shd w:val="clear" w:color="auto" w:fill="CFF0FC"/>
          </w:tcPr>
          <w:p>
            <w:pPr>
              <w:jc w:val="right"/>
              <w:ind w:right="40"/>
              <w:spacing w:after="0"/>
              <w:rPr>
                <w:sz w:val="20"/>
                <w:szCs w:val="20"/>
                <w:color w:val="auto"/>
              </w:rPr>
            </w:pPr>
            <w:r>
              <w:rPr>
                <w:rFonts w:ascii="Calibri" w:cs="Calibri" w:eastAsia="Calibri" w:hAnsi="Calibri"/>
                <w:sz w:val="18"/>
                <w:szCs w:val="18"/>
                <w:color w:val="auto"/>
              </w:rPr>
              <w:t>(6,822 )</w:t>
            </w:r>
          </w:p>
        </w:tc>
        <w:tc>
          <w:tcPr>
            <w:tcW w:w="0" w:type="dxa"/>
            <w:vAlign w:val="bottom"/>
          </w:tcPr>
          <w:p>
            <w:pPr>
              <w:spacing w:after="0"/>
              <w:rPr>
                <w:sz w:val="1"/>
                <w:szCs w:val="1"/>
                <w:color w:val="auto"/>
              </w:rPr>
            </w:pPr>
          </w:p>
        </w:tc>
      </w:tr>
      <w:tr>
        <w:trPr>
          <w:trHeight w:val="220"/>
        </w:trPr>
        <w:tc>
          <w:tcPr>
            <w:tcW w:w="25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units</w:t>
            </w:r>
          </w:p>
        </w:tc>
        <w:tc>
          <w:tcPr>
            <w:tcW w:w="5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gridSpan w:val="2"/>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1100" w:type="dxa"/>
            <w:vAlign w:val="bottom"/>
            <w:gridSpan w:val="3"/>
            <w:vMerge w:val="continue"/>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2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520" w:type="dxa"/>
            <w:vAlign w:val="bottom"/>
            <w:tcBorders>
              <w:top w:val="single" w:sz="8" w:color="CFF0FC"/>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gridSpan w:val="2"/>
          </w:tcPr>
          <w:p>
            <w:pPr>
              <w:spacing w:after="0"/>
              <w:rPr>
                <w:sz w:val="14"/>
                <w:szCs w:val="14"/>
                <w:color w:val="auto"/>
              </w:rPr>
            </w:pPr>
          </w:p>
        </w:tc>
        <w:tc>
          <w:tcPr>
            <w:tcW w:w="280" w:type="dxa"/>
            <w:vAlign w:val="bottom"/>
            <w:tcBorders>
              <w:top w:val="single" w:sz="8" w:color="auto"/>
            </w:tcBorders>
          </w:tcPr>
          <w:p>
            <w:pPr>
              <w:jc w:val="right"/>
              <w:spacing w:after="0" w:line="165" w:lineRule="exact"/>
              <w:rPr>
                <w:sz w:val="20"/>
                <w:szCs w:val="20"/>
                <w:color w:val="auto"/>
              </w:rPr>
            </w:pPr>
            <w:r>
              <w:rPr>
                <w:rFonts w:ascii="Calibri" w:cs="Calibri" w:eastAsia="Calibri" w:hAnsi="Calibri"/>
                <w:sz w:val="18"/>
                <w:szCs w:val="18"/>
                <w:b w:val="1"/>
                <w:bCs w:val="1"/>
                <w:color w:val="auto"/>
              </w:rPr>
              <w:t>1</w:t>
            </w:r>
          </w:p>
        </w:tc>
        <w:tc>
          <w:tcPr>
            <w:tcW w:w="18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Calibri" w:cs="Calibri" w:eastAsia="Calibri" w:hAnsi="Calibri"/>
                <w:sz w:val="18"/>
                <w:szCs w:val="18"/>
                <w:b w:val="1"/>
                <w:bCs w:val="1"/>
                <w:color w:val="auto"/>
              </w:rPr>
              <w:t>225,11</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gridSpan w:val="3"/>
          </w:tcPr>
          <w:p>
            <w:pPr>
              <w:jc w:val="right"/>
              <w:spacing w:after="0" w:line="189" w:lineRule="exact"/>
              <w:rPr>
                <w:sz w:val="20"/>
                <w:szCs w:val="20"/>
                <w:color w:val="auto"/>
              </w:rPr>
            </w:pPr>
            <w:r>
              <w:rPr>
                <w:rFonts w:ascii="Calibri" w:cs="Calibri" w:eastAsia="Calibri" w:hAnsi="Calibri"/>
                <w:sz w:val="18"/>
                <w:szCs w:val="18"/>
                <w:b w:val="1"/>
                <w:bCs w:val="1"/>
                <w:color w:val="auto"/>
              </w:rPr>
              <w:t>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Calibri" w:cs="Calibri" w:eastAsia="Calibri" w:hAnsi="Calibri"/>
                <w:sz w:val="18"/>
                <w:szCs w:val="18"/>
                <w:b w:val="1"/>
                <w:bCs w:val="1"/>
                <w:color w:val="auto"/>
              </w:rPr>
              <w:t>(297,52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5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Balances at March 31, 2021</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100</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b w:val="1"/>
                <w:bCs w:val="1"/>
                <w:color w:val="auto"/>
              </w:rPr>
              <w:t>$</w:t>
            </w:r>
          </w:p>
        </w:tc>
        <w:tc>
          <w:tcPr>
            <w:tcW w:w="5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74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100</w:t>
            </w:r>
          </w:p>
        </w:tc>
        <w:tc>
          <w:tcPr>
            <w:tcW w:w="380" w:type="dxa"/>
            <w:vAlign w:val="bottom"/>
            <w:gridSpan w:val="2"/>
          </w:tcPr>
          <w:p>
            <w:pPr>
              <w:jc w:val="right"/>
              <w:ind w:right="6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9,939</w:t>
            </w:r>
          </w:p>
        </w:tc>
        <w:tc>
          <w:tcPr>
            <w:tcW w:w="560" w:type="dxa"/>
            <w:vAlign w:val="bottom"/>
            <w:gridSpan w:val="3"/>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8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w w:val="87"/>
              </w:rPr>
              <w:t>$</w:t>
            </w:r>
          </w:p>
        </w:tc>
        <w:tc>
          <w:tcPr>
            <w:tcW w:w="320" w:type="dxa"/>
            <w:vAlign w:val="bottom"/>
          </w:tcPr>
          <w:p>
            <w:pPr>
              <w:ind w:left="140"/>
              <w:spacing w:after="0" w:line="215" w:lineRule="exact"/>
              <w:rPr>
                <w:sz w:val="20"/>
                <w:szCs w:val="20"/>
                <w:color w:val="auto"/>
              </w:rPr>
            </w:pPr>
            <w:r>
              <w:rPr>
                <w:rFonts w:ascii="Calibri" w:cs="Calibri" w:eastAsia="Calibri" w:hAnsi="Calibri"/>
                <w:sz w:val="18"/>
                <w:szCs w:val="18"/>
                <w:b w:val="1"/>
                <w:bCs w:val="1"/>
                <w:color w:val="auto"/>
                <w:w w:val="97"/>
              </w:rPr>
              <w:t>—</w:t>
            </w:r>
          </w:p>
        </w:tc>
        <w:tc>
          <w:tcPr>
            <w:tcW w:w="92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$ 749,985</w:t>
            </w:r>
          </w:p>
        </w:tc>
        <w:tc>
          <w:tcPr>
            <w:tcW w:w="180" w:type="dxa"/>
            <w:vAlign w:val="bottom"/>
          </w:tcPr>
          <w:p>
            <w:pPr>
              <w:spacing w:after="0"/>
              <w:rPr>
                <w:sz w:val="18"/>
                <w:szCs w:val="18"/>
                <w:color w:val="auto"/>
              </w:rPr>
            </w:pPr>
          </w:p>
        </w:tc>
        <w:tc>
          <w:tcPr>
            <w:tcW w:w="11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b w:val="1"/>
                <w:bCs w:val="1"/>
                <w:color w:val="auto"/>
                <w:w w:val="96"/>
              </w:rPr>
              <w:t>$ (1,046,926 )</w:t>
            </w:r>
          </w:p>
        </w:tc>
        <w:tc>
          <w:tcPr>
            <w:tcW w:w="480" w:type="dxa"/>
            <w:vAlign w:val="bottom"/>
          </w:tcPr>
          <w:p>
            <w:pPr>
              <w:jc w:val="right"/>
              <w:ind w:right="290"/>
              <w:spacing w:after="0" w:line="215" w:lineRule="exact"/>
              <w:rPr>
                <w:sz w:val="20"/>
                <w:szCs w:val="20"/>
                <w:color w:val="auto"/>
              </w:rPr>
            </w:pPr>
            <w:r>
              <w:rPr>
                <w:rFonts w:ascii="Calibri" w:cs="Calibri" w:eastAsia="Calibri" w:hAnsi="Calibri"/>
                <w:sz w:val="18"/>
                <w:szCs w:val="18"/>
                <w:b w:val="1"/>
                <w:bCs w:val="1"/>
                <w:color w:val="auto"/>
                <w:w w:val="87"/>
              </w:rPr>
              <w:t>$</w:t>
            </w:r>
          </w:p>
        </w:tc>
        <w:tc>
          <w:tcPr>
            <w:tcW w:w="9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b w:val="1"/>
                <w:bCs w:val="1"/>
                <w:color w:val="auto"/>
              </w:rPr>
              <w:t>(579 )</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w w:val="87"/>
              </w:rPr>
              <w:t>$</w:t>
            </w:r>
          </w:p>
        </w:tc>
        <w:tc>
          <w:tcPr>
            <w:tcW w:w="7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b w:val="1"/>
                <w:bCs w:val="1"/>
                <w:color w:val="auto"/>
              </w:rPr>
              <w:t>0 )</w:t>
            </w: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5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2,645</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20"/>
              <w:spacing w:after="0" w:line="166" w:lineRule="exact"/>
              <w:rPr>
                <w:sz w:val="20"/>
                <w:szCs w:val="20"/>
                <w:color w:val="auto"/>
              </w:rPr>
            </w:pPr>
            <w:r>
              <w:rPr>
                <w:rFonts w:ascii="Calibri" w:cs="Calibri" w:eastAsia="Calibri" w:hAnsi="Calibri"/>
                <w:sz w:val="18"/>
                <w:szCs w:val="18"/>
                <w:color w:val="auto"/>
              </w:rPr>
              <w:t>Unrealized gain on derivatve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520" w:type="dxa"/>
            <w:vAlign w:val="bottom"/>
          </w:tcPr>
          <w:p>
            <w:pPr>
              <w:ind w:left="20"/>
              <w:spacing w:after="0" w:line="215" w:lineRule="exact"/>
              <w:rPr>
                <w:sz w:val="20"/>
                <w:szCs w:val="20"/>
                <w:color w:val="auto"/>
              </w:rPr>
            </w:pPr>
            <w:r>
              <w:rPr>
                <w:rFonts w:ascii="Calibri" w:cs="Calibri" w:eastAsia="Calibri" w:hAnsi="Calibri"/>
                <w:sz w:val="18"/>
                <w:szCs w:val="18"/>
                <w:color w:val="auto"/>
              </w:rPr>
              <w:t>instruments</w:t>
            </w: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320" w:type="dxa"/>
            <w:vAlign w:val="bottom"/>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rPr>
              <w:t>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520" w:type="dxa"/>
            <w:vAlign w:val="bottom"/>
            <w:shd w:val="clear" w:color="auto" w:fill="CFF0FC"/>
          </w:tcPr>
          <w:p>
            <w:pPr>
              <w:ind w:left="20"/>
              <w:spacing w:after="0" w:line="166" w:lineRule="exact"/>
              <w:rPr>
                <w:sz w:val="20"/>
                <w:szCs w:val="20"/>
                <w:color w:val="auto"/>
              </w:rPr>
            </w:pPr>
            <w:r>
              <w:rPr>
                <w:rFonts w:ascii="Calibri" w:cs="Calibri" w:eastAsia="Calibri" w:hAnsi="Calibri"/>
                <w:sz w:val="18"/>
                <w:szCs w:val="18"/>
                <w:color w:val="auto"/>
              </w:rPr>
              <w:t>Deemed contributon from</w:t>
            </w:r>
          </w:p>
        </w:tc>
        <w:tc>
          <w:tcPr>
            <w:tcW w:w="5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5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former parent</w:t>
            </w: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gridSpan w:val="2"/>
            <w:shd w:val="clear" w:color="auto" w:fill="CFF0FC"/>
          </w:tcPr>
          <w:p>
            <w:pPr>
              <w:jc w:val="right"/>
              <w:ind w:right="160"/>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ind w:left="140"/>
              <w:spacing w:after="0" w:line="215" w:lineRule="exact"/>
              <w:rPr>
                <w:sz w:val="20"/>
                <w:szCs w:val="20"/>
                <w:color w:val="auto"/>
              </w:rPr>
            </w:pPr>
            <w:r>
              <w:rPr>
                <w:rFonts w:ascii="Calibri" w:cs="Calibri" w:eastAsia="Calibri" w:hAnsi="Calibri"/>
                <w:sz w:val="18"/>
                <w:szCs w:val="18"/>
                <w:color w:val="auto"/>
                <w:w w:val="97"/>
              </w:rPr>
              <w:t>—</w:t>
            </w:r>
          </w:p>
        </w:tc>
        <w:tc>
          <w:tcPr>
            <w:tcW w:w="9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1,183</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1,183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520" w:type="dxa"/>
            <w:vAlign w:val="bottom"/>
          </w:tcPr>
          <w:p>
            <w:pPr>
              <w:ind w:left="20"/>
              <w:spacing w:after="0" w:line="166" w:lineRule="exact"/>
              <w:rPr>
                <w:sz w:val="20"/>
                <w:szCs w:val="20"/>
                <w:color w:val="auto"/>
              </w:rPr>
            </w:pPr>
            <w:r>
              <w:rPr>
                <w:rFonts w:ascii="Calibri" w:cs="Calibri" w:eastAsia="Calibri" w:hAnsi="Calibri"/>
                <w:sz w:val="18"/>
                <w:szCs w:val="18"/>
                <w:color w:val="auto"/>
              </w:rPr>
              <w:t>Accreton of senior preferred</w:t>
            </w:r>
          </w:p>
        </w:tc>
        <w:tc>
          <w:tcPr>
            <w:tcW w:w="52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Calibri" w:cs="Calibri" w:eastAsia="Calibri" w:hAnsi="Calibri"/>
                <w:sz w:val="18"/>
                <w:szCs w:val="18"/>
                <w:color w:val="auto"/>
              </w:rPr>
              <w:t>6,821</w:t>
            </w:r>
          </w:p>
        </w:tc>
        <w:tc>
          <w:tcPr>
            <w:tcW w:w="22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4"/>
                <w:szCs w:val="14"/>
                <w:color w:val="auto"/>
              </w:rPr>
            </w:pPr>
          </w:p>
        </w:tc>
        <w:tc>
          <w:tcPr>
            <w:tcW w:w="320" w:type="dxa"/>
            <w:vAlign w:val="bottom"/>
            <w:vMerge w:val="restart"/>
          </w:tcPr>
          <w:p>
            <w:pPr>
              <w:ind w:left="140"/>
              <w:spacing w:after="0"/>
              <w:rPr>
                <w:sz w:val="20"/>
                <w:szCs w:val="20"/>
                <w:color w:val="auto"/>
              </w:rPr>
            </w:pPr>
            <w:r>
              <w:rPr>
                <w:rFonts w:ascii="Calibri" w:cs="Calibri" w:eastAsia="Calibri" w:hAnsi="Calibri"/>
                <w:sz w:val="18"/>
                <w:szCs w:val="18"/>
                <w:color w:val="auto"/>
                <w:w w:val="97"/>
              </w:rPr>
              <w:t>—</w:t>
            </w:r>
          </w:p>
        </w:tc>
        <w:tc>
          <w:tcPr>
            <w:tcW w:w="1100" w:type="dxa"/>
            <w:vAlign w:val="bottom"/>
            <w:gridSpan w:val="3"/>
            <w:vMerge w:val="restart"/>
          </w:tcPr>
          <w:p>
            <w:pPr>
              <w:jc w:val="right"/>
              <w:ind w:right="120"/>
              <w:spacing w:after="0"/>
              <w:rPr>
                <w:sz w:val="20"/>
                <w:szCs w:val="20"/>
                <w:color w:val="auto"/>
              </w:rPr>
            </w:pPr>
            <w:r>
              <w:rPr>
                <w:rFonts w:ascii="Calibri" w:cs="Calibri" w:eastAsia="Calibri" w:hAnsi="Calibri"/>
                <w:sz w:val="18"/>
                <w:szCs w:val="18"/>
                <w:color w:val="auto"/>
              </w:rPr>
              <w:t>(6,821 )</w:t>
            </w:r>
          </w:p>
        </w:tc>
        <w:tc>
          <w:tcPr>
            <w:tcW w:w="1120" w:type="dxa"/>
            <w:vAlign w:val="bottom"/>
            <w:gridSpan w:val="2"/>
            <w:vMerge w:val="restart"/>
          </w:tcPr>
          <w:p>
            <w:pPr>
              <w:jc w:val="right"/>
              <w:ind w:right="200"/>
              <w:spacing w:after="0"/>
              <w:rPr>
                <w:sz w:val="20"/>
                <w:szCs w:val="20"/>
                <w:color w:val="auto"/>
              </w:rPr>
            </w:pPr>
            <w:r>
              <w:rPr>
                <w:rFonts w:ascii="Calibri" w:cs="Calibri" w:eastAsia="Calibri" w:hAnsi="Calibri"/>
                <w:sz w:val="18"/>
                <w:szCs w:val="18"/>
                <w:color w:val="auto"/>
              </w:rPr>
              <w:t>—</w:t>
            </w:r>
          </w:p>
        </w:tc>
        <w:tc>
          <w:tcPr>
            <w:tcW w:w="48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40"/>
              <w:spacing w:after="0"/>
              <w:rPr>
                <w:sz w:val="20"/>
                <w:szCs w:val="20"/>
                <w:color w:val="auto"/>
              </w:rPr>
            </w:pPr>
            <w:r>
              <w:rPr>
                <w:rFonts w:ascii="Calibri" w:cs="Calibri" w:eastAsia="Calibri" w:hAnsi="Calibri"/>
                <w:sz w:val="18"/>
                <w:szCs w:val="18"/>
                <w:color w:val="auto"/>
              </w:rPr>
              <w:t>(6,821 )</w:t>
            </w:r>
          </w:p>
        </w:tc>
        <w:tc>
          <w:tcPr>
            <w:tcW w:w="0" w:type="dxa"/>
            <w:vAlign w:val="bottom"/>
          </w:tcPr>
          <w:p>
            <w:pPr>
              <w:spacing w:after="0"/>
              <w:rPr>
                <w:sz w:val="1"/>
                <w:szCs w:val="1"/>
                <w:color w:val="auto"/>
              </w:rPr>
            </w:pPr>
          </w:p>
        </w:tc>
      </w:tr>
      <w:tr>
        <w:trPr>
          <w:trHeight w:val="218"/>
        </w:trPr>
        <w:tc>
          <w:tcPr>
            <w:tcW w:w="2520" w:type="dxa"/>
            <w:vAlign w:val="bottom"/>
          </w:tcPr>
          <w:p>
            <w:pPr>
              <w:ind w:left="20"/>
              <w:spacing w:after="0" w:line="215" w:lineRule="exact"/>
              <w:rPr>
                <w:sz w:val="20"/>
                <w:szCs w:val="20"/>
                <w:color w:val="auto"/>
              </w:rPr>
            </w:pPr>
            <w:r>
              <w:rPr>
                <w:rFonts w:ascii="Calibri" w:cs="Calibri" w:eastAsia="Calibri" w:hAnsi="Calibri"/>
                <w:sz w:val="18"/>
                <w:szCs w:val="18"/>
                <w:color w:val="auto"/>
              </w:rPr>
              <w:t>units</w:t>
            </w:r>
          </w:p>
        </w:tc>
        <w:tc>
          <w:tcPr>
            <w:tcW w:w="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520" w:type="dxa"/>
            <w:vAlign w:val="bottom"/>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280" w:type="dxa"/>
            <w:vAlign w:val="bottom"/>
            <w:gridSpan w:val="2"/>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jc w:val="right"/>
              <w:spacing w:after="0" w:line="166" w:lineRule="exact"/>
              <w:rPr>
                <w:sz w:val="20"/>
                <w:szCs w:val="20"/>
                <w:color w:val="auto"/>
              </w:rPr>
            </w:pPr>
            <w:r>
              <w:rPr>
                <w:rFonts w:ascii="Calibri" w:cs="Calibri" w:eastAsia="Calibri" w:hAnsi="Calibri"/>
                <w:sz w:val="18"/>
                <w:szCs w:val="18"/>
                <w:b w:val="1"/>
                <w:bCs w:val="1"/>
                <w:color w:val="auto"/>
              </w:rPr>
              <w:t>1</w:t>
            </w:r>
          </w:p>
        </w:tc>
        <w:tc>
          <w:tcPr>
            <w:tcW w:w="18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89" w:lineRule="exact"/>
              <w:rPr>
                <w:sz w:val="20"/>
                <w:szCs w:val="20"/>
                <w:color w:val="auto"/>
              </w:rPr>
            </w:pPr>
            <w:r>
              <w:rPr>
                <w:rFonts w:ascii="Calibri" w:cs="Calibri" w:eastAsia="Calibri" w:hAnsi="Calibri"/>
                <w:sz w:val="18"/>
                <w:szCs w:val="18"/>
                <w:b w:val="1"/>
                <w:bCs w:val="1"/>
                <w:color w:val="auto"/>
              </w:rPr>
              <w:t>231,93</w:t>
            </w:r>
          </w:p>
        </w:tc>
        <w:tc>
          <w:tcPr>
            <w:tcW w:w="2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560" w:type="dxa"/>
            <w:vAlign w:val="bottom"/>
            <w:gridSpan w:val="3"/>
            <w:shd w:val="clear" w:color="auto" w:fill="CFF0FC"/>
          </w:tcPr>
          <w:p>
            <w:pPr>
              <w:jc w:val="right"/>
              <w:spacing w:after="0" w:line="189" w:lineRule="exact"/>
              <w:rPr>
                <w:sz w:val="20"/>
                <w:szCs w:val="20"/>
                <w:color w:val="auto"/>
              </w:rPr>
            </w:pPr>
            <w:r>
              <w:rPr>
                <w:rFonts w:ascii="Calibri" w:cs="Calibri" w:eastAsia="Calibri" w:hAnsi="Calibri"/>
                <w:sz w:val="18"/>
                <w:szCs w:val="18"/>
                <w:b w:val="1"/>
                <w:bCs w:val="1"/>
                <w:color w:val="auto"/>
              </w:rPr>
              <w:t>0</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line="189" w:lineRule="exact"/>
              <w:rPr>
                <w:sz w:val="20"/>
                <w:szCs w:val="20"/>
                <w:color w:val="auto"/>
              </w:rPr>
            </w:pPr>
            <w:r>
              <w:rPr>
                <w:rFonts w:ascii="Calibri" w:cs="Calibri" w:eastAsia="Calibri" w:hAnsi="Calibri"/>
                <w:sz w:val="18"/>
                <w:szCs w:val="18"/>
                <w:b w:val="1"/>
                <w:bCs w:val="1"/>
                <w:color w:val="auto"/>
              </w:rPr>
              <w:t>(300,24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520" w:type="dxa"/>
            <w:vAlign w:val="bottom"/>
            <w:shd w:val="clear" w:color="auto" w:fill="CFF0FC"/>
          </w:tcPr>
          <w:p>
            <w:pPr>
              <w:ind w:left="20"/>
              <w:spacing w:after="0"/>
              <w:rPr>
                <w:sz w:val="20"/>
                <w:szCs w:val="20"/>
                <w:color w:val="auto"/>
              </w:rPr>
            </w:pPr>
            <w:r>
              <w:rPr>
                <w:rFonts w:ascii="Calibri" w:cs="Calibri" w:eastAsia="Calibri" w:hAnsi="Calibri"/>
                <w:sz w:val="18"/>
                <w:szCs w:val="18"/>
                <w:b w:val="1"/>
                <w:bCs w:val="1"/>
                <w:color w:val="auto"/>
              </w:rPr>
              <w:t>Balances at June 30, 2021</w:t>
            </w:r>
          </w:p>
        </w:tc>
        <w:tc>
          <w:tcPr>
            <w:tcW w:w="5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100</w:t>
            </w:r>
          </w:p>
        </w:tc>
        <w:tc>
          <w:tcPr>
            <w:tcW w:w="340" w:type="dxa"/>
            <w:vAlign w:val="bottom"/>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b w:val="1"/>
                <w:bCs w:val="1"/>
                <w:color w:val="auto"/>
              </w:rPr>
              <w:t>$</w:t>
            </w:r>
          </w:p>
        </w:tc>
        <w:tc>
          <w:tcPr>
            <w:tcW w:w="5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w:t>
            </w:r>
          </w:p>
        </w:tc>
        <w:tc>
          <w:tcPr>
            <w:tcW w:w="74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100</w:t>
            </w:r>
          </w:p>
        </w:tc>
        <w:tc>
          <w:tcPr>
            <w:tcW w:w="380" w:type="dxa"/>
            <w:vAlign w:val="bottom"/>
            <w:gridSpan w:val="2"/>
            <w:shd w:val="clear" w:color="auto" w:fill="CFF0FC"/>
          </w:tcPr>
          <w:p>
            <w:pPr>
              <w:jc w:val="right"/>
              <w:ind w:right="6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9,939</w:t>
            </w:r>
          </w:p>
        </w:tc>
        <w:tc>
          <w:tcPr>
            <w:tcW w:w="560" w:type="dxa"/>
            <w:vAlign w:val="bottom"/>
            <w:gridSpan w:val="3"/>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8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line="215" w:lineRule="exact"/>
              <w:rPr>
                <w:sz w:val="20"/>
                <w:szCs w:val="20"/>
                <w:color w:val="auto"/>
              </w:rPr>
            </w:pPr>
            <w:r>
              <w:rPr>
                <w:rFonts w:ascii="Calibri" w:cs="Calibri" w:eastAsia="Calibri" w:hAnsi="Calibri"/>
                <w:sz w:val="18"/>
                <w:szCs w:val="18"/>
                <w:b w:val="1"/>
                <w:bCs w:val="1"/>
                <w:color w:val="auto"/>
                <w:w w:val="87"/>
              </w:rPr>
              <w:t>$</w:t>
            </w:r>
          </w:p>
        </w:tc>
        <w:tc>
          <w:tcPr>
            <w:tcW w:w="320" w:type="dxa"/>
            <w:vAlign w:val="bottom"/>
            <w:shd w:val="clear" w:color="auto" w:fill="CFF0FC"/>
          </w:tcPr>
          <w:p>
            <w:pPr>
              <w:ind w:left="140"/>
              <w:spacing w:after="0" w:line="215" w:lineRule="exact"/>
              <w:rPr>
                <w:sz w:val="20"/>
                <w:szCs w:val="20"/>
                <w:color w:val="auto"/>
              </w:rPr>
            </w:pPr>
            <w:r>
              <w:rPr>
                <w:rFonts w:ascii="Calibri" w:cs="Calibri" w:eastAsia="Calibri" w:hAnsi="Calibri"/>
                <w:sz w:val="18"/>
                <w:szCs w:val="18"/>
                <w:b w:val="1"/>
                <w:bCs w:val="1"/>
                <w:color w:val="auto"/>
                <w:w w:val="97"/>
              </w:rPr>
              <w:t>—</w:t>
            </w:r>
          </w:p>
        </w:tc>
        <w:tc>
          <w:tcPr>
            <w:tcW w:w="92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$ 744,347</w:t>
            </w:r>
          </w:p>
        </w:tc>
        <w:tc>
          <w:tcPr>
            <w:tcW w:w="18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b w:val="1"/>
                <w:bCs w:val="1"/>
                <w:color w:val="auto"/>
                <w:w w:val="96"/>
              </w:rPr>
              <w:t>$ (1,044,281 )</w:t>
            </w:r>
          </w:p>
        </w:tc>
        <w:tc>
          <w:tcPr>
            <w:tcW w:w="480" w:type="dxa"/>
            <w:vAlign w:val="bottom"/>
            <w:shd w:val="clear" w:color="auto" w:fill="CFF0FC"/>
          </w:tcPr>
          <w:p>
            <w:pPr>
              <w:jc w:val="right"/>
              <w:ind w:right="290"/>
              <w:spacing w:after="0" w:line="215" w:lineRule="exact"/>
              <w:rPr>
                <w:sz w:val="20"/>
                <w:szCs w:val="20"/>
                <w:color w:val="auto"/>
              </w:rPr>
            </w:pPr>
            <w:r>
              <w:rPr>
                <w:rFonts w:ascii="Calibri" w:cs="Calibri" w:eastAsia="Calibri" w:hAnsi="Calibri"/>
                <w:sz w:val="18"/>
                <w:szCs w:val="18"/>
                <w:b w:val="1"/>
                <w:bCs w:val="1"/>
                <w:color w:val="auto"/>
                <w:w w:val="87"/>
              </w:rPr>
              <w:t>$</w:t>
            </w:r>
          </w:p>
        </w:tc>
        <w:tc>
          <w:tcPr>
            <w:tcW w:w="920" w:type="dxa"/>
            <w:vAlign w:val="bottom"/>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b w:val="1"/>
                <w:bCs w:val="1"/>
                <w:color w:val="auto"/>
              </w:rPr>
              <w:t>(309 )</w:t>
            </w:r>
          </w:p>
        </w:tc>
        <w:tc>
          <w:tcPr>
            <w:tcW w:w="1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w w:val="87"/>
              </w:rPr>
              <w:t>$</w:t>
            </w:r>
          </w:p>
        </w:tc>
        <w:tc>
          <w:tcPr>
            <w:tcW w:w="70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b w:val="1"/>
                <w:bCs w:val="1"/>
                <w:color w:val="auto"/>
              </w:rPr>
              <w:t>3 )</w:t>
            </w:r>
          </w:p>
        </w:tc>
        <w:tc>
          <w:tcPr>
            <w:tcW w:w="0" w:type="dxa"/>
            <w:vAlign w:val="bottom"/>
          </w:tcPr>
          <w:p>
            <w:pPr>
              <w:spacing w:after="0"/>
              <w:rPr>
                <w:sz w:val="1"/>
                <w:szCs w:val="1"/>
                <w:color w:val="auto"/>
              </w:rPr>
            </w:pPr>
          </w:p>
        </w:tc>
      </w:tr>
      <w:tr>
        <w:trPr>
          <w:trHeight w:val="645"/>
        </w:trPr>
        <w:tc>
          <w:tcPr>
            <w:tcW w:w="252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gridSpan w:val="2"/>
          </w:tcPr>
          <w:p>
            <w:pPr>
              <w:jc w:val="right"/>
              <w:ind w:right="10"/>
              <w:spacing w:after="0"/>
              <w:rPr>
                <w:sz w:val="20"/>
                <w:szCs w:val="20"/>
                <w:color w:val="auto"/>
              </w:rPr>
            </w:pPr>
            <w:r>
              <w:rPr>
                <w:rFonts w:ascii="Calibri" w:cs="Calibri" w:eastAsia="Calibri" w:hAnsi="Calibri"/>
                <w:sz w:val="18"/>
                <w:szCs w:val="18"/>
                <w:color w:val="auto"/>
              </w:rPr>
              <w:t>6</w:t>
            </w:r>
          </w:p>
        </w:tc>
        <w:tc>
          <w:tcPr>
            <w:tcW w:w="2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5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-2211070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-2211070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-2211070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-2211070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-2211070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-2211070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-2211070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-2211070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-2211070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-539115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-521970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-539115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-521970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-539115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-521970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-539115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-521970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-539115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-521970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-539115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-521970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-539115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-521970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-539115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-521970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-539115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-521970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8" w:name="page9"/>
    <w:bookmarkEnd w:id="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CONDENSED CONSOLIDATED STATEMENTS OF DEFICIT</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share/unit data)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Calibri" w:cs="Calibri" w:eastAsia="Calibri" w:hAnsi="Calibri"/>
                <w:sz w:val="18"/>
                <w:szCs w:val="18"/>
                <w:b w:val="1"/>
                <w:bCs w:val="1"/>
                <w:color w:val="auto"/>
                <w:w w:val="99"/>
              </w:rPr>
              <w:t>Class A Common Stock</w:t>
            </w:r>
          </w:p>
        </w:tc>
        <w:tc>
          <w:tcPr>
            <w:tcW w:w="22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Class B Common Stock</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280" w:type="dxa"/>
            <w:vAlign w:val="bottom"/>
            <w:gridSpan w:val="3"/>
            <w:vMerge w:val="restart"/>
          </w:tcPr>
          <w:p>
            <w:pPr>
              <w:jc w:val="center"/>
              <w:ind w:right="260"/>
              <w:spacing w:after="0" w:line="204" w:lineRule="exact"/>
              <w:rPr>
                <w:sz w:val="20"/>
                <w:szCs w:val="20"/>
                <w:color w:val="auto"/>
              </w:rPr>
            </w:pPr>
            <w:r>
              <w:rPr>
                <w:rFonts w:ascii="Calibri" w:cs="Calibri" w:eastAsia="Calibri" w:hAnsi="Calibri"/>
                <w:sz w:val="18"/>
                <w:szCs w:val="18"/>
                <w:b w:val="1"/>
                <w:bCs w:val="1"/>
                <w:color w:val="auto"/>
                <w:w w:val="96"/>
              </w:rPr>
              <w:t>Redeemable</w:t>
            </w: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920" w:type="dxa"/>
            <w:vAlign w:val="bottom"/>
            <w:gridSpan w:val="2"/>
            <w:vMerge w:val="restart"/>
          </w:tcPr>
          <w:p>
            <w:pPr>
              <w:jc w:val="center"/>
              <w:ind w:right="180"/>
              <w:spacing w:after="0" w:line="204" w:lineRule="exact"/>
              <w:rPr>
                <w:sz w:val="20"/>
                <w:szCs w:val="20"/>
                <w:color w:val="auto"/>
              </w:rPr>
            </w:pPr>
            <w:r>
              <w:rPr>
                <w:rFonts w:ascii="Calibri" w:cs="Calibri" w:eastAsia="Calibri" w:hAnsi="Calibri"/>
                <w:sz w:val="18"/>
                <w:szCs w:val="18"/>
                <w:b w:val="1"/>
                <w:bCs w:val="1"/>
                <w:color w:val="auto"/>
              </w:rPr>
              <w:t>Additon</w:t>
            </w:r>
          </w:p>
        </w:tc>
        <w:tc>
          <w:tcPr>
            <w:tcW w:w="1120" w:type="dxa"/>
            <w:vAlign w:val="bottom"/>
            <w:gridSpan w:val="2"/>
            <w:vMerge w:val="restart"/>
          </w:tcPr>
          <w:p>
            <w:pPr>
              <w:jc w:val="right"/>
              <w:ind w:right="220"/>
              <w:spacing w:after="0"/>
              <w:rPr>
                <w:sz w:val="20"/>
                <w:szCs w:val="20"/>
                <w:color w:val="auto"/>
              </w:rPr>
            </w:pPr>
            <w:r>
              <w:rPr>
                <w:rFonts w:ascii="Calibri" w:cs="Calibri" w:eastAsia="Calibri" w:hAnsi="Calibri"/>
                <w:sz w:val="18"/>
                <w:szCs w:val="18"/>
                <w:b w:val="1"/>
                <w:bCs w:val="1"/>
                <w:color w:val="auto"/>
                <w:w w:val="99"/>
              </w:rPr>
              <w:t>Accumulate</w:t>
            </w:r>
          </w:p>
        </w:tc>
        <w:tc>
          <w:tcPr>
            <w:tcW w:w="140" w:type="dxa"/>
            <w:vAlign w:val="bottom"/>
          </w:tcPr>
          <w:p>
            <w:pPr>
              <w:spacing w:after="0"/>
              <w:rPr>
                <w:sz w:val="2"/>
                <w:szCs w:val="2"/>
                <w:color w:val="auto"/>
              </w:rPr>
            </w:pPr>
          </w:p>
        </w:tc>
        <w:tc>
          <w:tcPr>
            <w:tcW w:w="920" w:type="dxa"/>
            <w:vAlign w:val="bottom"/>
            <w:gridSpan w:val="2"/>
            <w:vMerge w:val="restart"/>
          </w:tcPr>
          <w:p>
            <w:pPr>
              <w:jc w:val="center"/>
              <w:ind w:right="280"/>
              <w:spacing w:after="0" w:line="204" w:lineRule="exact"/>
              <w:rPr>
                <w:sz w:val="20"/>
                <w:szCs w:val="20"/>
                <w:color w:val="auto"/>
              </w:rPr>
            </w:pPr>
            <w:r>
              <w:rPr>
                <w:rFonts w:ascii="Calibri" w:cs="Calibri" w:eastAsia="Calibri" w:hAnsi="Calibri"/>
                <w:sz w:val="18"/>
                <w:szCs w:val="18"/>
                <w:b w:val="1"/>
                <w:bCs w:val="1"/>
                <w:color w:val="auto"/>
                <w:w w:val="94"/>
              </w:rPr>
              <w:t>Total</w:t>
            </w: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940" w:type="dxa"/>
            <w:vAlign w:val="bottom"/>
          </w:tcPr>
          <w:p>
            <w:pPr>
              <w:spacing w:after="0"/>
              <w:rPr>
                <w:sz w:val="8"/>
                <w:szCs w:val="8"/>
                <w:color w:val="auto"/>
              </w:rPr>
            </w:pPr>
          </w:p>
        </w:tc>
        <w:tc>
          <w:tcPr>
            <w:tcW w:w="1280" w:type="dxa"/>
            <w:vAlign w:val="bottom"/>
            <w:gridSpan w:val="3"/>
            <w:vMerge w:val="restart"/>
          </w:tcPr>
          <w:p>
            <w:pPr>
              <w:jc w:val="center"/>
              <w:ind w:right="220"/>
              <w:spacing w:after="0" w:line="189" w:lineRule="exact"/>
              <w:rPr>
                <w:sz w:val="20"/>
                <w:szCs w:val="20"/>
                <w:color w:val="auto"/>
              </w:rPr>
            </w:pPr>
            <w:r>
              <w:rPr>
                <w:rFonts w:ascii="Calibri" w:cs="Calibri" w:eastAsia="Calibri" w:hAnsi="Calibri"/>
                <w:sz w:val="18"/>
                <w:szCs w:val="18"/>
                <w:b w:val="1"/>
                <w:bCs w:val="1"/>
                <w:color w:val="auto"/>
                <w:w w:val="96"/>
              </w:rPr>
              <w:t>noncontrollin</w:t>
            </w:r>
          </w:p>
        </w:tc>
        <w:tc>
          <w:tcPr>
            <w:tcW w:w="720" w:type="dxa"/>
            <w:vAlign w:val="bottom"/>
            <w:vMerge w:val="restart"/>
          </w:tcPr>
          <w:p>
            <w:pPr>
              <w:jc w:val="right"/>
              <w:ind w:right="30"/>
              <w:spacing w:after="0" w:line="189" w:lineRule="exact"/>
              <w:rPr>
                <w:sz w:val="20"/>
                <w:szCs w:val="20"/>
                <w:color w:val="auto"/>
              </w:rPr>
            </w:pPr>
            <w:r>
              <w:rPr>
                <w:rFonts w:ascii="Calibri" w:cs="Calibri" w:eastAsia="Calibri" w:hAnsi="Calibri"/>
                <w:sz w:val="18"/>
                <w:szCs w:val="18"/>
                <w:b w:val="1"/>
                <w:bCs w:val="1"/>
                <w:color w:val="auto"/>
              </w:rPr>
              <w:t>Shares</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restart"/>
          </w:tcPr>
          <w:p>
            <w:pPr>
              <w:jc w:val="right"/>
              <w:ind w:right="10"/>
              <w:spacing w:after="0" w:line="189" w:lineRule="exact"/>
              <w:rPr>
                <w:sz w:val="20"/>
                <w:szCs w:val="20"/>
                <w:color w:val="auto"/>
              </w:rPr>
            </w:pPr>
            <w:r>
              <w:rPr>
                <w:rFonts w:ascii="Calibri" w:cs="Calibri" w:eastAsia="Calibri" w:hAnsi="Calibri"/>
                <w:sz w:val="18"/>
                <w:szCs w:val="18"/>
                <w:b w:val="1"/>
                <w:bCs w:val="1"/>
                <w:color w:val="auto"/>
                <w:w w:val="95"/>
              </w:rPr>
              <w:t>Amount</w:t>
            </w:r>
          </w:p>
        </w:tc>
        <w:tc>
          <w:tcPr>
            <w:tcW w:w="220" w:type="dxa"/>
            <w:vAlign w:val="bottom"/>
          </w:tcPr>
          <w:p>
            <w:pPr>
              <w:spacing w:after="0"/>
              <w:rPr>
                <w:sz w:val="8"/>
                <w:szCs w:val="8"/>
                <w:color w:val="auto"/>
              </w:rPr>
            </w:pPr>
          </w:p>
        </w:tc>
        <w:tc>
          <w:tcPr>
            <w:tcW w:w="780" w:type="dxa"/>
            <w:vAlign w:val="bottom"/>
            <w:vMerge w:val="restart"/>
          </w:tcPr>
          <w:p>
            <w:pPr>
              <w:jc w:val="right"/>
              <w:ind w:right="50"/>
              <w:spacing w:after="0" w:line="189" w:lineRule="exact"/>
              <w:rPr>
                <w:sz w:val="20"/>
                <w:szCs w:val="20"/>
                <w:color w:val="auto"/>
              </w:rPr>
            </w:pPr>
            <w:r>
              <w:rPr>
                <w:rFonts w:ascii="Calibri" w:cs="Calibri" w:eastAsia="Calibri" w:hAnsi="Calibri"/>
                <w:sz w:val="18"/>
                <w:szCs w:val="18"/>
                <w:b w:val="1"/>
                <w:bCs w:val="1"/>
                <w:color w:val="auto"/>
              </w:rPr>
              <w:t>Shares</w:t>
            </w:r>
          </w:p>
        </w:tc>
        <w:tc>
          <w:tcPr>
            <w:tcW w:w="200" w:type="dxa"/>
            <w:vAlign w:val="bottom"/>
          </w:tcPr>
          <w:p>
            <w:pPr>
              <w:spacing w:after="0"/>
              <w:rPr>
                <w:sz w:val="8"/>
                <w:szCs w:val="8"/>
                <w:color w:val="auto"/>
              </w:rPr>
            </w:pPr>
          </w:p>
        </w:tc>
        <w:tc>
          <w:tcPr>
            <w:tcW w:w="780" w:type="dxa"/>
            <w:vAlign w:val="bottom"/>
            <w:gridSpan w:val="2"/>
            <w:vMerge w:val="restart"/>
          </w:tcPr>
          <w:p>
            <w:pPr>
              <w:jc w:val="right"/>
              <w:ind w:right="10"/>
              <w:spacing w:after="0" w:line="189" w:lineRule="exact"/>
              <w:rPr>
                <w:sz w:val="20"/>
                <w:szCs w:val="20"/>
                <w:color w:val="auto"/>
              </w:rPr>
            </w:pPr>
            <w:r>
              <w:rPr>
                <w:rFonts w:ascii="Calibri" w:cs="Calibri" w:eastAsia="Calibri" w:hAnsi="Calibri"/>
                <w:sz w:val="18"/>
                <w:szCs w:val="18"/>
                <w:b w:val="1"/>
                <w:bCs w:val="1"/>
                <w:color w:val="auto"/>
              </w:rPr>
              <w:t>Amount</w:t>
            </w:r>
          </w:p>
        </w:tc>
        <w:tc>
          <w:tcPr>
            <w:tcW w:w="180" w:type="dxa"/>
            <w:vAlign w:val="bottom"/>
          </w:tcPr>
          <w:p>
            <w:pPr>
              <w:spacing w:after="0"/>
              <w:rPr>
                <w:sz w:val="8"/>
                <w:szCs w:val="8"/>
                <w:color w:val="auto"/>
              </w:rPr>
            </w:pPr>
          </w:p>
        </w:tc>
        <w:tc>
          <w:tcPr>
            <w:tcW w:w="920" w:type="dxa"/>
            <w:vAlign w:val="bottom"/>
            <w:gridSpan w:val="2"/>
            <w:vMerge w:val="restart"/>
          </w:tcPr>
          <w:p>
            <w:pPr>
              <w:jc w:val="center"/>
              <w:ind w:right="200"/>
              <w:spacing w:after="0" w:line="189" w:lineRule="exact"/>
              <w:rPr>
                <w:sz w:val="20"/>
                <w:szCs w:val="20"/>
                <w:color w:val="auto"/>
              </w:rPr>
            </w:pPr>
            <w:r>
              <w:rPr>
                <w:rFonts w:ascii="Calibri" w:cs="Calibri" w:eastAsia="Calibri" w:hAnsi="Calibri"/>
                <w:sz w:val="18"/>
                <w:szCs w:val="18"/>
                <w:b w:val="1"/>
                <w:bCs w:val="1"/>
                <w:color w:val="auto"/>
                <w:w w:val="97"/>
              </w:rPr>
              <w:t>al paid-in</w:t>
            </w:r>
          </w:p>
        </w:tc>
        <w:tc>
          <w:tcPr>
            <w:tcW w:w="1120" w:type="dxa"/>
            <w:vAlign w:val="bottom"/>
            <w:gridSpan w:val="2"/>
            <w:vMerge w:val="continue"/>
          </w:tcPr>
          <w:p>
            <w:pPr>
              <w:spacing w:after="0"/>
              <w:rPr>
                <w:sz w:val="8"/>
                <w:szCs w:val="8"/>
                <w:color w:val="auto"/>
              </w:rPr>
            </w:pPr>
          </w:p>
        </w:tc>
        <w:tc>
          <w:tcPr>
            <w:tcW w:w="1060" w:type="dxa"/>
            <w:vAlign w:val="bottom"/>
            <w:gridSpan w:val="3"/>
            <w:vMerge w:val="restart"/>
          </w:tcPr>
          <w:p>
            <w:pPr>
              <w:jc w:val="center"/>
              <w:ind w:right="100"/>
              <w:spacing w:after="0" w:line="189" w:lineRule="exact"/>
              <w:rPr>
                <w:sz w:val="20"/>
                <w:szCs w:val="20"/>
                <w:color w:val="auto"/>
              </w:rPr>
            </w:pPr>
            <w:r>
              <w:rPr>
                <w:rFonts w:ascii="Calibri" w:cs="Calibri" w:eastAsia="Calibri" w:hAnsi="Calibri"/>
                <w:sz w:val="18"/>
                <w:szCs w:val="18"/>
                <w:b w:val="1"/>
                <w:bCs w:val="1"/>
                <w:color w:val="auto"/>
                <w:w w:val="97"/>
              </w:rPr>
              <w:t>shareholder</w:t>
            </w:r>
          </w:p>
        </w:tc>
        <w:tc>
          <w:tcPr>
            <w:tcW w:w="0" w:type="dxa"/>
            <w:vAlign w:val="bottom"/>
          </w:tcPr>
          <w:p>
            <w:pPr>
              <w:spacing w:after="0"/>
              <w:rPr>
                <w:sz w:val="1"/>
                <w:szCs w:val="1"/>
                <w:color w:val="auto"/>
              </w:rPr>
            </w:pPr>
          </w:p>
        </w:tc>
      </w:tr>
      <w:tr>
        <w:trPr>
          <w:trHeight w:val="94"/>
        </w:trPr>
        <w:tc>
          <w:tcPr>
            <w:tcW w:w="294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120" w:type="dxa"/>
            <w:vAlign w:val="bottom"/>
            <w:gridSpan w:val="2"/>
            <w:vMerge w:val="restart"/>
          </w:tcPr>
          <w:p>
            <w:pPr>
              <w:jc w:val="right"/>
              <w:ind w:right="360"/>
              <w:spacing w:after="0" w:line="215" w:lineRule="exact"/>
              <w:rPr>
                <w:sz w:val="20"/>
                <w:szCs w:val="20"/>
                <w:color w:val="auto"/>
              </w:rPr>
            </w:pPr>
            <w:r>
              <w:rPr>
                <w:rFonts w:ascii="Calibri" w:cs="Calibri" w:eastAsia="Calibri" w:hAnsi="Calibri"/>
                <w:sz w:val="18"/>
                <w:szCs w:val="18"/>
                <w:b w:val="1"/>
                <w:bCs w:val="1"/>
                <w:color w:val="auto"/>
              </w:rPr>
              <w:t>d defcit</w:t>
            </w:r>
          </w:p>
        </w:tc>
        <w:tc>
          <w:tcPr>
            <w:tcW w:w="1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jc w:val="center"/>
              <w:ind w:right="340"/>
              <w:spacing w:after="0" w:line="215" w:lineRule="exact"/>
              <w:rPr>
                <w:sz w:val="20"/>
                <w:szCs w:val="20"/>
                <w:color w:val="auto"/>
              </w:rPr>
            </w:pPr>
            <w:r>
              <w:rPr>
                <w:rFonts w:ascii="Calibri" w:cs="Calibri" w:eastAsia="Calibri" w:hAnsi="Calibri"/>
                <w:sz w:val="18"/>
                <w:szCs w:val="18"/>
                <w:b w:val="1"/>
                <w:bCs w:val="1"/>
                <w:color w:val="auto"/>
                <w:w w:val="94"/>
              </w:rPr>
              <w:t>g interests</w:t>
            </w: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vMerge w:val="restart"/>
          </w:tcPr>
          <w:p>
            <w:pPr>
              <w:jc w:val="center"/>
              <w:ind w:right="160"/>
              <w:spacing w:after="0" w:line="215" w:lineRule="exact"/>
              <w:rPr>
                <w:sz w:val="20"/>
                <w:szCs w:val="20"/>
                <w:color w:val="auto"/>
              </w:rPr>
            </w:pPr>
            <w:r>
              <w:rPr>
                <w:rFonts w:ascii="Calibri" w:cs="Calibri" w:eastAsia="Calibri" w:hAnsi="Calibri"/>
                <w:sz w:val="18"/>
                <w:szCs w:val="18"/>
                <w:b w:val="1"/>
                <w:bCs w:val="1"/>
                <w:color w:val="auto"/>
                <w:w w:val="95"/>
              </w:rPr>
              <w:t>capital</w:t>
            </w: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260"/>
              <w:spacing w:after="0" w:line="215" w:lineRule="exact"/>
              <w:rPr>
                <w:sz w:val="20"/>
                <w:szCs w:val="20"/>
                <w:color w:val="auto"/>
              </w:rPr>
            </w:pPr>
            <w:r>
              <w:rPr>
                <w:rFonts w:ascii="Calibri" w:cs="Calibri" w:eastAsia="Calibri" w:hAnsi="Calibri"/>
                <w:sz w:val="18"/>
                <w:szCs w:val="18"/>
                <w:b w:val="1"/>
                <w:bCs w:val="1"/>
                <w:color w:val="auto"/>
              </w:rPr>
              <w:t>s' defcit</w:t>
            </w:r>
          </w:p>
        </w:tc>
        <w:tc>
          <w:tcPr>
            <w:tcW w:w="0" w:type="dxa"/>
            <w:vAlign w:val="bottom"/>
          </w:tcPr>
          <w:p>
            <w:pPr>
              <w:spacing w:after="0"/>
              <w:rPr>
                <w:sz w:val="1"/>
                <w:szCs w:val="1"/>
                <w:color w:val="auto"/>
              </w:rPr>
            </w:pPr>
          </w:p>
        </w:tc>
      </w:tr>
      <w:tr>
        <w:trPr>
          <w:trHeight w:val="95"/>
        </w:trPr>
        <w:tc>
          <w:tcPr>
            <w:tcW w:w="2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60" w:lineRule="exact"/>
              <w:rPr>
                <w:sz w:val="20"/>
                <w:szCs w:val="20"/>
                <w:color w:val="auto"/>
              </w:rPr>
            </w:pPr>
            <w:r>
              <w:rPr>
                <w:rFonts w:ascii="Calibri" w:cs="Calibri" w:eastAsia="Calibri" w:hAnsi="Calibri"/>
                <w:sz w:val="17"/>
                <w:szCs w:val="17"/>
                <w:color w:val="auto"/>
              </w:rPr>
              <w:t>79,091,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line="160" w:lineRule="exact"/>
              <w:rPr>
                <w:sz w:val="20"/>
                <w:szCs w:val="20"/>
                <w:color w:val="auto"/>
              </w:rPr>
            </w:pPr>
            <w:r>
              <w:rPr>
                <w:rFonts w:ascii="Calibri" w:cs="Calibri" w:eastAsia="Calibri" w:hAnsi="Calibri"/>
                <w:sz w:val="17"/>
                <w:szCs w:val="17"/>
                <w:color w:val="auto"/>
              </w:rPr>
              <w:t>118,200,</w:t>
            </w: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9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Balances at January 1, 2022</w:t>
            </w:r>
          </w:p>
        </w:tc>
        <w:tc>
          <w:tcPr>
            <w:tcW w:w="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1,286,016</w:t>
            </w: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871</w:t>
            </w:r>
          </w:p>
        </w:tc>
        <w:tc>
          <w:tcPr>
            <w:tcW w:w="34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w:t>
            </w: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w:t>
            </w:r>
          </w:p>
        </w:tc>
        <w:tc>
          <w:tcPr>
            <w:tcW w:w="10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000</w:t>
            </w:r>
          </w:p>
        </w:tc>
        <w:tc>
          <w:tcPr>
            <w:tcW w:w="540" w:type="dxa"/>
            <w:vAlign w:val="bottom"/>
            <w:tcBorders>
              <w:bottom w:val="single" w:sz="8" w:color="CFF0FC"/>
            </w:tcBorders>
            <w:gridSpan w:val="2"/>
            <w:shd w:val="clear" w:color="auto" w:fill="CFF0FC"/>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12</w:t>
            </w:r>
          </w:p>
        </w:tc>
        <w:tc>
          <w:tcPr>
            <w:tcW w:w="9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$ 182,091</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color w:val="auto"/>
                <w:w w:val="96"/>
              </w:rPr>
              <w:t>$ (1,042,794 )</w:t>
            </w:r>
          </w:p>
        </w:tc>
        <w:tc>
          <w:tcPr>
            <w:tcW w:w="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(860,683 )</w:t>
            </w:r>
          </w:p>
        </w:tc>
        <w:tc>
          <w:tcPr>
            <w:tcW w:w="0" w:type="dxa"/>
            <w:vAlign w:val="bottom"/>
          </w:tcPr>
          <w:p>
            <w:pPr>
              <w:spacing w:after="0"/>
              <w:rPr>
                <w:sz w:val="1"/>
                <w:szCs w:val="1"/>
                <w:color w:val="auto"/>
              </w:rPr>
            </w:pPr>
          </w:p>
        </w:tc>
      </w:tr>
      <w:tr>
        <w:trPr>
          <w:trHeight w:val="215"/>
        </w:trPr>
        <w:tc>
          <w:tcPr>
            <w:tcW w:w="294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12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1,879</w:t>
            </w:r>
          </w:p>
        </w:tc>
        <w:tc>
          <w:tcPr>
            <w:tcW w:w="22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1,259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1,259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Issuance of shares</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75,072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12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67"/>
        </w:trPr>
        <w:tc>
          <w:tcPr>
            <w:tcW w:w="2940" w:type="dxa"/>
            <w:vAlign w:val="bottom"/>
          </w:tcPr>
          <w:p>
            <w:pPr>
              <w:ind w:left="20"/>
              <w:spacing w:after="0" w:line="166" w:lineRule="exact"/>
              <w:rPr>
                <w:sz w:val="20"/>
                <w:szCs w:val="20"/>
                <w:color w:val="auto"/>
              </w:rPr>
            </w:pPr>
            <w:r>
              <w:rPr>
                <w:rFonts w:ascii="Calibri" w:cs="Calibri" w:eastAsia="Calibri" w:hAnsi="Calibri"/>
                <w:sz w:val="18"/>
                <w:szCs w:val="18"/>
                <w:color w:val="auto"/>
              </w:rPr>
              <w:t>Deemed contributon from former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40" w:type="dxa"/>
            <w:vAlign w:val="bottom"/>
          </w:tcPr>
          <w:p>
            <w:pPr>
              <w:ind w:left="20"/>
              <w:spacing w:after="0" w:line="215" w:lineRule="exact"/>
              <w:rPr>
                <w:sz w:val="20"/>
                <w:szCs w:val="20"/>
                <w:color w:val="auto"/>
              </w:rPr>
            </w:pPr>
            <w:r>
              <w:rPr>
                <w:rFonts w:ascii="Calibri" w:cs="Calibri" w:eastAsia="Calibri" w:hAnsi="Calibri"/>
                <w:sz w:val="18"/>
                <w:szCs w:val="18"/>
                <w:color w:val="auto"/>
              </w:rPr>
              <w:t>parent</w:t>
            </w:r>
          </w:p>
        </w:tc>
        <w:tc>
          <w:tcPr>
            <w:tcW w:w="12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691</w:t>
            </w:r>
          </w:p>
        </w:tc>
        <w:tc>
          <w:tcPr>
            <w:tcW w:w="22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9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463</w:t>
            </w:r>
          </w:p>
        </w:tc>
        <w:tc>
          <w:tcPr>
            <w:tcW w:w="180" w:type="dxa"/>
            <w:vAlign w:val="bottom"/>
          </w:tcPr>
          <w:p>
            <w:pPr>
              <w:spacing w:after="0"/>
              <w:rPr>
                <w:sz w:val="18"/>
                <w:szCs w:val="18"/>
                <w:color w:val="auto"/>
              </w:rPr>
            </w:pPr>
          </w:p>
        </w:tc>
        <w:tc>
          <w:tcPr>
            <w:tcW w:w="11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Equity-based compensaton</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2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2,443</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20"/>
              <w:spacing w:after="0" w:line="166" w:lineRule="exact"/>
              <w:rPr>
                <w:sz w:val="20"/>
                <w:szCs w:val="20"/>
                <w:color w:val="auto"/>
              </w:rPr>
            </w:pPr>
            <w:r>
              <w:rPr>
                <w:rFonts w:ascii="Calibri" w:cs="Calibri" w:eastAsia="Calibri" w:hAnsi="Calibri"/>
                <w:sz w:val="18"/>
                <w:szCs w:val="18"/>
                <w:color w:val="auto"/>
              </w:rPr>
              <w:t>Subsequent remeasurement of</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Calibri" w:cs="Calibri" w:eastAsia="Calibri" w:hAnsi="Calibri"/>
                <w:sz w:val="18"/>
                <w:szCs w:val="18"/>
                <w:color w:val="auto"/>
              </w:rPr>
              <w:t>18,706</w:t>
            </w: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100" w:type="dxa"/>
            <w:vAlign w:val="bottom"/>
            <w:gridSpan w:val="3"/>
            <w:vMerge w:val="restart"/>
          </w:tcPr>
          <w:p>
            <w:pPr>
              <w:jc w:val="right"/>
              <w:ind w:right="120"/>
              <w:spacing w:after="0"/>
              <w:rPr>
                <w:sz w:val="20"/>
                <w:szCs w:val="20"/>
                <w:color w:val="auto"/>
              </w:rPr>
            </w:pPr>
            <w:r>
              <w:rPr>
                <w:rFonts w:ascii="Calibri" w:cs="Calibri" w:eastAsia="Calibri" w:hAnsi="Calibri"/>
                <w:sz w:val="18"/>
                <w:szCs w:val="18"/>
                <w:color w:val="auto"/>
              </w:rPr>
              <w:t>(18,706 )</w:t>
            </w:r>
          </w:p>
        </w:tc>
        <w:tc>
          <w:tcPr>
            <w:tcW w:w="1120" w:type="dxa"/>
            <w:vAlign w:val="bottom"/>
            <w:gridSpan w:val="2"/>
            <w:vMerge w:val="restart"/>
          </w:tcPr>
          <w:p>
            <w:pPr>
              <w:jc w:val="right"/>
              <w:ind w:right="200"/>
              <w:spacing w:after="0"/>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4"/>
                <w:szCs w:val="14"/>
                <w:color w:val="auto"/>
              </w:rPr>
            </w:pPr>
          </w:p>
        </w:tc>
        <w:tc>
          <w:tcPr>
            <w:tcW w:w="920" w:type="dxa"/>
            <w:vAlign w:val="bottom"/>
            <w:gridSpan w:val="2"/>
            <w:vMerge w:val="restart"/>
          </w:tcPr>
          <w:p>
            <w:pPr>
              <w:jc w:val="right"/>
              <w:ind w:right="40"/>
              <w:spacing w:after="0"/>
              <w:rPr>
                <w:sz w:val="20"/>
                <w:szCs w:val="20"/>
                <w:color w:val="auto"/>
              </w:rPr>
            </w:pPr>
            <w:r>
              <w:rPr>
                <w:rFonts w:ascii="Calibri" w:cs="Calibri" w:eastAsia="Calibri" w:hAnsi="Calibri"/>
                <w:sz w:val="18"/>
                <w:szCs w:val="18"/>
                <w:color w:val="auto"/>
              </w:rPr>
              <w:t>(18,706 )</w:t>
            </w:r>
          </w:p>
        </w:tc>
        <w:tc>
          <w:tcPr>
            <w:tcW w:w="0" w:type="dxa"/>
            <w:vAlign w:val="bottom"/>
          </w:tcPr>
          <w:p>
            <w:pPr>
              <w:spacing w:after="0"/>
              <w:rPr>
                <w:sz w:val="1"/>
                <w:szCs w:val="1"/>
                <w:color w:val="auto"/>
              </w:rPr>
            </w:pPr>
          </w:p>
        </w:tc>
      </w:tr>
      <w:tr>
        <w:trPr>
          <w:trHeight w:val="218"/>
        </w:trPr>
        <w:tc>
          <w:tcPr>
            <w:tcW w:w="2940" w:type="dxa"/>
            <w:vAlign w:val="bottom"/>
          </w:tcPr>
          <w:p>
            <w:pPr>
              <w:ind w:left="20"/>
              <w:spacing w:after="0" w:line="215" w:lineRule="exact"/>
              <w:rPr>
                <w:sz w:val="20"/>
                <w:szCs w:val="20"/>
                <w:color w:val="auto"/>
              </w:rPr>
            </w:pPr>
            <w:r>
              <w:rPr>
                <w:rFonts w:ascii="Calibri" w:cs="Calibri" w:eastAsia="Calibri" w:hAnsi="Calibri"/>
                <w:sz w:val="18"/>
                <w:szCs w:val="18"/>
                <w:color w:val="auto"/>
              </w:rPr>
              <w:t>Redeemable noncontrolling interests</w:t>
            </w: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line="166" w:lineRule="exact"/>
              <w:rPr>
                <w:sz w:val="20"/>
                <w:szCs w:val="20"/>
                <w:color w:val="auto"/>
              </w:rPr>
            </w:pPr>
            <w:r>
              <w:rPr>
                <w:rFonts w:ascii="Calibri" w:cs="Calibri" w:eastAsia="Calibri" w:hAnsi="Calibri"/>
                <w:sz w:val="18"/>
                <w:szCs w:val="18"/>
                <w:b w:val="1"/>
                <w:bCs w:val="1"/>
                <w:color w:val="auto"/>
              </w:rPr>
              <w:t>79,166,</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line="166" w:lineRule="exact"/>
              <w:rPr>
                <w:sz w:val="20"/>
                <w:szCs w:val="20"/>
                <w:color w:val="auto"/>
              </w:rPr>
            </w:pPr>
            <w:r>
              <w:rPr>
                <w:rFonts w:ascii="Calibri" w:cs="Calibri" w:eastAsia="Calibri" w:hAnsi="Calibri"/>
                <w:sz w:val="18"/>
                <w:szCs w:val="18"/>
                <w:b w:val="1"/>
                <w:bCs w:val="1"/>
                <w:color w:val="auto"/>
              </w:rPr>
              <w:t>118,200,</w:t>
            </w:r>
          </w:p>
        </w:tc>
        <w:tc>
          <w:tcPr>
            <w:tcW w:w="20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9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b w:val="1"/>
                <w:bCs w:val="1"/>
                <w:color w:val="auto"/>
              </w:rPr>
              <w:t>Balances at March 31, 2022</w:t>
            </w:r>
          </w:p>
        </w:tc>
        <w:tc>
          <w:tcPr>
            <w:tcW w:w="1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w w:val="87"/>
              </w:rPr>
              <w:t>$</w:t>
            </w:r>
          </w:p>
        </w:tc>
        <w:tc>
          <w:tcPr>
            <w:tcW w:w="9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1,307,292</w:t>
            </w:r>
          </w:p>
        </w:tc>
        <w:tc>
          <w:tcPr>
            <w:tcW w:w="22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943</w:t>
            </w:r>
          </w:p>
        </w:tc>
        <w:tc>
          <w:tcPr>
            <w:tcW w:w="34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b w:val="1"/>
                <w:bCs w:val="1"/>
                <w:color w:val="auto"/>
              </w:rPr>
              <w:t>$</w:t>
            </w:r>
          </w:p>
        </w:tc>
        <w:tc>
          <w:tcPr>
            <w:tcW w:w="7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8</w:t>
            </w:r>
          </w:p>
        </w:tc>
        <w:tc>
          <w:tcPr>
            <w:tcW w:w="100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000</w:t>
            </w:r>
          </w:p>
        </w:tc>
        <w:tc>
          <w:tcPr>
            <w:tcW w:w="540" w:type="dxa"/>
            <w:vAlign w:val="bottom"/>
            <w:tcBorders>
              <w:bottom w:val="single" w:sz="8" w:color="CFF0FC"/>
            </w:tcBorders>
            <w:gridSpan w:val="2"/>
            <w:shd w:val="clear" w:color="auto" w:fill="CFF0FC"/>
          </w:tcPr>
          <w:p>
            <w:pPr>
              <w:jc w:val="right"/>
              <w:ind w:right="150"/>
              <w:spacing w:after="0" w:line="215" w:lineRule="exact"/>
              <w:rPr>
                <w:sz w:val="20"/>
                <w:szCs w:val="20"/>
                <w:color w:val="auto"/>
              </w:rPr>
            </w:pPr>
            <w:r>
              <w:rPr>
                <w:rFonts w:ascii="Calibri" w:cs="Calibri" w:eastAsia="Calibri" w:hAnsi="Calibri"/>
                <w:sz w:val="18"/>
                <w:szCs w:val="18"/>
                <w:b w:val="1"/>
                <w:bCs w:val="1"/>
                <w:color w:val="auto"/>
              </w:rPr>
              <w:t>$</w:t>
            </w:r>
          </w:p>
        </w:tc>
        <w:tc>
          <w:tcPr>
            <w:tcW w:w="4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12</w:t>
            </w:r>
          </w:p>
        </w:tc>
        <w:tc>
          <w:tcPr>
            <w:tcW w:w="9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rPr>
              <w:t>$ 166,291</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120"/>
              <w:spacing w:after="0" w:line="215" w:lineRule="exact"/>
              <w:rPr>
                <w:sz w:val="20"/>
                <w:szCs w:val="20"/>
                <w:color w:val="auto"/>
              </w:rPr>
            </w:pPr>
            <w:r>
              <w:rPr>
                <w:rFonts w:ascii="Calibri" w:cs="Calibri" w:eastAsia="Calibri" w:hAnsi="Calibri"/>
                <w:sz w:val="18"/>
                <w:szCs w:val="18"/>
                <w:b w:val="1"/>
                <w:bCs w:val="1"/>
                <w:color w:val="auto"/>
                <w:w w:val="96"/>
              </w:rPr>
              <w:t>$ (1,041,535 )</w:t>
            </w:r>
          </w:p>
        </w:tc>
        <w:tc>
          <w:tcPr>
            <w:tcW w:w="1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b w:val="1"/>
                <w:bCs w:val="1"/>
                <w:color w:val="auto"/>
                <w:w w:val="87"/>
              </w:rPr>
              <w:t>$</w:t>
            </w:r>
          </w:p>
        </w:tc>
        <w:tc>
          <w:tcPr>
            <w:tcW w:w="920" w:type="dxa"/>
            <w:vAlign w:val="bottom"/>
            <w:tcBorders>
              <w:bottom w:val="single" w:sz="8" w:color="CFF0FC"/>
            </w:tcBorders>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b w:val="1"/>
                <w:bCs w:val="1"/>
                <w:color w:val="auto"/>
              </w:rPr>
              <w:t>(875,224 )</w:t>
            </w:r>
          </w:p>
        </w:tc>
        <w:tc>
          <w:tcPr>
            <w:tcW w:w="0" w:type="dxa"/>
            <w:vAlign w:val="bottom"/>
          </w:tcPr>
          <w:p>
            <w:pPr>
              <w:spacing w:after="0"/>
              <w:rPr>
                <w:sz w:val="1"/>
                <w:szCs w:val="1"/>
                <w:color w:val="auto"/>
              </w:rPr>
            </w:pPr>
          </w:p>
        </w:tc>
      </w:tr>
      <w:tr>
        <w:trPr>
          <w:trHeight w:val="215"/>
        </w:trPr>
        <w:tc>
          <w:tcPr>
            <w:tcW w:w="2940" w:type="dxa"/>
            <w:vAlign w:val="bottom"/>
          </w:tcPr>
          <w:p>
            <w:pPr>
              <w:ind w:left="20"/>
              <w:spacing w:after="0" w:line="215" w:lineRule="exact"/>
              <w:rPr>
                <w:sz w:val="20"/>
                <w:szCs w:val="20"/>
                <w:color w:val="auto"/>
              </w:rPr>
            </w:pPr>
            <w:r>
              <w:rPr>
                <w:rFonts w:ascii="Calibri" w:cs="Calibri" w:eastAsia="Calibri" w:hAnsi="Calibri"/>
                <w:sz w:val="18"/>
                <w:szCs w:val="18"/>
                <w:color w:val="auto"/>
              </w:rPr>
              <w:t>Net income</w:t>
            </w:r>
          </w:p>
        </w:tc>
        <w:tc>
          <w:tcPr>
            <w:tcW w:w="12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14,405</w:t>
            </w:r>
          </w:p>
        </w:tc>
        <w:tc>
          <w:tcPr>
            <w:tcW w:w="22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9,655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9,655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Issuance of shares</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74,089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12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167"/>
        </w:trPr>
        <w:tc>
          <w:tcPr>
            <w:tcW w:w="2940" w:type="dxa"/>
            <w:vAlign w:val="bottom"/>
          </w:tcPr>
          <w:p>
            <w:pPr>
              <w:ind w:left="20"/>
              <w:spacing w:after="0" w:line="166" w:lineRule="exact"/>
              <w:rPr>
                <w:sz w:val="20"/>
                <w:szCs w:val="20"/>
                <w:color w:val="auto"/>
              </w:rPr>
            </w:pPr>
            <w:r>
              <w:rPr>
                <w:rFonts w:ascii="Calibri" w:cs="Calibri" w:eastAsia="Calibri" w:hAnsi="Calibri"/>
                <w:sz w:val="18"/>
                <w:szCs w:val="18"/>
                <w:color w:val="auto"/>
              </w:rPr>
              <w:t>Deemed contributon from former</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40" w:type="dxa"/>
            <w:vAlign w:val="bottom"/>
          </w:tcPr>
          <w:p>
            <w:pPr>
              <w:ind w:left="20"/>
              <w:spacing w:after="0" w:line="215" w:lineRule="exact"/>
              <w:rPr>
                <w:sz w:val="20"/>
                <w:szCs w:val="20"/>
                <w:color w:val="auto"/>
              </w:rPr>
            </w:pPr>
            <w:r>
              <w:rPr>
                <w:rFonts w:ascii="Calibri" w:cs="Calibri" w:eastAsia="Calibri" w:hAnsi="Calibri"/>
                <w:sz w:val="18"/>
                <w:szCs w:val="18"/>
                <w:color w:val="auto"/>
              </w:rPr>
              <w:t>parent</w:t>
            </w:r>
          </w:p>
        </w:tc>
        <w:tc>
          <w:tcPr>
            <w:tcW w:w="120" w:type="dxa"/>
            <w:vAlign w:val="bottom"/>
          </w:tcPr>
          <w:p>
            <w:pPr>
              <w:spacing w:after="0"/>
              <w:rPr>
                <w:sz w:val="18"/>
                <w:szCs w:val="18"/>
                <w:color w:val="auto"/>
              </w:rPr>
            </w:pPr>
          </w:p>
        </w:tc>
        <w:tc>
          <w:tcPr>
            <w:tcW w:w="940" w:type="dxa"/>
            <w:vAlign w:val="bottom"/>
          </w:tcPr>
          <w:p>
            <w:pPr>
              <w:jc w:val="right"/>
              <w:spacing w:after="0" w:line="215" w:lineRule="exact"/>
              <w:rPr>
                <w:sz w:val="20"/>
                <w:szCs w:val="20"/>
                <w:color w:val="auto"/>
              </w:rPr>
            </w:pPr>
            <w:r>
              <w:rPr>
                <w:rFonts w:ascii="Calibri" w:cs="Calibri" w:eastAsia="Calibri" w:hAnsi="Calibri"/>
                <w:sz w:val="18"/>
                <w:szCs w:val="18"/>
                <w:color w:val="auto"/>
              </w:rPr>
              <w:t>699</w:t>
            </w:r>
          </w:p>
        </w:tc>
        <w:tc>
          <w:tcPr>
            <w:tcW w:w="22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9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468</w:t>
            </w:r>
          </w:p>
        </w:tc>
        <w:tc>
          <w:tcPr>
            <w:tcW w:w="180" w:type="dxa"/>
            <w:vAlign w:val="bottom"/>
          </w:tcPr>
          <w:p>
            <w:pPr>
              <w:spacing w:after="0"/>
              <w:rPr>
                <w:sz w:val="18"/>
                <w:szCs w:val="18"/>
                <w:color w:val="auto"/>
              </w:rPr>
            </w:pPr>
          </w:p>
        </w:tc>
        <w:tc>
          <w:tcPr>
            <w:tcW w:w="11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color w:val="auto"/>
              </w:rPr>
              <w:t>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Equity-based compensaton</w:t>
            </w: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920" w:type="dxa"/>
            <w:vAlign w:val="bottom"/>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4,145</w:t>
            </w:r>
          </w:p>
        </w:tc>
        <w:tc>
          <w:tcPr>
            <w:tcW w:w="1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4,145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20"/>
              <w:spacing w:after="0" w:line="166" w:lineRule="exact"/>
              <w:rPr>
                <w:sz w:val="20"/>
                <w:szCs w:val="20"/>
                <w:color w:val="auto"/>
              </w:rPr>
            </w:pPr>
            <w:r>
              <w:rPr>
                <w:rFonts w:ascii="Calibri" w:cs="Calibri" w:eastAsia="Calibri" w:hAnsi="Calibri"/>
                <w:sz w:val="18"/>
                <w:szCs w:val="18"/>
                <w:color w:val="auto"/>
              </w:rPr>
              <w:t>Distributons to non-controlling</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4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w:t>
            </w:r>
          </w:p>
        </w:tc>
        <w:tc>
          <w:tcPr>
            <w:tcW w:w="120" w:type="dxa"/>
            <w:vAlign w:val="bottom"/>
          </w:tcPr>
          <w:p>
            <w:pPr>
              <w:spacing w:after="0"/>
              <w:rPr>
                <w:sz w:val="18"/>
                <w:szCs w:val="18"/>
                <w:color w:val="auto"/>
              </w:rPr>
            </w:pPr>
          </w:p>
        </w:tc>
        <w:tc>
          <w:tcPr>
            <w:tcW w:w="116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w:t>
            </w: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gridSpan w:val="3"/>
          </w:tcPr>
          <w:p>
            <w:pPr>
              <w:jc w:val="right"/>
              <w:ind w:right="120"/>
              <w:spacing w:after="0" w:line="215" w:lineRule="exact"/>
              <w:rPr>
                <w:sz w:val="20"/>
                <w:szCs w:val="20"/>
                <w:color w:val="auto"/>
              </w:rPr>
            </w:pPr>
            <w:r>
              <w:rPr>
                <w:rFonts w:ascii="Calibri" w:cs="Calibri" w:eastAsia="Calibri" w:hAnsi="Calibri"/>
                <w:sz w:val="18"/>
                <w:szCs w:val="18"/>
                <w:color w:val="auto"/>
              </w:rPr>
              <w:t>(4,108 )</w:t>
            </w:r>
          </w:p>
        </w:tc>
        <w:tc>
          <w:tcPr>
            <w:tcW w:w="112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(4,108 )</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940" w:type="dxa"/>
            <w:vAlign w:val="bottom"/>
            <w:shd w:val="clear" w:color="auto" w:fill="CFF0FC"/>
          </w:tcPr>
          <w:p>
            <w:pPr>
              <w:ind w:left="20"/>
              <w:spacing w:after="0" w:line="166" w:lineRule="exact"/>
              <w:rPr>
                <w:sz w:val="20"/>
                <w:szCs w:val="20"/>
                <w:color w:val="auto"/>
              </w:rPr>
            </w:pPr>
            <w:r>
              <w:rPr>
                <w:rFonts w:ascii="Calibri" w:cs="Calibri" w:eastAsia="Calibri" w:hAnsi="Calibri"/>
                <w:sz w:val="18"/>
                <w:szCs w:val="18"/>
                <w:color w:val="auto"/>
              </w:rPr>
              <w:t>Subsequent remeasurement of</w:t>
            </w:r>
          </w:p>
        </w:tc>
        <w:tc>
          <w:tcPr>
            <w:tcW w:w="12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ind w:right="140"/>
              <w:spacing w:after="0"/>
              <w:rPr>
                <w:sz w:val="20"/>
                <w:szCs w:val="20"/>
                <w:color w:val="auto"/>
              </w:rPr>
            </w:pPr>
            <w:r>
              <w:rPr>
                <w:rFonts w:ascii="Calibri" w:cs="Calibri" w:eastAsia="Calibri" w:hAnsi="Calibri"/>
                <w:sz w:val="18"/>
                <w:szCs w:val="18"/>
                <w:color w:val="auto"/>
              </w:rPr>
              <w:t>(439,442 )</w:t>
            </w:r>
          </w:p>
        </w:tc>
        <w:tc>
          <w:tcPr>
            <w:tcW w:w="7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2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w:t>
            </w:r>
          </w:p>
        </w:tc>
        <w:tc>
          <w:tcPr>
            <w:tcW w:w="920" w:type="dxa"/>
            <w:vAlign w:val="bottom"/>
            <w:gridSpan w:val="2"/>
            <w:vMerge w:val="restart"/>
            <w:shd w:val="clear" w:color="auto" w:fill="CFF0FC"/>
          </w:tcPr>
          <w:p>
            <w:pPr>
              <w:jc w:val="right"/>
              <w:spacing w:after="0"/>
              <w:rPr>
                <w:sz w:val="20"/>
                <w:szCs w:val="20"/>
                <w:color w:val="auto"/>
              </w:rPr>
            </w:pPr>
            <w:r>
              <w:rPr>
                <w:rFonts w:ascii="Calibri" w:cs="Calibri" w:eastAsia="Calibri" w:hAnsi="Calibri"/>
                <w:sz w:val="18"/>
                <w:szCs w:val="18"/>
                <w:color w:val="auto"/>
              </w:rPr>
              <w:t>439,442</w:t>
            </w:r>
          </w:p>
        </w:tc>
        <w:tc>
          <w:tcPr>
            <w:tcW w:w="180" w:type="dxa"/>
            <w:vAlign w:val="bottom"/>
            <w:shd w:val="clear" w:color="auto" w:fill="CFF0FC"/>
          </w:tcPr>
          <w:p>
            <w:pPr>
              <w:spacing w:after="0"/>
              <w:rPr>
                <w:sz w:val="14"/>
                <w:szCs w:val="14"/>
                <w:color w:val="auto"/>
              </w:rPr>
            </w:pPr>
          </w:p>
        </w:tc>
        <w:tc>
          <w:tcPr>
            <w:tcW w:w="1120" w:type="dxa"/>
            <w:vAlign w:val="bottom"/>
            <w:gridSpan w:val="2"/>
            <w:vMerge w:val="restart"/>
            <w:shd w:val="clear" w:color="auto" w:fill="CFF0FC"/>
          </w:tcPr>
          <w:p>
            <w:pPr>
              <w:jc w:val="right"/>
              <w:ind w:right="200"/>
              <w:spacing w:after="0"/>
              <w:rPr>
                <w:sz w:val="20"/>
                <w:szCs w:val="20"/>
                <w:color w:val="auto"/>
              </w:rPr>
            </w:pPr>
            <w:r>
              <w:rPr>
                <w:rFonts w:ascii="Calibri" w:cs="Calibri" w:eastAsia="Calibri" w:hAnsi="Calibri"/>
                <w:sz w:val="18"/>
                <w:szCs w:val="18"/>
                <w:color w:val="auto"/>
              </w:rPr>
              <w:t>—</w:t>
            </w:r>
          </w:p>
        </w:tc>
        <w:tc>
          <w:tcPr>
            <w:tcW w:w="14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439,442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9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Redeemable noncontrolling interests</w:t>
            </w:r>
          </w:p>
        </w:tc>
        <w:tc>
          <w:tcPr>
            <w:tcW w:w="120" w:type="dxa"/>
            <w:vAlign w:val="bottom"/>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7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40" w:type="dxa"/>
            <w:vAlign w:val="bottom"/>
            <w:vMerge w:val="continue"/>
            <w:shd w:val="clear" w:color="auto" w:fill="CFF0FC"/>
          </w:tcPr>
          <w:p>
            <w:pPr>
              <w:spacing w:after="0"/>
              <w:rPr>
                <w:sz w:val="19"/>
                <w:szCs w:val="19"/>
                <w:color w:val="auto"/>
              </w:rPr>
            </w:pPr>
          </w:p>
        </w:tc>
        <w:tc>
          <w:tcPr>
            <w:tcW w:w="920" w:type="dxa"/>
            <w:vAlign w:val="bottom"/>
            <w:gridSpan w:val="2"/>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9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20" w:type="dxa"/>
            <w:vAlign w:val="bottom"/>
            <w:tcBorders>
              <w:top w:val="single" w:sz="8" w:color="auto"/>
            </w:tcBorders>
          </w:tcPr>
          <w:p>
            <w:pPr>
              <w:jc w:val="right"/>
              <w:spacing w:after="0" w:line="165" w:lineRule="exact"/>
              <w:rPr>
                <w:sz w:val="20"/>
                <w:szCs w:val="20"/>
                <w:color w:val="auto"/>
              </w:rPr>
            </w:pPr>
            <w:r>
              <w:rPr>
                <w:rFonts w:ascii="Calibri" w:cs="Calibri" w:eastAsia="Calibri" w:hAnsi="Calibri"/>
                <w:sz w:val="18"/>
                <w:szCs w:val="18"/>
                <w:b w:val="1"/>
                <w:bCs w:val="1"/>
                <w:color w:val="auto"/>
              </w:rPr>
              <w:t>79,241,</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80" w:type="dxa"/>
            <w:vAlign w:val="bottom"/>
            <w:tcBorders>
              <w:top w:val="single" w:sz="8" w:color="auto"/>
            </w:tcBorders>
          </w:tcPr>
          <w:p>
            <w:pPr>
              <w:jc w:val="right"/>
              <w:spacing w:after="0" w:line="165" w:lineRule="exact"/>
              <w:rPr>
                <w:sz w:val="20"/>
                <w:szCs w:val="20"/>
                <w:color w:val="auto"/>
              </w:rPr>
            </w:pPr>
            <w:r>
              <w:rPr>
                <w:rFonts w:ascii="Calibri" w:cs="Calibri" w:eastAsia="Calibri" w:hAnsi="Calibri"/>
                <w:sz w:val="18"/>
                <w:szCs w:val="18"/>
                <w:b w:val="1"/>
                <w:bCs w:val="1"/>
                <w:color w:val="auto"/>
              </w:rPr>
              <w:t>118,200,</w:t>
            </w:r>
          </w:p>
        </w:tc>
        <w:tc>
          <w:tcPr>
            <w:tcW w:w="20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940" w:type="dxa"/>
            <w:vAlign w:val="bottom"/>
          </w:tcPr>
          <w:p>
            <w:pPr>
              <w:ind w:left="20"/>
              <w:spacing w:after="0"/>
              <w:rPr>
                <w:sz w:val="20"/>
                <w:szCs w:val="20"/>
                <w:color w:val="auto"/>
              </w:rPr>
            </w:pPr>
            <w:r>
              <w:rPr>
                <w:rFonts w:ascii="Calibri" w:cs="Calibri" w:eastAsia="Calibri" w:hAnsi="Calibri"/>
                <w:sz w:val="18"/>
                <w:szCs w:val="18"/>
                <w:b w:val="1"/>
                <w:bCs w:val="1"/>
                <w:color w:val="auto"/>
              </w:rPr>
              <w:t>Balances at June 30, 2022</w:t>
            </w:r>
          </w:p>
        </w:tc>
        <w:tc>
          <w:tcPr>
            <w:tcW w:w="1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w w:val="87"/>
              </w:rPr>
              <w:t>$</w:t>
            </w:r>
          </w:p>
        </w:tc>
        <w:tc>
          <w:tcPr>
            <w:tcW w:w="9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882,954</w:t>
            </w:r>
          </w:p>
        </w:tc>
        <w:tc>
          <w:tcPr>
            <w:tcW w:w="220" w:type="dxa"/>
            <w:vAlign w:val="bottom"/>
          </w:tcPr>
          <w:p>
            <w:pPr>
              <w:spacing w:after="0"/>
              <w:rPr>
                <w:sz w:val="20"/>
                <w:szCs w:val="20"/>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032</w:t>
            </w:r>
          </w:p>
        </w:tc>
        <w:tc>
          <w:tcPr>
            <w:tcW w:w="3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b w:val="1"/>
                <w:bCs w:val="1"/>
                <w:color w:val="auto"/>
              </w:rPr>
              <w:t>$</w:t>
            </w:r>
          </w:p>
        </w:tc>
        <w:tc>
          <w:tcPr>
            <w:tcW w:w="7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8</w:t>
            </w:r>
          </w:p>
        </w:tc>
        <w:tc>
          <w:tcPr>
            <w:tcW w:w="100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000</w:t>
            </w:r>
          </w:p>
        </w:tc>
        <w:tc>
          <w:tcPr>
            <w:tcW w:w="540" w:type="dxa"/>
            <w:vAlign w:val="bottom"/>
            <w:gridSpan w:val="2"/>
          </w:tcPr>
          <w:p>
            <w:pPr>
              <w:jc w:val="right"/>
              <w:ind w:right="150"/>
              <w:spacing w:after="0" w:line="215" w:lineRule="exact"/>
              <w:rPr>
                <w:sz w:val="20"/>
                <w:szCs w:val="20"/>
                <w:color w:val="auto"/>
              </w:rPr>
            </w:pPr>
            <w:r>
              <w:rPr>
                <w:rFonts w:ascii="Calibri" w:cs="Calibri" w:eastAsia="Calibri" w:hAnsi="Calibri"/>
                <w:sz w:val="18"/>
                <w:szCs w:val="18"/>
                <w:b w:val="1"/>
                <w:bCs w:val="1"/>
                <w:color w:val="auto"/>
              </w:rPr>
              <w:t>$</w:t>
            </w:r>
          </w:p>
        </w:tc>
        <w:tc>
          <w:tcPr>
            <w:tcW w:w="4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12</w:t>
            </w:r>
          </w:p>
        </w:tc>
        <w:tc>
          <w:tcPr>
            <w:tcW w:w="920" w:type="dxa"/>
            <w:vAlign w:val="bottom"/>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$ 606,238</w:t>
            </w:r>
          </w:p>
        </w:tc>
        <w:tc>
          <w:tcPr>
            <w:tcW w:w="180" w:type="dxa"/>
            <w:vAlign w:val="bottom"/>
          </w:tcPr>
          <w:p>
            <w:pPr>
              <w:spacing w:after="0"/>
              <w:rPr>
                <w:sz w:val="20"/>
                <w:szCs w:val="20"/>
                <w:color w:val="auto"/>
              </w:rPr>
            </w:pPr>
          </w:p>
        </w:tc>
        <w:tc>
          <w:tcPr>
            <w:tcW w:w="11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b w:val="1"/>
                <w:bCs w:val="1"/>
                <w:color w:val="auto"/>
                <w:w w:val="96"/>
              </w:rPr>
              <w:t>$ (1,031,880 )</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w w:val="87"/>
              </w:rPr>
              <w:t>$</w:t>
            </w:r>
          </w:p>
        </w:tc>
        <w:tc>
          <w:tcPr>
            <w:tcW w:w="9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b w:val="1"/>
                <w:bCs w:val="1"/>
                <w:color w:val="auto"/>
              </w:rPr>
              <w:t>(425,622 )</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-290830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-290830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-290830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-290830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-290830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-290830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-290830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-290830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32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 w:name="page10"/>
    <w:bookmarkEnd w:id="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CONDENSED CONSOLIDATED STATEMENTS OF CASH FLOWS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40" w:type="dxa"/>
            <w:vAlign w:val="bottom"/>
          </w:tcPr>
          <w:p>
            <w:pPr>
              <w:spacing w:after="0"/>
              <w:rPr>
                <w:sz w:val="19"/>
                <w:szCs w:val="19"/>
                <w:color w:val="auto"/>
              </w:rPr>
            </w:pPr>
          </w:p>
        </w:tc>
        <w:tc>
          <w:tcPr>
            <w:tcW w:w="2980" w:type="dxa"/>
            <w:vAlign w:val="bottom"/>
            <w:gridSpan w:val="4"/>
          </w:tcPr>
          <w:p>
            <w:pPr>
              <w:jc w:val="right"/>
              <w:ind w:right="110"/>
              <w:spacing w:after="0"/>
              <w:rPr>
                <w:sz w:val="20"/>
                <w:szCs w:val="20"/>
                <w:color w:val="auto"/>
              </w:rPr>
            </w:pPr>
            <w:r>
              <w:rPr>
                <w:rFonts w:ascii="Calibri" w:cs="Calibri" w:eastAsia="Calibri" w:hAnsi="Calibri"/>
                <w:sz w:val="18"/>
                <w:szCs w:val="18"/>
                <w:b w:val="1"/>
                <w:bCs w:val="1"/>
                <w:color w:val="auto"/>
              </w:rPr>
              <w:t>Six Months Ended June 30,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
        </w:trPr>
        <w:tc>
          <w:tcPr>
            <w:tcW w:w="7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754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2022</w:t>
            </w:r>
          </w:p>
        </w:tc>
        <w:tc>
          <w:tcPr>
            <w:tcW w:w="6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5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Cash fows from operatng actvites</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(loss)</w:t>
            </w:r>
          </w:p>
        </w:tc>
        <w:tc>
          <w:tcPr>
            <w:tcW w:w="1020" w:type="dxa"/>
            <w:vAlign w:val="bottom"/>
          </w:tcPr>
          <w:p>
            <w:pPr>
              <w:jc w:val="right"/>
              <w:ind w:right="830"/>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27,198</w:t>
            </w:r>
          </w:p>
        </w:tc>
        <w:tc>
          <w:tcPr>
            <w:tcW w:w="260" w:type="dxa"/>
            <w:vAlign w:val="bottom"/>
          </w:tcPr>
          <w:p>
            <w:pPr>
              <w:spacing w:after="0"/>
              <w:rPr>
                <w:sz w:val="18"/>
                <w:szCs w:val="18"/>
                <w:color w:val="auto"/>
              </w:rPr>
            </w:pPr>
          </w:p>
        </w:tc>
        <w:tc>
          <w:tcPr>
            <w:tcW w:w="1040" w:type="dxa"/>
            <w:vAlign w:val="bottom"/>
          </w:tcPr>
          <w:p>
            <w:pPr>
              <w:jc w:val="right"/>
              <w:ind w:right="850"/>
              <w:spacing w:after="0" w:line="215" w:lineRule="exact"/>
              <w:rPr>
                <w:sz w:val="20"/>
                <w:szCs w:val="20"/>
                <w:color w:val="auto"/>
              </w:rPr>
            </w:pPr>
            <w:r>
              <w:rPr>
                <w:rFonts w:ascii="Calibri" w:cs="Calibri" w:eastAsia="Calibri" w:hAnsi="Calibri"/>
                <w:sz w:val="18"/>
                <w:szCs w:val="18"/>
                <w:color w:val="auto"/>
                <w:w w:val="87"/>
              </w:rPr>
              <w:t>$</w:t>
            </w:r>
          </w:p>
        </w:tc>
        <w:tc>
          <w:tcPr>
            <w:tcW w:w="7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(17,606 )</w:t>
            </w:r>
          </w:p>
        </w:tc>
      </w:tr>
      <w:tr>
        <w:trPr>
          <w:trHeight w:val="217"/>
        </w:trPr>
        <w:tc>
          <w:tcPr>
            <w:tcW w:w="75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b w:val="1"/>
                <w:bCs w:val="1"/>
                <w:color w:val="auto"/>
              </w:rPr>
              <w:t>Adjustments to reconcile net income (loss) to net cash provided by operatng actvites:</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Depreciaton and amortzaton</w:t>
            </w:r>
          </w:p>
        </w:tc>
        <w:tc>
          <w:tcPr>
            <w:tcW w:w="102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3,111</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795</w:t>
            </w:r>
          </w:p>
        </w:tc>
        <w:tc>
          <w:tcPr>
            <w:tcW w:w="100" w:type="dxa"/>
            <w:vAlign w:val="bottom"/>
          </w:tcPr>
          <w:p>
            <w:pPr>
              <w:spacing w:after="0"/>
              <w:rPr>
                <w:sz w:val="18"/>
                <w:szCs w:val="18"/>
                <w:color w:val="auto"/>
              </w:rPr>
            </w:pP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Amortzaton of deferred fnancing costs and interest rate cap</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575</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2,680</w:t>
            </w: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Equity-based compensaton expense</w:t>
            </w:r>
          </w:p>
        </w:tc>
        <w:tc>
          <w:tcPr>
            <w:tcW w:w="102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8,909</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2,274</w:t>
            </w:r>
          </w:p>
        </w:tc>
        <w:tc>
          <w:tcPr>
            <w:tcW w:w="100" w:type="dxa"/>
            <w:vAlign w:val="bottom"/>
          </w:tcPr>
          <w:p>
            <w:pPr>
              <w:spacing w:after="0"/>
              <w:rPr>
                <w:sz w:val="18"/>
                <w:szCs w:val="18"/>
                <w:color w:val="auto"/>
              </w:rPr>
            </w:pP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Loss on extnguishment of debt</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4,285</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Change in fair value of warrants</w:t>
            </w:r>
          </w:p>
        </w:tc>
        <w:tc>
          <w:tcPr>
            <w:tcW w:w="1020" w:type="dxa"/>
            <w:vAlign w:val="bottom"/>
          </w:tcPr>
          <w:p>
            <w:pPr>
              <w:spacing w:after="0"/>
              <w:rPr>
                <w:sz w:val="18"/>
                <w:szCs w:val="18"/>
                <w:color w:val="auto"/>
              </w:rPr>
            </w:pPr>
          </w:p>
        </w:tc>
        <w:tc>
          <w:tcPr>
            <w:tcW w:w="92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(6,553 )</w:t>
            </w:r>
          </w:p>
        </w:tc>
        <w:tc>
          <w:tcPr>
            <w:tcW w:w="1040" w:type="dxa"/>
            <w:vAlign w:val="bottom"/>
          </w:tcPr>
          <w:p>
            <w:pPr>
              <w:spacing w:after="0"/>
              <w:rPr>
                <w:sz w:val="18"/>
                <w:szCs w:val="18"/>
                <w:color w:val="auto"/>
              </w:rPr>
            </w:pPr>
          </w:p>
        </w:tc>
        <w:tc>
          <w:tcPr>
            <w:tcW w:w="72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Interest expense paid-in-kind</w:t>
            </w:r>
          </w:p>
        </w:tc>
        <w:tc>
          <w:tcPr>
            <w:tcW w:w="10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90"/>
              <w:spacing w:after="0" w:line="216" w:lineRule="exact"/>
              <w:rPr>
                <w:sz w:val="20"/>
                <w:szCs w:val="20"/>
                <w:color w:val="auto"/>
              </w:rPr>
            </w:pPr>
            <w:r>
              <w:rPr>
                <w:rFonts w:ascii="Calibri" w:cs="Calibri" w:eastAsia="Calibri" w:hAnsi="Calibri"/>
                <w:sz w:val="18"/>
                <w:szCs w:val="18"/>
                <w:color w:val="auto"/>
              </w:rPr>
              <w:t>—</w:t>
            </w: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16,164</w:t>
            </w: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Amortzaton of leases</w:t>
            </w:r>
          </w:p>
        </w:tc>
        <w:tc>
          <w:tcPr>
            <w:tcW w:w="102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1,177</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5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b w:val="1"/>
                <w:bCs w:val="1"/>
                <w:color w:val="auto"/>
              </w:rPr>
              <w:t>Change in assets and liabilites:</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Accounts receivable</w:t>
            </w:r>
          </w:p>
        </w:tc>
        <w:tc>
          <w:tcPr>
            <w:tcW w:w="1020" w:type="dxa"/>
            <w:vAlign w:val="bottom"/>
          </w:tcPr>
          <w:p>
            <w:pPr>
              <w:spacing w:after="0"/>
              <w:rPr>
                <w:sz w:val="18"/>
                <w:szCs w:val="18"/>
                <w:color w:val="auto"/>
              </w:rPr>
            </w:pPr>
          </w:p>
        </w:tc>
        <w:tc>
          <w:tcPr>
            <w:tcW w:w="92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(8,171 )</w:t>
            </w:r>
          </w:p>
        </w:tc>
        <w:tc>
          <w:tcPr>
            <w:tcW w:w="1040" w:type="dxa"/>
            <w:vAlign w:val="bottom"/>
          </w:tcPr>
          <w:p>
            <w:pPr>
              <w:spacing w:after="0"/>
              <w:rPr>
                <w:sz w:val="18"/>
                <w:szCs w:val="18"/>
                <w:color w:val="auto"/>
              </w:rPr>
            </w:pPr>
          </w:p>
        </w:tc>
        <w:tc>
          <w:tcPr>
            <w:tcW w:w="7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(16,943 )</w:t>
            </w: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Inventory</w:t>
            </w:r>
          </w:p>
        </w:tc>
        <w:tc>
          <w:tcPr>
            <w:tcW w:w="10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rPr>
              <w:t>(9,429 )</w:t>
            </w:r>
          </w:p>
        </w:tc>
        <w:tc>
          <w:tcPr>
            <w:tcW w:w="10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(14,250 )</w:t>
            </w: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102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13,412</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(38,154 )</w:t>
            </w: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Accounts payable</w:t>
            </w:r>
          </w:p>
        </w:tc>
        <w:tc>
          <w:tcPr>
            <w:tcW w:w="10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rPr>
              <w:t>(638 )</w:t>
            </w: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97"/>
              </w:rPr>
              <w:t>174,978</w:t>
            </w: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Accrued expenses and other current liabilites</w:t>
            </w:r>
          </w:p>
        </w:tc>
        <w:tc>
          <w:tcPr>
            <w:tcW w:w="1020" w:type="dxa"/>
            <w:vAlign w:val="bottom"/>
          </w:tcPr>
          <w:p>
            <w:pPr>
              <w:spacing w:after="0"/>
              <w:rPr>
                <w:sz w:val="18"/>
                <w:szCs w:val="18"/>
                <w:color w:val="auto"/>
              </w:rPr>
            </w:pPr>
          </w:p>
        </w:tc>
        <w:tc>
          <w:tcPr>
            <w:tcW w:w="92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(38,014 )</w:t>
            </w:r>
          </w:p>
        </w:tc>
        <w:tc>
          <w:tcPr>
            <w:tcW w:w="10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62,070</w:t>
            </w:r>
          </w:p>
        </w:tc>
        <w:tc>
          <w:tcPr>
            <w:tcW w:w="100" w:type="dxa"/>
            <w:vAlign w:val="bottom"/>
          </w:tcPr>
          <w:p>
            <w:pPr>
              <w:spacing w:after="0"/>
              <w:rPr>
                <w:sz w:val="18"/>
                <w:szCs w:val="18"/>
                <w:color w:val="auto"/>
              </w:rPr>
            </w:pP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Deferred revenue</w:t>
            </w:r>
          </w:p>
        </w:tc>
        <w:tc>
          <w:tcPr>
            <w:tcW w:w="10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7,518</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10,661</w:t>
            </w: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Other assets and liabilites</w:t>
            </w:r>
          </w:p>
        </w:tc>
        <w:tc>
          <w:tcPr>
            <w:tcW w:w="1020" w:type="dxa"/>
            <w:vAlign w:val="bottom"/>
          </w:tcPr>
          <w:p>
            <w:pPr>
              <w:spacing w:after="0"/>
              <w:rPr>
                <w:sz w:val="18"/>
                <w:szCs w:val="18"/>
                <w:color w:val="auto"/>
              </w:rPr>
            </w:pPr>
          </w:p>
        </w:tc>
        <w:tc>
          <w:tcPr>
            <w:tcW w:w="92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(1,974 )</w:t>
            </w:r>
          </w:p>
        </w:tc>
        <w:tc>
          <w:tcPr>
            <w:tcW w:w="1040" w:type="dxa"/>
            <w:vAlign w:val="bottom"/>
          </w:tcPr>
          <w:p>
            <w:pPr>
              <w:spacing w:after="0"/>
              <w:rPr>
                <w:sz w:val="18"/>
                <w:szCs w:val="18"/>
                <w:color w:val="auto"/>
              </w:rPr>
            </w:pP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327</w:t>
            </w:r>
          </w:p>
        </w:tc>
        <w:tc>
          <w:tcPr>
            <w:tcW w:w="100" w:type="dxa"/>
            <w:vAlign w:val="bottom"/>
          </w:tcPr>
          <w:p>
            <w:pPr>
              <w:spacing w:after="0"/>
              <w:rPr>
                <w:sz w:val="18"/>
                <w:szCs w:val="18"/>
                <w:color w:val="auto"/>
              </w:rPr>
            </w:pPr>
          </w:p>
        </w:tc>
      </w:tr>
      <w:tr>
        <w:trPr>
          <w:trHeight w:val="211"/>
        </w:trPr>
        <w:tc>
          <w:tcPr>
            <w:tcW w:w="75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cash provided by operatng actvites</w:t>
            </w:r>
          </w:p>
        </w:tc>
        <w:tc>
          <w:tcPr>
            <w:tcW w:w="10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1,406</w:t>
            </w:r>
          </w:p>
        </w:tc>
        <w:tc>
          <w:tcPr>
            <w:tcW w:w="26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97"/>
              </w:rPr>
              <w:t>182,996</w:t>
            </w: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investng actvites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Purchases of property and equipment</w:t>
            </w:r>
          </w:p>
        </w:tc>
        <w:tc>
          <w:tcPr>
            <w:tcW w:w="10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rPr>
              <w:t>(1,392 )</w:t>
            </w:r>
          </w:p>
        </w:tc>
        <w:tc>
          <w:tcPr>
            <w:tcW w:w="10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(250 )</w:t>
            </w: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Purchases of personal seat licenses</w:t>
            </w:r>
          </w:p>
        </w:tc>
        <w:tc>
          <w:tcPr>
            <w:tcW w:w="1020" w:type="dxa"/>
            <w:vAlign w:val="bottom"/>
          </w:tcPr>
          <w:p>
            <w:pPr>
              <w:spacing w:after="0"/>
              <w:rPr>
                <w:sz w:val="18"/>
                <w:szCs w:val="18"/>
                <w:color w:val="auto"/>
              </w:rPr>
            </w:pPr>
          </w:p>
        </w:tc>
        <w:tc>
          <w:tcPr>
            <w:tcW w:w="92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(137 )</w:t>
            </w:r>
          </w:p>
        </w:tc>
        <w:tc>
          <w:tcPr>
            <w:tcW w:w="1040" w:type="dxa"/>
            <w:vAlign w:val="bottom"/>
          </w:tcPr>
          <w:p>
            <w:pPr>
              <w:spacing w:after="0"/>
              <w:rPr>
                <w:sz w:val="18"/>
                <w:szCs w:val="18"/>
                <w:color w:val="auto"/>
              </w:rPr>
            </w:pPr>
          </w:p>
        </w:tc>
        <w:tc>
          <w:tcPr>
            <w:tcW w:w="7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(76 )</w:t>
            </w: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Investments in developed technology</w:t>
            </w:r>
          </w:p>
        </w:tc>
        <w:tc>
          <w:tcPr>
            <w:tcW w:w="10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rPr>
              <w:t>(5,394 )</w:t>
            </w:r>
          </w:p>
        </w:tc>
        <w:tc>
          <w:tcPr>
            <w:tcW w:w="10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(3,886 )</w:t>
            </w: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Cash adjustment in acquisiton</w:t>
            </w:r>
          </w:p>
        </w:tc>
        <w:tc>
          <w:tcPr>
            <w:tcW w:w="1020" w:type="dxa"/>
            <w:vAlign w:val="bottom"/>
          </w:tcPr>
          <w:p>
            <w:pPr>
              <w:spacing w:after="0"/>
              <w:rPr>
                <w:sz w:val="18"/>
                <w:szCs w:val="18"/>
                <w:color w:val="auto"/>
              </w:rPr>
            </w:pPr>
          </w:p>
        </w:tc>
        <w:tc>
          <w:tcPr>
            <w:tcW w:w="92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(8 )</w:t>
            </w:r>
          </w:p>
        </w:tc>
        <w:tc>
          <w:tcPr>
            <w:tcW w:w="1040" w:type="dxa"/>
            <w:vAlign w:val="bottom"/>
          </w:tcPr>
          <w:p>
            <w:pPr>
              <w:spacing w:after="0"/>
              <w:rPr>
                <w:sz w:val="18"/>
                <w:szCs w:val="18"/>
                <w:color w:val="auto"/>
              </w:rPr>
            </w:pPr>
          </w:p>
        </w:tc>
        <w:tc>
          <w:tcPr>
            <w:tcW w:w="72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1"/>
        </w:trPr>
        <w:tc>
          <w:tcPr>
            <w:tcW w:w="75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cash used in investng actvites</w:t>
            </w:r>
          </w:p>
        </w:tc>
        <w:tc>
          <w:tcPr>
            <w:tcW w:w="10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(6,931</w:t>
            </w:r>
          </w:p>
        </w:tc>
        <w:tc>
          <w:tcPr>
            <w:tcW w:w="260" w:type="dxa"/>
            <w:vAlign w:val="bottom"/>
            <w:shd w:val="clear" w:color="auto" w:fill="CFF0FC"/>
          </w:tcPr>
          <w:p>
            <w:pPr>
              <w:jc w:val="right"/>
              <w:ind w:right="110"/>
              <w:spacing w:after="0" w:line="210" w:lineRule="exact"/>
              <w:rPr>
                <w:sz w:val="20"/>
                <w:szCs w:val="20"/>
                <w:color w:val="auto"/>
              </w:rPr>
            </w:pPr>
            <w:r>
              <w:rPr>
                <w:rFonts w:ascii="Calibri" w:cs="Calibri" w:eastAsia="Calibri" w:hAnsi="Calibri"/>
                <w:sz w:val="18"/>
                <w:szCs w:val="18"/>
                <w:b w:val="1"/>
                <w:bCs w:val="1"/>
                <w:color w:val="auto"/>
                <w:w w:val="70"/>
              </w:rPr>
              <w:t>)</w:t>
            </w:r>
          </w:p>
        </w:tc>
        <w:tc>
          <w:tcPr>
            <w:tcW w:w="10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(4,212</w:t>
            </w:r>
          </w:p>
        </w:tc>
        <w:tc>
          <w:tcPr>
            <w:tcW w:w="1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70"/>
              </w:rPr>
              <w:t>)</w:t>
            </w:r>
          </w:p>
        </w:tc>
      </w:tr>
      <w:tr>
        <w:trPr>
          <w:trHeight w:val="215"/>
        </w:trPr>
        <w:tc>
          <w:tcPr>
            <w:tcW w:w="75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Cash fows from fnancing actvites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Payments of June 2017 First Lien Loan</w:t>
            </w:r>
          </w:p>
        </w:tc>
        <w:tc>
          <w:tcPr>
            <w:tcW w:w="10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w w:val="94"/>
              </w:rPr>
              <w:t>(465,712 )</w:t>
            </w:r>
          </w:p>
        </w:tc>
        <w:tc>
          <w:tcPr>
            <w:tcW w:w="10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(3,206 )</w:t>
            </w: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Proceeds from February 2022 First Lien Loan</w:t>
            </w:r>
          </w:p>
        </w:tc>
        <w:tc>
          <w:tcPr>
            <w:tcW w:w="1020" w:type="dxa"/>
            <w:vAlign w:val="bottom"/>
          </w:tcPr>
          <w:p>
            <w:pPr>
              <w:spacing w:after="0"/>
              <w:rPr>
                <w:sz w:val="18"/>
                <w:szCs w:val="18"/>
                <w:color w:val="auto"/>
              </w:rPr>
            </w:pPr>
          </w:p>
        </w:tc>
        <w:tc>
          <w:tcPr>
            <w:tcW w:w="660" w:type="dxa"/>
            <w:vAlign w:val="bottom"/>
          </w:tcPr>
          <w:p>
            <w:pPr>
              <w:jc w:val="right"/>
              <w:spacing w:after="0" w:line="215" w:lineRule="exact"/>
              <w:rPr>
                <w:sz w:val="20"/>
                <w:szCs w:val="20"/>
                <w:color w:val="auto"/>
              </w:rPr>
            </w:pPr>
            <w:r>
              <w:rPr>
                <w:rFonts w:ascii="Calibri" w:cs="Calibri" w:eastAsia="Calibri" w:hAnsi="Calibri"/>
                <w:sz w:val="18"/>
                <w:szCs w:val="18"/>
                <w:color w:val="auto"/>
              </w:rPr>
              <w:t>275,000</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Payments of deferred fnancing costs and other debt-related costs</w:t>
            </w:r>
          </w:p>
        </w:tc>
        <w:tc>
          <w:tcPr>
            <w:tcW w:w="10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10"/>
              <w:spacing w:after="0" w:line="216" w:lineRule="exact"/>
              <w:rPr>
                <w:sz w:val="20"/>
                <w:szCs w:val="20"/>
                <w:color w:val="auto"/>
              </w:rPr>
            </w:pPr>
            <w:r>
              <w:rPr>
                <w:rFonts w:ascii="Calibri" w:cs="Calibri" w:eastAsia="Calibri" w:hAnsi="Calibri"/>
                <w:sz w:val="18"/>
                <w:szCs w:val="18"/>
                <w:color w:val="auto"/>
              </w:rPr>
              <w:t>(4,856 )</w:t>
            </w:r>
          </w:p>
        </w:tc>
        <w:tc>
          <w:tcPr>
            <w:tcW w:w="10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Payments of February 2022 First Lien Loan</w:t>
            </w:r>
          </w:p>
        </w:tc>
        <w:tc>
          <w:tcPr>
            <w:tcW w:w="1020" w:type="dxa"/>
            <w:vAlign w:val="bottom"/>
          </w:tcPr>
          <w:p>
            <w:pPr>
              <w:spacing w:after="0"/>
              <w:rPr>
                <w:sz w:val="18"/>
                <w:szCs w:val="18"/>
                <w:color w:val="auto"/>
              </w:rPr>
            </w:pPr>
          </w:p>
        </w:tc>
        <w:tc>
          <w:tcPr>
            <w:tcW w:w="920" w:type="dxa"/>
            <w:vAlign w:val="bottom"/>
            <w:gridSpan w:val="2"/>
          </w:tcPr>
          <w:p>
            <w:pPr>
              <w:jc w:val="right"/>
              <w:ind w:right="110"/>
              <w:spacing w:after="0" w:line="215" w:lineRule="exact"/>
              <w:rPr>
                <w:sz w:val="20"/>
                <w:szCs w:val="20"/>
                <w:color w:val="auto"/>
              </w:rPr>
            </w:pPr>
            <w:r>
              <w:rPr>
                <w:rFonts w:ascii="Calibri" w:cs="Calibri" w:eastAsia="Calibri" w:hAnsi="Calibri"/>
                <w:sz w:val="18"/>
                <w:szCs w:val="18"/>
                <w:color w:val="auto"/>
              </w:rPr>
              <w:t>(687 )</w:t>
            </w:r>
          </w:p>
        </w:tc>
        <w:tc>
          <w:tcPr>
            <w:tcW w:w="1040" w:type="dxa"/>
            <w:vAlign w:val="bottom"/>
          </w:tcPr>
          <w:p>
            <w:pPr>
              <w:spacing w:after="0"/>
              <w:rPr>
                <w:sz w:val="18"/>
                <w:szCs w:val="18"/>
                <w:color w:val="auto"/>
              </w:rPr>
            </w:pPr>
          </w:p>
        </w:tc>
        <w:tc>
          <w:tcPr>
            <w:tcW w:w="720" w:type="dxa"/>
            <w:vAlign w:val="bottom"/>
            <w:gridSpan w:val="2"/>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0"/>
        </w:trPr>
        <w:tc>
          <w:tcPr>
            <w:tcW w:w="754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Net cash used in fnancing actvites</w:t>
            </w: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95"/>
              </w:rPr>
              <w:t>(196,255</w:t>
            </w:r>
          </w:p>
        </w:tc>
        <w:tc>
          <w:tcPr>
            <w:tcW w:w="260" w:type="dxa"/>
            <w:vAlign w:val="bottom"/>
            <w:tcBorders>
              <w:bottom w:val="single" w:sz="8" w:color="CFF0FC"/>
            </w:tcBorders>
            <w:shd w:val="clear" w:color="auto" w:fill="CFF0FC"/>
          </w:tcPr>
          <w:p>
            <w:pPr>
              <w:jc w:val="right"/>
              <w:ind w:right="110"/>
              <w:spacing w:after="0" w:line="210" w:lineRule="exact"/>
              <w:rPr>
                <w:sz w:val="20"/>
                <w:szCs w:val="20"/>
                <w:color w:val="auto"/>
              </w:rPr>
            </w:pPr>
            <w:r>
              <w:rPr>
                <w:rFonts w:ascii="Calibri" w:cs="Calibri" w:eastAsia="Calibri" w:hAnsi="Calibri"/>
                <w:sz w:val="18"/>
                <w:szCs w:val="18"/>
                <w:b w:val="1"/>
                <w:bCs w:val="1"/>
                <w:color w:val="auto"/>
                <w:w w:val="70"/>
              </w:rPr>
              <w:t>)</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(3,206</w:t>
            </w:r>
          </w:p>
        </w:tc>
        <w:tc>
          <w:tcPr>
            <w:tcW w:w="100" w:type="dxa"/>
            <w:vAlign w:val="bottom"/>
            <w:tcBorders>
              <w:bottom w:val="single" w:sz="8" w:color="CFF0FC"/>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70"/>
              </w:rPr>
              <w:t>)</w:t>
            </w:r>
          </w:p>
        </w:tc>
      </w:tr>
      <w:tr>
        <w:trPr>
          <w:trHeight w:val="210"/>
        </w:trPr>
        <w:tc>
          <w:tcPr>
            <w:tcW w:w="754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Net increase (decrease) in cash, cash equivalents, and restricted cash</w:t>
            </w:r>
          </w:p>
        </w:tc>
        <w:tc>
          <w:tcPr>
            <w:tcW w:w="1020" w:type="dxa"/>
            <w:vAlign w:val="bottom"/>
          </w:tcPr>
          <w:p>
            <w:pPr>
              <w:spacing w:after="0"/>
              <w:rPr>
                <w:sz w:val="18"/>
                <w:szCs w:val="18"/>
                <w:color w:val="auto"/>
              </w:rPr>
            </w:pPr>
          </w:p>
        </w:tc>
        <w:tc>
          <w:tcPr>
            <w:tcW w:w="920" w:type="dxa"/>
            <w:vAlign w:val="bottom"/>
            <w:gridSpan w:val="2"/>
          </w:tcPr>
          <w:p>
            <w:pPr>
              <w:jc w:val="right"/>
              <w:ind w:right="110"/>
              <w:spacing w:after="0" w:line="209" w:lineRule="exact"/>
              <w:rPr>
                <w:sz w:val="20"/>
                <w:szCs w:val="20"/>
                <w:color w:val="auto"/>
              </w:rPr>
            </w:pPr>
            <w:r>
              <w:rPr>
                <w:rFonts w:ascii="Calibri" w:cs="Calibri" w:eastAsia="Calibri" w:hAnsi="Calibri"/>
                <w:sz w:val="18"/>
                <w:szCs w:val="18"/>
                <w:b w:val="1"/>
                <w:bCs w:val="1"/>
                <w:color w:val="auto"/>
                <w:w w:val="93"/>
              </w:rPr>
              <w:t>(201,780 )</w:t>
            </w:r>
          </w:p>
        </w:tc>
        <w:tc>
          <w:tcPr>
            <w:tcW w:w="1040" w:type="dxa"/>
            <w:vAlign w:val="bottom"/>
          </w:tcPr>
          <w:p>
            <w:pPr>
              <w:spacing w:after="0"/>
              <w:rPr>
                <w:sz w:val="18"/>
                <w:szCs w:val="18"/>
                <w:color w:val="auto"/>
              </w:rPr>
            </w:pPr>
          </w:p>
        </w:tc>
        <w:tc>
          <w:tcPr>
            <w:tcW w:w="6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w w:val="97"/>
              </w:rPr>
              <w:t>175,578</w:t>
            </w:r>
          </w:p>
        </w:tc>
        <w:tc>
          <w:tcPr>
            <w:tcW w:w="100" w:type="dxa"/>
            <w:vAlign w:val="bottom"/>
          </w:tcPr>
          <w:p>
            <w:pPr>
              <w:spacing w:after="0"/>
              <w:rPr>
                <w:sz w:val="18"/>
                <w:szCs w:val="18"/>
                <w:color w:val="auto"/>
              </w:rPr>
            </w:pPr>
          </w:p>
        </w:tc>
      </w:tr>
      <w:tr>
        <w:trPr>
          <w:trHeight w:val="209"/>
        </w:trPr>
        <w:tc>
          <w:tcPr>
            <w:tcW w:w="754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Cash, cash equivalents, and restricted cash – beginning of period</w:t>
            </w: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489,810</w:t>
            </w:r>
          </w:p>
        </w:tc>
        <w:tc>
          <w:tcPr>
            <w:tcW w:w="2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w w:val="97"/>
              </w:rPr>
              <w:t>285,337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Cash, cash equivalents, and restricted cash – end of period</w:t>
            </w:r>
          </w:p>
        </w:tc>
        <w:tc>
          <w:tcPr>
            <w:tcW w:w="1020" w:type="dxa"/>
            <w:vAlign w:val="bottom"/>
            <w:tcBorders>
              <w:bottom w:val="single" w:sz="8" w:color="auto"/>
            </w:tcBorders>
          </w:tcPr>
          <w:p>
            <w:pPr>
              <w:jc w:val="right"/>
              <w:ind w:right="830"/>
              <w:spacing w:after="0" w:line="210" w:lineRule="exact"/>
              <w:rPr>
                <w:sz w:val="20"/>
                <w:szCs w:val="20"/>
                <w:color w:val="auto"/>
              </w:rPr>
            </w:pPr>
            <w:r>
              <w:rPr>
                <w:rFonts w:ascii="Calibri" w:cs="Calibri" w:eastAsia="Calibri" w:hAnsi="Calibri"/>
                <w:sz w:val="18"/>
                <w:szCs w:val="18"/>
                <w:b w:val="1"/>
                <w:bCs w:val="1"/>
                <w:color w:val="auto"/>
                <w:w w:val="87"/>
              </w:rPr>
              <w:t>$</w:t>
            </w:r>
          </w:p>
        </w:tc>
        <w:tc>
          <w:tcPr>
            <w:tcW w:w="66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288,030</w:t>
            </w: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ind w:right="850"/>
              <w:spacing w:after="0" w:line="210" w:lineRule="exact"/>
              <w:rPr>
                <w:sz w:val="20"/>
                <w:szCs w:val="20"/>
                <w:color w:val="auto"/>
              </w:rPr>
            </w:pPr>
            <w:r>
              <w:rPr>
                <w:rFonts w:ascii="Calibri" w:cs="Calibri" w:eastAsia="Calibri" w:hAnsi="Calibri"/>
                <w:sz w:val="18"/>
                <w:szCs w:val="18"/>
                <w:b w:val="1"/>
                <w:bCs w:val="1"/>
                <w:color w:val="auto"/>
                <w:w w:val="87"/>
              </w:rPr>
              <w:t>$</w:t>
            </w:r>
          </w:p>
        </w:tc>
        <w:tc>
          <w:tcPr>
            <w:tcW w:w="62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w w:val="97"/>
              </w:rPr>
              <w:t>460,915</w:t>
            </w:r>
          </w:p>
        </w:tc>
        <w:tc>
          <w:tcPr>
            <w:tcW w:w="100" w:type="dxa"/>
            <w:vAlign w:val="bottom"/>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40" w:type="dxa"/>
            <w:vAlign w:val="bottom"/>
            <w:shd w:val="clear" w:color="auto" w:fill="CFF0FC"/>
          </w:tcPr>
          <w:p>
            <w:pPr>
              <w:ind w:left="20"/>
              <w:spacing w:after="0" w:line="196" w:lineRule="exact"/>
              <w:rPr>
                <w:sz w:val="20"/>
                <w:szCs w:val="20"/>
                <w:color w:val="auto"/>
              </w:rPr>
            </w:pPr>
            <w:r>
              <w:rPr>
                <w:rFonts w:ascii="Calibri" w:cs="Calibri" w:eastAsia="Calibri" w:hAnsi="Calibri"/>
                <w:sz w:val="18"/>
                <w:szCs w:val="18"/>
                <w:b w:val="1"/>
                <w:bCs w:val="1"/>
                <w:color w:val="auto"/>
              </w:rPr>
              <w:t>Supplemental disclosure of cash fow informaton:</w:t>
            </w:r>
          </w:p>
        </w:tc>
        <w:tc>
          <w:tcPr>
            <w:tcW w:w="10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Paid-in-kind interest added to May 2020 First Lien Loan principal</w:t>
            </w:r>
          </w:p>
        </w:tc>
        <w:tc>
          <w:tcPr>
            <w:tcW w:w="1020" w:type="dxa"/>
            <w:vAlign w:val="bottom"/>
          </w:tcPr>
          <w:p>
            <w:pPr>
              <w:jc w:val="right"/>
              <w:ind w:right="83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gridSpan w:val="2"/>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040" w:type="dxa"/>
            <w:vAlign w:val="bottom"/>
          </w:tcPr>
          <w:p>
            <w:pPr>
              <w:jc w:val="right"/>
              <w:ind w:right="850"/>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Pr>
          <w:p>
            <w:pPr>
              <w:jc w:val="right"/>
              <w:spacing w:after="0" w:line="215" w:lineRule="exact"/>
              <w:rPr>
                <w:sz w:val="20"/>
                <w:szCs w:val="20"/>
                <w:color w:val="auto"/>
              </w:rPr>
            </w:pPr>
            <w:r>
              <w:rPr>
                <w:rFonts w:ascii="Calibri" w:cs="Calibri" w:eastAsia="Calibri" w:hAnsi="Calibri"/>
                <w:sz w:val="18"/>
                <w:szCs w:val="18"/>
                <w:color w:val="auto"/>
              </w:rPr>
              <w:t>19,510</w:t>
            </w:r>
          </w:p>
        </w:tc>
        <w:tc>
          <w:tcPr>
            <w:tcW w:w="100" w:type="dxa"/>
            <w:vAlign w:val="bottom"/>
          </w:tcPr>
          <w:p>
            <w:pPr>
              <w:spacing w:after="0"/>
              <w:rPr>
                <w:sz w:val="18"/>
                <w:szCs w:val="18"/>
                <w:color w:val="auto"/>
              </w:rPr>
            </w:pPr>
          </w:p>
        </w:tc>
      </w:tr>
      <w:tr>
        <w:trPr>
          <w:trHeight w:val="217"/>
        </w:trPr>
        <w:tc>
          <w:tcPr>
            <w:tcW w:w="75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Cash paid for interest</w:t>
            </w:r>
          </w:p>
        </w:tc>
        <w:tc>
          <w:tcPr>
            <w:tcW w:w="1020" w:type="dxa"/>
            <w:vAlign w:val="bottom"/>
            <w:shd w:val="clear" w:color="auto" w:fill="CFF0FC"/>
          </w:tcPr>
          <w:p>
            <w:pPr>
              <w:jc w:val="right"/>
              <w:ind w:right="830"/>
              <w:spacing w:after="0" w:line="216" w:lineRule="exact"/>
              <w:rPr>
                <w:sz w:val="20"/>
                <w:szCs w:val="20"/>
                <w:color w:val="auto"/>
              </w:rPr>
            </w:pPr>
            <w:r>
              <w:rPr>
                <w:rFonts w:ascii="Calibri" w:cs="Calibri" w:eastAsia="Calibri" w:hAnsi="Calibri"/>
                <w:sz w:val="18"/>
                <w:szCs w:val="18"/>
                <w:color w:val="auto"/>
                <w:w w:val="87"/>
              </w:rPr>
              <w:t>$</w:t>
            </w:r>
          </w:p>
        </w:tc>
        <w:tc>
          <w:tcPr>
            <w:tcW w:w="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6,285</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0"/>
              <w:spacing w:after="0" w:line="216" w:lineRule="exact"/>
              <w:rPr>
                <w:sz w:val="20"/>
                <w:szCs w:val="20"/>
                <w:color w:val="auto"/>
              </w:rPr>
            </w:pPr>
            <w:r>
              <w:rPr>
                <w:rFonts w:ascii="Calibri" w:cs="Calibri" w:eastAsia="Calibri" w:hAnsi="Calibri"/>
                <w:sz w:val="18"/>
                <w:szCs w:val="18"/>
                <w:color w:val="auto"/>
                <w:w w:val="87"/>
              </w:rPr>
              <w:t>$</w:t>
            </w:r>
          </w:p>
        </w:tc>
        <w:tc>
          <w:tcPr>
            <w:tcW w:w="6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14,033</w:t>
            </w:r>
          </w:p>
        </w:tc>
        <w:tc>
          <w:tcPr>
            <w:tcW w:w="100" w:type="dxa"/>
            <w:vAlign w:val="bottom"/>
            <w:shd w:val="clear" w:color="auto" w:fill="CFF0FC"/>
          </w:tcPr>
          <w:p>
            <w:pPr>
              <w:spacing w:after="0"/>
              <w:rPr>
                <w:sz w:val="18"/>
                <w:szCs w:val="18"/>
                <w:color w:val="auto"/>
              </w:rPr>
            </w:pPr>
          </w:p>
        </w:tc>
      </w:tr>
      <w:tr>
        <w:trPr>
          <w:trHeight w:val="215"/>
        </w:trPr>
        <w:tc>
          <w:tcPr>
            <w:tcW w:w="7540" w:type="dxa"/>
            <w:vAlign w:val="bottom"/>
          </w:tcPr>
          <w:p>
            <w:pPr>
              <w:ind w:left="120"/>
              <w:spacing w:after="0" w:line="215" w:lineRule="exact"/>
              <w:rPr>
                <w:sz w:val="20"/>
                <w:szCs w:val="20"/>
                <w:color w:val="auto"/>
              </w:rPr>
            </w:pPr>
            <w:r>
              <w:rPr>
                <w:rFonts w:ascii="Calibri" w:cs="Calibri" w:eastAsia="Calibri" w:hAnsi="Calibri"/>
                <w:sz w:val="18"/>
                <w:szCs w:val="18"/>
                <w:color w:val="auto"/>
              </w:rPr>
              <w:t>Right-of-use assets obtained in exchange for lease obligatons</w:t>
            </w:r>
          </w:p>
        </w:tc>
        <w:tc>
          <w:tcPr>
            <w:tcW w:w="1020" w:type="dxa"/>
            <w:vAlign w:val="bottom"/>
            <w:tcBorders>
              <w:bottom w:val="single" w:sz="8" w:color="auto"/>
            </w:tcBorders>
          </w:tcPr>
          <w:p>
            <w:pPr>
              <w:jc w:val="right"/>
              <w:ind w:right="830"/>
              <w:spacing w:after="0" w:line="215" w:lineRule="exact"/>
              <w:rPr>
                <w:sz w:val="20"/>
                <w:szCs w:val="20"/>
                <w:color w:val="auto"/>
              </w:rPr>
            </w:pPr>
            <w:r>
              <w:rPr>
                <w:rFonts w:ascii="Calibri" w:cs="Calibri" w:eastAsia="Calibri" w:hAnsi="Calibri"/>
                <w:sz w:val="18"/>
                <w:szCs w:val="18"/>
                <w:color w:val="auto"/>
                <w:w w:val="87"/>
              </w:rPr>
              <w:t>$</w:t>
            </w:r>
          </w:p>
        </w:tc>
        <w:tc>
          <w:tcPr>
            <w:tcW w:w="6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3,406</w:t>
            </w:r>
          </w:p>
        </w:tc>
        <w:tc>
          <w:tcPr>
            <w:tcW w:w="260" w:type="dxa"/>
            <w:vAlign w:val="bottom"/>
          </w:tcPr>
          <w:p>
            <w:pPr>
              <w:spacing w:after="0"/>
              <w:rPr>
                <w:sz w:val="18"/>
                <w:szCs w:val="18"/>
                <w:color w:val="auto"/>
              </w:rPr>
            </w:pPr>
          </w:p>
        </w:tc>
        <w:tc>
          <w:tcPr>
            <w:tcW w:w="1040" w:type="dxa"/>
            <w:vAlign w:val="bottom"/>
            <w:tcBorders>
              <w:bottom w:val="single" w:sz="8" w:color="auto"/>
            </w:tcBorders>
          </w:tcPr>
          <w:p>
            <w:pPr>
              <w:jc w:val="right"/>
              <w:ind w:right="850"/>
              <w:spacing w:after="0" w:line="215" w:lineRule="exact"/>
              <w:rPr>
                <w:sz w:val="20"/>
                <w:szCs w:val="20"/>
                <w:color w:val="auto"/>
              </w:rPr>
            </w:pPr>
            <w:r>
              <w:rPr>
                <w:rFonts w:ascii="Calibri" w:cs="Calibri" w:eastAsia="Calibri" w:hAnsi="Calibri"/>
                <w:sz w:val="18"/>
                <w:szCs w:val="18"/>
                <w:color w:val="auto"/>
                <w:w w:val="87"/>
              </w:rPr>
              <w:t>$</w:t>
            </w:r>
          </w:p>
        </w:tc>
        <w:tc>
          <w:tcPr>
            <w:tcW w:w="6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-1019810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-728345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fnancial statements.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 w:name="page11"/>
    <w:bookmarkEnd w:id="10"/>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Background and Basis of Presentation</w:t>
      </w:r>
    </w:p>
    <w:p>
      <w:pPr>
        <w:spacing w:after="0" w:line="136"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Vivid Seats Inc. and its subsidiaries including Hoya Intermediate, LLC, Hoya Midco, LLC, and Vivid Seats LLC (collectvely the “Company,” “us,” “we,” and “our”) provide an online secondary tcket marketplace that enables tcket buyers to discover and easily purchase tckets to sports, concerts, theater, and other live events in the United States and Canada. Through our Marketplace segment, we operate an online platorm enabling tcket buyers to purchase tckets to live events, while enabling tcket sellers to seamlessly manage their operatons. In our Resale segment, we acquire tckets to resell on secondary tcket marketplaces, including our own.</w:t>
      </w:r>
    </w:p>
    <w:p>
      <w:pPr>
        <w:spacing w:after="0" w:line="140"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We have prepared the accompanying unaudited condensed consolidated fnancial statements in accordance with accountng principles generally accepted in the United States of America ("GAAP") for interim fnancial informaton and the instructons to the Quarterly Report on Form 10-Q and Artcle 10 of Regulaton S-X issued by the U.S. Securites and Exchange Commission ("SEC"). Accordingly, they do not include all of the informaton and notes required by GAAP for comprehensive annual fnancial statements. Our condensed consolidated fnancial statements are not necessarily indicatve of results that may be expected for any other interim period or for the full year. These condensed consolidated fnancial statements should be read in conjuncton with the audited annual consolidated fnancial statements and related notes included in our Annual Report on Form 10-K for the fscal year ended December 31, 2021 which was fled with the SEC on March 15, 2022. Our condensed consolidated fnancial statements include all of our accounts, including those of our consolidated subsidiaries. All intercompany transactons and balances have been eliminated in consolidaton.</w:t>
      </w:r>
    </w:p>
    <w:p>
      <w:pPr>
        <w:spacing w:after="0" w:line="1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COVID-19 Update</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The COVID-19 pandemic contnues to have an impact on our business and results of operatons. Beginning in the second quarter of 2021, and contnuing through the second quarter of 2022, we have seen a recovery in tcket orders as mitgaton measures ease.</w:t>
      </w:r>
    </w:p>
    <w:p>
      <w:pPr>
        <w:spacing w:after="0" w:line="138"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While we have experienced recovery from the COVID-19 pandemic, given the emergence of new variants and contnued infectous cases, signifcant uncertainty remains. We expect uncertaintes around our key accountng estmates to contnue to evolve depending on the duraton and degree of impact associated with the COVID-19 pandemic. Our estmates may change as new events occur and additonal informaton emerges, and such changes are recognized or disclosed in our condensed consolidated fnancial statements. If economic conditons caused by the pandemic worsen, our fnancial conditon, cash fows, and results of operatons may be further materially impacted.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 New Accounting Standards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Recently adopted accountng standards</w:t>
      </w:r>
    </w:p>
    <w:p>
      <w:pPr>
        <w:spacing w:after="0" w:line="150"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 xml:space="preserve">In February 2016, the Financial Accountng Standards Board ("FASB") issued Accountng Standards Update ("ASU") 2016-02, </w:t>
      </w:r>
      <w:r>
        <w:rPr>
          <w:rFonts w:ascii="Calibri" w:cs="Calibri" w:eastAsia="Calibri" w:hAnsi="Calibri"/>
          <w:sz w:val="18"/>
          <w:szCs w:val="18"/>
          <w:i w:val="1"/>
          <w:iCs w:val="1"/>
          <w:color w:val="auto"/>
        </w:rPr>
        <w:t>Leases (Topic 842)</w:t>
      </w:r>
      <w:r>
        <w:rPr>
          <w:rFonts w:ascii="Calibri" w:cs="Calibri" w:eastAsia="Calibri" w:hAnsi="Calibri"/>
          <w:sz w:val="18"/>
          <w:szCs w:val="18"/>
          <w:color w:val="auto"/>
        </w:rPr>
        <w:t>, which requires lessees to recognize a right-of-use asset and a lease liability for virtually all of their leases (other than leases that meet the defniton of a short-term lease) in the balance sheet. Lease liabilites are equal to the present value of lease payments, while right-of-use assets are based on the associated lease liabilites, subject to certain adjustments, such as for inital direct costs. We elected the extended transiton period available to emerging growth companies and adopted Accountng Standards Codifcaton ("ASC") 842 efectve January 1, 2022 on a modifed retrospectve basis by applying the new standard to all leases existng at the date of inital applicaton. We elected to present the fnancial statements for all periods prior to January 1, 2022 under the previous lease standard ("ASC 840"), as well as elected other optons, which allow us to use our previous evaluatons regarding if an arrangement contains a lease, if a lease is an operatng or fnancing lease, and what costs are capitalized as inital direct costs prior to adopton. We also elected to combine lease and non-lease components.</w:t>
      </w:r>
    </w:p>
    <w:p>
      <w:pPr>
        <w:spacing w:after="0" w:line="12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line="241" w:lineRule="auto"/>
        <w:rPr>
          <w:sz w:val="20"/>
          <w:szCs w:val="20"/>
          <w:color w:val="auto"/>
        </w:rPr>
      </w:pPr>
      <w:r>
        <w:rPr>
          <w:rFonts w:ascii="Calibri" w:cs="Calibri" w:eastAsia="Calibri" w:hAnsi="Calibri"/>
          <w:sz w:val="18"/>
          <w:szCs w:val="18"/>
          <w:color w:val="auto"/>
        </w:rPr>
        <w:t>Upon the adopton of the new lease standard, on January 1, 2022, we recognized right-of-use assets of $6.6 million and lease liabilites of $8.1 million (including a current liability of $3.0 million) in the Condensed Consolidated Balance Sheets and reclassifed certain balances related to existng leases. The right-of-use assets balance as of January 1, 2022 is adjusted for $1.5 million of lease terminaton liabilites and deferred rent liabilites recognized under the previous lease standard. There was no impact to Accumulated defcit on the Condensed Consolidated Balance Sheets at adopton. Refer to Note 6, Leases, for more informaton on leases.</w:t>
      </w:r>
    </w:p>
    <w:p>
      <w:pPr>
        <w:spacing w:after="0" w:line="14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Accountng standards issued but not yet adopted</w:t>
      </w:r>
    </w:p>
    <w:p>
      <w:pPr>
        <w:spacing w:after="0" w:line="150" w:lineRule="exact"/>
        <w:rPr>
          <w:sz w:val="20"/>
          <w:szCs w:val="20"/>
          <w:color w:val="auto"/>
        </w:rPr>
      </w:pPr>
    </w:p>
    <w:p>
      <w:pPr>
        <w:jc w:val="both"/>
        <w:spacing w:after="0" w:line="256" w:lineRule="auto"/>
        <w:rPr>
          <w:sz w:val="20"/>
          <w:szCs w:val="20"/>
          <w:color w:val="auto"/>
        </w:rPr>
      </w:pPr>
      <w:r>
        <w:rPr>
          <w:rFonts w:ascii="Calibri" w:cs="Calibri" w:eastAsia="Calibri" w:hAnsi="Calibri"/>
          <w:sz w:val="17"/>
          <w:szCs w:val="17"/>
          <w:color w:val="auto"/>
        </w:rPr>
        <w:t xml:space="preserve">In June 2016, the FASB issued ASU 2016-13, </w:t>
      </w:r>
      <w:r>
        <w:rPr>
          <w:rFonts w:ascii="Calibri" w:cs="Calibri" w:eastAsia="Calibri" w:hAnsi="Calibri"/>
          <w:sz w:val="17"/>
          <w:szCs w:val="17"/>
          <w:i w:val="1"/>
          <w:iCs w:val="1"/>
          <w:color w:val="auto"/>
        </w:rPr>
        <w:t>Financial Instruments-Credit Losses (Topic 326): Measurement of Credit Losses on Financial Instruments</w:t>
      </w:r>
      <w:r>
        <w:rPr>
          <w:rFonts w:ascii="Calibri" w:cs="Calibri" w:eastAsia="Calibri" w:hAnsi="Calibri"/>
          <w:sz w:val="17"/>
          <w:szCs w:val="17"/>
          <w:color w:val="auto"/>
        </w:rPr>
        <w:t xml:space="preserve">, which changes how enttes will measure credit losses for fnancial assets and certain other instruments that are not measured at fair value through net income. The new expected credit loss impairment model requires immediate recogniton of estmated credit losses expected to occur. Additonal disclosures are required regarding assumptons, models, and methods for estmatng the credit losses. ASU 2019-10, </w:t>
      </w:r>
      <w:r>
        <w:rPr>
          <w:rFonts w:ascii="Calibri" w:cs="Calibri" w:eastAsia="Calibri" w:hAnsi="Calibri"/>
          <w:sz w:val="17"/>
          <w:szCs w:val="17"/>
          <w:i w:val="1"/>
          <w:iCs w:val="1"/>
          <w:color w:val="auto"/>
        </w:rPr>
        <w:t>Financial Instruments-Credit Losses (Topic 326), Derivatves and</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Hedging (Topic 815), and Leases (Topic 842): Efectve Dates</w:t>
      </w:r>
      <w:r>
        <w:rPr>
          <w:rFonts w:ascii="Calibri" w:cs="Calibri" w:eastAsia="Calibri" w:hAnsi="Calibri"/>
          <w:sz w:val="17"/>
          <w:szCs w:val="17"/>
          <w:color w:val="auto"/>
        </w:rPr>
        <w:t>, deferred the efectve date for non-public companies. The standard is efectve for non-public</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companies for fscal years beginning afer December 15, 2022. We elected the extended transiton period available to emerging growth companies and are currently evaluatng the efect of adopton of the standard on our condensed consolidated fnancial statements and related disclosures.</w:t>
      </w:r>
    </w:p>
    <w:p>
      <w:pPr>
        <w:spacing w:after="0" w:line="138" w:lineRule="exact"/>
        <w:rPr>
          <w:sz w:val="20"/>
          <w:szCs w:val="20"/>
          <w:color w:val="auto"/>
        </w:rPr>
      </w:pPr>
    </w:p>
    <w:p>
      <w:pPr>
        <w:jc w:val="both"/>
        <w:spacing w:after="0" w:line="242" w:lineRule="auto"/>
        <w:rPr>
          <w:sz w:val="20"/>
          <w:szCs w:val="20"/>
          <w:color w:val="auto"/>
        </w:rPr>
      </w:pPr>
      <w:r>
        <w:rPr>
          <w:rFonts w:ascii="Calibri" w:cs="Calibri" w:eastAsia="Calibri" w:hAnsi="Calibri"/>
          <w:sz w:val="18"/>
          <w:szCs w:val="18"/>
          <w:color w:val="auto"/>
        </w:rPr>
        <w:t>In March 2020, the FASB issued ASU 2020-04, Reference Rate Reform (Topic 848), Facilitaton of the Efects of Reference Rate Reform on Financial Reportng, as modifed in January 2021. The ASU is intended to help stakeholders during the global market-wide reference rate transiton period. The new guidance provides optonal expedients and exceptons for applying GAAP to contract modifcatons and hedging relatonships, subject to meetng certain criteria, that reference LIBOR or another reference rate expected to be discontnued. The guidance also establishes (1) a general contract modifcaton principle that enttes can apply in other areas that may be afected by reference rate reform and (2) certain electve hedge accountng expedients. The amendment is efectve for all enttes startng March 12, 2020 and can be adopted through December 31, 2022. We have not yet decided the date of adopton of this standard. The adopton of this standard will not have a material impact on our condensed consolidated fnancial statements.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 Business Acquisition</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On December 13, 2021, we acquired 100% of the equity of Betcha Sports, Inc. (“Betcha”). Betcha is a real money daily fantasy sports app with social and gamifcaton features that enhance fans' connecton with their favorite live sports. The acquisiton was accounted for as an acquisiton of a business in accordance with the acquisiton method of accountng. Acquisiton costs directly related to the transacton for the three and six months ended June 30, 2022 were not material and are included in General and administratve expenses in the Condensed Consolidated Statements of Operatons.</w:t>
      </w:r>
    </w:p>
    <w:p>
      <w:pPr>
        <w:spacing w:after="0" w:line="137"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The acquisiton date fair value of the consideraton consisted of $0.8 million in cash and 2.1 million shares of our Class A common stock ("Class A Common Stock"). The total consideraton includes cash earnouts of $3.4 million as of the acquisiton date representng the estmated fair value that we may be obligated to pay if Betcha meets certain earnings objectves. In additon, the consideraton includes future milestone payments of $9.5 million as of the acquisiton date representng the estmated fair value that we may be obligated to pay upon the achievement of certain integraton objectves. For the three and six months ended June 30, 2022, we made no payments related to cash earnouts and milestone payments.</w:t>
      </w:r>
    </w:p>
    <w:p>
      <w:pPr>
        <w:spacing w:after="0" w:line="140" w:lineRule="exact"/>
        <w:rPr>
          <w:sz w:val="20"/>
          <w:szCs w:val="20"/>
          <w:color w:val="auto"/>
        </w:rPr>
      </w:pPr>
    </w:p>
    <w:p>
      <w:pPr>
        <w:spacing w:after="0"/>
        <w:rPr>
          <w:sz w:val="20"/>
          <w:szCs w:val="20"/>
          <w:color w:val="auto"/>
        </w:rPr>
      </w:pPr>
      <w:r>
        <w:rPr>
          <w:rFonts w:ascii="Calibri" w:cs="Calibri" w:eastAsia="Calibri" w:hAnsi="Calibri"/>
          <w:sz w:val="17"/>
          <w:szCs w:val="17"/>
          <w:color w:val="auto"/>
        </w:rPr>
        <w:t>As part of the acquisiton, we agreed to pay cash bonuses to certain Betcha employees over three years following the anniversary of the employee start date.</w:t>
      </w:r>
    </w:p>
    <w:p>
      <w:pPr>
        <w:spacing w:after="0" w:line="229" w:lineRule="auto"/>
        <w:rPr>
          <w:sz w:val="20"/>
          <w:szCs w:val="20"/>
          <w:color w:val="auto"/>
        </w:rPr>
      </w:pPr>
      <w:r>
        <w:rPr>
          <w:rFonts w:ascii="Calibri" w:cs="Calibri" w:eastAsia="Calibri" w:hAnsi="Calibri"/>
          <w:sz w:val="18"/>
          <w:szCs w:val="18"/>
          <w:color w:val="auto"/>
        </w:rPr>
        <w:t>The payouts are subject to contnued employment, and therefore treated as compensaton and expensed.</w:t>
      </w:r>
    </w:p>
    <w:p>
      <w:pPr>
        <w:spacing w:after="0" w:line="10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Proforma fnancial informaton has not been presented as the Betcha acquisiton was not considered material to our Condensed Consolidated Financial Statements.</w:t>
      </w:r>
    </w:p>
    <w:p>
      <w:pPr>
        <w:spacing w:after="0" w:line="137" w:lineRule="exact"/>
        <w:rPr>
          <w:sz w:val="20"/>
          <w:szCs w:val="20"/>
          <w:color w:val="auto"/>
        </w:rPr>
      </w:pPr>
    </w:p>
    <w:p>
      <w:pPr>
        <w:jc w:val="both"/>
        <w:spacing w:after="0" w:line="224" w:lineRule="auto"/>
        <w:rPr>
          <w:sz w:val="20"/>
          <w:szCs w:val="20"/>
          <w:color w:val="auto"/>
        </w:rPr>
      </w:pPr>
      <w:r>
        <w:rPr>
          <w:rFonts w:ascii="Calibri" w:cs="Calibri" w:eastAsia="Calibri" w:hAnsi="Calibri"/>
          <w:sz w:val="18"/>
          <w:szCs w:val="18"/>
          <w:color w:val="auto"/>
        </w:rPr>
        <w:t>The consideraton was allocated to the assets acquired and liabilites assumed based on their fair value as of the acquisiton date. The excess of the purchase price over the net assets acquired was recorded as goodwill. The goodwill recorded is not deductble for tax purposes as the Betcha acquisiton was primarily a stock acquisiton and is atributable to the assembled workforce as well as the antcipated synergies from the integraton of Betcha's technology with our technology.</w:t>
      </w:r>
    </w:p>
    <w:p>
      <w:pPr>
        <w:spacing w:after="0" w:line="138"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 xml:space="preserve">The consideraton allocaton for Betcha is preliminary because the evaluatons necessary to assess the Fair value of the net assets acquired are stll in process. The primary areas that are not yet fnalized relate to the valuatons of certain intangible assets, cash earnouts, milestone payments, and acquired income tax assets and liabilites. As a result, these allocatons are subject to change during the purchase price allocaton period as the valuatons are fnalized. During the current period, we recognized adjustments related to the estmated fair values of the assets acquired and liabilites assumed at the acquisiton date. The adjustments primarily consisted of $0.9 million in defnite-lived intangible assets and $2.9 million in goodwill. Refer to Note 7, </w:t>
      </w:r>
      <w:r>
        <w:rPr>
          <w:rFonts w:ascii="Calibri" w:cs="Calibri" w:eastAsia="Calibri" w:hAnsi="Calibri"/>
          <w:sz w:val="18"/>
          <w:szCs w:val="18"/>
          <w:i w:val="1"/>
          <w:iCs w:val="1"/>
          <w:color w:val="auto"/>
        </w:rPr>
        <w:t>Goodwill and Intangible Assets</w:t>
      </w:r>
      <w:r>
        <w:rPr>
          <w:rFonts w:ascii="Calibri" w:cs="Calibri" w:eastAsia="Calibri" w:hAnsi="Calibri"/>
          <w:sz w:val="18"/>
          <w:szCs w:val="18"/>
          <w:color w:val="auto"/>
        </w:rPr>
        <w:t>, for the Betcha acquisiton adjustment. The purchase consideraton was adjusted by $4.4 million consisted of $4.1 million of cash earnouts and $0.3 million of future milestone payments.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estmated fair values of the assets acquired and liabilites assumed as of the acquisiton date (in thousands):</w:t>
      </w:r>
    </w:p>
    <w:p>
      <w:pPr>
        <w:sectPr>
          <w:pgSz w:w="11900" w:h="16838" w:orient="portrait"/>
          <w:cols w:equalWidth="0" w:num="1">
            <w:col w:w="11240"/>
          </w:cols>
          <w:pgMar w:left="320" w:top="112" w:right="339" w:bottom="1440" w:gutter="0" w:footer="0" w:header="0"/>
        </w:sectPr>
      </w:pPr>
    </w:p>
    <w:p>
      <w:pPr>
        <w:spacing w:after="0" w:line="10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line="235" w:lineRule="auto"/>
        <w:rPr>
          <w:sz w:val="20"/>
          <w:szCs w:val="20"/>
          <w:color w:val="auto"/>
        </w:rPr>
      </w:pPr>
      <w:r>
        <w:rPr>
          <w:rFonts w:ascii="Calibri" w:cs="Calibri" w:eastAsia="Calibri" w:hAnsi="Calibri"/>
          <w:sz w:val="18"/>
          <w:szCs w:val="18"/>
          <w:color w:val="auto"/>
        </w:rPr>
        <w:t>Restricted cash</w:t>
      </w:r>
    </w:p>
    <w:p>
      <w:pPr>
        <w:ind w:left="20"/>
        <w:spacing w:after="0" w:line="236" w:lineRule="auto"/>
        <w:rPr>
          <w:sz w:val="20"/>
          <w:szCs w:val="20"/>
          <w:color w:val="auto"/>
        </w:rPr>
      </w:pPr>
      <w:r>
        <w:rPr>
          <w:rFonts w:ascii="Calibri" w:cs="Calibri" w:eastAsia="Calibri" w:hAnsi="Calibri"/>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line="236" w:lineRule="auto"/>
        <w:rPr>
          <w:sz w:val="20"/>
          <w:szCs w:val="20"/>
          <w:color w:val="auto"/>
        </w:rPr>
      </w:pPr>
      <w:r>
        <w:rPr>
          <w:rFonts w:ascii="Calibri" w:cs="Calibri" w:eastAsia="Calibri" w:hAnsi="Calibri"/>
          <w:sz w:val="18"/>
          <w:szCs w:val="18"/>
          <w:color w:val="auto"/>
        </w:rPr>
        <w:t>Prepaid expenses and other current assets</w:t>
      </w:r>
    </w:p>
    <w:p>
      <w:pPr>
        <w:ind w:left="20"/>
        <w:spacing w:after="0" w:line="236" w:lineRule="auto"/>
        <w:rPr>
          <w:sz w:val="20"/>
          <w:szCs w:val="20"/>
          <w:color w:val="auto"/>
        </w:rPr>
      </w:pPr>
      <w:r>
        <w:rPr>
          <w:rFonts w:ascii="Calibri" w:cs="Calibri" w:eastAsia="Calibri" w:hAnsi="Calibri"/>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line="236" w:lineRule="auto"/>
        <w:rPr>
          <w:sz w:val="20"/>
          <w:szCs w:val="20"/>
          <w:color w:val="auto"/>
        </w:rPr>
      </w:pPr>
      <w:r>
        <w:rPr>
          <w:rFonts w:ascii="Calibri" w:cs="Calibri" w:eastAsia="Calibri" w:hAnsi="Calibri"/>
          <w:sz w:val="18"/>
          <w:szCs w:val="18"/>
          <w:color w:val="auto"/>
        </w:rPr>
        <w:t>Goodwill</w:t>
      </w:r>
    </w:p>
    <w:p>
      <w:pPr>
        <w:ind w:left="20"/>
        <w:spacing w:after="0" w:line="236" w:lineRule="auto"/>
        <w:rPr>
          <w:sz w:val="20"/>
          <w:szCs w:val="20"/>
          <w:color w:val="auto"/>
        </w:rPr>
      </w:pPr>
      <w:r>
        <w:rPr>
          <w:rFonts w:ascii="Calibri" w:cs="Calibri" w:eastAsia="Calibri" w:hAnsi="Calibri"/>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Calibri" w:cs="Calibri" w:eastAsia="Calibri" w:hAnsi="Calibri"/>
          <w:sz w:val="18"/>
          <w:szCs w:val="18"/>
          <w:color w:val="auto"/>
        </w:rPr>
        <w:t>Accrued expenses and other current liabilites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Net assets acquired</w:t>
      </w:r>
    </w:p>
    <w:p>
      <w:pPr>
        <w:spacing w:after="0" w:line="136"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summarizes the purchase consideraton (in thousands):</w:t>
      </w:r>
    </w:p>
    <w:p>
      <w:pPr>
        <w:spacing w:after="0" w:line="11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Fair value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line="235" w:lineRule="auto"/>
        <w:rPr>
          <w:sz w:val="20"/>
          <w:szCs w:val="20"/>
          <w:color w:val="auto"/>
        </w:rPr>
      </w:pPr>
      <w:r>
        <w:rPr>
          <w:rFonts w:ascii="Calibri" w:cs="Calibri" w:eastAsia="Calibri" w:hAnsi="Calibri"/>
          <w:sz w:val="18"/>
          <w:szCs w:val="18"/>
          <w:color w:val="auto"/>
        </w:rPr>
        <w:t>Cash consideraton</w:t>
      </w:r>
    </w:p>
    <w:p>
      <w:pPr>
        <w:ind w:left="20"/>
        <w:spacing w:after="0" w:line="236" w:lineRule="auto"/>
        <w:rPr>
          <w:sz w:val="20"/>
          <w:szCs w:val="20"/>
          <w:color w:val="auto"/>
        </w:rPr>
      </w:pPr>
      <w:r>
        <w:rPr>
          <w:rFonts w:ascii="Calibri" w:cs="Calibri" w:eastAsia="Calibri" w:hAnsi="Calibri"/>
          <w:sz w:val="18"/>
          <w:szCs w:val="18"/>
          <w:color w:val="auto"/>
        </w:rPr>
        <w:t>Fair value of milestone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Calibri" w:cs="Calibri" w:eastAsia="Calibri" w:hAnsi="Calibri"/>
          <w:sz w:val="18"/>
          <w:szCs w:val="18"/>
          <w:color w:val="auto"/>
        </w:rPr>
        <w:t>Fair value of earnouts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Total purchase consideraton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960" w:type="dxa"/>
            <w:vAlign w:val="bottom"/>
            <w:gridSpan w:val="2"/>
          </w:tcPr>
          <w:p>
            <w:pPr>
              <w:jc w:val="right"/>
              <w:ind w:right="730"/>
              <w:spacing w:after="0"/>
              <w:rPr>
                <w:sz w:val="20"/>
                <w:szCs w:val="20"/>
                <w:color w:val="auto"/>
              </w:rPr>
            </w:pPr>
            <w:r>
              <w:rPr>
                <w:rFonts w:ascii="Calibri" w:cs="Calibri" w:eastAsia="Calibri" w:hAnsi="Calibri"/>
                <w:sz w:val="18"/>
                <w:szCs w:val="18"/>
                <w:color w:val="auto"/>
              </w:rPr>
              <w:t>$</w:t>
            </w:r>
          </w:p>
        </w:tc>
        <w:tc>
          <w:tcPr>
            <w:tcW w:w="1320" w:type="dxa"/>
            <w:vAlign w:val="bottom"/>
          </w:tcPr>
          <w:p>
            <w:pPr>
              <w:jc w:val="right"/>
              <w:spacing w:after="0"/>
              <w:rPr>
                <w:sz w:val="20"/>
                <w:szCs w:val="20"/>
                <w:color w:val="auto"/>
              </w:rPr>
            </w:pPr>
            <w:r>
              <w:rPr>
                <w:rFonts w:ascii="Calibri" w:cs="Calibri" w:eastAsia="Calibri" w:hAnsi="Calibri"/>
                <w:sz w:val="18"/>
                <w:szCs w:val="18"/>
                <w:color w:val="auto"/>
              </w:rPr>
              <w:t>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4,430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31,931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(1,180 )</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2"/>
          </w:tcPr>
          <w:p>
            <w:pPr>
              <w:jc w:val="right"/>
              <w:spacing w:after="0" w:line="216" w:lineRule="exact"/>
              <w:rPr>
                <w:sz w:val="20"/>
                <w:szCs w:val="20"/>
                <w:color w:val="auto"/>
              </w:rPr>
            </w:pPr>
            <w:r>
              <w:rPr>
                <w:rFonts w:ascii="Calibri" w:cs="Calibri" w:eastAsia="Calibri" w:hAnsi="Calibri"/>
                <w:sz w:val="18"/>
                <w:szCs w:val="18"/>
                <w:color w:val="auto"/>
              </w:rPr>
              <w:t>(677 )</w:t>
            </w:r>
          </w:p>
        </w:tc>
        <w:tc>
          <w:tcPr>
            <w:tcW w:w="0" w:type="dxa"/>
            <w:vAlign w:val="bottom"/>
          </w:tcPr>
          <w:p>
            <w:pPr>
              <w:spacing w:after="0"/>
              <w:rPr>
                <w:sz w:val="1"/>
                <w:szCs w:val="1"/>
                <w:color w:val="auto"/>
              </w:rPr>
            </w:pPr>
          </w:p>
        </w:tc>
      </w:tr>
      <w:tr>
        <w:trPr>
          <w:trHeight w:val="23"/>
        </w:trPr>
        <w:tc>
          <w:tcPr>
            <w:tcW w:w="40" w:type="dxa"/>
            <w:vAlign w:val="bottom"/>
            <w:vMerge w:val="restart"/>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vMerge w:val="continue"/>
          </w:tcPr>
          <w:p>
            <w:pPr>
              <w:spacing w:after="0"/>
              <w:rPr>
                <w:sz w:val="18"/>
                <w:szCs w:val="18"/>
                <w:color w:val="auto"/>
              </w:rPr>
            </w:pPr>
          </w:p>
        </w:tc>
        <w:tc>
          <w:tcPr>
            <w:tcW w:w="920" w:type="dxa"/>
            <w:vAlign w:val="bottom"/>
            <w:tcBorders>
              <w:bottom w:val="single" w:sz="8" w:color="auto"/>
            </w:tcBorders>
          </w:tcPr>
          <w:p>
            <w:pPr>
              <w:jc w:val="right"/>
              <w:ind w:right="730"/>
              <w:spacing w:after="0" w:line="209" w:lineRule="exact"/>
              <w:rPr>
                <w:sz w:val="20"/>
                <w:szCs w:val="20"/>
                <w:color w:val="auto"/>
              </w:rPr>
            </w:pPr>
            <w:r>
              <w:rPr>
                <w:rFonts w:ascii="Calibri" w:cs="Calibri" w:eastAsia="Calibri" w:hAnsi="Calibri"/>
                <w:sz w:val="18"/>
                <w:szCs w:val="18"/>
                <w:b w:val="1"/>
                <w:bCs w:val="1"/>
                <w:color w:val="auto"/>
                <w:w w:val="87"/>
              </w:rPr>
              <w:t>$</w:t>
            </w:r>
          </w:p>
        </w:tc>
        <w:tc>
          <w:tcPr>
            <w:tcW w:w="13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34,935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960" w:type="dxa"/>
            <w:vAlign w:val="bottom"/>
            <w:gridSpan w:val="2"/>
          </w:tcPr>
          <w:p>
            <w:pPr>
              <w:jc w:val="right"/>
              <w:ind w:right="770"/>
              <w:spacing w:after="0"/>
              <w:rPr>
                <w:sz w:val="20"/>
                <w:szCs w:val="20"/>
                <w:color w:val="auto"/>
              </w:rPr>
            </w:pPr>
            <w:r>
              <w:rPr>
                <w:rFonts w:ascii="Calibri" w:cs="Calibri" w:eastAsia="Calibri" w:hAnsi="Calibri"/>
                <w:sz w:val="18"/>
                <w:szCs w:val="18"/>
                <w:color w:val="auto"/>
                <w:w w:val="87"/>
              </w:rPr>
              <w:t>$</w:t>
            </w:r>
          </w:p>
        </w:tc>
        <w:tc>
          <w:tcPr>
            <w:tcW w:w="1320" w:type="dxa"/>
            <w:vAlign w:val="bottom"/>
          </w:tcPr>
          <w:p>
            <w:pPr>
              <w:jc w:val="right"/>
              <w:spacing w:after="0"/>
              <w:rPr>
                <w:sz w:val="20"/>
                <w:szCs w:val="20"/>
                <w:color w:val="auto"/>
              </w:rPr>
            </w:pPr>
            <w:r>
              <w:rPr>
                <w:rFonts w:ascii="Calibri" w:cs="Calibri" w:eastAsia="Calibri" w:hAnsi="Calibri"/>
                <w:sz w:val="18"/>
                <w:szCs w:val="18"/>
                <w:color w:val="auto"/>
              </w:rPr>
              <w:t>21,306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9,470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20" w:type="dxa"/>
            <w:vAlign w:val="bottom"/>
          </w:tcPr>
          <w:p>
            <w:pPr>
              <w:jc w:val="right"/>
              <w:spacing w:after="0" w:line="216" w:lineRule="exact"/>
              <w:rPr>
                <w:sz w:val="20"/>
                <w:szCs w:val="20"/>
                <w:color w:val="auto"/>
              </w:rPr>
            </w:pPr>
            <w:r>
              <w:rPr>
                <w:rFonts w:ascii="Calibri" w:cs="Calibri" w:eastAsia="Calibri" w:hAnsi="Calibri"/>
                <w:sz w:val="18"/>
                <w:szCs w:val="18"/>
                <w:color w:val="auto"/>
              </w:rPr>
              <w:t>3,400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9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60" w:type="dxa"/>
            <w:vAlign w:val="bottom"/>
            <w:tcBorders>
              <w:bottom w:val="single" w:sz="8" w:color="auto"/>
            </w:tcBorders>
            <w:gridSpan w:val="2"/>
          </w:tcPr>
          <w:p>
            <w:pPr>
              <w:jc w:val="right"/>
              <w:ind w:right="770"/>
              <w:spacing w:after="0" w:line="209" w:lineRule="exact"/>
              <w:rPr>
                <w:sz w:val="20"/>
                <w:szCs w:val="20"/>
                <w:color w:val="auto"/>
              </w:rPr>
            </w:pPr>
            <w:r>
              <w:rPr>
                <w:rFonts w:ascii="Calibri" w:cs="Calibri" w:eastAsia="Calibri" w:hAnsi="Calibri"/>
                <w:sz w:val="18"/>
                <w:szCs w:val="18"/>
                <w:b w:val="1"/>
                <w:bCs w:val="1"/>
                <w:color w:val="auto"/>
                <w:w w:val="87"/>
              </w:rPr>
              <w:t>$</w:t>
            </w:r>
          </w:p>
        </w:tc>
        <w:tc>
          <w:tcPr>
            <w:tcW w:w="13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34,935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40" w:space="720"/>
            <w:col w:w="2380"/>
          </w:cols>
          <w:pgMar w:left="320" w:top="112" w:right="339" w:bottom="1440" w:gutter="0" w:footer="0" w:header="0"/>
          <w:type w:val="continuous"/>
        </w:sectPr>
      </w:pPr>
    </w:p>
    <w:p>
      <w:pPr>
        <w:spacing w:after="0" w:line="115"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table sets forth the components of identfable intangible assets acquired (in thousands) and their estmated useful lives (in years) as of the date of acquisiton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vMerge w:val="restart"/>
          </w:tcPr>
          <w:p>
            <w:pPr>
              <w:jc w:val="right"/>
              <w:ind w:right="590"/>
              <w:spacing w:after="0"/>
              <w:rPr>
                <w:sz w:val="20"/>
                <w:szCs w:val="20"/>
                <w:color w:val="auto"/>
              </w:rPr>
            </w:pPr>
            <w:r>
              <w:rPr>
                <w:rFonts w:ascii="Calibri" w:cs="Calibri" w:eastAsia="Calibri" w:hAnsi="Calibri"/>
                <w:sz w:val="18"/>
                <w:szCs w:val="18"/>
                <w:b w:val="1"/>
                <w:bCs w:val="1"/>
                <w:color w:val="auto"/>
              </w:rPr>
              <w:t>Cost</w:t>
            </w:r>
          </w:p>
        </w:tc>
        <w:tc>
          <w:tcPr>
            <w:tcW w:w="164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Calibri" w:cs="Calibri" w:eastAsia="Calibri" w:hAnsi="Calibri"/>
                <w:sz w:val="18"/>
                <w:szCs w:val="18"/>
                <w:b w:val="1"/>
                <w:bCs w:val="1"/>
                <w:color w:val="auto"/>
              </w:rPr>
              <w:t>Estmated Useful</w:t>
            </w:r>
          </w:p>
        </w:tc>
        <w:tc>
          <w:tcPr>
            <w:tcW w:w="0" w:type="dxa"/>
            <w:vAlign w:val="bottom"/>
          </w:tcPr>
          <w:p>
            <w:pPr>
              <w:spacing w:after="0"/>
              <w:rPr>
                <w:sz w:val="1"/>
                <w:szCs w:val="1"/>
                <w:color w:val="auto"/>
              </w:rPr>
            </w:pPr>
          </w:p>
        </w:tc>
      </w:tr>
      <w:tr>
        <w:trPr>
          <w:trHeight w:val="120"/>
        </w:trPr>
        <w:tc>
          <w:tcPr>
            <w:tcW w:w="6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1520" w:type="dxa"/>
            <w:vAlign w:val="bottom"/>
            <w:vMerge w:val="restart"/>
          </w:tcPr>
          <w:p>
            <w:pPr>
              <w:jc w:val="center"/>
              <w:spacing w:after="0" w:line="215" w:lineRule="exact"/>
              <w:rPr>
                <w:sz w:val="20"/>
                <w:szCs w:val="20"/>
                <w:color w:val="auto"/>
              </w:rPr>
            </w:pPr>
            <w:r>
              <w:rPr>
                <w:rFonts w:ascii="Calibri" w:cs="Calibri" w:eastAsia="Calibri" w:hAnsi="Calibri"/>
                <w:sz w:val="18"/>
                <w:szCs w:val="18"/>
                <w:b w:val="1"/>
                <w:bCs w:val="1"/>
                <w:color w:val="auto"/>
                <w:w w:val="96"/>
              </w:rPr>
              <w:t>Life</w:t>
            </w:r>
          </w:p>
        </w:tc>
        <w:tc>
          <w:tcPr>
            <w:tcW w:w="0" w:type="dxa"/>
            <w:vAlign w:val="bottom"/>
          </w:tcPr>
          <w:p>
            <w:pPr>
              <w:spacing w:after="0"/>
              <w:rPr>
                <w:sz w:val="1"/>
                <w:szCs w:val="1"/>
                <w:color w:val="auto"/>
              </w:rPr>
            </w:pPr>
          </w:p>
        </w:tc>
      </w:tr>
      <w:tr>
        <w:trPr>
          <w:trHeight w:val="95"/>
        </w:trPr>
        <w:tc>
          <w:tcPr>
            <w:tcW w:w="6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6400" w:type="dxa"/>
            <w:vAlign w:val="bottom"/>
            <w:vMerge w:val="restart"/>
          </w:tcPr>
          <w:p>
            <w:pPr>
              <w:ind w:left="20"/>
              <w:spacing w:after="0"/>
              <w:rPr>
                <w:sz w:val="20"/>
                <w:szCs w:val="20"/>
                <w:color w:val="auto"/>
              </w:rPr>
            </w:pPr>
            <w:r>
              <w:rPr>
                <w:rFonts w:ascii="Calibri" w:cs="Calibri" w:eastAsia="Calibri" w:hAnsi="Calibri"/>
                <w:sz w:val="18"/>
                <w:szCs w:val="18"/>
                <w:color w:val="auto"/>
              </w:rPr>
              <w:t>Customer relatonships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40" w:type="dxa"/>
            <w:vAlign w:val="bottom"/>
            <w:vMerge w:val="restart"/>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00" w:type="dxa"/>
            <w:vAlign w:val="bottom"/>
            <w:vMerge w:val="continue"/>
          </w:tcPr>
          <w:p>
            <w:pPr>
              <w:spacing w:after="0"/>
              <w:rPr>
                <w:sz w:val="18"/>
                <w:szCs w:val="18"/>
                <w:color w:val="auto"/>
              </w:rPr>
            </w:pPr>
          </w:p>
        </w:tc>
        <w:tc>
          <w:tcPr>
            <w:tcW w:w="400" w:type="dxa"/>
            <w:vAlign w:val="bottom"/>
          </w:tcPr>
          <w:p>
            <w:pPr>
              <w:jc w:val="right"/>
              <w:ind w:right="190"/>
              <w:spacing w:after="0" w:line="209"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spacing w:after="0" w:line="209" w:lineRule="exact"/>
              <w:rPr>
                <w:sz w:val="20"/>
                <w:szCs w:val="20"/>
                <w:color w:val="auto"/>
              </w:rPr>
            </w:pPr>
            <w:r>
              <w:rPr>
                <w:rFonts w:ascii="Calibri" w:cs="Calibri" w:eastAsia="Calibri" w:hAnsi="Calibri"/>
                <w:sz w:val="18"/>
                <w:szCs w:val="18"/>
                <w:color w:val="auto"/>
              </w:rPr>
              <w:t>1,530</w:t>
            </w:r>
          </w:p>
        </w:tc>
        <w:tc>
          <w:tcPr>
            <w:tcW w:w="1640" w:type="dxa"/>
            <w:vAlign w:val="bottom"/>
            <w:vMerge w:val="continue"/>
          </w:tcPr>
          <w:p>
            <w:pPr>
              <w:spacing w:after="0"/>
              <w:rPr>
                <w:sz w:val="18"/>
                <w:szCs w:val="18"/>
                <w:color w:val="auto"/>
              </w:rPr>
            </w:pPr>
          </w:p>
        </w:tc>
        <w:tc>
          <w:tcPr>
            <w:tcW w:w="1520" w:type="dxa"/>
            <w:vAlign w:val="bottom"/>
          </w:tcPr>
          <w:p>
            <w:pPr>
              <w:jc w:val="center"/>
              <w:spacing w:after="0" w:line="209" w:lineRule="exact"/>
              <w:rPr>
                <w:sz w:val="20"/>
                <w:szCs w:val="20"/>
                <w:color w:val="auto"/>
              </w:rPr>
            </w:pPr>
            <w:r>
              <w:rPr>
                <w:rFonts w:ascii="Calibri" w:cs="Calibri" w:eastAsia="Calibri" w:hAnsi="Calibri"/>
                <w:sz w:val="18"/>
                <w:szCs w:val="18"/>
                <w:color w:val="auto"/>
                <w:w w:val="99"/>
              </w:rPr>
              <w:t>2 years</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Developed technology</w:t>
            </w: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2,900</w:t>
            </w:r>
          </w:p>
        </w:tc>
        <w:tc>
          <w:tcPr>
            <w:tcW w:w="16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center"/>
              <w:spacing w:after="0" w:line="216" w:lineRule="exact"/>
              <w:rPr>
                <w:sz w:val="20"/>
                <w:szCs w:val="20"/>
                <w:color w:val="auto"/>
              </w:rPr>
            </w:pPr>
            <w:r>
              <w:rPr>
                <w:rFonts w:ascii="Calibri" w:cs="Calibri" w:eastAsia="Calibri" w:hAnsi="Calibri"/>
                <w:sz w:val="18"/>
                <w:szCs w:val="18"/>
                <w:color w:val="auto"/>
                <w:w w:val="99"/>
              </w:rPr>
              <w:t>5 years</w:t>
            </w:r>
          </w:p>
        </w:tc>
        <w:tc>
          <w:tcPr>
            <w:tcW w:w="0" w:type="dxa"/>
            <w:vAlign w:val="bottom"/>
          </w:tcPr>
          <w:p>
            <w:pPr>
              <w:spacing w:after="0"/>
              <w:rPr>
                <w:sz w:val="1"/>
                <w:szCs w:val="1"/>
                <w:color w:val="auto"/>
              </w:rPr>
            </w:pPr>
          </w:p>
        </w:tc>
      </w:tr>
      <w:tr>
        <w:trPr>
          <w:trHeight w:val="210"/>
        </w:trPr>
        <w:tc>
          <w:tcPr>
            <w:tcW w:w="6400" w:type="dxa"/>
            <w:vAlign w:val="bottom"/>
          </w:tcPr>
          <w:p>
            <w:pPr>
              <w:ind w:left="20"/>
              <w:spacing w:after="0" w:line="210" w:lineRule="exact"/>
              <w:rPr>
                <w:sz w:val="20"/>
                <w:szCs w:val="20"/>
                <w:color w:val="auto"/>
              </w:rPr>
            </w:pPr>
            <w:r>
              <w:rPr>
                <w:rFonts w:ascii="Calibri" w:cs="Calibri" w:eastAsia="Calibri" w:hAnsi="Calibri"/>
                <w:sz w:val="18"/>
                <w:szCs w:val="18"/>
                <w:b w:val="1"/>
                <w:bCs w:val="1"/>
                <w:color w:val="auto"/>
              </w:rPr>
              <w:t>Total acquired intangible assets</w:t>
            </w:r>
          </w:p>
        </w:tc>
        <w:tc>
          <w:tcPr>
            <w:tcW w:w="400" w:type="dxa"/>
            <w:vAlign w:val="bottom"/>
            <w:tcBorders>
              <w:bottom w:val="single" w:sz="8" w:color="auto"/>
            </w:tcBorders>
          </w:tcPr>
          <w:p>
            <w:pPr>
              <w:jc w:val="right"/>
              <w:ind w:right="190"/>
              <w:spacing w:after="0" w:line="210" w:lineRule="exact"/>
              <w:rPr>
                <w:sz w:val="20"/>
                <w:szCs w:val="20"/>
                <w:color w:val="auto"/>
              </w:rPr>
            </w:pPr>
            <w:r>
              <w:rPr>
                <w:rFonts w:ascii="Calibri" w:cs="Calibri" w:eastAsia="Calibri" w:hAnsi="Calibri"/>
                <w:sz w:val="18"/>
                <w:szCs w:val="18"/>
                <w:b w:val="1"/>
                <w:bCs w:val="1"/>
                <w:color w:val="auto"/>
              </w:rPr>
              <w:t>$</w:t>
            </w:r>
          </w:p>
        </w:tc>
        <w:tc>
          <w:tcPr>
            <w:tcW w:w="1280" w:type="dxa"/>
            <w:vAlign w:val="bottom"/>
            <w:tcBorders>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4,430</w:t>
            </w:r>
          </w:p>
        </w:tc>
        <w:tc>
          <w:tcPr>
            <w:tcW w:w="1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-170815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4. Revenue Recognition</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We recognize revenue in accordance with ASC 606. We have two reportable segments: Marketplace and Resale.</w:t>
      </w:r>
    </w:p>
    <w:p>
      <w:pPr>
        <w:spacing w:after="0" w:line="104"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3" w:name="page14"/>
    <w:bookmarkEnd w:id="13"/>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Through the Marketplace segment, we act as an intermediary between tcket buyers and sellers. We earn revenue processing tcket sales from our Owned Propertes, consistng of the Vivid Seats website and mobile applicatons, and from our Private Label ofering, which is comprised of numerous distributon partners.</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color w:val="auto"/>
        </w:rPr>
        <w:t>Marketplace revenues consisted of the following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gridSpan w:val="4"/>
          </w:tcPr>
          <w:p>
            <w:pPr>
              <w:jc w:val="right"/>
              <w:ind w:right="490"/>
              <w:spacing w:after="0"/>
              <w:rPr>
                <w:sz w:val="20"/>
                <w:szCs w:val="20"/>
                <w:color w:val="auto"/>
              </w:rPr>
            </w:pPr>
            <w:r>
              <w:rPr>
                <w:rFonts w:ascii="Calibri" w:cs="Calibri" w:eastAsia="Calibri" w:hAnsi="Calibri"/>
                <w:sz w:val="18"/>
                <w:szCs w:val="18"/>
                <w:b w:val="1"/>
                <w:bCs w:val="1"/>
                <w:color w:val="auto"/>
              </w:rPr>
              <w:t>Three Months Ended June 30,</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0" w:type="dxa"/>
            <w:vAlign w:val="bottom"/>
            <w:gridSpan w:val="4"/>
          </w:tcPr>
          <w:p>
            <w:pPr>
              <w:ind w:left="180"/>
              <w:spacing w:after="0"/>
              <w:rPr>
                <w:sz w:val="20"/>
                <w:szCs w:val="20"/>
                <w:color w:val="auto"/>
              </w:rPr>
            </w:pPr>
            <w:r>
              <w:rPr>
                <w:rFonts w:ascii="Calibri" w:cs="Calibri" w:eastAsia="Calibri" w:hAnsi="Calibri"/>
                <w:sz w:val="18"/>
                <w:szCs w:val="18"/>
                <w:b w:val="1"/>
                <w:bCs w:val="1"/>
                <w:color w:val="auto"/>
              </w:rPr>
              <w:t>Six Months Ended June 30,</w:t>
            </w:r>
          </w:p>
        </w:tc>
        <w:tc>
          <w:tcPr>
            <w:tcW w:w="100" w:type="dxa"/>
            <w:vAlign w:val="bottom"/>
          </w:tcPr>
          <w:p>
            <w:pPr>
              <w:spacing w:after="0"/>
              <w:rPr>
                <w:sz w:val="19"/>
                <w:szCs w:val="19"/>
                <w:color w:val="auto"/>
              </w:rPr>
            </w:pPr>
          </w:p>
        </w:tc>
      </w:tr>
      <w:tr>
        <w:trPr>
          <w:trHeight w:val="2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4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2022</w:t>
            </w:r>
          </w:p>
        </w:tc>
        <w:tc>
          <w:tcPr>
            <w:tcW w:w="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line="208" w:lineRule="exact"/>
              <w:rPr>
                <w:sz w:val="20"/>
                <w:szCs w:val="20"/>
                <w:color w:val="auto"/>
              </w:rPr>
            </w:pPr>
            <w:r>
              <w:rPr>
                <w:rFonts w:ascii="Calibri" w:cs="Calibri" w:eastAsia="Calibri" w:hAnsi="Calibri"/>
                <w:sz w:val="18"/>
                <w:szCs w:val="18"/>
                <w:b w:val="1"/>
                <w:bCs w:val="1"/>
                <w:color w:val="auto"/>
              </w:rPr>
              <w:t>2021</w:t>
            </w:r>
          </w:p>
        </w:tc>
        <w:tc>
          <w:tcPr>
            <w:tcW w:w="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60"/>
              <w:spacing w:after="0" w:line="208" w:lineRule="exact"/>
              <w:rPr>
                <w:sz w:val="20"/>
                <w:szCs w:val="20"/>
                <w:color w:val="auto"/>
              </w:rPr>
            </w:pPr>
            <w:r>
              <w:rPr>
                <w:rFonts w:ascii="Calibri" w:cs="Calibri" w:eastAsia="Calibri" w:hAnsi="Calibri"/>
                <w:sz w:val="18"/>
                <w:szCs w:val="18"/>
                <w:b w:val="1"/>
                <w:bCs w:val="1"/>
                <w:color w:val="auto"/>
              </w:rPr>
              <w:t>2022</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line="208"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24"/>
        </w:trPr>
        <w:tc>
          <w:tcPr>
            <w:tcW w:w="41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Marketplace revenues: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120" w:type="dxa"/>
            <w:vAlign w:val="bottom"/>
          </w:tcPr>
          <w:p>
            <w:pPr>
              <w:ind w:left="20"/>
              <w:spacing w:after="0" w:line="215" w:lineRule="exact"/>
              <w:rPr>
                <w:sz w:val="20"/>
                <w:szCs w:val="20"/>
                <w:color w:val="auto"/>
              </w:rPr>
            </w:pPr>
            <w:r>
              <w:rPr>
                <w:rFonts w:ascii="Calibri" w:cs="Calibri" w:eastAsia="Calibri" w:hAnsi="Calibri"/>
                <w:sz w:val="18"/>
                <w:szCs w:val="18"/>
                <w:color w:val="auto"/>
              </w:rPr>
              <w:t>Owned Propertes</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98,564</w:t>
            </w:r>
          </w:p>
        </w:tc>
        <w:tc>
          <w:tcPr>
            <w:tcW w:w="380" w:type="dxa"/>
            <w:vAlign w:val="bottom"/>
          </w:tcPr>
          <w:p>
            <w:pPr>
              <w:spacing w:after="0"/>
              <w:rPr>
                <w:sz w:val="18"/>
                <w:szCs w:val="18"/>
                <w:color w:val="auto"/>
              </w:rPr>
            </w:pP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84,535</w:t>
            </w:r>
          </w:p>
        </w:tc>
        <w:tc>
          <w:tcPr>
            <w:tcW w:w="108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182,230</w:t>
            </w:r>
          </w:p>
        </w:tc>
        <w:tc>
          <w:tcPr>
            <w:tcW w:w="6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102,731</w:t>
            </w:r>
          </w:p>
        </w:tc>
        <w:tc>
          <w:tcPr>
            <w:tcW w:w="100" w:type="dxa"/>
            <w:vAlign w:val="bottom"/>
          </w:tcPr>
          <w:p>
            <w:pPr>
              <w:spacing w:after="0"/>
              <w:rPr>
                <w:sz w:val="18"/>
                <w:szCs w:val="18"/>
                <w:color w:val="auto"/>
              </w:rPr>
            </w:pPr>
          </w:p>
        </w:tc>
      </w:tr>
      <w:tr>
        <w:trPr>
          <w:trHeight w:val="216"/>
        </w:trPr>
        <w:tc>
          <w:tcPr>
            <w:tcW w:w="412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Private Label</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31,350</w:t>
            </w:r>
          </w:p>
        </w:tc>
        <w:tc>
          <w:tcPr>
            <w:tcW w:w="3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20,113</w:t>
            </w:r>
          </w:p>
        </w:tc>
        <w:tc>
          <w:tcPr>
            <w:tcW w:w="8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58,200</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23,910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12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Total Marketplace revenues</w:t>
            </w:r>
          </w:p>
        </w:tc>
        <w:tc>
          <w:tcPr>
            <w:tcW w:w="340" w:type="dxa"/>
            <w:vAlign w:val="bottom"/>
            <w:tcBorders>
              <w:bottom w:val="single" w:sz="8" w:color="auto"/>
            </w:tcBorders>
          </w:tcPr>
          <w:p>
            <w:pPr>
              <w:jc w:val="right"/>
              <w:ind w:right="130"/>
              <w:spacing w:after="0" w:line="209" w:lineRule="exact"/>
              <w:rPr>
                <w:sz w:val="20"/>
                <w:szCs w:val="20"/>
                <w:color w:val="auto"/>
              </w:rPr>
            </w:pPr>
            <w:r>
              <w:rPr>
                <w:rFonts w:ascii="Calibri" w:cs="Calibri" w:eastAsia="Calibri" w:hAnsi="Calibri"/>
                <w:sz w:val="18"/>
                <w:szCs w:val="18"/>
                <w:b w:val="1"/>
                <w:bCs w:val="1"/>
                <w:color w:val="auto"/>
              </w:rPr>
              <w:t>$</w:t>
            </w:r>
          </w:p>
        </w:tc>
        <w:tc>
          <w:tcPr>
            <w:tcW w:w="11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129,914</w:t>
            </w:r>
          </w:p>
        </w:tc>
        <w:tc>
          <w:tcPr>
            <w:tcW w:w="3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line="209" w:lineRule="exact"/>
              <w:rPr>
                <w:sz w:val="20"/>
                <w:szCs w:val="20"/>
                <w:color w:val="auto"/>
              </w:rPr>
            </w:pPr>
            <w:r>
              <w:rPr>
                <w:rFonts w:ascii="Calibri" w:cs="Calibri" w:eastAsia="Calibri" w:hAnsi="Calibri"/>
                <w:sz w:val="18"/>
                <w:szCs w:val="18"/>
                <w:b w:val="1"/>
                <w:bCs w:val="1"/>
                <w:color w:val="auto"/>
                <w:w w:val="87"/>
              </w:rPr>
              <w:t>$</w:t>
            </w:r>
          </w:p>
        </w:tc>
        <w:tc>
          <w:tcPr>
            <w:tcW w:w="11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104,648</w:t>
            </w:r>
          </w:p>
        </w:tc>
        <w:tc>
          <w:tcPr>
            <w:tcW w:w="8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w w:val="87"/>
              </w:rPr>
              <w:t>$</w:t>
            </w:r>
          </w:p>
        </w:tc>
        <w:tc>
          <w:tcPr>
            <w:tcW w:w="9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240,430</w:t>
            </w:r>
          </w:p>
        </w:tc>
        <w:tc>
          <w:tcPr>
            <w:tcW w:w="3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line="209" w:lineRule="exact"/>
              <w:rPr>
                <w:sz w:val="20"/>
                <w:szCs w:val="20"/>
                <w:color w:val="auto"/>
              </w:rPr>
            </w:pPr>
            <w:r>
              <w:rPr>
                <w:rFonts w:ascii="Calibri" w:cs="Calibri" w:eastAsia="Calibri" w:hAnsi="Calibri"/>
                <w:sz w:val="18"/>
                <w:szCs w:val="18"/>
                <w:b w:val="1"/>
                <w:bCs w:val="1"/>
                <w:color w:val="auto"/>
                <w:w w:val="87"/>
              </w:rPr>
              <w:t>$</w:t>
            </w:r>
          </w:p>
        </w:tc>
        <w:tc>
          <w:tcPr>
            <w:tcW w:w="9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126,641</w:t>
            </w:r>
          </w:p>
        </w:tc>
        <w:tc>
          <w:tcPr>
            <w:tcW w:w="10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5940" w:type="dxa"/>
            <w:vAlign w:val="bottom"/>
            <w:gridSpan w:val="4"/>
          </w:tcPr>
          <w:p>
            <w:pPr>
              <w:spacing w:after="0"/>
              <w:rPr>
                <w:sz w:val="20"/>
                <w:szCs w:val="20"/>
                <w:color w:val="auto"/>
              </w:rPr>
            </w:pPr>
            <w:r>
              <w:rPr>
                <w:rFonts w:ascii="Calibri" w:cs="Calibri" w:eastAsia="Calibri" w:hAnsi="Calibri"/>
                <w:sz w:val="18"/>
                <w:szCs w:val="18"/>
                <w:color w:val="auto"/>
                <w:w w:val="99"/>
              </w:rPr>
              <w:t>Marketplace revenues consisted of the following event categories (in thousands):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4"/>
          </w:tcPr>
          <w:p>
            <w:pPr>
              <w:jc w:val="right"/>
              <w:ind w:right="490"/>
              <w:spacing w:after="0"/>
              <w:rPr>
                <w:sz w:val="20"/>
                <w:szCs w:val="20"/>
                <w:color w:val="auto"/>
              </w:rPr>
            </w:pPr>
            <w:r>
              <w:rPr>
                <w:rFonts w:ascii="Calibri" w:cs="Calibri" w:eastAsia="Calibri" w:hAnsi="Calibri"/>
                <w:sz w:val="18"/>
                <w:szCs w:val="18"/>
                <w:b w:val="1"/>
                <w:bCs w:val="1"/>
                <w:color w:val="auto"/>
              </w:rPr>
              <w:t>Three Months Ended June 30,</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4"/>
          </w:tcPr>
          <w:p>
            <w:pPr>
              <w:ind w:left="180"/>
              <w:spacing w:after="0"/>
              <w:rPr>
                <w:sz w:val="20"/>
                <w:szCs w:val="20"/>
                <w:color w:val="auto"/>
              </w:rPr>
            </w:pPr>
            <w:r>
              <w:rPr>
                <w:rFonts w:ascii="Calibri" w:cs="Calibri" w:eastAsia="Calibri" w:hAnsi="Calibri"/>
                <w:sz w:val="18"/>
                <w:szCs w:val="18"/>
                <w:b w:val="1"/>
                <w:bCs w:val="1"/>
                <w:color w:val="auto"/>
              </w:rPr>
              <w:t>Six Months Ended June 30,</w:t>
            </w:r>
          </w:p>
        </w:tc>
        <w:tc>
          <w:tcPr>
            <w:tcW w:w="100" w:type="dxa"/>
            <w:vAlign w:val="bottom"/>
          </w:tcPr>
          <w:p>
            <w:pPr>
              <w:spacing w:after="0"/>
              <w:rPr>
                <w:sz w:val="24"/>
                <w:szCs w:val="24"/>
                <w:color w:val="auto"/>
              </w:rPr>
            </w:pPr>
          </w:p>
        </w:tc>
      </w:tr>
      <w:tr>
        <w:trPr>
          <w:trHeight w:val="2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8"/>
        </w:trPr>
        <w:tc>
          <w:tcPr>
            <w:tcW w:w="4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0"/>
              <w:spacing w:after="0" w:line="208" w:lineRule="exact"/>
              <w:rPr>
                <w:sz w:val="20"/>
                <w:szCs w:val="20"/>
                <w:color w:val="auto"/>
              </w:rPr>
            </w:pPr>
            <w:r>
              <w:rPr>
                <w:rFonts w:ascii="Calibri" w:cs="Calibri" w:eastAsia="Calibri" w:hAnsi="Calibri"/>
                <w:sz w:val="18"/>
                <w:szCs w:val="18"/>
                <w:b w:val="1"/>
                <w:bCs w:val="1"/>
                <w:color w:val="auto"/>
              </w:rPr>
              <w:t>2022</w:t>
            </w:r>
          </w:p>
        </w:tc>
        <w:tc>
          <w:tcPr>
            <w:tcW w:w="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line="208" w:lineRule="exact"/>
              <w:rPr>
                <w:sz w:val="20"/>
                <w:szCs w:val="20"/>
                <w:color w:val="auto"/>
              </w:rPr>
            </w:pPr>
            <w:r>
              <w:rPr>
                <w:rFonts w:ascii="Calibri" w:cs="Calibri" w:eastAsia="Calibri" w:hAnsi="Calibri"/>
                <w:sz w:val="18"/>
                <w:szCs w:val="18"/>
                <w:b w:val="1"/>
                <w:bCs w:val="1"/>
                <w:color w:val="auto"/>
              </w:rPr>
              <w:t>2021</w:t>
            </w:r>
          </w:p>
        </w:tc>
        <w:tc>
          <w:tcPr>
            <w:tcW w:w="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60"/>
              <w:spacing w:after="0" w:line="208" w:lineRule="exact"/>
              <w:rPr>
                <w:sz w:val="20"/>
                <w:szCs w:val="20"/>
                <w:color w:val="auto"/>
              </w:rPr>
            </w:pPr>
            <w:r>
              <w:rPr>
                <w:rFonts w:ascii="Calibri" w:cs="Calibri" w:eastAsia="Calibri" w:hAnsi="Calibri"/>
                <w:sz w:val="18"/>
                <w:szCs w:val="18"/>
                <w:b w:val="1"/>
                <w:bCs w:val="1"/>
                <w:color w:val="auto"/>
              </w:rPr>
              <w:t>2022</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line="208"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24"/>
        </w:trPr>
        <w:tc>
          <w:tcPr>
            <w:tcW w:w="412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Marketplace revenues: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4120" w:type="dxa"/>
            <w:vAlign w:val="bottom"/>
          </w:tcPr>
          <w:p>
            <w:pPr>
              <w:ind w:left="20"/>
              <w:spacing w:after="0" w:line="215" w:lineRule="exact"/>
              <w:rPr>
                <w:sz w:val="20"/>
                <w:szCs w:val="20"/>
                <w:color w:val="auto"/>
              </w:rPr>
            </w:pPr>
            <w:r>
              <w:rPr>
                <w:rFonts w:ascii="Calibri" w:cs="Calibri" w:eastAsia="Calibri" w:hAnsi="Calibri"/>
                <w:sz w:val="18"/>
                <w:szCs w:val="18"/>
                <w:color w:val="auto"/>
              </w:rPr>
              <w:t>Concerts</w:t>
            </w:r>
          </w:p>
        </w:tc>
        <w:tc>
          <w:tcPr>
            <w:tcW w:w="340" w:type="dxa"/>
            <w:vAlign w:val="bottom"/>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65,816</w:t>
            </w:r>
          </w:p>
        </w:tc>
        <w:tc>
          <w:tcPr>
            <w:tcW w:w="380" w:type="dxa"/>
            <w:vAlign w:val="bottom"/>
          </w:tcPr>
          <w:p>
            <w:pPr>
              <w:spacing w:after="0"/>
              <w:rPr>
                <w:sz w:val="18"/>
                <w:szCs w:val="18"/>
                <w:color w:val="auto"/>
              </w:rPr>
            </w:pP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49,843</w:t>
            </w:r>
          </w:p>
        </w:tc>
        <w:tc>
          <w:tcPr>
            <w:tcW w:w="108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124,489</w:t>
            </w:r>
          </w:p>
        </w:tc>
        <w:tc>
          <w:tcPr>
            <w:tcW w:w="6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56,857</w:t>
            </w:r>
          </w:p>
        </w:tc>
        <w:tc>
          <w:tcPr>
            <w:tcW w:w="100" w:type="dxa"/>
            <w:vAlign w:val="bottom"/>
          </w:tcPr>
          <w:p>
            <w:pPr>
              <w:spacing w:after="0"/>
              <w:rPr>
                <w:sz w:val="18"/>
                <w:szCs w:val="18"/>
                <w:color w:val="auto"/>
              </w:rPr>
            </w:pPr>
          </w:p>
        </w:tc>
      </w:tr>
      <w:tr>
        <w:trPr>
          <w:trHeight w:val="217"/>
        </w:trPr>
        <w:tc>
          <w:tcPr>
            <w:tcW w:w="41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Sports</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51,285</w:t>
            </w: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48,005</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90,200</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62,143</w:t>
            </w:r>
          </w:p>
        </w:tc>
        <w:tc>
          <w:tcPr>
            <w:tcW w:w="100" w:type="dxa"/>
            <w:vAlign w:val="bottom"/>
            <w:shd w:val="clear" w:color="auto" w:fill="CFF0FC"/>
          </w:tcPr>
          <w:p>
            <w:pPr>
              <w:spacing w:after="0"/>
              <w:rPr>
                <w:sz w:val="18"/>
                <w:szCs w:val="18"/>
                <w:color w:val="auto"/>
              </w:rPr>
            </w:pPr>
          </w:p>
        </w:tc>
      </w:tr>
      <w:tr>
        <w:trPr>
          <w:trHeight w:val="215"/>
        </w:trPr>
        <w:tc>
          <w:tcPr>
            <w:tcW w:w="4120" w:type="dxa"/>
            <w:vAlign w:val="bottom"/>
          </w:tcPr>
          <w:p>
            <w:pPr>
              <w:ind w:left="20"/>
              <w:spacing w:after="0" w:line="215" w:lineRule="exact"/>
              <w:rPr>
                <w:sz w:val="20"/>
                <w:szCs w:val="20"/>
                <w:color w:val="auto"/>
              </w:rPr>
            </w:pPr>
            <w:r>
              <w:rPr>
                <w:rFonts w:ascii="Calibri" w:cs="Calibri" w:eastAsia="Calibri" w:hAnsi="Calibri"/>
                <w:sz w:val="18"/>
                <w:szCs w:val="18"/>
                <w:color w:val="auto"/>
              </w:rPr>
              <w:t>Theater</w:t>
            </w:r>
          </w:p>
        </w:tc>
        <w:tc>
          <w:tcPr>
            <w:tcW w:w="34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11,856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6,515</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24,471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line="215" w:lineRule="exact"/>
              <w:rPr>
                <w:sz w:val="20"/>
                <w:szCs w:val="20"/>
                <w:color w:val="auto"/>
              </w:rPr>
            </w:pPr>
            <w:r>
              <w:rPr>
                <w:rFonts w:ascii="Calibri" w:cs="Calibri" w:eastAsia="Calibri" w:hAnsi="Calibri"/>
                <w:sz w:val="18"/>
                <w:szCs w:val="18"/>
                <w:color w:val="auto"/>
              </w:rPr>
              <w:t>7,298</w:t>
            </w:r>
          </w:p>
        </w:tc>
        <w:tc>
          <w:tcPr>
            <w:tcW w:w="100" w:type="dxa"/>
            <w:vAlign w:val="bottom"/>
          </w:tcPr>
          <w:p>
            <w:pPr>
              <w:spacing w:after="0"/>
              <w:rPr>
                <w:sz w:val="18"/>
                <w:szCs w:val="18"/>
                <w:color w:val="auto"/>
              </w:rPr>
            </w:pPr>
          </w:p>
        </w:tc>
      </w:tr>
      <w:tr>
        <w:trPr>
          <w:trHeight w:val="216"/>
        </w:trPr>
        <w:tc>
          <w:tcPr>
            <w:tcW w:w="412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957</w:t>
            </w:r>
          </w:p>
        </w:tc>
        <w:tc>
          <w:tcPr>
            <w:tcW w:w="3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285</w:t>
            </w:r>
          </w:p>
        </w:tc>
        <w:tc>
          <w:tcPr>
            <w:tcW w:w="8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1,270</w:t>
            </w:r>
          </w:p>
        </w:tc>
        <w:tc>
          <w:tcPr>
            <w:tcW w:w="3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12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Total Marketplace revenues</w:t>
            </w:r>
          </w:p>
        </w:tc>
        <w:tc>
          <w:tcPr>
            <w:tcW w:w="340" w:type="dxa"/>
            <w:vAlign w:val="bottom"/>
          </w:tcPr>
          <w:p>
            <w:pPr>
              <w:jc w:val="right"/>
              <w:ind w:right="130"/>
              <w:spacing w:after="0" w:line="209" w:lineRule="exact"/>
              <w:rPr>
                <w:sz w:val="20"/>
                <w:szCs w:val="20"/>
                <w:color w:val="auto"/>
              </w:rPr>
            </w:pPr>
            <w:r>
              <w:rPr>
                <w:rFonts w:ascii="Calibri" w:cs="Calibri" w:eastAsia="Calibri" w:hAnsi="Calibri"/>
                <w:sz w:val="18"/>
                <w:szCs w:val="18"/>
                <w:b w:val="1"/>
                <w:bCs w:val="1"/>
                <w:color w:val="auto"/>
              </w:rPr>
              <w:t>$</w:t>
            </w:r>
          </w:p>
        </w:tc>
        <w:tc>
          <w:tcPr>
            <w:tcW w:w="11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129,914</w:t>
            </w:r>
          </w:p>
        </w:tc>
        <w:tc>
          <w:tcPr>
            <w:tcW w:w="380" w:type="dxa"/>
            <w:vAlign w:val="bottom"/>
          </w:tcPr>
          <w:p>
            <w:pPr>
              <w:spacing w:after="0"/>
              <w:rPr>
                <w:sz w:val="18"/>
                <w:szCs w:val="18"/>
                <w:color w:val="auto"/>
              </w:rPr>
            </w:pPr>
          </w:p>
        </w:tc>
        <w:tc>
          <w:tcPr>
            <w:tcW w:w="340" w:type="dxa"/>
            <w:vAlign w:val="bottom"/>
          </w:tcPr>
          <w:p>
            <w:pPr>
              <w:jc w:val="right"/>
              <w:ind w:right="150"/>
              <w:spacing w:after="0" w:line="209" w:lineRule="exact"/>
              <w:rPr>
                <w:sz w:val="20"/>
                <w:szCs w:val="20"/>
                <w:color w:val="auto"/>
              </w:rPr>
            </w:pPr>
            <w:r>
              <w:rPr>
                <w:rFonts w:ascii="Calibri" w:cs="Calibri" w:eastAsia="Calibri" w:hAnsi="Calibri"/>
                <w:sz w:val="18"/>
                <w:szCs w:val="18"/>
                <w:b w:val="1"/>
                <w:bCs w:val="1"/>
                <w:color w:val="auto"/>
                <w:w w:val="87"/>
              </w:rPr>
              <w:t>$</w:t>
            </w:r>
          </w:p>
        </w:tc>
        <w:tc>
          <w:tcPr>
            <w:tcW w:w="11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104,648</w:t>
            </w:r>
          </w:p>
        </w:tc>
        <w:tc>
          <w:tcPr>
            <w:tcW w:w="1080" w:type="dxa"/>
            <w:vAlign w:val="bottom"/>
            <w:gridSpan w:val="2"/>
          </w:tcPr>
          <w:p>
            <w:pPr>
              <w:jc w:val="right"/>
              <w:ind w:right="90"/>
              <w:spacing w:after="0" w:line="209" w:lineRule="exact"/>
              <w:rPr>
                <w:sz w:val="20"/>
                <w:szCs w:val="20"/>
                <w:color w:val="auto"/>
              </w:rPr>
            </w:pPr>
            <w:r>
              <w:rPr>
                <w:rFonts w:ascii="Calibri" w:cs="Calibri" w:eastAsia="Calibri" w:hAnsi="Calibri"/>
                <w:sz w:val="18"/>
                <w:szCs w:val="18"/>
                <w:b w:val="1"/>
                <w:bCs w:val="1"/>
                <w:color w:val="auto"/>
              </w:rPr>
              <w:t>$</w:t>
            </w:r>
          </w:p>
        </w:tc>
        <w:tc>
          <w:tcPr>
            <w:tcW w:w="9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240,430</w:t>
            </w:r>
          </w:p>
        </w:tc>
        <w:tc>
          <w:tcPr>
            <w:tcW w:w="660" w:type="dxa"/>
            <w:vAlign w:val="bottom"/>
            <w:gridSpan w:val="2"/>
          </w:tcPr>
          <w:p>
            <w:pPr>
              <w:jc w:val="right"/>
              <w:ind w:right="90"/>
              <w:spacing w:after="0" w:line="209" w:lineRule="exact"/>
              <w:rPr>
                <w:sz w:val="20"/>
                <w:szCs w:val="20"/>
                <w:color w:val="auto"/>
              </w:rPr>
            </w:pPr>
            <w:r>
              <w:rPr>
                <w:rFonts w:ascii="Calibri" w:cs="Calibri" w:eastAsia="Calibri" w:hAnsi="Calibri"/>
                <w:sz w:val="18"/>
                <w:szCs w:val="18"/>
                <w:b w:val="1"/>
                <w:bCs w:val="1"/>
                <w:color w:val="auto"/>
              </w:rPr>
              <w:t>$</w:t>
            </w:r>
          </w:p>
        </w:tc>
        <w:tc>
          <w:tcPr>
            <w:tcW w:w="9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126,641</w:t>
            </w:r>
          </w:p>
        </w:tc>
        <w:tc>
          <w:tcPr>
            <w:tcW w:w="10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-1628140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-1628140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-1628140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-170815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Within the Resale segment, we sell tckets we hold in inventory on resale tcket marketplaces. Resale revenues were $17.8 million and $38.0 million during the three and six months ended June 30, 2022, respectvely, and $10.9 million and $13.0 million during the three and six months ended June 30, 2021, respectvely.</w:t>
      </w:r>
    </w:p>
    <w:p>
      <w:pPr>
        <w:spacing w:after="0" w:line="151"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At June 30, 2022, Deferred revenue in the Condensed Consolidated Balance Sheets was $32.7 million, which primarily relates to Vivid Seats Rewards, our loyalty program.</w:t>
      </w:r>
    </w:p>
    <w:p>
      <w:pPr>
        <w:spacing w:after="0" w:line="145"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At December 31, 2021, $25.1 million was recorded as deferred revenue, of which $2.0 million and $6.0 million was recognized as revenue during the three and six months ended June 30, 2022, respectvely. At December 31, 2020, $6.0 million was recorded as deferred revenue, of which $3.2 million and $3.8 million was recognized as revenue during the three and six months ended June 30, 2021, respectvely.</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Segment Reporting</w:t>
      </w:r>
    </w:p>
    <w:p>
      <w:pPr>
        <w:spacing w:after="0" w:line="136" w:lineRule="exact"/>
        <w:rPr>
          <w:sz w:val="20"/>
          <w:szCs w:val="20"/>
          <w:color w:val="auto"/>
        </w:rPr>
      </w:pPr>
    </w:p>
    <w:p>
      <w:pPr>
        <w:jc w:val="both"/>
        <w:spacing w:after="0" w:line="244" w:lineRule="auto"/>
        <w:rPr>
          <w:sz w:val="20"/>
          <w:szCs w:val="20"/>
          <w:color w:val="auto"/>
        </w:rPr>
      </w:pPr>
      <w:r>
        <w:rPr>
          <w:rFonts w:ascii="Calibri" w:cs="Calibri" w:eastAsia="Calibri" w:hAnsi="Calibri"/>
          <w:sz w:val="18"/>
          <w:szCs w:val="18"/>
          <w:color w:val="auto"/>
        </w:rPr>
        <w:t>Our reportable segments are Marketplace and Resale. Through the Marketplace segment, we act as an intermediary between tcket buyers and sellers within our online secondary tcket marketplace. Through the Resale segment, we acquire tckets from primary sellers, which are then sold through secondary tcket marketplaces. Revenues and contributon margin are used by our Chief Operatng Decision Maker (“CODM”) to assess performance of the business. We defne contributon margin as revenues less cost of revenues and marketng and selling expenses.</w:t>
      </w:r>
    </w:p>
    <w:p>
      <w:pPr>
        <w:spacing w:after="0" w:line="14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do not report our assets, capital expenditures, or related depreciaton and amortzaton expenses by segment, because our CODM does not use this informaton to evaluate the performance of our operatng segments.</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tables represent our segment informaton (in thousands):</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20" w:type="dxa"/>
            <w:vAlign w:val="bottom"/>
            <w:gridSpan w:val="11"/>
          </w:tcPr>
          <w:p>
            <w:pPr>
              <w:jc w:val="center"/>
              <w:ind w:right="400"/>
              <w:spacing w:after="0"/>
              <w:rPr>
                <w:sz w:val="20"/>
                <w:szCs w:val="20"/>
                <w:color w:val="auto"/>
              </w:rPr>
            </w:pPr>
            <w:r>
              <w:rPr>
                <w:rFonts w:ascii="Calibri" w:cs="Calibri" w:eastAsia="Calibri" w:hAnsi="Calibri"/>
                <w:sz w:val="18"/>
                <w:szCs w:val="18"/>
                <w:b w:val="1"/>
                <w:bCs w:val="1"/>
                <w:color w:val="auto"/>
                <w:w w:val="97"/>
              </w:rPr>
              <w:t>Three Months Ended June 30, 2022</w:t>
            </w:r>
          </w:p>
        </w:tc>
        <w:tc>
          <w:tcPr>
            <w:tcW w:w="100" w:type="dxa"/>
            <w:vAlign w:val="bottom"/>
          </w:tcPr>
          <w:p>
            <w:pPr>
              <w:spacing w:after="0"/>
              <w:rPr>
                <w:sz w:val="19"/>
                <w:szCs w:val="19"/>
                <w:color w:val="auto"/>
              </w:rPr>
            </w:pPr>
          </w:p>
        </w:tc>
        <w:tc>
          <w:tcPr>
            <w:tcW w:w="3820" w:type="dxa"/>
            <w:vAlign w:val="bottom"/>
            <w:gridSpan w:val="8"/>
          </w:tcPr>
          <w:p>
            <w:pPr>
              <w:jc w:val="right"/>
              <w:ind w:right="840"/>
              <w:spacing w:after="0"/>
              <w:rPr>
                <w:sz w:val="20"/>
                <w:szCs w:val="20"/>
                <w:color w:val="auto"/>
              </w:rPr>
            </w:pPr>
            <w:r>
              <w:rPr>
                <w:rFonts w:ascii="Calibri" w:cs="Calibri" w:eastAsia="Calibri" w:hAnsi="Calibri"/>
                <w:sz w:val="18"/>
                <w:szCs w:val="18"/>
                <w:b w:val="1"/>
                <w:bCs w:val="1"/>
                <w:color w:val="auto"/>
              </w:rPr>
              <w:t>Six Months Ended June 30, 2022</w:t>
            </w: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ind w:left="60"/>
              <w:spacing w:after="0" w:line="208" w:lineRule="exact"/>
              <w:rPr>
                <w:sz w:val="20"/>
                <w:szCs w:val="20"/>
                <w:color w:val="auto"/>
              </w:rPr>
            </w:pPr>
            <w:r>
              <w:rPr>
                <w:rFonts w:ascii="Calibri" w:cs="Calibri" w:eastAsia="Calibri" w:hAnsi="Calibri"/>
                <w:sz w:val="18"/>
                <w:szCs w:val="18"/>
                <w:b w:val="1"/>
                <w:bCs w:val="1"/>
                <w:color w:val="auto"/>
              </w:rPr>
              <w:t>Marketplace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520"/>
              <w:spacing w:after="0" w:line="208" w:lineRule="exact"/>
              <w:rPr>
                <w:sz w:val="20"/>
                <w:szCs w:val="20"/>
                <w:color w:val="auto"/>
              </w:rPr>
            </w:pPr>
            <w:r>
              <w:rPr>
                <w:rFonts w:ascii="Calibri" w:cs="Calibri" w:eastAsia="Calibri" w:hAnsi="Calibri"/>
                <w:sz w:val="18"/>
                <w:szCs w:val="18"/>
                <w:b w:val="1"/>
                <w:bCs w:val="1"/>
                <w:color w:val="auto"/>
                <w:w w:val="98"/>
              </w:rPr>
              <w:t>Resale</w:t>
            </w:r>
          </w:p>
        </w:tc>
        <w:tc>
          <w:tcPr>
            <w:tcW w:w="160" w:type="dxa"/>
            <w:vAlign w:val="bottom"/>
          </w:tcPr>
          <w:p>
            <w:pPr>
              <w:spacing w:after="0"/>
              <w:rPr>
                <w:sz w:val="18"/>
                <w:szCs w:val="18"/>
                <w:color w:val="auto"/>
              </w:rPr>
            </w:pPr>
          </w:p>
        </w:tc>
        <w:tc>
          <w:tcPr>
            <w:tcW w:w="1280" w:type="dxa"/>
            <w:vAlign w:val="bottom"/>
          </w:tcPr>
          <w:p>
            <w:pPr>
              <w:jc w:val="right"/>
              <w:ind w:right="170"/>
              <w:spacing w:after="0" w:line="208" w:lineRule="exact"/>
              <w:rPr>
                <w:sz w:val="20"/>
                <w:szCs w:val="20"/>
                <w:color w:val="auto"/>
              </w:rPr>
            </w:pPr>
            <w:r>
              <w:rPr>
                <w:rFonts w:ascii="Calibri" w:cs="Calibri" w:eastAsia="Calibri" w:hAnsi="Calibri"/>
                <w:sz w:val="18"/>
                <w:szCs w:val="18"/>
                <w:b w:val="1"/>
                <w:bCs w:val="1"/>
                <w:color w:val="auto"/>
              </w:rPr>
              <w:t>Consolidated</w:t>
            </w:r>
          </w:p>
        </w:tc>
        <w:tc>
          <w:tcPr>
            <w:tcW w:w="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0"/>
              <w:spacing w:after="0" w:line="208" w:lineRule="exact"/>
              <w:rPr>
                <w:sz w:val="20"/>
                <w:szCs w:val="20"/>
                <w:color w:val="auto"/>
              </w:rPr>
            </w:pPr>
            <w:r>
              <w:rPr>
                <w:rFonts w:ascii="Calibri" w:cs="Calibri" w:eastAsia="Calibri" w:hAnsi="Calibri"/>
                <w:sz w:val="18"/>
                <w:szCs w:val="18"/>
                <w:b w:val="1"/>
                <w:bCs w:val="1"/>
                <w:color w:val="auto"/>
                <w:w w:val="97"/>
              </w:rPr>
              <w:t>Marketplace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0"/>
              <w:spacing w:after="0" w:line="208" w:lineRule="exact"/>
              <w:rPr>
                <w:sz w:val="20"/>
                <w:szCs w:val="20"/>
                <w:color w:val="auto"/>
              </w:rPr>
            </w:pPr>
            <w:r>
              <w:rPr>
                <w:rFonts w:ascii="Calibri" w:cs="Calibri" w:eastAsia="Calibri" w:hAnsi="Calibri"/>
                <w:sz w:val="18"/>
                <w:szCs w:val="18"/>
                <w:b w:val="1"/>
                <w:bCs w:val="1"/>
                <w:color w:val="auto"/>
              </w:rPr>
              <w:t>Resale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90"/>
              <w:spacing w:after="0" w:line="208" w:lineRule="exact"/>
              <w:rPr>
                <w:sz w:val="20"/>
                <w:szCs w:val="20"/>
                <w:color w:val="auto"/>
              </w:rPr>
            </w:pPr>
            <w:r>
              <w:rPr>
                <w:rFonts w:ascii="Calibri" w:cs="Calibri" w:eastAsia="Calibri" w:hAnsi="Calibri"/>
                <w:sz w:val="18"/>
                <w:szCs w:val="18"/>
                <w:b w:val="1"/>
                <w:bCs w:val="1"/>
                <w:color w:val="auto"/>
                <w:w w:val="99"/>
              </w:rPr>
              <w:t>Consolidated</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1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129,914</w:t>
            </w: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tcBorders>
              <w:top w:val="single" w:sz="8" w:color="auto"/>
            </w:tcBorders>
            <w:gridSpan w:val="2"/>
            <w:shd w:val="clear" w:color="auto" w:fill="CFF0FC"/>
          </w:tcPr>
          <w:p>
            <w:pPr>
              <w:jc w:val="right"/>
              <w:ind w:right="50"/>
              <w:spacing w:after="0" w:line="210" w:lineRule="exact"/>
              <w:rPr>
                <w:sz w:val="20"/>
                <w:szCs w:val="20"/>
                <w:color w:val="auto"/>
              </w:rPr>
            </w:pPr>
            <w:r>
              <w:rPr>
                <w:rFonts w:ascii="Calibri" w:cs="Calibri" w:eastAsia="Calibri" w:hAnsi="Calibri"/>
                <w:sz w:val="18"/>
                <w:szCs w:val="18"/>
                <w:color w:val="auto"/>
                <w:w w:val="87"/>
              </w:rPr>
              <w:t>$</w:t>
            </w:r>
          </w:p>
        </w:tc>
        <w:tc>
          <w:tcPr>
            <w:tcW w:w="9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17,780</w:t>
            </w:r>
          </w:p>
        </w:tc>
        <w:tc>
          <w:tcPr>
            <w:tcW w:w="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6"/>
                <w:szCs w:val="16"/>
                <w:color w:val="auto"/>
                <w:w w:val="73"/>
              </w:rPr>
              <w:t>$</w:t>
            </w:r>
          </w:p>
        </w:tc>
        <w:tc>
          <w:tcPr>
            <w:tcW w:w="12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147,694</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240,430</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38,036</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278,466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460" w:type="dxa"/>
            <w:vAlign w:val="bottom"/>
          </w:tcPr>
          <w:p>
            <w:pPr>
              <w:ind w:left="20"/>
              <w:spacing w:after="0" w:line="166" w:lineRule="exact"/>
              <w:rPr>
                <w:sz w:val="20"/>
                <w:szCs w:val="20"/>
                <w:color w:val="auto"/>
              </w:rPr>
            </w:pPr>
            <w:r>
              <w:rPr>
                <w:rFonts w:ascii="Calibri" w:cs="Calibri" w:eastAsia="Calibri" w:hAnsi="Calibri"/>
                <w:sz w:val="18"/>
                <w:szCs w:val="18"/>
                <w:color w:val="auto"/>
              </w:rPr>
              <w:t>Cost of revenues (exclusive of</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line="189" w:lineRule="exact"/>
              <w:rPr>
                <w:sz w:val="20"/>
                <w:szCs w:val="20"/>
                <w:color w:val="auto"/>
              </w:rPr>
            </w:pPr>
            <w:r>
              <w:rPr>
                <w:rFonts w:ascii="Calibri" w:cs="Calibri" w:eastAsia="Calibri" w:hAnsi="Calibri"/>
                <w:sz w:val="18"/>
                <w:szCs w:val="18"/>
                <w:color w:val="auto"/>
              </w:rPr>
              <w:t>depreciaton and amortzaton</w:t>
            </w:r>
          </w:p>
        </w:tc>
        <w:tc>
          <w:tcPr>
            <w:tcW w:w="1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Calibri" w:cs="Calibri" w:eastAsia="Calibri" w:hAnsi="Calibri"/>
                <w:sz w:val="18"/>
                <w:szCs w:val="18"/>
                <w:color w:val="auto"/>
              </w:rPr>
              <w:t>18,553</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Calibri" w:cs="Calibri" w:eastAsia="Calibri" w:hAnsi="Calibri"/>
                <w:sz w:val="18"/>
                <w:szCs w:val="18"/>
                <w:color w:val="auto"/>
              </w:rPr>
              <w:t>13,869</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Calibri" w:cs="Calibri" w:eastAsia="Calibri" w:hAnsi="Calibri"/>
                <w:sz w:val="18"/>
                <w:szCs w:val="18"/>
                <w:color w:val="auto"/>
              </w:rPr>
              <w:t>32,422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Calibri" w:cs="Calibri" w:eastAsia="Calibri" w:hAnsi="Calibri"/>
                <w:sz w:val="18"/>
                <w:szCs w:val="18"/>
                <w:color w:val="auto"/>
              </w:rPr>
              <w:t>34,962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Calibri" w:cs="Calibri" w:eastAsia="Calibri" w:hAnsi="Calibri"/>
                <w:sz w:val="18"/>
                <w:szCs w:val="18"/>
                <w:color w:val="auto"/>
              </w:rPr>
              <w:t>29,624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Calibri" w:cs="Calibri" w:eastAsia="Calibri" w:hAnsi="Calibri"/>
                <w:sz w:val="18"/>
                <w:szCs w:val="18"/>
                <w:color w:val="auto"/>
              </w:rPr>
              <w:t>64,586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line="215" w:lineRule="exact"/>
              <w:rPr>
                <w:sz w:val="20"/>
                <w:szCs w:val="20"/>
                <w:color w:val="auto"/>
              </w:rPr>
            </w:pPr>
            <w:r>
              <w:rPr>
                <w:rFonts w:ascii="Calibri" w:cs="Calibri" w:eastAsia="Calibri" w:hAnsi="Calibri"/>
                <w:sz w:val="18"/>
                <w:szCs w:val="18"/>
                <w:color w:val="auto"/>
              </w:rPr>
              <w:t>shown separately below)</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Marketng and selling</w:t>
            </w: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59,412</w:t>
            </w:r>
          </w:p>
        </w:tc>
        <w:tc>
          <w:tcPr>
            <w:tcW w:w="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00" w:type="dxa"/>
            <w:vAlign w:val="bottom"/>
            <w:tcBorders>
              <w:bottom w:val="single" w:sz="8" w:color="CFF0FC"/>
              <w:right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59,412</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113,640</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113,640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Contributon margin</w:t>
            </w:r>
          </w:p>
        </w:tc>
        <w:tc>
          <w:tcPr>
            <w:tcW w:w="14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1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51,949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gridSpan w:val="2"/>
          </w:tcPr>
          <w:p>
            <w:pPr>
              <w:jc w:val="right"/>
              <w:ind w:right="50"/>
              <w:spacing w:after="0" w:line="209" w:lineRule="exact"/>
              <w:rPr>
                <w:sz w:val="20"/>
                <w:szCs w:val="20"/>
                <w:color w:val="auto"/>
              </w:rPr>
            </w:pPr>
            <w:r>
              <w:rPr>
                <w:rFonts w:ascii="Calibri" w:cs="Calibri" w:eastAsia="Calibri" w:hAnsi="Calibri"/>
                <w:sz w:val="18"/>
                <w:szCs w:val="18"/>
                <w:b w:val="1"/>
                <w:bCs w:val="1"/>
                <w:color w:val="auto"/>
                <w:w w:val="87"/>
              </w:rPr>
              <w:t>$</w:t>
            </w:r>
          </w:p>
        </w:tc>
        <w:tc>
          <w:tcPr>
            <w:tcW w:w="94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3,911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55,860</w:t>
            </w:r>
          </w:p>
        </w:tc>
        <w:tc>
          <w:tcPr>
            <w:tcW w:w="260" w:type="dxa"/>
            <w:vAlign w:val="bottom"/>
          </w:tcPr>
          <w:p>
            <w:pPr>
              <w:spacing w:after="0"/>
              <w:rPr>
                <w:sz w:val="18"/>
                <w:szCs w:val="18"/>
                <w:color w:val="auto"/>
              </w:rPr>
            </w:pPr>
          </w:p>
        </w:tc>
        <w:tc>
          <w:tcPr>
            <w:tcW w:w="1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0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91,828</w:t>
            </w:r>
          </w:p>
        </w:tc>
        <w:tc>
          <w:tcPr>
            <w:tcW w:w="380" w:type="dxa"/>
            <w:vAlign w:val="bottom"/>
            <w:gridSpan w:val="2"/>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7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8,412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100,240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General and administratve</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36,207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65,482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Income from operatons</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17,927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31,647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 net</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2,699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6,641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Loss on extnguishment of debt</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4,285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line="215" w:lineRule="exact"/>
              <w:rPr>
                <w:sz w:val="20"/>
                <w:szCs w:val="20"/>
                <w:color w:val="auto"/>
              </w:rPr>
            </w:pPr>
            <w:r>
              <w:rPr>
                <w:rFonts w:ascii="Calibri" w:cs="Calibri" w:eastAsia="Calibri" w:hAnsi="Calibri"/>
                <w:sz w:val="18"/>
                <w:szCs w:val="18"/>
                <w:color w:val="auto"/>
              </w:rPr>
              <w:t>Other income</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00"/>
              <w:spacing w:after="0" w:line="215" w:lineRule="exact"/>
              <w:rPr>
                <w:sz w:val="20"/>
                <w:szCs w:val="20"/>
                <w:color w:val="auto"/>
              </w:rPr>
            </w:pPr>
            <w:r>
              <w:rPr>
                <w:rFonts w:ascii="Calibri" w:cs="Calibri" w:eastAsia="Calibri" w:hAnsi="Calibri"/>
                <w:sz w:val="18"/>
                <w:szCs w:val="18"/>
                <w:color w:val="auto"/>
              </w:rPr>
              <w:t>(8,832 )</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(6,553 )</w:t>
            </w:r>
          </w:p>
        </w:tc>
        <w:tc>
          <w:tcPr>
            <w:tcW w:w="0" w:type="dxa"/>
            <w:vAlign w:val="bottom"/>
          </w:tcPr>
          <w:p>
            <w:pPr>
              <w:spacing w:after="0"/>
              <w:rPr>
                <w:sz w:val="1"/>
                <w:szCs w:val="1"/>
                <w:color w:val="auto"/>
              </w:rPr>
            </w:pPr>
          </w:p>
        </w:tc>
      </w:tr>
      <w:tr>
        <w:trPr>
          <w:trHeight w:val="250"/>
        </w:trPr>
        <w:tc>
          <w:tcPr>
            <w:tcW w:w="246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Income before income taxes</w:t>
            </w: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6"/>
                <w:szCs w:val="16"/>
                <w:b w:val="1"/>
                <w:bCs w:val="1"/>
                <w:color w:val="auto"/>
                <w:w w:val="73"/>
              </w:rPr>
              <w:t>$</w:t>
            </w:r>
          </w:p>
        </w:tc>
        <w:tc>
          <w:tcPr>
            <w:tcW w:w="128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24,060</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87"/>
              </w:rPr>
              <w:t>$</w:t>
            </w:r>
          </w:p>
        </w:tc>
        <w:tc>
          <w:tcPr>
            <w:tcW w:w="118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27,274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38"/>
        </w:trPr>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gridSpan w:val="11"/>
          </w:tcPr>
          <w:p>
            <w:pPr>
              <w:jc w:val="center"/>
              <w:ind w:right="400"/>
              <w:spacing w:after="0"/>
              <w:rPr>
                <w:sz w:val="20"/>
                <w:szCs w:val="20"/>
                <w:color w:val="auto"/>
              </w:rPr>
            </w:pPr>
            <w:r>
              <w:rPr>
                <w:rFonts w:ascii="Calibri" w:cs="Calibri" w:eastAsia="Calibri" w:hAnsi="Calibri"/>
                <w:sz w:val="18"/>
                <w:szCs w:val="18"/>
                <w:b w:val="1"/>
                <w:bCs w:val="1"/>
                <w:color w:val="auto"/>
                <w:w w:val="97"/>
              </w:rPr>
              <w:t>Three Months Ended June 30, 2021</w:t>
            </w:r>
          </w:p>
        </w:tc>
        <w:tc>
          <w:tcPr>
            <w:tcW w:w="100" w:type="dxa"/>
            <w:vAlign w:val="bottom"/>
          </w:tcPr>
          <w:p>
            <w:pPr>
              <w:spacing w:after="0"/>
              <w:rPr>
                <w:sz w:val="24"/>
                <w:szCs w:val="24"/>
                <w:color w:val="auto"/>
              </w:rPr>
            </w:pPr>
          </w:p>
        </w:tc>
        <w:tc>
          <w:tcPr>
            <w:tcW w:w="3820" w:type="dxa"/>
            <w:vAlign w:val="bottom"/>
            <w:gridSpan w:val="8"/>
          </w:tcPr>
          <w:p>
            <w:pPr>
              <w:jc w:val="right"/>
              <w:ind w:right="840"/>
              <w:spacing w:after="0"/>
              <w:rPr>
                <w:sz w:val="20"/>
                <w:szCs w:val="20"/>
                <w:color w:val="auto"/>
              </w:rPr>
            </w:pPr>
            <w:r>
              <w:rPr>
                <w:rFonts w:ascii="Calibri" w:cs="Calibri" w:eastAsia="Calibri" w:hAnsi="Calibri"/>
                <w:sz w:val="18"/>
                <w:szCs w:val="18"/>
                <w:b w:val="1"/>
                <w:bCs w:val="1"/>
                <w:color w:val="auto"/>
              </w:rPr>
              <w:t>Six Months Ended June 30, 2021</w:t>
            </w: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ind w:left="60"/>
              <w:spacing w:after="0" w:line="208" w:lineRule="exact"/>
              <w:rPr>
                <w:sz w:val="20"/>
                <w:szCs w:val="20"/>
                <w:color w:val="auto"/>
              </w:rPr>
            </w:pPr>
            <w:r>
              <w:rPr>
                <w:rFonts w:ascii="Calibri" w:cs="Calibri" w:eastAsia="Calibri" w:hAnsi="Calibri"/>
                <w:sz w:val="18"/>
                <w:szCs w:val="18"/>
                <w:b w:val="1"/>
                <w:bCs w:val="1"/>
                <w:color w:val="auto"/>
              </w:rPr>
              <w:t>Marketplace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right="500"/>
              <w:spacing w:after="0" w:line="208" w:lineRule="exact"/>
              <w:rPr>
                <w:sz w:val="20"/>
                <w:szCs w:val="20"/>
                <w:color w:val="auto"/>
              </w:rPr>
            </w:pPr>
            <w:r>
              <w:rPr>
                <w:rFonts w:ascii="Calibri" w:cs="Calibri" w:eastAsia="Calibri" w:hAnsi="Calibri"/>
                <w:sz w:val="18"/>
                <w:szCs w:val="18"/>
                <w:b w:val="1"/>
                <w:bCs w:val="1"/>
                <w:color w:val="auto"/>
                <w:w w:val="94"/>
              </w:rPr>
              <w:t>Resale</w:t>
            </w:r>
          </w:p>
        </w:tc>
        <w:tc>
          <w:tcPr>
            <w:tcW w:w="160" w:type="dxa"/>
            <w:vAlign w:val="bottom"/>
          </w:tcPr>
          <w:p>
            <w:pPr>
              <w:spacing w:after="0"/>
              <w:rPr>
                <w:sz w:val="18"/>
                <w:szCs w:val="18"/>
                <w:color w:val="auto"/>
              </w:rPr>
            </w:pPr>
          </w:p>
        </w:tc>
        <w:tc>
          <w:tcPr>
            <w:tcW w:w="1280" w:type="dxa"/>
            <w:vAlign w:val="bottom"/>
          </w:tcPr>
          <w:p>
            <w:pPr>
              <w:jc w:val="right"/>
              <w:ind w:right="150"/>
              <w:spacing w:after="0" w:line="208" w:lineRule="exact"/>
              <w:rPr>
                <w:sz w:val="20"/>
                <w:szCs w:val="20"/>
                <w:color w:val="auto"/>
              </w:rPr>
            </w:pPr>
            <w:r>
              <w:rPr>
                <w:rFonts w:ascii="Calibri" w:cs="Calibri" w:eastAsia="Calibri" w:hAnsi="Calibri"/>
                <w:sz w:val="18"/>
                <w:szCs w:val="18"/>
                <w:b w:val="1"/>
                <w:bCs w:val="1"/>
                <w:color w:val="auto"/>
              </w:rPr>
              <w:t>Consolidated</w:t>
            </w:r>
          </w:p>
        </w:tc>
        <w:tc>
          <w:tcPr>
            <w:tcW w:w="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0"/>
              <w:spacing w:after="0" w:line="208" w:lineRule="exact"/>
              <w:rPr>
                <w:sz w:val="20"/>
                <w:szCs w:val="20"/>
                <w:color w:val="auto"/>
              </w:rPr>
            </w:pPr>
            <w:r>
              <w:rPr>
                <w:rFonts w:ascii="Calibri" w:cs="Calibri" w:eastAsia="Calibri" w:hAnsi="Calibri"/>
                <w:sz w:val="18"/>
                <w:szCs w:val="18"/>
                <w:b w:val="1"/>
                <w:bCs w:val="1"/>
                <w:color w:val="auto"/>
                <w:w w:val="97"/>
              </w:rPr>
              <w:t>Marketplace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110"/>
              <w:spacing w:after="0" w:line="208" w:lineRule="exact"/>
              <w:rPr>
                <w:sz w:val="20"/>
                <w:szCs w:val="20"/>
                <w:color w:val="auto"/>
              </w:rPr>
            </w:pPr>
            <w:r>
              <w:rPr>
                <w:rFonts w:ascii="Calibri" w:cs="Calibri" w:eastAsia="Calibri" w:hAnsi="Calibri"/>
                <w:sz w:val="18"/>
                <w:szCs w:val="18"/>
                <w:b w:val="1"/>
                <w:bCs w:val="1"/>
                <w:color w:val="auto"/>
              </w:rPr>
              <w:t>Resale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90"/>
              <w:spacing w:after="0" w:line="208" w:lineRule="exact"/>
              <w:rPr>
                <w:sz w:val="20"/>
                <w:szCs w:val="20"/>
                <w:color w:val="auto"/>
              </w:rPr>
            </w:pPr>
            <w:r>
              <w:rPr>
                <w:rFonts w:ascii="Calibri" w:cs="Calibri" w:eastAsia="Calibri" w:hAnsi="Calibri"/>
                <w:sz w:val="18"/>
                <w:szCs w:val="18"/>
                <w:b w:val="1"/>
                <w:bCs w:val="1"/>
                <w:color w:val="auto"/>
                <w:w w:val="99"/>
              </w:rPr>
              <w:t>Consolidated</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Revenues</w:t>
            </w:r>
          </w:p>
        </w:tc>
        <w:tc>
          <w:tcPr>
            <w:tcW w:w="1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00" w:type="dxa"/>
            <w:vAlign w:val="bottom"/>
            <w:tcBorders>
              <w:top w:val="single" w:sz="8" w:color="auto"/>
            </w:tcBorders>
            <w:gridSpan w:val="2"/>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104,648</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tcBorders>
            <w:gridSpan w:val="2"/>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10,850</w:t>
            </w:r>
          </w:p>
        </w:tc>
        <w:tc>
          <w:tcPr>
            <w:tcW w:w="28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2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115,498</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06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126,641</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7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12,971</w:t>
            </w: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w w:val="87"/>
              </w:rPr>
              <w:t>$</w:t>
            </w:r>
          </w:p>
        </w:tc>
        <w:tc>
          <w:tcPr>
            <w:tcW w:w="118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139,612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460" w:type="dxa"/>
            <w:vAlign w:val="bottom"/>
          </w:tcPr>
          <w:p>
            <w:pPr>
              <w:ind w:left="20"/>
              <w:spacing w:after="0" w:line="166" w:lineRule="exact"/>
              <w:rPr>
                <w:sz w:val="20"/>
                <w:szCs w:val="20"/>
                <w:color w:val="auto"/>
              </w:rPr>
            </w:pPr>
            <w:r>
              <w:rPr>
                <w:rFonts w:ascii="Calibri" w:cs="Calibri" w:eastAsia="Calibri" w:hAnsi="Calibri"/>
                <w:sz w:val="18"/>
                <w:szCs w:val="18"/>
                <w:color w:val="auto"/>
              </w:rPr>
              <w:t>Cost of revenues (exclusive of</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line="189" w:lineRule="exact"/>
              <w:rPr>
                <w:sz w:val="20"/>
                <w:szCs w:val="20"/>
                <w:color w:val="auto"/>
              </w:rPr>
            </w:pPr>
            <w:r>
              <w:rPr>
                <w:rFonts w:ascii="Calibri" w:cs="Calibri" w:eastAsia="Calibri" w:hAnsi="Calibri"/>
                <w:sz w:val="18"/>
                <w:szCs w:val="18"/>
                <w:color w:val="auto"/>
              </w:rPr>
              <w:t>depreciaton and amortzaton</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line="215" w:lineRule="exact"/>
              <w:rPr>
                <w:sz w:val="20"/>
                <w:szCs w:val="20"/>
                <w:color w:val="auto"/>
              </w:rPr>
            </w:pPr>
            <w:r>
              <w:rPr>
                <w:rFonts w:ascii="Calibri" w:cs="Calibri" w:eastAsia="Calibri" w:hAnsi="Calibri"/>
                <w:sz w:val="18"/>
                <w:szCs w:val="18"/>
                <w:color w:val="auto"/>
              </w:rPr>
              <w:t>shown separately below)</w:t>
            </w:r>
          </w:p>
        </w:tc>
        <w:tc>
          <w:tcPr>
            <w:tcW w:w="140" w:type="dxa"/>
            <w:vAlign w:val="bottom"/>
          </w:tcPr>
          <w:p>
            <w:pPr>
              <w:spacing w:after="0"/>
              <w:rPr>
                <w:sz w:val="18"/>
                <w:szCs w:val="18"/>
                <w:color w:val="auto"/>
              </w:rPr>
            </w:pPr>
          </w:p>
        </w:tc>
        <w:tc>
          <w:tcPr>
            <w:tcW w:w="12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13,707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6,279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19,986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line="215" w:lineRule="exact"/>
              <w:rPr>
                <w:sz w:val="20"/>
                <w:szCs w:val="20"/>
                <w:color w:val="auto"/>
              </w:rPr>
            </w:pPr>
            <w:r>
              <w:rPr>
                <w:rFonts w:ascii="Calibri" w:cs="Calibri" w:eastAsia="Calibri" w:hAnsi="Calibri"/>
                <w:sz w:val="18"/>
                <w:szCs w:val="18"/>
                <w:color w:val="auto"/>
              </w:rPr>
              <w:t>16,407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7,504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23,911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6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Marketng and selling</w:t>
            </w: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46,422</w:t>
            </w:r>
          </w:p>
        </w:tc>
        <w:tc>
          <w:tcPr>
            <w:tcW w:w="3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46,422</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54,377</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54,377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Contributon margin</w:t>
            </w:r>
          </w:p>
        </w:tc>
        <w:tc>
          <w:tcPr>
            <w:tcW w:w="14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200" w:type="dxa"/>
            <w:vAlign w:val="bottom"/>
            <w:gridSpan w:val="2"/>
          </w:tcPr>
          <w:p>
            <w:pPr>
              <w:jc w:val="right"/>
              <w:spacing w:after="0" w:line="209" w:lineRule="exact"/>
              <w:rPr>
                <w:sz w:val="20"/>
                <w:szCs w:val="20"/>
                <w:color w:val="auto"/>
              </w:rPr>
            </w:pPr>
            <w:r>
              <w:rPr>
                <w:rFonts w:ascii="Calibri" w:cs="Calibri" w:eastAsia="Calibri" w:hAnsi="Calibri"/>
                <w:sz w:val="18"/>
                <w:szCs w:val="18"/>
                <w:b w:val="1"/>
                <w:bCs w:val="1"/>
                <w:color w:val="auto"/>
              </w:rPr>
              <w:t>44,519</w:t>
            </w:r>
          </w:p>
        </w:tc>
        <w:tc>
          <w:tcPr>
            <w:tcW w:w="340" w:type="dxa"/>
            <w:vAlign w:val="bottom"/>
          </w:tcPr>
          <w:p>
            <w:pPr>
              <w:spacing w:after="0"/>
              <w:rPr>
                <w:sz w:val="18"/>
                <w:szCs w:val="18"/>
                <w:color w:val="auto"/>
              </w:rPr>
            </w:pPr>
          </w:p>
        </w:tc>
        <w:tc>
          <w:tcPr>
            <w:tcW w:w="240" w:type="dxa"/>
            <w:vAlign w:val="bottom"/>
            <w:gridSpan w:val="2"/>
          </w:tcPr>
          <w:p>
            <w:pPr>
              <w:jc w:val="right"/>
              <w:ind w:right="30"/>
              <w:spacing w:after="0" w:line="209" w:lineRule="exact"/>
              <w:rPr>
                <w:sz w:val="20"/>
                <w:szCs w:val="20"/>
                <w:color w:val="auto"/>
              </w:rPr>
            </w:pPr>
            <w:r>
              <w:rPr>
                <w:rFonts w:ascii="Calibri" w:cs="Calibri" w:eastAsia="Calibri" w:hAnsi="Calibri"/>
                <w:sz w:val="18"/>
                <w:szCs w:val="18"/>
                <w:b w:val="1"/>
                <w:bCs w:val="1"/>
                <w:color w:val="auto"/>
              </w:rPr>
              <w:t>$</w:t>
            </w:r>
          </w:p>
        </w:tc>
        <w:tc>
          <w:tcPr>
            <w:tcW w:w="960" w:type="dxa"/>
            <w:vAlign w:val="bottom"/>
            <w:gridSpan w:val="2"/>
          </w:tcPr>
          <w:p>
            <w:pPr>
              <w:jc w:val="right"/>
              <w:ind w:right="20"/>
              <w:spacing w:after="0" w:line="209" w:lineRule="exact"/>
              <w:rPr>
                <w:sz w:val="20"/>
                <w:szCs w:val="20"/>
                <w:color w:val="auto"/>
              </w:rPr>
            </w:pPr>
            <w:r>
              <w:rPr>
                <w:rFonts w:ascii="Calibri" w:cs="Calibri" w:eastAsia="Calibri" w:hAnsi="Calibri"/>
                <w:sz w:val="18"/>
                <w:szCs w:val="18"/>
                <w:b w:val="1"/>
                <w:bCs w:val="1"/>
                <w:color w:val="auto"/>
              </w:rPr>
              <w:t>4,571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49,090</w:t>
            </w:r>
          </w:p>
        </w:tc>
        <w:tc>
          <w:tcPr>
            <w:tcW w:w="260" w:type="dxa"/>
            <w:vAlign w:val="bottom"/>
          </w:tcPr>
          <w:p>
            <w:pPr>
              <w:spacing w:after="0"/>
              <w:rPr>
                <w:sz w:val="18"/>
                <w:szCs w:val="18"/>
                <w:color w:val="auto"/>
              </w:rPr>
            </w:pPr>
          </w:p>
        </w:tc>
        <w:tc>
          <w:tcPr>
            <w:tcW w:w="1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w w:val="87"/>
              </w:rPr>
              <w:t>$</w:t>
            </w:r>
          </w:p>
        </w:tc>
        <w:tc>
          <w:tcPr>
            <w:tcW w:w="106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55,857</w:t>
            </w:r>
          </w:p>
        </w:tc>
        <w:tc>
          <w:tcPr>
            <w:tcW w:w="380" w:type="dxa"/>
            <w:vAlign w:val="bottom"/>
            <w:gridSpan w:val="2"/>
          </w:tcPr>
          <w:p>
            <w:pPr>
              <w:jc w:val="right"/>
              <w:spacing w:after="0" w:line="209" w:lineRule="exact"/>
              <w:rPr>
                <w:sz w:val="20"/>
                <w:szCs w:val="20"/>
                <w:color w:val="auto"/>
              </w:rPr>
            </w:pPr>
            <w:r>
              <w:rPr>
                <w:rFonts w:ascii="Calibri" w:cs="Calibri" w:eastAsia="Calibri" w:hAnsi="Calibri"/>
                <w:sz w:val="18"/>
                <w:szCs w:val="18"/>
                <w:b w:val="1"/>
                <w:bCs w:val="1"/>
                <w:color w:val="auto"/>
              </w:rPr>
              <w:t>$</w:t>
            </w:r>
          </w:p>
        </w:tc>
        <w:tc>
          <w:tcPr>
            <w:tcW w:w="7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5,467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61,324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General and administratve</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29,106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44,977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line="215" w:lineRule="exact"/>
              <w:rPr>
                <w:sz w:val="20"/>
                <w:szCs w:val="20"/>
                <w:color w:val="auto"/>
              </w:rPr>
            </w:pPr>
            <w:r>
              <w:rPr>
                <w:rFonts w:ascii="Calibri" w:cs="Calibri" w:eastAsia="Calibri" w:hAnsi="Calibri"/>
                <w:sz w:val="18"/>
                <w:szCs w:val="18"/>
                <w:color w:val="auto"/>
              </w:rPr>
              <w:t>Depreciaton and amortzaton</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Income from operatons</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19,484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15,552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6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expense – net</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16,839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460" w:type="dxa"/>
            <w:vAlign w:val="bottom"/>
            <w:shd w:val="clear" w:color="auto" w:fill="CFF0FC"/>
          </w:tcPr>
          <w:p>
            <w:pPr>
              <w:ind w:left="20"/>
              <w:spacing w:after="0" w:line="161" w:lineRule="exact"/>
              <w:rPr>
                <w:sz w:val="20"/>
                <w:szCs w:val="20"/>
                <w:color w:val="auto"/>
              </w:rPr>
            </w:pPr>
            <w:r>
              <w:rPr>
                <w:rFonts w:ascii="Calibri" w:cs="Calibri" w:eastAsia="Calibri" w:hAnsi="Calibri"/>
                <w:sz w:val="17"/>
                <w:szCs w:val="17"/>
                <w:b w:val="1"/>
                <w:bCs w:val="1"/>
                <w:color w:val="auto"/>
              </w:rPr>
              <w:t>Income (Loss) before income</w:t>
            </w: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tcBorders>
              <w:right w:val="single" w:sz="8" w:color="CFF0FC"/>
            </w:tcBorders>
            <w:shd w:val="clear" w:color="auto" w:fill="CFF0FC"/>
          </w:tcPr>
          <w:p>
            <w:pPr>
              <w:spacing w:after="0"/>
              <w:rPr>
                <w:sz w:val="14"/>
                <w:szCs w:val="14"/>
                <w:color w:val="auto"/>
              </w:rPr>
            </w:pPr>
          </w:p>
        </w:tc>
        <w:tc>
          <w:tcPr>
            <w:tcW w:w="16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w w:val="87"/>
              </w:rPr>
              <w:t>$</w:t>
            </w:r>
          </w:p>
        </w:tc>
        <w:tc>
          <w:tcPr>
            <w:tcW w:w="12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rPr>
              <w:t>2,645</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vMerge w:val="restart"/>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b w:val="1"/>
                <w:bCs w:val="1"/>
                <w:color w:val="auto"/>
                <w:w w:val="87"/>
              </w:rPr>
              <w:t>$</w:t>
            </w:r>
          </w:p>
        </w:tc>
        <w:tc>
          <w:tcPr>
            <w:tcW w:w="1280" w:type="dxa"/>
            <w:vAlign w:val="bottom"/>
            <w:gridSpan w:val="2"/>
            <w:vMerge w:val="restart"/>
            <w:shd w:val="clear" w:color="auto" w:fill="CFF0FC"/>
          </w:tcPr>
          <w:p>
            <w:pPr>
              <w:jc w:val="right"/>
              <w:ind w:right="40"/>
              <w:spacing w:after="0"/>
              <w:rPr>
                <w:sz w:val="20"/>
                <w:szCs w:val="20"/>
                <w:color w:val="auto"/>
              </w:rPr>
            </w:pPr>
            <w:r>
              <w:rPr>
                <w:rFonts w:ascii="Calibri" w:cs="Calibri" w:eastAsia="Calibri" w:hAnsi="Calibri"/>
                <w:sz w:val="18"/>
                <w:szCs w:val="18"/>
                <w:b w:val="1"/>
                <w:bCs w:val="1"/>
                <w:color w:val="auto"/>
              </w:rPr>
              <w:t>(17,606 )</w:t>
            </w:r>
          </w:p>
        </w:tc>
        <w:tc>
          <w:tcPr>
            <w:tcW w:w="0" w:type="dxa"/>
            <w:vAlign w:val="bottom"/>
          </w:tcPr>
          <w:p>
            <w:pPr>
              <w:spacing w:after="0"/>
              <w:rPr>
                <w:sz w:val="1"/>
                <w:szCs w:val="1"/>
                <w:color w:val="auto"/>
              </w:rPr>
            </w:pPr>
          </w:p>
        </w:tc>
      </w:tr>
      <w:tr>
        <w:trPr>
          <w:trHeight w:val="218"/>
        </w:trPr>
        <w:tc>
          <w:tcPr>
            <w:tcW w:w="2460" w:type="dxa"/>
            <w:vAlign w:val="bottom"/>
            <w:shd w:val="clear" w:color="auto" w:fill="CFF0FC"/>
          </w:tcPr>
          <w:p>
            <w:pPr>
              <w:ind w:left="20"/>
              <w:spacing w:after="0" w:line="198" w:lineRule="exact"/>
              <w:rPr>
                <w:sz w:val="20"/>
                <w:szCs w:val="20"/>
                <w:color w:val="auto"/>
              </w:rPr>
            </w:pPr>
            <w:r>
              <w:rPr>
                <w:rFonts w:ascii="Calibri" w:cs="Calibri" w:eastAsia="Calibri" w:hAnsi="Calibri"/>
                <w:sz w:val="18"/>
                <w:szCs w:val="18"/>
                <w:b w:val="1"/>
                <w:bCs w:val="1"/>
                <w:color w:val="auto"/>
              </w:rPr>
              <w:t>taxes</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12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-3291205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-3291205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-3291205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-3291205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-3291205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-2167890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-2150745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-967740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-967740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-967740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-967740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-967740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Calibri" w:cs="Calibri" w:eastAsia="Calibri" w:hAnsi="Calibri"/>
          <w:sz w:val="18"/>
          <w:szCs w:val="18"/>
          <w:color w:val="auto"/>
        </w:rPr>
        <w:t>Substantally all of our sales occur, and assets reside, in the United States.</w:t>
      </w:r>
    </w:p>
    <w:p>
      <w:pPr>
        <w:spacing w:after="0" w:line="10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6. Leases</w:t>
      </w:r>
    </w:p>
    <w:p>
      <w:pPr>
        <w:spacing w:after="0" w:line="136" w:lineRule="exact"/>
        <w:rPr>
          <w:sz w:val="20"/>
          <w:szCs w:val="20"/>
          <w:color w:val="auto"/>
        </w:rPr>
      </w:pPr>
    </w:p>
    <w:p>
      <w:pPr>
        <w:jc w:val="both"/>
        <w:spacing w:after="0" w:line="243" w:lineRule="auto"/>
        <w:rPr>
          <w:sz w:val="20"/>
          <w:szCs w:val="20"/>
          <w:color w:val="auto"/>
        </w:rPr>
      </w:pPr>
      <w:r>
        <w:rPr>
          <w:rFonts w:ascii="Calibri" w:cs="Calibri" w:eastAsia="Calibri" w:hAnsi="Calibri"/>
          <w:sz w:val="18"/>
          <w:szCs w:val="18"/>
          <w:color w:val="auto"/>
        </w:rPr>
        <w:t>On January 1, 2022, we adopted ASC 842 using a modifed retrospectve transiton approach that allows for a cumulatve-efect adjustment in the period of adopton without revising prior period presentaton. Therefore, for reportng periods beginning afer December 31, 2021, the fnancial statements are prepared in accordance with the current lease standard (ASC 842) and we elected to present the fnancial statements for all periods prior to January 1, 2022 under the previous lease standard (ASC 840). We elected the practcal expedient package, which permits us to not reassess whether any expired or existng contracts are or contain leases, the lease classifcaton for any expired or existng leases, and any inital direct costs for any existng leases as of the efectve date.</w:t>
      </w:r>
    </w:p>
    <w:p>
      <w:pPr>
        <w:spacing w:after="0" w:line="150" w:lineRule="exact"/>
        <w:rPr>
          <w:sz w:val="20"/>
          <w:szCs w:val="20"/>
          <w:color w:val="auto"/>
        </w:rPr>
      </w:pPr>
    </w:p>
    <w:p>
      <w:pPr>
        <w:jc w:val="both"/>
        <w:spacing w:after="0" w:line="243" w:lineRule="auto"/>
        <w:rPr>
          <w:sz w:val="20"/>
          <w:szCs w:val="20"/>
          <w:color w:val="auto"/>
        </w:rPr>
      </w:pPr>
      <w:r>
        <w:rPr>
          <w:rFonts w:ascii="Calibri" w:cs="Calibri" w:eastAsia="Calibri" w:hAnsi="Calibri"/>
          <w:sz w:val="18"/>
          <w:szCs w:val="18"/>
          <w:color w:val="auto"/>
        </w:rPr>
        <w:t>We determine if an arrangement is a lease at incepton of a contract. Right-of-use (“ROU”) assets represent our right to use an underlying asset for the lease term and lease liabilites represent our obligaton to make lease payments arising from the lease. ROU assets and lease liabilites are recognized at the lease commencement date based on the present value of lease payments over the lease term. As most of our leases do not provide an implicit interest rate, we use the incremental borrowing rate based on the informaton available at commencement date in determining the present value of lease payments. As of June 30, 2022, the weighted average discount rate applied to the lease liabilites is approximately 7%. Leases with an inital term of 12 months or less are not recorded on the Condensed Consolidated Balance Sheets and rent expense for these short-term leases is recognized in General and administratve expenses in the Condensed Consolidated Statements of Operatons on a straight-line basis over the lease term. Short-term lease costs were not material to our Condensed Consolidated Statements of Operatons for the three and six months ended June 30, 2022.</w:t>
      </w:r>
    </w:p>
    <w:p>
      <w:pPr>
        <w:spacing w:after="0" w:line="151" w:lineRule="exact"/>
        <w:rPr>
          <w:sz w:val="20"/>
          <w:szCs w:val="20"/>
          <w:color w:val="auto"/>
        </w:rPr>
      </w:pPr>
    </w:p>
    <w:p>
      <w:pPr>
        <w:jc w:val="both"/>
        <w:spacing w:after="0" w:line="244" w:lineRule="auto"/>
        <w:rPr>
          <w:sz w:val="20"/>
          <w:szCs w:val="20"/>
          <w:color w:val="auto"/>
        </w:rPr>
      </w:pPr>
      <w:r>
        <w:rPr>
          <w:rFonts w:ascii="Calibri" w:cs="Calibri" w:eastAsia="Calibri" w:hAnsi="Calibri"/>
          <w:sz w:val="18"/>
          <w:szCs w:val="18"/>
          <w:color w:val="auto"/>
        </w:rPr>
        <w:t>We entered into all of our lease contracts as a lessee. We are not actng as a lessor under any of our leasing arrangements. The vast majority of our lease contracts are real estate leases for ofce space. All of our leases are classifed as operatng. At June 30, 2022, we had $8.8 million of ROU assets in Right-of-use assets — net, and the corresponding operatng lease liabilites of $2.1 million recorded in Accrued expenses and other current liabilites and $9.4 million recorded in Long-term lease liabilites in the Condensed Consolidated Balance Sheets.</w:t>
      </w:r>
    </w:p>
    <w:p>
      <w:pPr>
        <w:spacing w:after="0" w:line="146" w:lineRule="exact"/>
        <w:rPr>
          <w:sz w:val="20"/>
          <w:szCs w:val="20"/>
          <w:color w:val="auto"/>
        </w:rPr>
      </w:pPr>
    </w:p>
    <w:p>
      <w:pPr>
        <w:jc w:val="both"/>
        <w:spacing w:after="0" w:line="241" w:lineRule="auto"/>
        <w:rPr>
          <w:sz w:val="20"/>
          <w:szCs w:val="20"/>
          <w:color w:val="auto"/>
        </w:rPr>
      </w:pPr>
      <w:r>
        <w:rPr>
          <w:rFonts w:ascii="Calibri" w:cs="Calibri" w:eastAsia="Calibri" w:hAnsi="Calibri"/>
          <w:sz w:val="18"/>
          <w:szCs w:val="18"/>
          <w:color w:val="auto"/>
        </w:rPr>
        <w:t>Most leases have one or more optons to renew, with renewal terms that can initally extend the lease term for various periods up to fve years. The exercise of renewal optons is at our discreton and are included if they are reasonably certain to be exercised. As of June 30, 2022, the weighted average remaining minimum lease term is approximately eight years. Lease expense for operatng leases is recognized on a straight-line basis over the lease term and is recorded under General and administratve expenses in the Condensed Consolidated Statements of Operatons. We elected not to separate lease and non-lease components. Our leases do not contain any material residual value guarantees or restrictve covenants.</w:t>
      </w:r>
    </w:p>
    <w:p>
      <w:pPr>
        <w:spacing w:after="0" w:line="152"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In December 2021, we entered into a lease agreement for our new corporate headquarters in Chicago, Illinois. The lease commenced in the frst quarter of 2022, when we obtained control of the premises, and runs through December 31, 2033 with a 5-year renewal opton. The aggregate lease payments for the inital term are approximately $16.2 million with no rent due untl March 2024.</w:t>
      </w:r>
    </w:p>
    <w:p>
      <w:pPr>
        <w:spacing w:after="0" w:line="151" w:lineRule="exact"/>
        <w:rPr>
          <w:sz w:val="20"/>
          <w:szCs w:val="20"/>
          <w:color w:val="auto"/>
        </w:rPr>
      </w:pPr>
    </w:p>
    <w:p>
      <w:pPr>
        <w:jc w:val="both"/>
        <w:spacing w:after="0" w:line="241" w:lineRule="auto"/>
        <w:rPr>
          <w:sz w:val="20"/>
          <w:szCs w:val="20"/>
          <w:color w:val="auto"/>
        </w:rPr>
      </w:pPr>
      <w:r>
        <w:rPr>
          <w:rFonts w:ascii="Calibri" w:cs="Calibri" w:eastAsia="Calibri" w:hAnsi="Calibri"/>
          <w:sz w:val="18"/>
          <w:szCs w:val="18"/>
          <w:color w:val="auto"/>
        </w:rPr>
        <w:t>The lease agreement provides for a tenant improvement allowance from the landlord in an amount equal to $6.5 million towards the design and constructon on the leased premises. As of June 30, 2022, we incurred leasehold improvement costs of $1.0 million related to the tenant improvement allowance. This amount is recorded in Property and equipment - net in the Condensed Consolidated Balance Sheets. On the commencement date, we recognized the ROU asset and corresponding lease liability of $3.4 million in Right-of-use assets — net and Long-term lease liabilites, respectvely, in the Condensed Consolidated Balance Sheets.</w:t>
      </w:r>
    </w:p>
    <w:p>
      <w:pPr>
        <w:spacing w:after="0" w:line="161" w:lineRule="exact"/>
        <w:rPr>
          <w:sz w:val="20"/>
          <w:szCs w:val="20"/>
          <w:color w:val="auto"/>
        </w:rPr>
      </w:pPr>
    </w:p>
    <w:p>
      <w:pPr>
        <w:spacing w:after="0"/>
        <w:rPr>
          <w:sz w:val="20"/>
          <w:szCs w:val="20"/>
          <w:color w:val="auto"/>
        </w:rPr>
      </w:pPr>
      <w:r>
        <w:rPr>
          <w:rFonts w:ascii="Calibri" w:cs="Calibri" w:eastAsia="Calibri" w:hAnsi="Calibri"/>
          <w:sz w:val="18"/>
          <w:szCs w:val="18"/>
          <w:color w:val="auto"/>
        </w:rPr>
        <w:t>Operatng and variable lease expenses for the three and six months ended June 30, 2022 were $1.2 million and $1.9 million, respectvely.</w:t>
      </w:r>
    </w:p>
    <w:p>
      <w:pPr>
        <w:spacing w:after="0" w:line="104"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Cash payments for operatng lease liabilites during the three and six months ended June 30, 2022, which are included within the operatng actvites secton in the Condensed Consolidated Statements of Cash Flows, were $0.7 million and $1.4 million, respectvely.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00" w:type="dxa"/>
            <w:vAlign w:val="bottom"/>
          </w:tcPr>
          <w:p>
            <w:pPr>
              <w:spacing w:after="0"/>
              <w:rPr>
                <w:sz w:val="20"/>
                <w:szCs w:val="20"/>
                <w:color w:val="auto"/>
              </w:rPr>
            </w:pPr>
            <w:r>
              <w:rPr>
                <w:rFonts w:ascii="Calibri" w:cs="Calibri" w:eastAsia="Calibri" w:hAnsi="Calibri"/>
                <w:sz w:val="18"/>
                <w:szCs w:val="18"/>
                <w:color w:val="auto"/>
              </w:rPr>
              <w:t>Future lease payments at June 30, 2022 are as follows (in thousands):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24"/>
        </w:trPr>
        <w:tc>
          <w:tcPr>
            <w:tcW w:w="7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jc w:val="right"/>
              <w:ind w:right="1030"/>
              <w:spacing w:after="0"/>
              <w:rPr>
                <w:sz w:val="20"/>
                <w:szCs w:val="20"/>
                <w:color w:val="auto"/>
              </w:rPr>
            </w:pPr>
            <w:r>
              <w:rPr>
                <w:rFonts w:ascii="Calibri" w:cs="Calibri" w:eastAsia="Calibri" w:hAnsi="Calibri"/>
                <w:sz w:val="18"/>
                <w:szCs w:val="18"/>
                <w:b w:val="1"/>
                <w:bCs w:val="1"/>
                <w:color w:val="auto"/>
              </w:rPr>
              <w:t>Operatng Leases</w:t>
            </w:r>
          </w:p>
        </w:tc>
        <w:tc>
          <w:tcPr>
            <w:tcW w:w="100" w:type="dxa"/>
            <w:vAlign w:val="bottom"/>
          </w:tcPr>
          <w:p>
            <w:pPr>
              <w:spacing w:after="0"/>
              <w:rPr>
                <w:sz w:val="24"/>
                <w:szCs w:val="24"/>
                <w:color w:val="auto"/>
              </w:rPr>
            </w:pPr>
          </w:p>
        </w:tc>
      </w:tr>
      <w:tr>
        <w:trPr>
          <w:trHeight w:val="23"/>
        </w:trPr>
        <w:tc>
          <w:tcPr>
            <w:tcW w:w="7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760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Remainder of 2022</w:t>
            </w:r>
          </w:p>
        </w:tc>
        <w:tc>
          <w:tcPr>
            <w:tcW w:w="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10"/>
              <w:spacing w:after="0" w:line="209" w:lineRule="exact"/>
              <w:rPr>
                <w:sz w:val="20"/>
                <w:szCs w:val="20"/>
                <w:color w:val="auto"/>
              </w:rPr>
            </w:pPr>
            <w:r>
              <w:rPr>
                <w:rFonts w:ascii="Calibri" w:cs="Calibri" w:eastAsia="Calibri" w:hAnsi="Calibri"/>
                <w:sz w:val="18"/>
                <w:szCs w:val="18"/>
                <w:color w:val="auto"/>
              </w:rPr>
              <w:t>$</w:t>
            </w:r>
          </w:p>
        </w:tc>
        <w:tc>
          <w:tcPr>
            <w:tcW w:w="2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2,054</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2023</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tcPr>
          <w:p>
            <w:pPr>
              <w:jc w:val="right"/>
              <w:spacing w:after="0" w:line="215" w:lineRule="exact"/>
              <w:rPr>
                <w:sz w:val="20"/>
                <w:szCs w:val="20"/>
                <w:color w:val="auto"/>
              </w:rPr>
            </w:pPr>
            <w:r>
              <w:rPr>
                <w:rFonts w:ascii="Calibri" w:cs="Calibri" w:eastAsia="Calibri" w:hAnsi="Calibri"/>
                <w:sz w:val="18"/>
                <w:szCs w:val="18"/>
                <w:color w:val="auto"/>
              </w:rPr>
              <w:t>914</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2024</w:t>
            </w:r>
          </w:p>
        </w:tc>
        <w:tc>
          <w:tcPr>
            <w:tcW w:w="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2,038</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2025</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tcPr>
          <w:p>
            <w:pPr>
              <w:jc w:val="right"/>
              <w:spacing w:after="0" w:line="215" w:lineRule="exact"/>
              <w:rPr>
                <w:sz w:val="20"/>
                <w:szCs w:val="20"/>
                <w:color w:val="auto"/>
              </w:rPr>
            </w:pPr>
            <w:r>
              <w:rPr>
                <w:rFonts w:ascii="Calibri" w:cs="Calibri" w:eastAsia="Calibri" w:hAnsi="Calibri"/>
                <w:sz w:val="18"/>
                <w:szCs w:val="18"/>
                <w:color w:val="auto"/>
              </w:rPr>
              <w:t>2,458</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2026</w:t>
            </w:r>
          </w:p>
        </w:tc>
        <w:tc>
          <w:tcPr>
            <w:tcW w:w="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2,477</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2027</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tcPr>
          <w:p>
            <w:pPr>
              <w:jc w:val="right"/>
              <w:spacing w:after="0" w:line="215" w:lineRule="exact"/>
              <w:rPr>
                <w:sz w:val="20"/>
                <w:szCs w:val="20"/>
                <w:color w:val="auto"/>
              </w:rPr>
            </w:pPr>
            <w:r>
              <w:rPr>
                <w:rFonts w:ascii="Calibri" w:cs="Calibri" w:eastAsia="Calibri" w:hAnsi="Calibri"/>
                <w:sz w:val="18"/>
                <w:szCs w:val="18"/>
                <w:color w:val="auto"/>
              </w:rPr>
              <w:t>2,436</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Thereafer</w:t>
            </w:r>
          </w:p>
        </w:tc>
        <w:tc>
          <w:tcPr>
            <w:tcW w:w="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28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12,300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00" w:type="dxa"/>
            <w:vAlign w:val="bottom"/>
          </w:tcPr>
          <w:p>
            <w:pPr>
              <w:ind w:left="20"/>
              <w:spacing w:after="0" w:line="209" w:lineRule="exact"/>
              <w:rPr>
                <w:sz w:val="20"/>
                <w:szCs w:val="20"/>
                <w:color w:val="auto"/>
              </w:rPr>
            </w:pPr>
            <w:r>
              <w:rPr>
                <w:rFonts w:ascii="Calibri" w:cs="Calibri" w:eastAsia="Calibri" w:hAnsi="Calibri"/>
                <w:sz w:val="18"/>
                <w:szCs w:val="18"/>
                <w:color w:val="auto"/>
              </w:rPr>
              <w:t>Total remaining lease payments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tcPr>
          <w:p>
            <w:pPr>
              <w:jc w:val="right"/>
              <w:spacing w:after="0" w:line="209" w:lineRule="exact"/>
              <w:rPr>
                <w:sz w:val="20"/>
                <w:szCs w:val="20"/>
                <w:color w:val="auto"/>
              </w:rPr>
            </w:pPr>
            <w:r>
              <w:rPr>
                <w:rFonts w:ascii="Calibri" w:cs="Calibri" w:eastAsia="Calibri" w:hAnsi="Calibri"/>
                <w:sz w:val="18"/>
                <w:szCs w:val="18"/>
                <w:color w:val="auto"/>
              </w:rPr>
              <w:t>24,677</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Less: Imputed interest</w:t>
            </w:r>
          </w:p>
        </w:tc>
        <w:tc>
          <w:tcPr>
            <w:tcW w:w="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7,645</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Less: expected tenant improvement allowance</w:t>
            </w:r>
          </w:p>
        </w:tc>
        <w:tc>
          <w:tcPr>
            <w:tcW w:w="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6,472</w:t>
            </w:r>
          </w:p>
        </w:tc>
        <w:tc>
          <w:tcPr>
            <w:tcW w:w="100" w:type="dxa"/>
            <w:vAlign w:val="bottom"/>
          </w:tcPr>
          <w:p>
            <w:pPr>
              <w:spacing w:after="0"/>
              <w:rPr>
                <w:sz w:val="18"/>
                <w:szCs w:val="18"/>
                <w:color w:val="auto"/>
              </w:rPr>
            </w:pPr>
          </w:p>
        </w:tc>
      </w:tr>
      <w:tr>
        <w:trPr>
          <w:trHeight w:val="251"/>
        </w:trPr>
        <w:tc>
          <w:tcPr>
            <w:tcW w:w="760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Present value of lease liabilites</w:t>
            </w:r>
          </w:p>
        </w:tc>
        <w:tc>
          <w:tcPr>
            <w:tcW w:w="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10"/>
              <w:spacing w:after="0" w:line="210" w:lineRule="exact"/>
              <w:rPr>
                <w:sz w:val="20"/>
                <w:szCs w:val="20"/>
                <w:color w:val="auto"/>
              </w:rPr>
            </w:pPr>
            <w:r>
              <w:rPr>
                <w:rFonts w:ascii="Calibri" w:cs="Calibri" w:eastAsia="Calibri" w:hAnsi="Calibri"/>
                <w:sz w:val="18"/>
                <w:szCs w:val="18"/>
                <w:b w:val="1"/>
                <w:bCs w:val="1"/>
                <w:color w:val="auto"/>
              </w:rPr>
              <w:t>$</w:t>
            </w:r>
          </w:p>
        </w:tc>
        <w:tc>
          <w:tcPr>
            <w:tcW w:w="28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10,560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22"/>
        </w:trPr>
        <w:tc>
          <w:tcPr>
            <w:tcW w:w="7600" w:type="dxa"/>
            <w:vAlign w:val="bottom"/>
          </w:tcPr>
          <w:p>
            <w:pPr>
              <w:spacing w:after="0"/>
              <w:rPr>
                <w:sz w:val="20"/>
                <w:szCs w:val="20"/>
                <w:color w:val="auto"/>
              </w:rPr>
            </w:pPr>
            <w:r>
              <w:rPr>
                <w:rFonts w:ascii="Calibri" w:cs="Calibri" w:eastAsia="Calibri" w:hAnsi="Calibri"/>
                <w:sz w:val="18"/>
                <w:szCs w:val="18"/>
                <w:color w:val="auto"/>
              </w:rPr>
              <w:t>Future lease payments at December 31, 2021 under ASC 840 were as follows (in thousands):</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7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80" w:type="dxa"/>
            <w:vAlign w:val="bottom"/>
          </w:tcPr>
          <w:p>
            <w:pPr>
              <w:jc w:val="right"/>
              <w:ind w:right="1050"/>
              <w:spacing w:after="0"/>
              <w:rPr>
                <w:sz w:val="20"/>
                <w:szCs w:val="20"/>
                <w:color w:val="auto"/>
              </w:rPr>
            </w:pPr>
            <w:r>
              <w:rPr>
                <w:rFonts w:ascii="Calibri" w:cs="Calibri" w:eastAsia="Calibri" w:hAnsi="Calibri"/>
                <w:sz w:val="18"/>
                <w:szCs w:val="18"/>
                <w:b w:val="1"/>
                <w:bCs w:val="1"/>
                <w:color w:val="auto"/>
              </w:rPr>
              <w:t>Operatng Leases</w:t>
            </w:r>
          </w:p>
        </w:tc>
        <w:tc>
          <w:tcPr>
            <w:tcW w:w="100" w:type="dxa"/>
            <w:vAlign w:val="bottom"/>
          </w:tcPr>
          <w:p>
            <w:pPr>
              <w:spacing w:after="0"/>
              <w:rPr>
                <w:sz w:val="24"/>
                <w:szCs w:val="24"/>
                <w:color w:val="auto"/>
              </w:rPr>
            </w:pPr>
          </w:p>
        </w:tc>
      </w:tr>
      <w:tr>
        <w:trPr>
          <w:trHeight w:val="23"/>
        </w:trPr>
        <w:tc>
          <w:tcPr>
            <w:tcW w:w="760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760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2022</w:t>
            </w:r>
          </w:p>
        </w:tc>
        <w:tc>
          <w:tcPr>
            <w:tcW w:w="660" w:type="dxa"/>
            <w:vAlign w:val="bottom"/>
            <w:gridSpan w:val="2"/>
            <w:shd w:val="clear" w:color="auto" w:fill="CFF0FC"/>
          </w:tcPr>
          <w:p>
            <w:pPr>
              <w:jc w:val="right"/>
              <w:ind w:right="450"/>
              <w:spacing w:after="0" w:line="209" w:lineRule="exact"/>
              <w:rPr>
                <w:sz w:val="20"/>
                <w:szCs w:val="20"/>
                <w:color w:val="auto"/>
              </w:rPr>
            </w:pPr>
            <w:r>
              <w:rPr>
                <w:rFonts w:ascii="Calibri" w:cs="Calibri" w:eastAsia="Calibri" w:hAnsi="Calibri"/>
                <w:sz w:val="18"/>
                <w:szCs w:val="18"/>
                <w:color w:val="auto"/>
              </w:rPr>
              <w:t>$</w:t>
            </w:r>
          </w:p>
        </w:tc>
        <w:tc>
          <w:tcPr>
            <w:tcW w:w="288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3,437</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2023</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tcPr>
          <w:p>
            <w:pPr>
              <w:jc w:val="right"/>
              <w:spacing w:after="0" w:line="215" w:lineRule="exact"/>
              <w:rPr>
                <w:sz w:val="20"/>
                <w:szCs w:val="20"/>
                <w:color w:val="auto"/>
              </w:rPr>
            </w:pPr>
            <w:r>
              <w:rPr>
                <w:rFonts w:ascii="Calibri" w:cs="Calibri" w:eastAsia="Calibri" w:hAnsi="Calibri"/>
                <w:sz w:val="18"/>
                <w:szCs w:val="18"/>
                <w:color w:val="auto"/>
              </w:rPr>
              <w:t>905</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2024</w:t>
            </w:r>
          </w:p>
        </w:tc>
        <w:tc>
          <w:tcPr>
            <w:tcW w:w="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2,038</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2025</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80" w:type="dxa"/>
            <w:vAlign w:val="bottom"/>
          </w:tcPr>
          <w:p>
            <w:pPr>
              <w:jc w:val="right"/>
              <w:spacing w:after="0" w:line="215" w:lineRule="exact"/>
              <w:rPr>
                <w:sz w:val="20"/>
                <w:szCs w:val="20"/>
                <w:color w:val="auto"/>
              </w:rPr>
            </w:pPr>
            <w:r>
              <w:rPr>
                <w:rFonts w:ascii="Calibri" w:cs="Calibri" w:eastAsia="Calibri" w:hAnsi="Calibri"/>
                <w:sz w:val="18"/>
                <w:szCs w:val="18"/>
                <w:color w:val="auto"/>
              </w:rPr>
              <w:t>2,458</w:t>
            </w:r>
          </w:p>
        </w:tc>
        <w:tc>
          <w:tcPr>
            <w:tcW w:w="100" w:type="dxa"/>
            <w:vAlign w:val="bottom"/>
          </w:tcPr>
          <w:p>
            <w:pPr>
              <w:spacing w:after="0"/>
              <w:rPr>
                <w:sz w:val="18"/>
                <w:szCs w:val="18"/>
                <w:color w:val="auto"/>
              </w:rPr>
            </w:pPr>
          </w:p>
        </w:tc>
      </w:tr>
      <w:tr>
        <w:trPr>
          <w:trHeight w:val="217"/>
        </w:trPr>
        <w:tc>
          <w:tcPr>
            <w:tcW w:w="76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2026</w:t>
            </w:r>
          </w:p>
        </w:tc>
        <w:tc>
          <w:tcPr>
            <w:tcW w:w="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2,477</w:t>
            </w:r>
          </w:p>
        </w:tc>
        <w:tc>
          <w:tcPr>
            <w:tcW w:w="100" w:type="dxa"/>
            <w:vAlign w:val="bottom"/>
            <w:shd w:val="clear" w:color="auto" w:fill="CFF0FC"/>
          </w:tcPr>
          <w:p>
            <w:pPr>
              <w:spacing w:after="0"/>
              <w:rPr>
                <w:sz w:val="18"/>
                <w:szCs w:val="18"/>
                <w:color w:val="auto"/>
              </w:rPr>
            </w:pPr>
          </w:p>
        </w:tc>
      </w:tr>
      <w:tr>
        <w:trPr>
          <w:trHeight w:val="215"/>
        </w:trPr>
        <w:tc>
          <w:tcPr>
            <w:tcW w:w="7600" w:type="dxa"/>
            <w:vAlign w:val="bottom"/>
          </w:tcPr>
          <w:p>
            <w:pPr>
              <w:ind w:left="20"/>
              <w:spacing w:after="0" w:line="215" w:lineRule="exact"/>
              <w:rPr>
                <w:sz w:val="20"/>
                <w:szCs w:val="20"/>
                <w:color w:val="auto"/>
              </w:rPr>
            </w:pPr>
            <w:r>
              <w:rPr>
                <w:rFonts w:ascii="Calibri" w:cs="Calibri" w:eastAsia="Calibri" w:hAnsi="Calibri"/>
                <w:sz w:val="18"/>
                <w:szCs w:val="18"/>
                <w:color w:val="auto"/>
              </w:rPr>
              <w:t>Thereafer</w:t>
            </w: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14,736</w:t>
            </w:r>
          </w:p>
        </w:tc>
        <w:tc>
          <w:tcPr>
            <w:tcW w:w="100" w:type="dxa"/>
            <w:vAlign w:val="bottom"/>
          </w:tcPr>
          <w:p>
            <w:pPr>
              <w:spacing w:after="0"/>
              <w:rPr>
                <w:sz w:val="18"/>
                <w:szCs w:val="18"/>
                <w:color w:val="auto"/>
              </w:rPr>
            </w:pPr>
          </w:p>
        </w:tc>
      </w:tr>
      <w:tr>
        <w:trPr>
          <w:trHeight w:val="250"/>
        </w:trPr>
        <w:tc>
          <w:tcPr>
            <w:tcW w:w="760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Total remaining lease payments</w:t>
            </w:r>
          </w:p>
        </w:tc>
        <w:tc>
          <w:tcPr>
            <w:tcW w:w="660" w:type="dxa"/>
            <w:vAlign w:val="bottom"/>
            <w:tcBorders>
              <w:bottom w:val="single" w:sz="8" w:color="auto"/>
            </w:tcBorders>
            <w:gridSpan w:val="2"/>
            <w:shd w:val="clear" w:color="auto" w:fill="CFF0FC"/>
          </w:tcPr>
          <w:p>
            <w:pPr>
              <w:jc w:val="right"/>
              <w:ind w:right="450"/>
              <w:spacing w:after="0" w:line="209" w:lineRule="exact"/>
              <w:rPr>
                <w:sz w:val="20"/>
                <w:szCs w:val="20"/>
                <w:color w:val="auto"/>
              </w:rPr>
            </w:pPr>
            <w:r>
              <w:rPr>
                <w:rFonts w:ascii="Calibri" w:cs="Calibri" w:eastAsia="Calibri" w:hAnsi="Calibri"/>
                <w:sz w:val="18"/>
                <w:szCs w:val="18"/>
                <w:b w:val="1"/>
                <w:bCs w:val="1"/>
                <w:color w:val="auto"/>
              </w:rPr>
              <w:t>$</w:t>
            </w:r>
          </w:p>
        </w:tc>
        <w:tc>
          <w:tcPr>
            <w:tcW w:w="28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b w:val="1"/>
                <w:bCs w:val="1"/>
                <w:color w:val="auto"/>
              </w:rPr>
              <w:t>26,051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7. Goodwill and Intangible Assets</w:t>
      </w:r>
    </w:p>
    <w:p>
      <w:pPr>
        <w:spacing w:after="0" w:line="136"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Defnite-lived intangible assets includes developed technology and customer relatonships, which had a net carrying amount of $15.4 million and $13.8 million at June 30, 2022 and December 31, 2021, respectvely. At June 30, 2022 and December 31, 2021, accumulated amortzaton related to our developed technology was $5.5 million and $2.5 million, respectvely.</w:t>
      </w:r>
    </w:p>
    <w:p>
      <w:pPr>
        <w:spacing w:after="0" w:line="146" w:lineRule="exact"/>
        <w:rPr>
          <w:sz w:val="20"/>
          <w:szCs w:val="20"/>
          <w:color w:val="auto"/>
        </w:rPr>
      </w:pPr>
    </w:p>
    <w:p>
      <w:pPr>
        <w:spacing w:after="0"/>
        <w:rPr>
          <w:sz w:val="20"/>
          <w:szCs w:val="20"/>
          <w:color w:val="auto"/>
        </w:rPr>
      </w:pPr>
      <w:r>
        <w:rPr>
          <w:rFonts w:ascii="Calibri" w:cs="Calibri" w:eastAsia="Calibri" w:hAnsi="Calibri"/>
          <w:sz w:val="18"/>
          <w:szCs w:val="18"/>
          <w:color w:val="auto"/>
        </w:rPr>
        <w:t>Our goodwill is included in our Marketplace segment.</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The net changes in the carrying amounts of our intangible assets and goodwill were as follows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220" w:type="dxa"/>
            <w:vAlign w:val="bottom"/>
            <w:gridSpan w:val="3"/>
          </w:tcPr>
          <w:p>
            <w:pPr>
              <w:jc w:val="right"/>
              <w:ind w:right="380"/>
              <w:spacing w:after="0"/>
              <w:rPr>
                <w:sz w:val="20"/>
                <w:szCs w:val="20"/>
                <w:color w:val="auto"/>
              </w:rPr>
            </w:pPr>
            <w:r>
              <w:rPr>
                <w:rFonts w:ascii="Calibri" w:cs="Calibri" w:eastAsia="Calibri" w:hAnsi="Calibri"/>
                <w:sz w:val="18"/>
                <w:szCs w:val="18"/>
                <w:b w:val="1"/>
                <w:bCs w:val="1"/>
                <w:color w:val="auto"/>
              </w:rPr>
              <w:t>Defnite-lived Intangible</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right"/>
              <w:ind w:right="1000"/>
              <w:spacing w:after="0" w:line="215" w:lineRule="exact"/>
              <w:rPr>
                <w:sz w:val="20"/>
                <w:szCs w:val="20"/>
                <w:color w:val="auto"/>
              </w:rPr>
            </w:pPr>
            <w:r>
              <w:rPr>
                <w:rFonts w:ascii="Calibri" w:cs="Calibri" w:eastAsia="Calibri" w:hAnsi="Calibri"/>
                <w:sz w:val="18"/>
                <w:szCs w:val="18"/>
                <w:b w:val="1"/>
                <w:bCs w:val="1"/>
                <w:color w:val="auto"/>
              </w:rPr>
              <w:t>Assets</w:t>
            </w:r>
          </w:p>
        </w:tc>
        <w:tc>
          <w:tcPr>
            <w:tcW w:w="220" w:type="dxa"/>
            <w:vAlign w:val="bottom"/>
          </w:tcPr>
          <w:p>
            <w:pPr>
              <w:spacing w:after="0"/>
              <w:rPr>
                <w:sz w:val="18"/>
                <w:szCs w:val="18"/>
                <w:color w:val="auto"/>
              </w:rPr>
            </w:pPr>
          </w:p>
        </w:tc>
        <w:tc>
          <w:tcPr>
            <w:tcW w:w="1260" w:type="dxa"/>
            <w:vAlign w:val="bottom"/>
          </w:tcPr>
          <w:p>
            <w:pPr>
              <w:jc w:val="right"/>
              <w:ind w:right="250"/>
              <w:spacing w:after="0" w:line="215" w:lineRule="exact"/>
              <w:rPr>
                <w:sz w:val="20"/>
                <w:szCs w:val="20"/>
                <w:color w:val="auto"/>
              </w:rPr>
            </w:pPr>
            <w:r>
              <w:rPr>
                <w:rFonts w:ascii="Calibri" w:cs="Calibri" w:eastAsia="Calibri" w:hAnsi="Calibri"/>
                <w:sz w:val="18"/>
                <w:szCs w:val="18"/>
                <w:b w:val="1"/>
                <w:bCs w:val="1"/>
                <w:color w:val="auto"/>
              </w:rPr>
              <w:t>Trademark</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460"/>
              <w:spacing w:after="0" w:line="215" w:lineRule="exact"/>
              <w:rPr>
                <w:sz w:val="20"/>
                <w:szCs w:val="20"/>
                <w:color w:val="auto"/>
              </w:rPr>
            </w:pPr>
            <w:r>
              <w:rPr>
                <w:rFonts w:ascii="Calibri" w:cs="Calibri" w:eastAsia="Calibri" w:hAnsi="Calibri"/>
                <w:sz w:val="18"/>
                <w:szCs w:val="18"/>
                <w:b w:val="1"/>
                <w:bCs w:val="1"/>
                <w:color w:val="auto"/>
              </w:rPr>
              <w:t>Goodwill</w:t>
            </w:r>
          </w:p>
        </w:tc>
        <w:tc>
          <w:tcPr>
            <w:tcW w:w="0" w:type="dxa"/>
            <w:vAlign w:val="bottom"/>
          </w:tcPr>
          <w:p>
            <w:pPr>
              <w:spacing w:after="0"/>
              <w:rPr>
                <w:sz w:val="1"/>
                <w:szCs w:val="1"/>
                <w:color w:val="auto"/>
              </w:rPr>
            </w:pPr>
          </w:p>
        </w:tc>
      </w:tr>
      <w:tr>
        <w:trPr>
          <w:trHeight w:val="23"/>
        </w:trPr>
        <w:tc>
          <w:tcPr>
            <w:tcW w:w="3860" w:type="dxa"/>
            <w:vAlign w:val="bottom"/>
            <w:vMerge w:val="restart"/>
          </w:tcPr>
          <w:p>
            <w:pPr>
              <w:ind w:left="20"/>
              <w:spacing w:after="0"/>
              <w:rPr>
                <w:sz w:val="20"/>
                <w:szCs w:val="20"/>
                <w:color w:val="auto"/>
              </w:rPr>
            </w:pPr>
            <w:r>
              <w:rPr>
                <w:rFonts w:ascii="Calibri" w:cs="Calibri" w:eastAsia="Calibri" w:hAnsi="Calibri"/>
                <w:sz w:val="18"/>
                <w:szCs w:val="18"/>
                <w:color w:val="auto"/>
              </w:rPr>
              <w:t>Balance at January 1, 2022</w:t>
            </w:r>
          </w:p>
        </w:tc>
        <w:tc>
          <w:tcPr>
            <w:tcW w:w="1960" w:type="dxa"/>
            <w:vAlign w:val="bottom"/>
            <w:vMerge w:val="restart"/>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vMerge w:val="continue"/>
          </w:tcPr>
          <w:p>
            <w:pPr>
              <w:spacing w:after="0"/>
              <w:rPr>
                <w:sz w:val="18"/>
                <w:szCs w:val="18"/>
                <w:color w:val="auto"/>
              </w:rPr>
            </w:pPr>
          </w:p>
        </w:tc>
        <w:tc>
          <w:tcPr>
            <w:tcW w:w="1960" w:type="dxa"/>
            <w:vAlign w:val="bottom"/>
            <w:vMerge w:val="continue"/>
          </w:tcPr>
          <w:p>
            <w:pPr>
              <w:spacing w:after="0"/>
              <w:rPr>
                <w:sz w:val="18"/>
                <w:szCs w:val="18"/>
                <w:color w:val="auto"/>
              </w:rPr>
            </w:pPr>
          </w:p>
        </w:tc>
        <w:tc>
          <w:tcPr>
            <w:tcW w:w="420" w:type="dxa"/>
            <w:vAlign w:val="bottom"/>
          </w:tcPr>
          <w:p>
            <w:pPr>
              <w:jc w:val="right"/>
              <w:ind w:right="210"/>
              <w:spacing w:after="0" w:line="209" w:lineRule="exact"/>
              <w:rPr>
                <w:sz w:val="20"/>
                <w:szCs w:val="20"/>
                <w:color w:val="auto"/>
              </w:rPr>
            </w:pPr>
            <w:r>
              <w:rPr>
                <w:rFonts w:ascii="Calibri" w:cs="Calibri" w:eastAsia="Calibri" w:hAnsi="Calibri"/>
                <w:sz w:val="18"/>
                <w:szCs w:val="18"/>
                <w:color w:val="auto"/>
              </w:rPr>
              <w:t>$</w:t>
            </w:r>
          </w:p>
        </w:tc>
        <w:tc>
          <w:tcPr>
            <w:tcW w:w="1540" w:type="dxa"/>
            <w:vAlign w:val="bottom"/>
          </w:tcPr>
          <w:p>
            <w:pPr>
              <w:jc w:val="right"/>
              <w:spacing w:after="0" w:line="209" w:lineRule="exact"/>
              <w:rPr>
                <w:sz w:val="20"/>
                <w:szCs w:val="20"/>
                <w:color w:val="auto"/>
              </w:rPr>
            </w:pPr>
            <w:r>
              <w:rPr>
                <w:rFonts w:ascii="Calibri" w:cs="Calibri" w:eastAsia="Calibri" w:hAnsi="Calibri"/>
                <w:sz w:val="18"/>
                <w:szCs w:val="18"/>
                <w:color w:val="auto"/>
              </w:rPr>
              <w:t>13,845</w:t>
            </w:r>
          </w:p>
        </w:tc>
        <w:tc>
          <w:tcPr>
            <w:tcW w:w="260" w:type="dxa"/>
            <w:vAlign w:val="bottom"/>
          </w:tcPr>
          <w:p>
            <w:pPr>
              <w:spacing w:after="0"/>
              <w:rPr>
                <w:sz w:val="18"/>
                <w:szCs w:val="18"/>
                <w:color w:val="auto"/>
              </w:rPr>
            </w:pPr>
          </w:p>
        </w:tc>
        <w:tc>
          <w:tcPr>
            <w:tcW w:w="22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260" w:type="dxa"/>
            <w:vAlign w:val="bottom"/>
          </w:tcPr>
          <w:p>
            <w:pPr>
              <w:jc w:val="right"/>
              <w:spacing w:after="0" w:line="209" w:lineRule="exact"/>
              <w:rPr>
                <w:sz w:val="20"/>
                <w:szCs w:val="20"/>
                <w:color w:val="auto"/>
              </w:rPr>
            </w:pPr>
            <w:r>
              <w:rPr>
                <w:rFonts w:ascii="Calibri" w:cs="Calibri" w:eastAsia="Calibri" w:hAnsi="Calibri"/>
                <w:sz w:val="18"/>
                <w:szCs w:val="18"/>
                <w:color w:val="auto"/>
              </w:rPr>
              <w:t>64,666</w:t>
            </w:r>
          </w:p>
        </w:tc>
        <w:tc>
          <w:tcPr>
            <w:tcW w:w="240" w:type="dxa"/>
            <w:vAlign w:val="bottom"/>
            <w:vMerge w:val="continue"/>
          </w:tcPr>
          <w:p>
            <w:pPr>
              <w:spacing w:after="0"/>
              <w:rPr>
                <w:sz w:val="18"/>
                <w:szCs w:val="18"/>
                <w:color w:val="auto"/>
              </w:rPr>
            </w:pPr>
          </w:p>
        </w:tc>
        <w:tc>
          <w:tcPr>
            <w:tcW w:w="24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09" w:lineRule="exact"/>
              <w:rPr>
                <w:sz w:val="20"/>
                <w:szCs w:val="20"/>
                <w:color w:val="auto"/>
              </w:rPr>
            </w:pPr>
            <w:r>
              <w:rPr>
                <w:rFonts w:ascii="Calibri" w:cs="Calibri" w:eastAsia="Calibri" w:hAnsi="Calibri"/>
                <w:sz w:val="18"/>
                <w:szCs w:val="18"/>
                <w:color w:val="auto"/>
              </w:rPr>
              <w:t>718,204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Betcha acquisiton adjustment</w:t>
            </w:r>
          </w:p>
        </w:tc>
        <w:tc>
          <w:tcPr>
            <w:tcW w:w="1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(890 )</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(2,946 )</w:t>
            </w:r>
          </w:p>
        </w:tc>
        <w:tc>
          <w:tcPr>
            <w:tcW w:w="0" w:type="dxa"/>
            <w:vAlign w:val="bottom"/>
          </w:tcPr>
          <w:p>
            <w:pPr>
              <w:spacing w:after="0"/>
              <w:rPr>
                <w:sz w:val="1"/>
                <w:szCs w:val="1"/>
                <w:color w:val="auto"/>
              </w:rPr>
            </w:pPr>
          </w:p>
        </w:tc>
      </w:tr>
      <w:tr>
        <w:trPr>
          <w:trHeight w:val="215"/>
        </w:trPr>
        <w:tc>
          <w:tcPr>
            <w:tcW w:w="3860" w:type="dxa"/>
            <w:vAlign w:val="bottom"/>
          </w:tcPr>
          <w:p>
            <w:pPr>
              <w:ind w:left="20"/>
              <w:spacing w:after="0" w:line="215" w:lineRule="exact"/>
              <w:rPr>
                <w:sz w:val="20"/>
                <w:szCs w:val="20"/>
                <w:color w:val="auto"/>
              </w:rPr>
            </w:pPr>
            <w:r>
              <w:rPr>
                <w:rFonts w:ascii="Calibri" w:cs="Calibri" w:eastAsia="Calibri" w:hAnsi="Calibri"/>
                <w:sz w:val="18"/>
                <w:szCs w:val="18"/>
                <w:color w:val="auto"/>
              </w:rPr>
              <w:t>Capitalized development costs</w:t>
            </w:r>
          </w:p>
        </w:tc>
        <w:tc>
          <w:tcPr>
            <w:tcW w:w="1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jc w:val="right"/>
              <w:spacing w:after="0" w:line="215" w:lineRule="exact"/>
              <w:rPr>
                <w:sz w:val="20"/>
                <w:szCs w:val="20"/>
                <w:color w:val="auto"/>
              </w:rPr>
            </w:pPr>
            <w:r>
              <w:rPr>
                <w:rFonts w:ascii="Calibri" w:cs="Calibri" w:eastAsia="Calibri" w:hAnsi="Calibri"/>
                <w:sz w:val="18"/>
                <w:szCs w:val="18"/>
                <w:color w:val="auto"/>
              </w:rPr>
              <w:t>5,394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Amortzaton</w:t>
            </w:r>
          </w:p>
        </w:tc>
        <w:tc>
          <w:tcPr>
            <w:tcW w:w="1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(2,948 )</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0"/>
        </w:trPr>
        <w:tc>
          <w:tcPr>
            <w:tcW w:w="3860" w:type="dxa"/>
            <w:vAlign w:val="bottom"/>
            <w:tcBorders>
              <w:top w:val="single" w:sz="8" w:color="CFF0FC"/>
            </w:tcBorders>
          </w:tcPr>
          <w:p>
            <w:pPr>
              <w:ind w:left="20"/>
              <w:spacing w:after="0" w:line="210" w:lineRule="exact"/>
              <w:rPr>
                <w:sz w:val="20"/>
                <w:szCs w:val="20"/>
                <w:color w:val="auto"/>
              </w:rPr>
            </w:pPr>
            <w:r>
              <w:rPr>
                <w:rFonts w:ascii="Calibri" w:cs="Calibri" w:eastAsia="Calibri" w:hAnsi="Calibri"/>
                <w:sz w:val="18"/>
                <w:szCs w:val="18"/>
                <w:b w:val="1"/>
                <w:bCs w:val="1"/>
                <w:color w:val="auto"/>
              </w:rPr>
              <w:t>Balance at June 30, 2022</w:t>
            </w:r>
          </w:p>
        </w:tc>
        <w:tc>
          <w:tcPr>
            <w:tcW w:w="196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10"/>
              <w:spacing w:after="0" w:line="210" w:lineRule="exact"/>
              <w:rPr>
                <w:sz w:val="20"/>
                <w:szCs w:val="20"/>
                <w:color w:val="auto"/>
              </w:rPr>
            </w:pPr>
            <w:r>
              <w:rPr>
                <w:rFonts w:ascii="Calibri" w:cs="Calibri" w:eastAsia="Calibri" w:hAnsi="Calibri"/>
                <w:sz w:val="18"/>
                <w:szCs w:val="18"/>
                <w:b w:val="1"/>
                <w:bCs w:val="1"/>
                <w:color w:val="auto"/>
              </w:rPr>
              <w:t>$</w:t>
            </w:r>
          </w:p>
        </w:tc>
        <w:tc>
          <w:tcPr>
            <w:tcW w:w="15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15,401</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10" w:lineRule="exact"/>
              <w:rPr>
                <w:sz w:val="20"/>
                <w:szCs w:val="20"/>
                <w:color w:val="auto"/>
              </w:rPr>
            </w:pPr>
            <w:r>
              <w:rPr>
                <w:rFonts w:ascii="Calibri" w:cs="Calibri" w:eastAsia="Calibri" w:hAnsi="Calibri"/>
                <w:sz w:val="18"/>
                <w:szCs w:val="18"/>
                <w:b w:val="1"/>
                <w:bCs w:val="1"/>
                <w:color w:val="auto"/>
                <w:w w:val="87"/>
              </w:rPr>
              <w:t>$</w:t>
            </w:r>
          </w:p>
        </w:tc>
        <w:tc>
          <w:tcPr>
            <w:tcW w:w="126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64,666</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line="210" w:lineRule="exact"/>
              <w:rPr>
                <w:sz w:val="20"/>
                <w:szCs w:val="20"/>
                <w:color w:val="auto"/>
              </w:rPr>
            </w:pPr>
            <w:r>
              <w:rPr>
                <w:rFonts w:ascii="Calibri" w:cs="Calibri" w:eastAsia="Calibri" w:hAnsi="Calibri"/>
                <w:sz w:val="18"/>
                <w:szCs w:val="18"/>
                <w:b w:val="1"/>
                <w:bCs w:val="1"/>
                <w:color w:val="auto"/>
              </w:rPr>
              <w:t>$</w:t>
            </w:r>
          </w:p>
        </w:tc>
        <w:tc>
          <w:tcPr>
            <w:tcW w:w="11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715,258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60" w:type="dxa"/>
            <w:vAlign w:val="bottom"/>
            <w:vMerge w:val="restart"/>
          </w:tcPr>
          <w:p>
            <w:pPr>
              <w:jc w:val="right"/>
              <w:ind w:right="10"/>
              <w:spacing w:after="0"/>
              <w:rPr>
                <w:sz w:val="20"/>
                <w:szCs w:val="20"/>
                <w:color w:val="auto"/>
              </w:rPr>
            </w:pPr>
            <w:r>
              <w:rPr>
                <w:rFonts w:ascii="Calibri" w:cs="Calibri" w:eastAsia="Calibri" w:hAnsi="Calibri"/>
                <w:sz w:val="18"/>
                <w:szCs w:val="18"/>
                <w:color w:val="auto"/>
              </w:rPr>
              <w:t>15</w:t>
            </w: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8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6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-668020</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-668020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tcPr>
          <w:p>
            <w:pPr>
              <w:spacing w:after="0"/>
              <w:rPr>
                <w:sz w:val="19"/>
                <w:szCs w:val="19"/>
                <w:color w:val="auto"/>
              </w:rPr>
            </w:pPr>
          </w:p>
        </w:tc>
        <w:tc>
          <w:tcPr>
            <w:tcW w:w="2240" w:type="dxa"/>
            <w:vAlign w:val="bottom"/>
            <w:gridSpan w:val="3"/>
          </w:tcPr>
          <w:p>
            <w:pPr>
              <w:jc w:val="right"/>
              <w:ind w:right="400"/>
              <w:spacing w:after="0"/>
              <w:rPr>
                <w:sz w:val="20"/>
                <w:szCs w:val="20"/>
                <w:color w:val="auto"/>
              </w:rPr>
            </w:pPr>
            <w:r>
              <w:rPr>
                <w:rFonts w:ascii="Calibri" w:cs="Calibri" w:eastAsia="Calibri" w:hAnsi="Calibri"/>
                <w:sz w:val="18"/>
                <w:szCs w:val="18"/>
                <w:b w:val="1"/>
                <w:bCs w:val="1"/>
                <w:color w:val="auto"/>
              </w:rPr>
              <w:t>Defnite-lived Intangible</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1020"/>
              <w:spacing w:after="0" w:line="215" w:lineRule="exact"/>
              <w:rPr>
                <w:sz w:val="20"/>
                <w:szCs w:val="20"/>
                <w:color w:val="auto"/>
              </w:rPr>
            </w:pPr>
            <w:r>
              <w:rPr>
                <w:rFonts w:ascii="Calibri" w:cs="Calibri" w:eastAsia="Calibri" w:hAnsi="Calibri"/>
                <w:sz w:val="18"/>
                <w:szCs w:val="18"/>
                <w:b w:val="1"/>
                <w:bCs w:val="1"/>
                <w:color w:val="auto"/>
              </w:rPr>
              <w:t>Assets</w:t>
            </w:r>
          </w:p>
        </w:tc>
        <w:tc>
          <w:tcPr>
            <w:tcW w:w="220" w:type="dxa"/>
            <w:vAlign w:val="bottom"/>
          </w:tcPr>
          <w:p>
            <w:pPr>
              <w:spacing w:after="0"/>
              <w:rPr>
                <w:sz w:val="18"/>
                <w:szCs w:val="18"/>
                <w:color w:val="auto"/>
              </w:rPr>
            </w:pPr>
          </w:p>
        </w:tc>
        <w:tc>
          <w:tcPr>
            <w:tcW w:w="1260" w:type="dxa"/>
            <w:vAlign w:val="bottom"/>
          </w:tcPr>
          <w:p>
            <w:pPr>
              <w:jc w:val="right"/>
              <w:ind w:right="270"/>
              <w:spacing w:after="0" w:line="215" w:lineRule="exact"/>
              <w:rPr>
                <w:sz w:val="20"/>
                <w:szCs w:val="20"/>
                <w:color w:val="auto"/>
              </w:rPr>
            </w:pPr>
            <w:r>
              <w:rPr>
                <w:rFonts w:ascii="Calibri" w:cs="Calibri" w:eastAsia="Calibri" w:hAnsi="Calibri"/>
                <w:sz w:val="18"/>
                <w:szCs w:val="18"/>
                <w:b w:val="1"/>
                <w:bCs w:val="1"/>
                <w:color w:val="auto"/>
              </w:rPr>
              <w:t>Trademark</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70"/>
              <w:spacing w:after="0" w:line="215" w:lineRule="exact"/>
              <w:rPr>
                <w:sz w:val="20"/>
                <w:szCs w:val="20"/>
                <w:color w:val="auto"/>
              </w:rPr>
            </w:pPr>
            <w:r>
              <w:rPr>
                <w:rFonts w:ascii="Calibri" w:cs="Calibri" w:eastAsia="Calibri" w:hAnsi="Calibri"/>
                <w:sz w:val="18"/>
                <w:szCs w:val="18"/>
                <w:b w:val="1"/>
                <w:bCs w:val="1"/>
                <w:color w:val="auto"/>
              </w:rPr>
              <w:t>Goodwill</w:t>
            </w:r>
          </w:p>
        </w:tc>
        <w:tc>
          <w:tcPr>
            <w:tcW w:w="100" w:type="dxa"/>
            <w:vAlign w:val="bottom"/>
          </w:tcPr>
          <w:p>
            <w:pPr>
              <w:spacing w:after="0"/>
              <w:rPr>
                <w:sz w:val="18"/>
                <w:szCs w:val="18"/>
                <w:color w:val="auto"/>
              </w:rPr>
            </w:pPr>
          </w:p>
        </w:tc>
      </w:tr>
      <w:tr>
        <w:trPr>
          <w:trHeight w:val="23"/>
        </w:trPr>
        <w:tc>
          <w:tcPr>
            <w:tcW w:w="5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58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Balance at January 1, 2021</w:t>
            </w:r>
          </w:p>
        </w:tc>
        <w:tc>
          <w:tcPr>
            <w:tcW w:w="420" w:type="dxa"/>
            <w:vAlign w:val="bottom"/>
            <w:shd w:val="clear" w:color="auto" w:fill="CFF0FC"/>
          </w:tcPr>
          <w:p>
            <w:pPr>
              <w:jc w:val="right"/>
              <w:ind w:right="230"/>
              <w:spacing w:after="0" w:line="209" w:lineRule="exact"/>
              <w:rPr>
                <w:sz w:val="20"/>
                <w:szCs w:val="20"/>
                <w:color w:val="auto"/>
              </w:rPr>
            </w:pPr>
            <w:r>
              <w:rPr>
                <w:rFonts w:ascii="Calibri" w:cs="Calibri" w:eastAsia="Calibri" w:hAnsi="Calibri"/>
                <w:sz w:val="18"/>
                <w:szCs w:val="18"/>
                <w:color w:val="auto"/>
                <w:w w:val="87"/>
              </w:rPr>
              <w:t>$</w:t>
            </w:r>
          </w:p>
        </w:tc>
        <w:tc>
          <w:tcPr>
            <w:tcW w:w="15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2,358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2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64,666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w w:val="87"/>
              </w:rPr>
              <w:t>$</w:t>
            </w:r>
          </w:p>
        </w:tc>
        <w:tc>
          <w:tcPr>
            <w:tcW w:w="11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683,327</w:t>
            </w:r>
          </w:p>
        </w:tc>
        <w:tc>
          <w:tcPr>
            <w:tcW w:w="100" w:type="dxa"/>
            <w:vAlign w:val="bottom"/>
            <w:shd w:val="clear" w:color="auto" w:fill="CFF0FC"/>
          </w:tcPr>
          <w:p>
            <w:pPr>
              <w:spacing w:after="0"/>
              <w:rPr>
                <w:sz w:val="18"/>
                <w:szCs w:val="18"/>
                <w:color w:val="auto"/>
              </w:rPr>
            </w:pPr>
          </w:p>
        </w:tc>
      </w:tr>
      <w:tr>
        <w:trPr>
          <w:trHeight w:val="215"/>
        </w:trPr>
        <w:tc>
          <w:tcPr>
            <w:tcW w:w="5820" w:type="dxa"/>
            <w:vAlign w:val="bottom"/>
          </w:tcPr>
          <w:p>
            <w:pPr>
              <w:ind w:left="20"/>
              <w:spacing w:after="0" w:line="215" w:lineRule="exact"/>
              <w:rPr>
                <w:sz w:val="20"/>
                <w:szCs w:val="20"/>
                <w:color w:val="auto"/>
              </w:rPr>
            </w:pPr>
            <w:r>
              <w:rPr>
                <w:rFonts w:ascii="Calibri" w:cs="Calibri" w:eastAsia="Calibri" w:hAnsi="Calibri"/>
                <w:sz w:val="18"/>
                <w:szCs w:val="18"/>
                <w:color w:val="auto"/>
              </w:rPr>
              <w:t>Capitalized development costs</w:t>
            </w:r>
          </w:p>
        </w:tc>
        <w:tc>
          <w:tcPr>
            <w:tcW w:w="420" w:type="dxa"/>
            <w:vAlign w:val="bottom"/>
          </w:tcPr>
          <w:p>
            <w:pPr>
              <w:spacing w:after="0"/>
              <w:rPr>
                <w:sz w:val="18"/>
                <w:szCs w:val="18"/>
                <w:color w:val="auto"/>
              </w:rPr>
            </w:pP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3,886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Amortzaton</w:t>
            </w:r>
          </w:p>
        </w:tc>
        <w:tc>
          <w:tcPr>
            <w:tcW w:w="4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00"/>
              <w:spacing w:after="0" w:line="216" w:lineRule="exact"/>
              <w:rPr>
                <w:sz w:val="20"/>
                <w:szCs w:val="20"/>
                <w:color w:val="auto"/>
              </w:rPr>
            </w:pPr>
            <w:r>
              <w:rPr>
                <w:rFonts w:ascii="Calibri" w:cs="Calibri" w:eastAsia="Calibri" w:hAnsi="Calibri"/>
                <w:sz w:val="18"/>
                <w:szCs w:val="18"/>
                <w:color w:val="auto"/>
              </w:rPr>
              <w:t>(789 )</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Borders>
              <w:top w:val="single" w:sz="8" w:color="CFF0FC"/>
            </w:tcBorders>
          </w:tcPr>
          <w:p>
            <w:pPr>
              <w:ind w:left="20"/>
              <w:spacing w:after="0" w:line="210" w:lineRule="exact"/>
              <w:rPr>
                <w:sz w:val="20"/>
                <w:szCs w:val="20"/>
                <w:color w:val="auto"/>
              </w:rPr>
            </w:pPr>
            <w:r>
              <w:rPr>
                <w:rFonts w:ascii="Calibri" w:cs="Calibri" w:eastAsia="Calibri" w:hAnsi="Calibri"/>
                <w:sz w:val="18"/>
                <w:szCs w:val="18"/>
                <w:b w:val="1"/>
                <w:bCs w:val="1"/>
                <w:color w:val="auto"/>
              </w:rPr>
              <w:t>Balance at June 30, 2021</w:t>
            </w:r>
          </w:p>
        </w:tc>
        <w:tc>
          <w:tcPr>
            <w:tcW w:w="420" w:type="dxa"/>
            <w:vAlign w:val="bottom"/>
            <w:tcBorders>
              <w:top w:val="single" w:sz="8" w:color="auto"/>
              <w:bottom w:val="single" w:sz="8" w:color="auto"/>
            </w:tcBorders>
          </w:tcPr>
          <w:p>
            <w:pPr>
              <w:jc w:val="right"/>
              <w:ind w:right="230"/>
              <w:spacing w:after="0" w:line="210" w:lineRule="exact"/>
              <w:rPr>
                <w:sz w:val="20"/>
                <w:szCs w:val="20"/>
                <w:color w:val="auto"/>
              </w:rPr>
            </w:pPr>
            <w:r>
              <w:rPr>
                <w:rFonts w:ascii="Calibri" w:cs="Calibri" w:eastAsia="Calibri" w:hAnsi="Calibri"/>
                <w:sz w:val="18"/>
                <w:szCs w:val="18"/>
                <w:b w:val="1"/>
                <w:bCs w:val="1"/>
                <w:color w:val="auto"/>
                <w:w w:val="87"/>
              </w:rPr>
              <w:t>$</w:t>
            </w:r>
          </w:p>
        </w:tc>
        <w:tc>
          <w:tcPr>
            <w:tcW w:w="156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5,455</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10" w:lineRule="exact"/>
              <w:rPr>
                <w:sz w:val="20"/>
                <w:szCs w:val="20"/>
                <w:color w:val="auto"/>
              </w:rPr>
            </w:pPr>
            <w:r>
              <w:rPr>
                <w:rFonts w:ascii="Calibri" w:cs="Calibri" w:eastAsia="Calibri" w:hAnsi="Calibri"/>
                <w:sz w:val="18"/>
                <w:szCs w:val="18"/>
                <w:b w:val="1"/>
                <w:bCs w:val="1"/>
                <w:color w:val="auto"/>
                <w:w w:val="87"/>
              </w:rPr>
              <w:t>$</w:t>
            </w:r>
          </w:p>
        </w:tc>
        <w:tc>
          <w:tcPr>
            <w:tcW w:w="126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64,666</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10" w:lineRule="exact"/>
              <w:rPr>
                <w:sz w:val="20"/>
                <w:szCs w:val="20"/>
                <w:color w:val="auto"/>
              </w:rPr>
            </w:pPr>
            <w:r>
              <w:rPr>
                <w:rFonts w:ascii="Calibri" w:cs="Calibri" w:eastAsia="Calibri" w:hAnsi="Calibri"/>
                <w:sz w:val="18"/>
                <w:szCs w:val="18"/>
                <w:b w:val="1"/>
                <w:bCs w:val="1"/>
                <w:color w:val="auto"/>
                <w:w w:val="87"/>
              </w:rPr>
              <w:t>$</w:t>
            </w:r>
          </w:p>
        </w:tc>
        <w:tc>
          <w:tcPr>
            <w:tcW w:w="1140" w:type="dxa"/>
            <w:vAlign w:val="bottom"/>
            <w:tcBorders>
              <w:top w:val="single" w:sz="8" w:color="auto"/>
              <w:bottom w:val="single" w:sz="8" w:color="auto"/>
            </w:tcBorders>
          </w:tcPr>
          <w:p>
            <w:pPr>
              <w:jc w:val="right"/>
              <w:spacing w:after="0" w:line="210" w:lineRule="exact"/>
              <w:rPr>
                <w:sz w:val="20"/>
                <w:szCs w:val="20"/>
                <w:color w:val="auto"/>
              </w:rPr>
            </w:pPr>
            <w:r>
              <w:rPr>
                <w:rFonts w:ascii="Calibri" w:cs="Calibri" w:eastAsia="Calibri" w:hAnsi="Calibri"/>
                <w:sz w:val="18"/>
                <w:szCs w:val="18"/>
                <w:b w:val="1"/>
                <w:bCs w:val="1"/>
                <w:color w:val="auto"/>
              </w:rPr>
              <w:t>683,327</w:t>
            </w:r>
          </w:p>
        </w:tc>
        <w:tc>
          <w:tcPr>
            <w:tcW w:w="10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-170815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Calibri" w:cs="Calibri" w:eastAsia="Calibri" w:hAnsi="Calibri"/>
          <w:sz w:val="17"/>
          <w:szCs w:val="17"/>
          <w:color w:val="auto"/>
        </w:rPr>
        <w:t>We had recorded $563.2 million of cumulatve impairment charges related to our intangible assets and goodwill as of June 30, 2022 and December 31, 2021.</w:t>
      </w:r>
    </w:p>
    <w:p>
      <w:pPr>
        <w:spacing w:after="0" w:line="157"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Amortzaton expense on our defnite-lived intangible assets was $1.6 million and $2.9 million for the three and six months ended June 30, 2022, respectvely, and $0.5 million and $0.8 million for the three and six months ended June 30, 2021, respectvely. Amortzaton expense is presented in Depreciaton and amortzaton in the Condensed Consolidated Statements of Operatons.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40" w:type="dxa"/>
            <w:vAlign w:val="bottom"/>
          </w:tcPr>
          <w:p>
            <w:pPr>
              <w:spacing w:after="0"/>
              <w:rPr>
                <w:sz w:val="20"/>
                <w:szCs w:val="20"/>
                <w:color w:val="auto"/>
              </w:rPr>
            </w:pPr>
            <w:r>
              <w:rPr>
                <w:rFonts w:ascii="Calibri" w:cs="Calibri" w:eastAsia="Calibri" w:hAnsi="Calibri"/>
                <w:sz w:val="18"/>
                <w:szCs w:val="18"/>
                <w:b w:val="1"/>
                <w:bCs w:val="1"/>
                <w:color w:val="auto"/>
              </w:rPr>
              <w:t>8. Prepaid expenses and other current assets</w:t>
            </w: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1"/>
        </w:trPr>
        <w:tc>
          <w:tcPr>
            <w:tcW w:w="6440" w:type="dxa"/>
            <w:vAlign w:val="bottom"/>
          </w:tcPr>
          <w:p>
            <w:pPr>
              <w:spacing w:after="0"/>
              <w:rPr>
                <w:sz w:val="20"/>
                <w:szCs w:val="20"/>
                <w:color w:val="auto"/>
              </w:rPr>
            </w:pPr>
            <w:r>
              <w:rPr>
                <w:rFonts w:ascii="Calibri" w:cs="Calibri" w:eastAsia="Calibri" w:hAnsi="Calibri"/>
                <w:sz w:val="18"/>
                <w:szCs w:val="18"/>
                <w:color w:val="auto"/>
              </w:rPr>
              <w:t>Prepaid expenses and other current assets consist of the following (in thousands):</w:t>
            </w: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6440" w:type="dxa"/>
            <w:vAlign w:val="bottom"/>
          </w:tcPr>
          <w:p>
            <w:pPr>
              <w:spacing w:after="0"/>
              <w:rPr>
                <w:sz w:val="24"/>
                <w:szCs w:val="24"/>
                <w:color w:val="auto"/>
              </w:rPr>
            </w:pPr>
          </w:p>
        </w:tc>
        <w:tc>
          <w:tcPr>
            <w:tcW w:w="1500" w:type="dxa"/>
            <w:vAlign w:val="bottom"/>
          </w:tcPr>
          <w:p>
            <w:pPr>
              <w:jc w:val="right"/>
              <w:ind w:right="30"/>
              <w:spacing w:after="0"/>
              <w:rPr>
                <w:sz w:val="20"/>
                <w:szCs w:val="20"/>
                <w:color w:val="auto"/>
              </w:rPr>
            </w:pPr>
            <w:r>
              <w:rPr>
                <w:rFonts w:ascii="Calibri" w:cs="Calibri" w:eastAsia="Calibri" w:hAnsi="Calibri"/>
                <w:sz w:val="18"/>
                <w:szCs w:val="18"/>
                <w:b w:val="1"/>
                <w:bCs w:val="1"/>
                <w:color w:val="auto"/>
              </w:rPr>
              <w:t>June 30,</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Pr>
          <w:p>
            <w:pPr>
              <w:jc w:val="right"/>
              <w:ind w:right="510"/>
              <w:spacing w:after="0"/>
              <w:rPr>
                <w:sz w:val="20"/>
                <w:szCs w:val="20"/>
                <w:color w:val="auto"/>
              </w:rPr>
            </w:pPr>
            <w:r>
              <w:rPr>
                <w:rFonts w:ascii="Calibri" w:cs="Calibri" w:eastAsia="Calibri" w:hAnsi="Calibri"/>
                <w:sz w:val="18"/>
                <w:szCs w:val="18"/>
                <w:b w:val="1"/>
                <w:bCs w:val="1"/>
                <w:color w:val="auto"/>
              </w:rPr>
              <w:t>December 31,</w:t>
            </w:r>
          </w:p>
        </w:tc>
        <w:tc>
          <w:tcPr>
            <w:tcW w:w="100" w:type="dxa"/>
            <w:vAlign w:val="bottom"/>
          </w:tcPr>
          <w:p>
            <w:pPr>
              <w:spacing w:after="0"/>
              <w:rPr>
                <w:sz w:val="24"/>
                <w:szCs w:val="24"/>
                <w:color w:val="auto"/>
              </w:rPr>
            </w:pPr>
          </w:p>
        </w:tc>
      </w:tr>
      <w:tr>
        <w:trPr>
          <w:trHeight w:val="216"/>
        </w:trPr>
        <w:tc>
          <w:tcPr>
            <w:tcW w:w="6440" w:type="dxa"/>
            <w:vAlign w:val="bottom"/>
          </w:tcPr>
          <w:p>
            <w:pPr>
              <w:spacing w:after="0"/>
              <w:rPr>
                <w:sz w:val="18"/>
                <w:szCs w:val="18"/>
                <w:color w:val="auto"/>
              </w:rPr>
            </w:pPr>
          </w:p>
        </w:tc>
        <w:tc>
          <w:tcPr>
            <w:tcW w:w="1500" w:type="dxa"/>
            <w:vAlign w:val="bottom"/>
          </w:tcPr>
          <w:p>
            <w:pPr>
              <w:jc w:val="right"/>
              <w:ind w:right="150"/>
              <w:spacing w:after="0" w:line="216" w:lineRule="exact"/>
              <w:rPr>
                <w:sz w:val="20"/>
                <w:szCs w:val="20"/>
                <w:color w:val="auto"/>
              </w:rPr>
            </w:pPr>
            <w:r>
              <w:rPr>
                <w:rFonts w:ascii="Calibri" w:cs="Calibri" w:eastAsia="Calibri" w:hAnsi="Calibri"/>
                <w:sz w:val="18"/>
                <w:szCs w:val="18"/>
                <w:b w:val="1"/>
                <w:bCs w:val="1"/>
                <w:color w:val="auto"/>
              </w:rPr>
              <w:t>2022</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jc w:val="right"/>
              <w:ind w:right="850"/>
              <w:spacing w:after="0" w:line="216"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3"/>
        </w:trPr>
        <w:tc>
          <w:tcPr>
            <w:tcW w:w="64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644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Recovery of future customer compensaton</w:t>
            </w:r>
          </w:p>
        </w:tc>
        <w:tc>
          <w:tcPr>
            <w:tcW w:w="1500" w:type="dxa"/>
            <w:vAlign w:val="bottom"/>
            <w:shd w:val="clear" w:color="auto" w:fill="CFF0FC"/>
          </w:tcPr>
          <w:p>
            <w:pPr>
              <w:jc w:val="right"/>
              <w:ind w:right="1290"/>
              <w:spacing w:after="0" w:line="209" w:lineRule="exact"/>
              <w:rPr>
                <w:sz w:val="20"/>
                <w:szCs w:val="20"/>
                <w:color w:val="auto"/>
              </w:rPr>
            </w:pPr>
            <w:r>
              <w:rPr>
                <w:rFonts w:ascii="Calibri" w:cs="Calibri" w:eastAsia="Calibri" w:hAnsi="Calibri"/>
                <w:sz w:val="18"/>
                <w:szCs w:val="18"/>
                <w:color w:val="auto"/>
              </w:rPr>
              <w:t>$</w:t>
            </w:r>
          </w:p>
        </w:tc>
        <w:tc>
          <w:tcPr>
            <w:tcW w:w="6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49,517</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18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58,319</w:t>
            </w:r>
          </w:p>
        </w:tc>
        <w:tc>
          <w:tcPr>
            <w:tcW w:w="100" w:type="dxa"/>
            <w:vAlign w:val="bottom"/>
            <w:shd w:val="clear" w:color="auto" w:fill="CFF0FC"/>
          </w:tcPr>
          <w:p>
            <w:pPr>
              <w:spacing w:after="0"/>
              <w:rPr>
                <w:sz w:val="18"/>
                <w:szCs w:val="18"/>
                <w:color w:val="auto"/>
              </w:rPr>
            </w:pPr>
          </w:p>
        </w:tc>
      </w:tr>
      <w:tr>
        <w:trPr>
          <w:trHeight w:val="215"/>
        </w:trPr>
        <w:tc>
          <w:tcPr>
            <w:tcW w:w="6440" w:type="dxa"/>
            <w:vAlign w:val="bottom"/>
          </w:tcPr>
          <w:p>
            <w:pPr>
              <w:ind w:left="20"/>
              <w:spacing w:after="0" w:line="215" w:lineRule="exact"/>
              <w:rPr>
                <w:sz w:val="20"/>
                <w:szCs w:val="20"/>
                <w:color w:val="auto"/>
              </w:rPr>
            </w:pPr>
            <w:r>
              <w:rPr>
                <w:rFonts w:ascii="Calibri" w:cs="Calibri" w:eastAsia="Calibri" w:hAnsi="Calibri"/>
                <w:sz w:val="18"/>
                <w:szCs w:val="18"/>
                <w:color w:val="auto"/>
              </w:rPr>
              <w:t>Insurance recovery asset</w:t>
            </w:r>
          </w:p>
        </w:tc>
        <w:tc>
          <w:tcPr>
            <w:tcW w:w="150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515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jc w:val="right"/>
              <w:spacing w:after="0" w:line="215" w:lineRule="exact"/>
              <w:rPr>
                <w:sz w:val="20"/>
                <w:szCs w:val="20"/>
                <w:color w:val="auto"/>
              </w:rPr>
            </w:pPr>
            <w:r>
              <w:rPr>
                <w:rFonts w:ascii="Calibri" w:cs="Calibri" w:eastAsia="Calibri" w:hAnsi="Calibri"/>
                <w:sz w:val="18"/>
                <w:szCs w:val="18"/>
                <w:color w:val="auto"/>
              </w:rPr>
              <w:t>480</w:t>
            </w:r>
          </w:p>
        </w:tc>
        <w:tc>
          <w:tcPr>
            <w:tcW w:w="100" w:type="dxa"/>
            <w:vAlign w:val="bottom"/>
          </w:tcPr>
          <w:p>
            <w:pPr>
              <w:spacing w:after="0"/>
              <w:rPr>
                <w:sz w:val="18"/>
                <w:szCs w:val="18"/>
                <w:color w:val="auto"/>
              </w:rPr>
            </w:pPr>
          </w:p>
        </w:tc>
      </w:tr>
      <w:tr>
        <w:trPr>
          <w:trHeight w:val="217"/>
        </w:trPr>
        <w:tc>
          <w:tcPr>
            <w:tcW w:w="644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Prepaid expenses</w:t>
            </w:r>
          </w:p>
        </w:tc>
        <w:tc>
          <w:tcPr>
            <w:tcW w:w="15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8,991</w:t>
            </w:r>
          </w:p>
        </w:tc>
        <w:tc>
          <w:tcPr>
            <w:tcW w:w="3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9,573</w:t>
            </w:r>
          </w:p>
        </w:tc>
        <w:tc>
          <w:tcPr>
            <w:tcW w:w="100" w:type="dxa"/>
            <w:vAlign w:val="bottom"/>
            <w:shd w:val="clear" w:color="auto" w:fill="CFF0FC"/>
          </w:tcPr>
          <w:p>
            <w:pPr>
              <w:spacing w:after="0"/>
              <w:rPr>
                <w:sz w:val="18"/>
                <w:szCs w:val="18"/>
                <w:color w:val="auto"/>
              </w:rPr>
            </w:pPr>
          </w:p>
        </w:tc>
      </w:tr>
      <w:tr>
        <w:trPr>
          <w:trHeight w:val="215"/>
        </w:trPr>
        <w:tc>
          <w:tcPr>
            <w:tcW w:w="6440" w:type="dxa"/>
            <w:vAlign w:val="bottom"/>
          </w:tcPr>
          <w:p>
            <w:pPr>
              <w:ind w:left="20"/>
              <w:spacing w:after="0" w:line="215" w:lineRule="exact"/>
              <w:rPr>
                <w:sz w:val="20"/>
                <w:szCs w:val="20"/>
                <w:color w:val="auto"/>
              </w:rPr>
            </w:pPr>
            <w:r>
              <w:rPr>
                <w:rFonts w:ascii="Calibri" w:cs="Calibri" w:eastAsia="Calibri" w:hAnsi="Calibri"/>
                <w:sz w:val="18"/>
                <w:szCs w:val="18"/>
                <w:color w:val="auto"/>
              </w:rPr>
              <w:t>Other current assets</w:t>
            </w:r>
          </w:p>
        </w:tc>
        <w:tc>
          <w:tcPr>
            <w:tcW w:w="15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283</w:t>
            </w:r>
          </w:p>
        </w:tc>
        <w:tc>
          <w:tcPr>
            <w:tcW w:w="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4,132</w:t>
            </w:r>
          </w:p>
        </w:tc>
        <w:tc>
          <w:tcPr>
            <w:tcW w:w="100" w:type="dxa"/>
            <w:vAlign w:val="bottom"/>
          </w:tcPr>
          <w:p>
            <w:pPr>
              <w:spacing w:after="0"/>
              <w:rPr>
                <w:sz w:val="18"/>
                <w:szCs w:val="18"/>
                <w:color w:val="auto"/>
              </w:rPr>
            </w:pPr>
          </w:p>
        </w:tc>
      </w:tr>
      <w:tr>
        <w:trPr>
          <w:trHeight w:val="251"/>
        </w:trPr>
        <w:tc>
          <w:tcPr>
            <w:tcW w:w="644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prepaid expenses and other current assets</w:t>
            </w:r>
          </w:p>
        </w:tc>
        <w:tc>
          <w:tcPr>
            <w:tcW w:w="1500" w:type="dxa"/>
            <w:vAlign w:val="bottom"/>
            <w:tcBorders>
              <w:bottom w:val="single" w:sz="8" w:color="auto"/>
            </w:tcBorders>
            <w:shd w:val="clear" w:color="auto" w:fill="CFF0FC"/>
          </w:tcPr>
          <w:p>
            <w:pPr>
              <w:jc w:val="right"/>
              <w:ind w:right="1290"/>
              <w:spacing w:after="0" w:line="210" w:lineRule="exact"/>
              <w:rPr>
                <w:sz w:val="20"/>
                <w:szCs w:val="20"/>
                <w:color w:val="auto"/>
              </w:rPr>
            </w:pPr>
            <w:r>
              <w:rPr>
                <w:rFonts w:ascii="Calibri" w:cs="Calibri" w:eastAsia="Calibri" w:hAnsi="Calibri"/>
                <w:sz w:val="18"/>
                <w:szCs w:val="18"/>
                <w:b w:val="1"/>
                <w:bCs w:val="1"/>
                <w:color w:val="auto"/>
              </w:rPr>
              <w:t>$</w:t>
            </w:r>
          </w:p>
        </w:tc>
        <w:tc>
          <w:tcPr>
            <w:tcW w:w="64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59,306</w:t>
            </w:r>
          </w:p>
        </w:tc>
        <w:tc>
          <w:tcPr>
            <w:tcW w:w="3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line="210" w:lineRule="exact"/>
              <w:rPr>
                <w:sz w:val="20"/>
                <w:szCs w:val="20"/>
                <w:color w:val="auto"/>
              </w:rPr>
            </w:pPr>
            <w:r>
              <w:rPr>
                <w:rFonts w:ascii="Calibri" w:cs="Calibri" w:eastAsia="Calibri" w:hAnsi="Calibri"/>
                <w:sz w:val="18"/>
                <w:szCs w:val="18"/>
                <w:b w:val="1"/>
                <w:bCs w:val="1"/>
                <w:color w:val="auto"/>
                <w:w w:val="87"/>
              </w:rPr>
              <w:t>$</w:t>
            </w:r>
          </w:p>
        </w:tc>
        <w:tc>
          <w:tcPr>
            <w:tcW w:w="18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72,504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jc w:val="both"/>
        <w:spacing w:after="0" w:line="244" w:lineRule="auto"/>
        <w:rPr>
          <w:sz w:val="20"/>
          <w:szCs w:val="20"/>
          <w:color w:val="auto"/>
        </w:rPr>
      </w:pPr>
      <w:r>
        <w:rPr>
          <w:rFonts w:ascii="Calibri" w:cs="Calibri" w:eastAsia="Calibri" w:hAnsi="Calibri"/>
          <w:sz w:val="18"/>
          <w:szCs w:val="18"/>
          <w:color w:val="auto"/>
        </w:rPr>
        <w:t>Recovery of future customer compensaton represents expected recoveries of compensaton to be paid to customers for event cancellatons or other service issues related to previously recorded sales transactons. Recovery of future customer compensaton costs decreased by $8.8 million due to a reducton in the estmated rate of future cancellatons as of June 30, 2022. The provision related to these expected recoveries is included in Accrued expenses and other current liabilites in the Condensed Consolidated Balance Sheets.</w:t>
      </w:r>
    </w:p>
    <w:p>
      <w:pPr>
        <w:spacing w:after="0" w:line="141" w:lineRule="exact"/>
        <w:rPr>
          <w:sz w:val="20"/>
          <w:szCs w:val="20"/>
          <w:color w:val="auto"/>
        </w:rPr>
      </w:pPr>
    </w:p>
    <w:p>
      <w:pPr>
        <w:spacing w:after="0"/>
        <w:rPr>
          <w:sz w:val="20"/>
          <w:szCs w:val="20"/>
          <w:color w:val="auto"/>
        </w:rPr>
      </w:pPr>
      <w:r>
        <w:rPr>
          <w:rFonts w:ascii="Calibri" w:cs="Calibri" w:eastAsia="Calibri" w:hAnsi="Calibri"/>
          <w:sz w:val="18"/>
          <w:szCs w:val="18"/>
          <w:color w:val="auto"/>
        </w:rPr>
        <w:t>Other current assets decreased $3.8 million primarily due to the reducton of the prepaid deposit associated with a corporate credit card.</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9. Accrued Expenses and Other Current Liabilities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Accrued expenses and other current liabilites consist of the following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Calibri" w:cs="Calibri" w:eastAsia="Calibri" w:hAnsi="Calibri"/>
                <w:sz w:val="18"/>
                <w:szCs w:val="18"/>
                <w:b w:val="1"/>
                <w:bCs w:val="1"/>
                <w:color w:val="auto"/>
              </w:rPr>
              <w:t>June 30,</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60" w:type="dxa"/>
            <w:vAlign w:val="bottom"/>
          </w:tcPr>
          <w:p>
            <w:pPr>
              <w:jc w:val="right"/>
              <w:ind w:right="510"/>
              <w:spacing w:after="0"/>
              <w:rPr>
                <w:sz w:val="20"/>
                <w:szCs w:val="20"/>
                <w:color w:val="auto"/>
              </w:rPr>
            </w:pPr>
            <w:r>
              <w:rPr>
                <w:rFonts w:ascii="Calibri" w:cs="Calibri" w:eastAsia="Calibri" w:hAnsi="Calibri"/>
                <w:sz w:val="18"/>
                <w:szCs w:val="18"/>
                <w:b w:val="1"/>
                <w:bCs w:val="1"/>
                <w:color w:val="auto"/>
              </w:rPr>
              <w:t>December 31,</w:t>
            </w:r>
          </w:p>
        </w:tc>
        <w:tc>
          <w:tcPr>
            <w:tcW w:w="100" w:type="dxa"/>
            <w:vAlign w:val="bottom"/>
          </w:tcPr>
          <w:p>
            <w:pPr>
              <w:spacing w:after="0"/>
              <w:rPr>
                <w:sz w:val="19"/>
                <w:szCs w:val="19"/>
                <w:color w:val="auto"/>
              </w:rPr>
            </w:pPr>
          </w:p>
        </w:tc>
      </w:tr>
      <w:tr>
        <w:trPr>
          <w:trHeight w:val="216"/>
        </w:trPr>
        <w:tc>
          <w:tcPr>
            <w:tcW w:w="4620" w:type="dxa"/>
            <w:vAlign w:val="bottom"/>
          </w:tcPr>
          <w:p>
            <w:pPr>
              <w:spacing w:after="0"/>
              <w:rPr>
                <w:sz w:val="18"/>
                <w:szCs w:val="18"/>
                <w:color w:val="auto"/>
              </w:rPr>
            </w:pPr>
          </w:p>
        </w:tc>
        <w:tc>
          <w:tcPr>
            <w:tcW w:w="3280" w:type="dxa"/>
            <w:vAlign w:val="bottom"/>
            <w:gridSpan w:val="2"/>
          </w:tcPr>
          <w:p>
            <w:pPr>
              <w:jc w:val="right"/>
              <w:ind w:right="110"/>
              <w:spacing w:after="0" w:line="216" w:lineRule="exact"/>
              <w:rPr>
                <w:sz w:val="20"/>
                <w:szCs w:val="20"/>
                <w:color w:val="auto"/>
              </w:rPr>
            </w:pPr>
            <w:r>
              <w:rPr>
                <w:rFonts w:ascii="Calibri" w:cs="Calibri" w:eastAsia="Calibri" w:hAnsi="Calibri"/>
                <w:sz w:val="18"/>
                <w:szCs w:val="18"/>
                <w:b w:val="1"/>
                <w:bCs w:val="1"/>
                <w:color w:val="auto"/>
              </w:rPr>
              <w:t>2022</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jc w:val="right"/>
              <w:ind w:right="850"/>
              <w:spacing w:after="0" w:line="216"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3"/>
        </w:trPr>
        <w:tc>
          <w:tcPr>
            <w:tcW w:w="46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46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Accrued marketng expense</w:t>
            </w:r>
          </w:p>
        </w:tc>
        <w:tc>
          <w:tcPr>
            <w:tcW w:w="18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270"/>
              <w:spacing w:after="0" w:line="209" w:lineRule="exact"/>
              <w:rPr>
                <w:sz w:val="20"/>
                <w:szCs w:val="20"/>
                <w:color w:val="auto"/>
              </w:rPr>
            </w:pPr>
            <w:r>
              <w:rPr>
                <w:rFonts w:ascii="Calibri" w:cs="Calibri" w:eastAsia="Calibri" w:hAnsi="Calibri"/>
                <w:sz w:val="18"/>
                <w:szCs w:val="18"/>
                <w:color w:val="auto"/>
                <w:w w:val="87"/>
              </w:rPr>
              <w:t>$</w:t>
            </w:r>
          </w:p>
        </w:tc>
        <w:tc>
          <w:tcPr>
            <w:tcW w:w="70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23,929</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18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27,304</w:t>
            </w:r>
          </w:p>
        </w:tc>
        <w:tc>
          <w:tcPr>
            <w:tcW w:w="100" w:type="dxa"/>
            <w:vAlign w:val="bottom"/>
            <w:shd w:val="clear" w:color="auto" w:fill="CFF0FC"/>
          </w:tcPr>
          <w:p>
            <w:pPr>
              <w:spacing w:after="0"/>
              <w:rPr>
                <w:sz w:val="18"/>
                <w:szCs w:val="18"/>
                <w:color w:val="auto"/>
              </w:rPr>
            </w:pPr>
          </w:p>
        </w:tc>
      </w:tr>
      <w:tr>
        <w:trPr>
          <w:trHeight w:val="215"/>
        </w:trPr>
        <w:tc>
          <w:tcPr>
            <w:tcW w:w="462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taxes</w:t>
            </w: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6,729</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jc w:val="right"/>
              <w:spacing w:after="0" w:line="215" w:lineRule="exact"/>
              <w:rPr>
                <w:sz w:val="20"/>
                <w:szCs w:val="20"/>
                <w:color w:val="auto"/>
              </w:rPr>
            </w:pPr>
            <w:r>
              <w:rPr>
                <w:rFonts w:ascii="Calibri" w:cs="Calibri" w:eastAsia="Calibri" w:hAnsi="Calibri"/>
                <w:sz w:val="18"/>
                <w:szCs w:val="18"/>
                <w:color w:val="auto"/>
              </w:rPr>
              <w:t>9,332</w:t>
            </w:r>
          </w:p>
        </w:tc>
        <w:tc>
          <w:tcPr>
            <w:tcW w:w="100" w:type="dxa"/>
            <w:vAlign w:val="bottom"/>
          </w:tcPr>
          <w:p>
            <w:pPr>
              <w:spacing w:after="0"/>
              <w:rPr>
                <w:sz w:val="18"/>
                <w:szCs w:val="18"/>
                <w:color w:val="auto"/>
              </w:rPr>
            </w:pPr>
          </w:p>
        </w:tc>
      </w:tr>
      <w:tr>
        <w:trPr>
          <w:trHeight w:val="217"/>
        </w:trPr>
        <w:tc>
          <w:tcPr>
            <w:tcW w:w="46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Accrued customer credits</w:t>
            </w:r>
          </w:p>
        </w:tc>
        <w:tc>
          <w:tcPr>
            <w:tcW w:w="18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109,987</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119,355</w:t>
            </w:r>
          </w:p>
        </w:tc>
        <w:tc>
          <w:tcPr>
            <w:tcW w:w="100" w:type="dxa"/>
            <w:vAlign w:val="bottom"/>
            <w:shd w:val="clear" w:color="auto" w:fill="CFF0FC"/>
          </w:tcPr>
          <w:p>
            <w:pPr>
              <w:spacing w:after="0"/>
              <w:rPr>
                <w:sz w:val="18"/>
                <w:szCs w:val="18"/>
                <w:color w:val="auto"/>
              </w:rPr>
            </w:pPr>
          </w:p>
        </w:tc>
      </w:tr>
      <w:tr>
        <w:trPr>
          <w:trHeight w:val="215"/>
        </w:trPr>
        <w:tc>
          <w:tcPr>
            <w:tcW w:w="4620" w:type="dxa"/>
            <w:vAlign w:val="bottom"/>
          </w:tcPr>
          <w:p>
            <w:pPr>
              <w:ind w:left="20"/>
              <w:spacing w:after="0" w:line="215" w:lineRule="exact"/>
              <w:rPr>
                <w:sz w:val="20"/>
                <w:szCs w:val="20"/>
                <w:color w:val="auto"/>
              </w:rPr>
            </w:pPr>
            <w:r>
              <w:rPr>
                <w:rFonts w:ascii="Calibri" w:cs="Calibri" w:eastAsia="Calibri" w:hAnsi="Calibri"/>
                <w:sz w:val="18"/>
                <w:szCs w:val="18"/>
                <w:color w:val="auto"/>
              </w:rPr>
              <w:t>Accrued future customer compensaton</w:t>
            </w: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00" w:type="dxa"/>
            <w:vAlign w:val="bottom"/>
          </w:tcPr>
          <w:p>
            <w:pPr>
              <w:jc w:val="right"/>
              <w:spacing w:after="0" w:line="215" w:lineRule="exact"/>
              <w:rPr>
                <w:sz w:val="20"/>
                <w:szCs w:val="20"/>
                <w:color w:val="auto"/>
              </w:rPr>
            </w:pPr>
            <w:r>
              <w:rPr>
                <w:rFonts w:ascii="Calibri" w:cs="Calibri" w:eastAsia="Calibri" w:hAnsi="Calibri"/>
                <w:sz w:val="18"/>
                <w:szCs w:val="18"/>
                <w:color w:val="auto"/>
              </w:rPr>
              <w:t>62,280</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tcPr>
          <w:p>
            <w:pPr>
              <w:jc w:val="right"/>
              <w:spacing w:after="0" w:line="215" w:lineRule="exact"/>
              <w:rPr>
                <w:sz w:val="20"/>
                <w:szCs w:val="20"/>
                <w:color w:val="auto"/>
              </w:rPr>
            </w:pPr>
            <w:r>
              <w:rPr>
                <w:rFonts w:ascii="Calibri" w:cs="Calibri" w:eastAsia="Calibri" w:hAnsi="Calibri"/>
                <w:sz w:val="18"/>
                <w:szCs w:val="18"/>
                <w:color w:val="auto"/>
              </w:rPr>
              <w:t>73,959</w:t>
            </w:r>
          </w:p>
        </w:tc>
        <w:tc>
          <w:tcPr>
            <w:tcW w:w="100" w:type="dxa"/>
            <w:vAlign w:val="bottom"/>
          </w:tcPr>
          <w:p>
            <w:pPr>
              <w:spacing w:after="0"/>
              <w:rPr>
                <w:sz w:val="18"/>
                <w:szCs w:val="18"/>
                <w:color w:val="auto"/>
              </w:rPr>
            </w:pPr>
          </w:p>
        </w:tc>
      </w:tr>
      <w:tr>
        <w:trPr>
          <w:trHeight w:val="217"/>
        </w:trPr>
        <w:tc>
          <w:tcPr>
            <w:tcW w:w="46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Accrued contngencies</w:t>
            </w:r>
          </w:p>
        </w:tc>
        <w:tc>
          <w:tcPr>
            <w:tcW w:w="18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9,470</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12,686</w:t>
            </w:r>
          </w:p>
        </w:tc>
        <w:tc>
          <w:tcPr>
            <w:tcW w:w="100" w:type="dxa"/>
            <w:vAlign w:val="bottom"/>
            <w:shd w:val="clear" w:color="auto" w:fill="CFF0FC"/>
          </w:tcPr>
          <w:p>
            <w:pPr>
              <w:spacing w:after="0"/>
              <w:rPr>
                <w:sz w:val="18"/>
                <w:szCs w:val="18"/>
                <w:color w:val="auto"/>
              </w:rPr>
            </w:pPr>
          </w:p>
        </w:tc>
      </w:tr>
      <w:tr>
        <w:trPr>
          <w:trHeight w:val="215"/>
        </w:trPr>
        <w:tc>
          <w:tcPr>
            <w:tcW w:w="4620" w:type="dxa"/>
            <w:vAlign w:val="bottom"/>
          </w:tcPr>
          <w:p>
            <w:pPr>
              <w:ind w:left="20"/>
              <w:spacing w:after="0" w:line="215" w:lineRule="exact"/>
              <w:rPr>
                <w:sz w:val="20"/>
                <w:szCs w:val="20"/>
                <w:color w:val="auto"/>
              </w:rPr>
            </w:pPr>
            <w:r>
              <w:rPr>
                <w:rFonts w:ascii="Calibri" w:cs="Calibri" w:eastAsia="Calibri" w:hAnsi="Calibri"/>
                <w:sz w:val="18"/>
                <w:szCs w:val="18"/>
                <w:color w:val="auto"/>
              </w:rPr>
              <w:t>Other current liabilites</w:t>
            </w:r>
          </w:p>
        </w:tc>
        <w:tc>
          <w:tcPr>
            <w:tcW w:w="18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33,762</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38,520</w:t>
            </w:r>
          </w:p>
        </w:tc>
        <w:tc>
          <w:tcPr>
            <w:tcW w:w="100" w:type="dxa"/>
            <w:vAlign w:val="bottom"/>
          </w:tcPr>
          <w:p>
            <w:pPr>
              <w:spacing w:after="0"/>
              <w:rPr>
                <w:sz w:val="18"/>
                <w:szCs w:val="18"/>
                <w:color w:val="auto"/>
              </w:rPr>
            </w:pPr>
          </w:p>
        </w:tc>
      </w:tr>
      <w:tr>
        <w:trPr>
          <w:trHeight w:val="251"/>
        </w:trPr>
        <w:tc>
          <w:tcPr>
            <w:tcW w:w="462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accrued expenses and other current liabilites</w:t>
            </w:r>
          </w:p>
        </w:tc>
        <w:tc>
          <w:tcPr>
            <w:tcW w:w="18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1270"/>
              <w:spacing w:after="0" w:line="210" w:lineRule="exact"/>
              <w:rPr>
                <w:sz w:val="20"/>
                <w:szCs w:val="20"/>
                <w:color w:val="auto"/>
              </w:rPr>
            </w:pPr>
            <w:r>
              <w:rPr>
                <w:rFonts w:ascii="Calibri" w:cs="Calibri" w:eastAsia="Calibri" w:hAnsi="Calibri"/>
                <w:sz w:val="18"/>
                <w:szCs w:val="18"/>
                <w:b w:val="1"/>
                <w:bCs w:val="1"/>
                <w:color w:val="auto"/>
                <w:w w:val="87"/>
              </w:rPr>
              <w:t>$</w:t>
            </w:r>
          </w:p>
        </w:tc>
        <w:tc>
          <w:tcPr>
            <w:tcW w:w="70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246,157</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line="210" w:lineRule="exact"/>
              <w:rPr>
                <w:sz w:val="20"/>
                <w:szCs w:val="20"/>
                <w:color w:val="auto"/>
              </w:rPr>
            </w:pPr>
            <w:r>
              <w:rPr>
                <w:rFonts w:ascii="Calibri" w:cs="Calibri" w:eastAsia="Calibri" w:hAnsi="Calibri"/>
                <w:sz w:val="18"/>
                <w:szCs w:val="18"/>
                <w:b w:val="1"/>
                <w:bCs w:val="1"/>
                <w:color w:val="auto"/>
                <w:w w:val="87"/>
              </w:rPr>
              <w:t>$</w:t>
            </w:r>
          </w:p>
        </w:tc>
        <w:tc>
          <w:tcPr>
            <w:tcW w:w="186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281,156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76"/>
        </w:trPr>
        <w:tc>
          <w:tcPr>
            <w:tcW w:w="4620" w:type="dxa"/>
            <w:vAlign w:val="bottom"/>
          </w:tcPr>
          <w:p>
            <w:pPr>
              <w:spacing w:after="0"/>
              <w:rPr>
                <w:sz w:val="24"/>
                <w:szCs w:val="24"/>
                <w:color w:val="auto"/>
              </w:rPr>
            </w:pPr>
          </w:p>
        </w:tc>
        <w:tc>
          <w:tcPr>
            <w:tcW w:w="1820" w:type="dxa"/>
            <w:vAlign w:val="bottom"/>
          </w:tcPr>
          <w:p>
            <w:pPr>
              <w:jc w:val="right"/>
              <w:ind w:right="630"/>
              <w:spacing w:after="0"/>
              <w:rPr>
                <w:sz w:val="20"/>
                <w:szCs w:val="20"/>
                <w:color w:val="auto"/>
              </w:rPr>
            </w:pPr>
            <w:r>
              <w:rPr>
                <w:rFonts w:ascii="Calibri" w:cs="Calibri" w:eastAsia="Calibri" w:hAnsi="Calibri"/>
                <w:sz w:val="18"/>
                <w:szCs w:val="18"/>
                <w:color w:val="auto"/>
              </w:rPr>
              <w:t>16</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46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-367665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-350520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line="241" w:lineRule="auto"/>
        <w:rPr>
          <w:sz w:val="20"/>
          <w:szCs w:val="20"/>
          <w:color w:val="auto"/>
        </w:rPr>
      </w:pPr>
      <w:r>
        <w:rPr>
          <w:rFonts w:ascii="Calibri" w:cs="Calibri" w:eastAsia="Calibri" w:hAnsi="Calibri"/>
          <w:sz w:val="18"/>
          <w:szCs w:val="18"/>
          <w:color w:val="auto"/>
        </w:rPr>
        <w:t>Accrued taxes decreased due to a change in our process for collectng and remitng sales tax. We have historically incurred sales tax expense in jurisdictons where we expected to remit sales tax payments but were not yet collectng from customers. During the second half of 2021, we began collectng sales tax from customers in all required states. The majority of accrued taxes as of June 30, 2022, represents the exposure for sales tax prior to the date we began collectng sales tax from customers reduced by abatements received, inclusive of any penaltes and interest assessed by the jurisdictons. Discussions with jurisdictons regarding our liability for uncollected sales taxes contnued into the quarter ended June 30, 2022.</w:t>
      </w:r>
    </w:p>
    <w:p>
      <w:pPr>
        <w:spacing w:after="0" w:line="166"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Accrued customer credits represent credits issued and outstanding for event cancellatons or other service issues related to recorded sales transactons. The accrued amount is reduced by the amount of credits estmated to go unused, or breakage, which is recognized in proporton to the patern of redempton for the customer credits. During the three and six months ended June 30, 2022, $7.5 million and $17.3 million, respectvely, of accrued customer credits were redeemed and we recognized $2.6 million and $3.2 million, respectvely, of revenue from breakage. During the three and six months ended June 30, 2021, $21.1 million and $26.3 million of accrued customer credits were redeemed and we recognized $2.1 million and $2.8 million, respectvely, of revenue from breakage.</w:t>
      </w:r>
    </w:p>
    <w:p>
      <w:pPr>
        <w:spacing w:after="0" w:line="153" w:lineRule="exact"/>
        <w:rPr>
          <w:sz w:val="20"/>
          <w:szCs w:val="20"/>
          <w:color w:val="auto"/>
        </w:rPr>
      </w:pPr>
    </w:p>
    <w:p>
      <w:pPr>
        <w:jc w:val="both"/>
        <w:spacing w:after="0" w:line="243" w:lineRule="auto"/>
        <w:rPr>
          <w:sz w:val="20"/>
          <w:szCs w:val="20"/>
          <w:color w:val="auto"/>
        </w:rPr>
      </w:pPr>
      <w:r>
        <w:rPr>
          <w:rFonts w:ascii="Calibri" w:cs="Calibri" w:eastAsia="Calibri" w:hAnsi="Calibri"/>
          <w:sz w:val="18"/>
          <w:szCs w:val="18"/>
          <w:color w:val="auto"/>
        </w:rPr>
        <w:t>Accrued future customer compensaton represents an estmate of the amount of customer compensaton due from cancellaton charges in the future. These provisions are based on historic experience, revenue volumes for future events, and management’s estmate of the likelihood of future event cancellatons and are recognized as a component of Revenues in the Condensed Consolidated Statements of Operatons. The expected recoveries of these obligatons are included in Prepaid expenses and other current assets in the Condensed Consolidated Balance Sheets. This estmated accrual could be impacted by future actvity difering from our estmates, the efects of which could be material. During the three and six months ended June 30, 2022, we recognized a net increase in revenue of $5.2 million and $3.4 million, respectvely, and during the three and six months ended June 30, 2021, we recognized a net increase in revenue of $4.4 million and $4.2 million, respectvely, from the reversals of previously recorded revenue and changes to accrued future customer compensaton related to event cancellatons where the performance obligatons were satsfed in prior periods.</w:t>
      </w:r>
    </w:p>
    <w:p>
      <w:pPr>
        <w:spacing w:after="0" w:line="151"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Per the Hoya Intermediate LLC agreement, Hoya Intermediate is required to make a tax distributon to a non-controlling interest of $4.0 million as of June 30, 2022. The tax distributon amount is unpaid as of June 30, 2022 and recorded in Other current liabilites.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40" w:type="dxa"/>
            <w:vAlign w:val="bottom"/>
          </w:tcPr>
          <w:p>
            <w:pPr>
              <w:spacing w:after="0"/>
              <w:rPr>
                <w:sz w:val="20"/>
                <w:szCs w:val="20"/>
                <w:color w:val="auto"/>
              </w:rPr>
            </w:pPr>
            <w:r>
              <w:rPr>
                <w:rFonts w:ascii="Calibri" w:cs="Calibri" w:eastAsia="Calibri" w:hAnsi="Calibri"/>
                <w:sz w:val="18"/>
                <w:szCs w:val="18"/>
                <w:b w:val="1"/>
                <w:bCs w:val="1"/>
                <w:color w:val="auto"/>
              </w:rPr>
              <w:t>10. Debt</w:t>
            </w:r>
          </w:p>
        </w:tc>
        <w:tc>
          <w:tcPr>
            <w:tcW w:w="1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1"/>
        </w:trPr>
        <w:tc>
          <w:tcPr>
            <w:tcW w:w="5140" w:type="dxa"/>
            <w:vAlign w:val="bottom"/>
          </w:tcPr>
          <w:p>
            <w:pPr>
              <w:spacing w:after="0"/>
              <w:rPr>
                <w:sz w:val="20"/>
                <w:szCs w:val="20"/>
                <w:color w:val="auto"/>
              </w:rPr>
            </w:pPr>
            <w:r>
              <w:rPr>
                <w:rFonts w:ascii="Calibri" w:cs="Calibri" w:eastAsia="Calibri" w:hAnsi="Calibri"/>
                <w:sz w:val="18"/>
                <w:szCs w:val="18"/>
                <w:color w:val="auto"/>
              </w:rPr>
              <w:t>Our outstanding debt is comprised of the following (in thousands):</w:t>
            </w: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18"/>
                <w:szCs w:val="18"/>
                <w:b w:val="1"/>
                <w:bCs w:val="1"/>
                <w:color w:val="auto"/>
              </w:rPr>
              <w:t>June 30,</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gridSpan w:val="2"/>
          </w:tcPr>
          <w:p>
            <w:pPr>
              <w:jc w:val="right"/>
              <w:ind w:right="80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5140" w:type="dxa"/>
            <w:vAlign w:val="bottom"/>
          </w:tcPr>
          <w:p>
            <w:pPr>
              <w:spacing w:after="0"/>
              <w:rPr>
                <w:sz w:val="18"/>
                <w:szCs w:val="18"/>
                <w:color w:val="auto"/>
              </w:rPr>
            </w:pPr>
          </w:p>
        </w:tc>
        <w:tc>
          <w:tcPr>
            <w:tcW w:w="2620" w:type="dxa"/>
            <w:vAlign w:val="bottom"/>
            <w:gridSpan w:val="2"/>
          </w:tcPr>
          <w:p>
            <w:pPr>
              <w:jc w:val="right"/>
              <w:ind w:right="30"/>
              <w:spacing w:after="0" w:line="216" w:lineRule="exact"/>
              <w:rPr>
                <w:sz w:val="20"/>
                <w:szCs w:val="20"/>
                <w:color w:val="auto"/>
              </w:rPr>
            </w:pPr>
            <w:r>
              <w:rPr>
                <w:rFonts w:ascii="Calibri" w:cs="Calibri" w:eastAsia="Calibri" w:hAnsi="Calibri"/>
                <w:sz w:val="18"/>
                <w:szCs w:val="18"/>
                <w:b w:val="1"/>
                <w:bCs w:val="1"/>
                <w:color w:val="auto"/>
              </w:rPr>
              <w:t>2022</w:t>
            </w: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tcPr>
          <w:p>
            <w:pPr>
              <w:jc w:val="right"/>
              <w:ind w:right="930"/>
              <w:spacing w:after="0" w:line="216" w:lineRule="exact"/>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8"/>
                <w:szCs w:val="18"/>
                <w:color w:val="auto"/>
              </w:rPr>
            </w:pPr>
          </w:p>
        </w:tc>
      </w:tr>
      <w:tr>
        <w:trPr>
          <w:trHeight w:val="23"/>
        </w:trPr>
        <w:tc>
          <w:tcPr>
            <w:tcW w:w="5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14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June 2017 First Lien Loan</w:t>
            </w:r>
          </w:p>
        </w:tc>
        <w:tc>
          <w:tcPr>
            <w:tcW w:w="14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10"/>
              <w:spacing w:after="0" w:line="215" w:lineRule="exact"/>
              <w:rPr>
                <w:sz w:val="20"/>
                <w:szCs w:val="20"/>
                <w:color w:val="auto"/>
              </w:rPr>
            </w:pPr>
            <w:r>
              <w:rPr>
                <w:rFonts w:ascii="Calibri" w:cs="Calibri" w:eastAsia="Calibri" w:hAnsi="Calibri"/>
                <w:sz w:val="18"/>
                <w:szCs w:val="18"/>
                <w:color w:val="auto"/>
                <w:w w:val="87"/>
              </w:rPr>
              <w:t>$</w:t>
            </w:r>
          </w:p>
        </w:tc>
        <w:tc>
          <w:tcPr>
            <w:tcW w:w="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3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20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465,712</w:t>
            </w:r>
          </w:p>
        </w:tc>
        <w:tc>
          <w:tcPr>
            <w:tcW w:w="100" w:type="dxa"/>
            <w:vAlign w:val="bottom"/>
            <w:shd w:val="clear" w:color="auto" w:fill="CFF0FC"/>
          </w:tcPr>
          <w:p>
            <w:pPr>
              <w:spacing w:after="0"/>
              <w:rPr>
                <w:sz w:val="19"/>
                <w:szCs w:val="19"/>
                <w:color w:val="auto"/>
              </w:rPr>
            </w:pPr>
          </w:p>
        </w:tc>
      </w:tr>
      <w:tr>
        <w:trPr>
          <w:trHeight w:val="215"/>
        </w:trPr>
        <w:tc>
          <w:tcPr>
            <w:tcW w:w="5140" w:type="dxa"/>
            <w:vAlign w:val="bottom"/>
          </w:tcPr>
          <w:p>
            <w:pPr>
              <w:ind w:left="20"/>
              <w:spacing w:after="0" w:line="215" w:lineRule="exact"/>
              <w:rPr>
                <w:sz w:val="20"/>
                <w:szCs w:val="20"/>
                <w:color w:val="auto"/>
              </w:rPr>
            </w:pPr>
            <w:r>
              <w:rPr>
                <w:rFonts w:ascii="Calibri" w:cs="Calibri" w:eastAsia="Calibri" w:hAnsi="Calibri"/>
                <w:sz w:val="18"/>
                <w:szCs w:val="18"/>
                <w:color w:val="auto"/>
              </w:rPr>
              <w:t>February 2022 First Lien Loan</w:t>
            </w: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jc w:val="right"/>
              <w:spacing w:after="0" w:line="215" w:lineRule="exact"/>
              <w:rPr>
                <w:sz w:val="20"/>
                <w:szCs w:val="20"/>
                <w:color w:val="auto"/>
              </w:rPr>
            </w:pPr>
            <w:r>
              <w:rPr>
                <w:rFonts w:ascii="Calibri" w:cs="Calibri" w:eastAsia="Calibri" w:hAnsi="Calibri"/>
                <w:sz w:val="18"/>
                <w:szCs w:val="18"/>
                <w:color w:val="auto"/>
                <w:w w:val="97"/>
              </w:rPr>
              <w:t>274,313</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11"/>
        </w:trPr>
        <w:tc>
          <w:tcPr>
            <w:tcW w:w="51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long-term debt, gross</w:t>
            </w:r>
          </w:p>
        </w:tc>
        <w:tc>
          <w:tcPr>
            <w:tcW w:w="14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97"/>
              </w:rPr>
              <w:t>274,313</w:t>
            </w:r>
          </w:p>
        </w:tc>
        <w:tc>
          <w:tcPr>
            <w:tcW w:w="36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465,712</w:t>
            </w:r>
          </w:p>
        </w:tc>
        <w:tc>
          <w:tcPr>
            <w:tcW w:w="100" w:type="dxa"/>
            <w:vAlign w:val="bottom"/>
            <w:shd w:val="clear" w:color="auto" w:fill="CFF0FC"/>
          </w:tcPr>
          <w:p>
            <w:pPr>
              <w:spacing w:after="0"/>
              <w:rPr>
                <w:sz w:val="18"/>
                <w:szCs w:val="18"/>
                <w:color w:val="auto"/>
              </w:rPr>
            </w:pPr>
          </w:p>
        </w:tc>
      </w:tr>
      <w:tr>
        <w:trPr>
          <w:trHeight w:val="215"/>
        </w:trPr>
        <w:tc>
          <w:tcPr>
            <w:tcW w:w="5140" w:type="dxa"/>
            <w:vAlign w:val="bottom"/>
          </w:tcPr>
          <w:p>
            <w:pPr>
              <w:ind w:left="20"/>
              <w:spacing w:after="0" w:line="215" w:lineRule="exact"/>
              <w:rPr>
                <w:sz w:val="20"/>
                <w:szCs w:val="20"/>
                <w:color w:val="auto"/>
              </w:rPr>
            </w:pPr>
            <w:r>
              <w:rPr>
                <w:rFonts w:ascii="Calibri" w:cs="Calibri" w:eastAsia="Calibri" w:hAnsi="Calibri"/>
                <w:sz w:val="18"/>
                <w:szCs w:val="18"/>
                <w:color w:val="auto"/>
              </w:rPr>
              <w:t>Less: unamortzed debt issuance costs</w:t>
            </w: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(5,661 )</w:t>
            </w:r>
          </w:p>
        </w:tc>
        <w:tc>
          <w:tcPr>
            <w:tcW w:w="400" w:type="dxa"/>
            <w:vAlign w:val="bottom"/>
          </w:tcPr>
          <w:p>
            <w:pPr>
              <w:spacing w:after="0"/>
              <w:rPr>
                <w:sz w:val="18"/>
                <w:szCs w:val="18"/>
                <w:color w:val="auto"/>
              </w:rPr>
            </w:pPr>
          </w:p>
        </w:tc>
        <w:tc>
          <w:tcPr>
            <w:tcW w:w="21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(5,580 )</w:t>
            </w:r>
          </w:p>
        </w:tc>
      </w:tr>
      <w:tr>
        <w:trPr>
          <w:trHeight w:val="211"/>
        </w:trPr>
        <w:tc>
          <w:tcPr>
            <w:tcW w:w="514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long-term debt, net of issuance costs</w:t>
            </w:r>
          </w:p>
        </w:tc>
        <w:tc>
          <w:tcPr>
            <w:tcW w:w="14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97"/>
              </w:rPr>
              <w:t>268,652</w:t>
            </w:r>
          </w:p>
        </w:tc>
        <w:tc>
          <w:tcPr>
            <w:tcW w:w="36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460,132</w:t>
            </w:r>
          </w:p>
        </w:tc>
        <w:tc>
          <w:tcPr>
            <w:tcW w:w="100" w:type="dxa"/>
            <w:vAlign w:val="bottom"/>
            <w:shd w:val="clear" w:color="auto" w:fill="CFF0FC"/>
          </w:tcPr>
          <w:p>
            <w:pPr>
              <w:spacing w:after="0"/>
              <w:rPr>
                <w:sz w:val="18"/>
                <w:szCs w:val="18"/>
                <w:color w:val="auto"/>
              </w:rPr>
            </w:pPr>
          </w:p>
        </w:tc>
      </w:tr>
      <w:tr>
        <w:trPr>
          <w:trHeight w:val="215"/>
        </w:trPr>
        <w:tc>
          <w:tcPr>
            <w:tcW w:w="5140" w:type="dxa"/>
            <w:vAlign w:val="bottom"/>
          </w:tcPr>
          <w:p>
            <w:pPr>
              <w:ind w:left="20"/>
              <w:spacing w:after="0" w:line="215" w:lineRule="exact"/>
              <w:rPr>
                <w:sz w:val="20"/>
                <w:szCs w:val="20"/>
                <w:color w:val="auto"/>
              </w:rPr>
            </w:pPr>
            <w:r>
              <w:rPr>
                <w:rFonts w:ascii="Calibri" w:cs="Calibri" w:eastAsia="Calibri" w:hAnsi="Calibri"/>
                <w:sz w:val="18"/>
                <w:szCs w:val="18"/>
                <w:color w:val="auto"/>
              </w:rPr>
              <w:t>Less: current porton</w:t>
            </w: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gridSpan w:val="2"/>
          </w:tcPr>
          <w:p>
            <w:pPr>
              <w:jc w:val="right"/>
              <w:ind w:right="280"/>
              <w:spacing w:after="0" w:line="215" w:lineRule="exact"/>
              <w:rPr>
                <w:sz w:val="20"/>
                <w:szCs w:val="20"/>
                <w:color w:val="auto"/>
              </w:rPr>
            </w:pPr>
            <w:r>
              <w:rPr>
                <w:rFonts w:ascii="Calibri" w:cs="Calibri" w:eastAsia="Calibri" w:hAnsi="Calibri"/>
                <w:sz w:val="18"/>
                <w:szCs w:val="18"/>
                <w:color w:val="auto"/>
              </w:rPr>
              <w:t>(2,750 )</w:t>
            </w:r>
          </w:p>
        </w:tc>
        <w:tc>
          <w:tcPr>
            <w:tcW w:w="400" w:type="dxa"/>
            <w:vAlign w:val="bottom"/>
          </w:tcPr>
          <w:p>
            <w:pPr>
              <w:spacing w:after="0"/>
              <w:rPr>
                <w:sz w:val="18"/>
                <w:szCs w:val="18"/>
                <w:color w:val="auto"/>
              </w:rPr>
            </w:pPr>
          </w:p>
        </w:tc>
        <w:tc>
          <w:tcPr>
            <w:tcW w:w="21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r>
      <w:tr>
        <w:trPr>
          <w:trHeight w:val="251"/>
        </w:trPr>
        <w:tc>
          <w:tcPr>
            <w:tcW w:w="5140" w:type="dxa"/>
            <w:vAlign w:val="bottom"/>
            <w:tcBorders>
              <w:bottom w:val="single" w:sz="8" w:color="CFF0FC"/>
            </w:tcBorders>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Total long-term debt, net</w:t>
            </w:r>
          </w:p>
        </w:tc>
        <w:tc>
          <w:tcPr>
            <w:tcW w:w="14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ind w:right="1010"/>
              <w:spacing w:after="0" w:line="210" w:lineRule="exact"/>
              <w:rPr>
                <w:sz w:val="20"/>
                <w:szCs w:val="20"/>
                <w:color w:val="auto"/>
              </w:rPr>
            </w:pPr>
            <w:r>
              <w:rPr>
                <w:rFonts w:ascii="Calibri" w:cs="Calibri" w:eastAsia="Calibri" w:hAnsi="Calibri"/>
                <w:sz w:val="18"/>
                <w:szCs w:val="18"/>
                <w:b w:val="1"/>
                <w:bCs w:val="1"/>
                <w:color w:val="auto"/>
                <w:w w:val="87"/>
              </w:rPr>
              <w:t>$</w:t>
            </w:r>
          </w:p>
        </w:tc>
        <w:tc>
          <w:tcPr>
            <w:tcW w:w="60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w w:val="97"/>
              </w:rPr>
              <w:t>265,902</w:t>
            </w:r>
          </w:p>
        </w:tc>
        <w:tc>
          <w:tcPr>
            <w:tcW w:w="3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190"/>
              <w:spacing w:after="0" w:line="210" w:lineRule="exact"/>
              <w:rPr>
                <w:sz w:val="20"/>
                <w:szCs w:val="20"/>
                <w:color w:val="auto"/>
              </w:rPr>
            </w:pPr>
            <w:r>
              <w:rPr>
                <w:rFonts w:ascii="Calibri" w:cs="Calibri" w:eastAsia="Calibri" w:hAnsi="Calibri"/>
                <w:sz w:val="18"/>
                <w:szCs w:val="18"/>
                <w:b w:val="1"/>
                <w:bCs w:val="1"/>
                <w:color w:val="auto"/>
              </w:rPr>
              <w:t>$</w:t>
            </w:r>
          </w:p>
        </w:tc>
        <w:tc>
          <w:tcPr>
            <w:tcW w:w="2020" w:type="dxa"/>
            <w:vAlign w:val="bottom"/>
            <w:tcBorders>
              <w:top w:val="single" w:sz="8" w:color="auto"/>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b w:val="1"/>
                <w:bCs w:val="1"/>
                <w:color w:val="auto"/>
              </w:rPr>
              <w:t>460,132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89"/>
        </w:trPr>
        <w:tc>
          <w:tcPr>
            <w:tcW w:w="5140" w:type="dxa"/>
            <w:vAlign w:val="bottom"/>
          </w:tcPr>
          <w:p>
            <w:pPr>
              <w:spacing w:after="0"/>
              <w:rPr>
                <w:sz w:val="24"/>
                <w:szCs w:val="24"/>
                <w:color w:val="auto"/>
              </w:rPr>
            </w:pPr>
          </w:p>
        </w:tc>
        <w:tc>
          <w:tcPr>
            <w:tcW w:w="1420" w:type="dxa"/>
            <w:vAlign w:val="bottom"/>
          </w:tcPr>
          <w:p>
            <w:pPr>
              <w:jc w:val="right"/>
              <w:ind w:right="750"/>
              <w:spacing w:after="0"/>
              <w:rPr>
                <w:sz w:val="20"/>
                <w:szCs w:val="20"/>
                <w:color w:val="auto"/>
              </w:rPr>
            </w:pPr>
            <w:r>
              <w:rPr>
                <w:rFonts w:ascii="Calibri" w:cs="Calibri" w:eastAsia="Calibri" w:hAnsi="Calibri"/>
                <w:sz w:val="18"/>
                <w:szCs w:val="18"/>
                <w:color w:val="auto"/>
              </w:rPr>
              <w:t>17</w:t>
            </w: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1"/>
        </w:trPr>
        <w:tc>
          <w:tcPr>
            <w:tcW w:w="514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-367665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-350520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June 2017 Term Loans</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On June 30, 2017, we entered into a $575.0 million frst lien debt facility, comprised of a $50.0 million revolving facility and a $525.0 million term loan (the “June 2017 First Lien Loan”), and a second lien credit facility, comprised of a $185.0 million second lien term loan (the “June 2017 Second Lien Loan”). The First Lien Loan was amended to upsize the commited amount by $115.0 million on July 2, 2018. On October 28, 2019, we paid of the June 2017 Second Lien Loan balance. The underlying credit facility was subsequently retred on May 22, 2020. On October 18, 2021, we made an early principal payment of $148.2 million in connecton with, and using the proceeds from, the merger transacton with Horizon Acquisiton Corporaton ("the Merger Transacton") and private investment in public equity fnancing (“PIPE Subscripton”). On February 3, 2022, we repaid $190.7 million of the outstanding balance of the June 2017 First Lien Loan and refnanced the remaining balance with a new $275.0 million term loan.</w:t>
      </w:r>
    </w:p>
    <w:p>
      <w:pPr>
        <w:spacing w:after="0" w:line="138"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The June 2017 First Lien Loan was held by third-party fnancial insttutons and was carried at the outstanding principal balance, less debt issuance costs and any unamortzed discount or premium. The fair value was estmated using quoted prices that are directly observable in the marketplace, therefore, the fair value is estmated on a Level 2 basis. At December 31, 2021, the June 2017 First Lien Loan had a fair value of $465.1 million as compared to the carrying amount of $460.1 million.</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February 2022 First Lien Loan</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On February 3, 2022, we entered into an amendment which refnanced the remaining June 2017 First Lien Loan with a new $275.0 million term loan (the "February 2022 First Lien Loan") with a maturity date of February 3, 2029. In connecton with the February 2022 First Lien Loan, we also entered into a new revolving credit facility (the “Revolving Facility”), which allows for an aggregate principal amount of $100.0 million and has a maturity date of February 3, 2027. At June 30, 2022, we had no outstanding borrowings under our Revolving Facility.</w:t>
      </w:r>
    </w:p>
    <w:p>
      <w:pPr>
        <w:spacing w:after="0" w:line="137"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The terms of the February 2022 First Lien Loan specifed a secured overnight fnancing rate (“SOFR”) based foatng interest rate and revised the springing fnancial covenant under the June 2017 Term Loans to require compliance with a frst lien net leverage rato when revolver borrowings exceed certain levels. All obligatons under the February 2022 First Lien Loan are unconditonally guaranteed by Hoya Intermediate and substantally all of Hoya Intermediate’s existng and future direct and indirect wholly owned domestc subsidiaries. It requires quarterly amortzaton payments of $0.7 million. The Revolving Facility does not require periodic payments. All obligatons under the February 2022 First Lien Loan are secured, subject to permited liens and other exceptons, by frst-priority perfected security interests in substantally all of our assets. The February 2022 First Lien Loan carries an interest rate of SOFR plus 3.25%. The SOFR rate for the February 2022 First Lien Loan is subject to a 0.5% foor. The efectve interest rate on the February 2022 First Lien Loan was 4.11% per annum at June 30, 2022.</w:t>
      </w:r>
    </w:p>
    <w:p>
      <w:pPr>
        <w:spacing w:after="0" w:line="140"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Our February 2022 First Lien Loan is held by third-party fnancial insttutons and is carried at the outstanding principal balance, less debt issuance costs and any unamortzed discount or premium. The fair value was estmated using quoted prices that are directly observable in the marketplace, therefore, the fair value is estmated on a Level 2 basis. At June 30, 2022, the February 2022 First Lien Loan had a fair value of $263.3 million as compared to the carrying amount of $268.7 million.</w:t>
      </w:r>
    </w:p>
    <w:p>
      <w:pPr>
        <w:spacing w:after="0" w:line="137"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We are subject to certain reportng and compliance-related covenants to remain in good standing under the February 2022 First Lien Loan. These covenants, among other things, limit our ability to incur additonal indebtedness, and in certain circumstances, create restrictons on the ability to enter into transactons with afliates; create liens; merge or consolidate; and make certain payments. Non-compliance with these covenants and failure to remedy could result in the acceleraton of the loans or foreclosure on the collateral. As of June 30, 2022, we were in compliance with all of our debt covenants related to the February 2022 First Lien Loan.</w:t>
      </w:r>
    </w:p>
    <w:p>
      <w:pPr>
        <w:spacing w:after="0" w:line="9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Due to the refnancing of the June 2017 First Lien Loan with the February 2022 First Lien Loan, we incurred a loss of $4.3 million for the six months ended June 30, 2022, which is presented in Loss on extnguishment of debt in the Condensed Consolidated Statements of Operatons.</w:t>
      </w:r>
    </w:p>
    <w:p>
      <w:pPr>
        <w:jc w:val="center"/>
        <w:spacing w:after="0" w:line="221" w:lineRule="auto"/>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0" w:name="page21"/>
    <w:bookmarkEnd w:id="20"/>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May 2020 First Lien Loan</w:t>
      </w:r>
    </w:p>
    <w:p>
      <w:pPr>
        <w:spacing w:after="0" w:line="136" w:lineRule="exact"/>
        <w:rPr>
          <w:sz w:val="20"/>
          <w:szCs w:val="20"/>
          <w:color w:val="auto"/>
        </w:rPr>
      </w:pPr>
    </w:p>
    <w:p>
      <w:pPr>
        <w:jc w:val="both"/>
        <w:ind w:right="40"/>
        <w:spacing w:after="0" w:line="228" w:lineRule="auto"/>
        <w:rPr>
          <w:sz w:val="20"/>
          <w:szCs w:val="20"/>
          <w:color w:val="auto"/>
        </w:rPr>
      </w:pPr>
      <w:r>
        <w:rPr>
          <w:rFonts w:ascii="Calibri" w:cs="Calibri" w:eastAsia="Calibri" w:hAnsi="Calibri"/>
          <w:sz w:val="18"/>
          <w:szCs w:val="18"/>
          <w:color w:val="auto"/>
        </w:rPr>
        <w:t>On May 22, 2020, we entered into a $260.0 million frst lien term loan (the “May 2020 First Lien Loan”) that is pari passu with the June 2017 First Lien Loan. The proceeds from the May 2020 First Lien Loan were used for general corporate purposes and to extnguish and retre the revolving facility related to the June 2017 First Lien Loan in full. On October 18, 2021, in connecton with and using the proceeds from the Merger Transacton, we paid of in full the May 2020 First Lien Loan balance.</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11. Financial Instruments</w:t>
      </w:r>
    </w:p>
    <w:p>
      <w:pPr>
        <w:spacing w:after="0" w:line="136" w:lineRule="exact"/>
        <w:rPr>
          <w:sz w:val="20"/>
          <w:szCs w:val="20"/>
          <w:color w:val="auto"/>
        </w:rPr>
      </w:pPr>
    </w:p>
    <w:p>
      <w:pPr>
        <w:jc w:val="both"/>
        <w:ind w:right="40"/>
        <w:spacing w:after="0"/>
        <w:rPr>
          <w:sz w:val="20"/>
          <w:szCs w:val="20"/>
          <w:color w:val="auto"/>
        </w:rPr>
      </w:pPr>
      <w:r>
        <w:rPr>
          <w:rFonts w:ascii="Calibri" w:cs="Calibri" w:eastAsia="Calibri" w:hAnsi="Calibri"/>
          <w:sz w:val="17"/>
          <w:szCs w:val="17"/>
          <w:color w:val="auto"/>
        </w:rPr>
        <w:t>In Connecton with the Merger Transacton, we issued warrants to purchase 3,000,000 Hoya Intermediate common units at an exercise price of $10.00 per unit and warrants to purchase 3,000,000 Hoya Intermediate common units at an exercise price of $15.00 per unit (collectvely, "Hoya Intermediate Warrants") to Hoya Topco, LLC ("Hoya Topco"). The Hoya Intermediate Warrants are classifed as Other Liabilites in the Condensed Consolidated Balance Sheets. A porton of the Hoya Intermediate Warrants consists of warrants to purchase 1,000,000 Hoya Intermediate common units at exercise prices of $10.00 and $15.00 per unit, respectvely, were issued in tandem with stock optons issued by Vivid Seats Inc. to members of our management team (“Opton Contngent Warrants”). The Opton Contngent Warrants only become available to exercise by Hoya Topco in the event that a corresponding management opton is forfeited or expires unexercised. As of June 30, 2022, none of the Opton Contngent Warrants are available to be exercised by Hoya Topco.</w:t>
      </w:r>
    </w:p>
    <w:p>
      <w:pPr>
        <w:spacing w:after="0" w:line="140" w:lineRule="exact"/>
        <w:rPr>
          <w:sz w:val="20"/>
          <w:szCs w:val="20"/>
          <w:color w:val="auto"/>
        </w:rPr>
      </w:pPr>
    </w:p>
    <w:p>
      <w:pPr>
        <w:jc w:val="both"/>
        <w:ind w:right="40"/>
        <w:spacing w:after="0" w:line="225" w:lineRule="auto"/>
        <w:rPr>
          <w:sz w:val="20"/>
          <w:szCs w:val="20"/>
          <w:color w:val="auto"/>
        </w:rPr>
      </w:pPr>
      <w:r>
        <w:rPr>
          <w:rFonts w:ascii="Calibri" w:cs="Calibri" w:eastAsia="Calibri" w:hAnsi="Calibri"/>
          <w:sz w:val="18"/>
          <w:szCs w:val="18"/>
          <w:color w:val="auto"/>
        </w:rPr>
        <w:t>Our Hoya Intermediate Warrants are exercisable for Hoya Intermediate common units, which allow for a potental cash redempton at the discreton of the unit holder. Hence, the Hoya Intermediate Warrants are classifed as a liability in Other liabilites on our Condensed Consolidated Balance Sheets. Upon consummaton of the Merger Transacton, we recorded a warrant liability of $20.4 million, refectng the fair value of the Hoya Intermediate Warrants determined using the Black Scholes model. The fair value of the Hoya Intermediate Warrants included Opton Contngent Warrants of $1.6 million. The estmated fair value of the Opton Contngent Warrants is adjusted to refect the probability of forfeiture of the corresponding stock optons based on historical forfeiture rates for Hoya Topco profts interests.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assumptons were used to calculate the fair value of the Hoya Intermediate Warrants and Opton Contngent Warrants: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0" w:type="dxa"/>
            <w:vAlign w:val="bottom"/>
          </w:tcPr>
          <w:p>
            <w:pPr>
              <w:spacing w:after="0"/>
              <w:rPr>
                <w:sz w:val="19"/>
                <w:szCs w:val="19"/>
                <w:color w:val="auto"/>
              </w:rPr>
            </w:pPr>
          </w:p>
        </w:tc>
        <w:tc>
          <w:tcPr>
            <w:tcW w:w="1840" w:type="dxa"/>
            <w:vAlign w:val="bottom"/>
          </w:tcPr>
          <w:p>
            <w:pPr>
              <w:ind w:left="940"/>
              <w:spacing w:after="0"/>
              <w:rPr>
                <w:sz w:val="20"/>
                <w:szCs w:val="20"/>
                <w:color w:val="auto"/>
              </w:rPr>
            </w:pPr>
            <w:r>
              <w:rPr>
                <w:rFonts w:ascii="Calibri" w:cs="Calibri" w:eastAsia="Calibri" w:hAnsi="Calibri"/>
                <w:sz w:val="18"/>
                <w:szCs w:val="18"/>
                <w:b w:val="1"/>
                <w:bCs w:val="1"/>
                <w:color w:val="auto"/>
              </w:rPr>
              <w:t>June 30,</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80" w:type="dxa"/>
            <w:vAlign w:val="bottom"/>
            <w:gridSpan w:val="2"/>
          </w:tcPr>
          <w:p>
            <w:pPr>
              <w:jc w:val="right"/>
              <w:ind w:right="710"/>
              <w:spacing w:after="0"/>
              <w:rPr>
                <w:sz w:val="20"/>
                <w:szCs w:val="20"/>
                <w:color w:val="auto"/>
              </w:rPr>
            </w:pPr>
            <w:r>
              <w:rPr>
                <w:rFonts w:ascii="Calibri" w:cs="Calibri" w:eastAsia="Calibri" w:hAnsi="Calibri"/>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7840" w:type="dxa"/>
            <w:vAlign w:val="bottom"/>
            <w:gridSpan w:val="2"/>
          </w:tcPr>
          <w:p>
            <w:pPr>
              <w:ind w:left="7060"/>
              <w:spacing w:after="0" w:line="216" w:lineRule="exact"/>
              <w:rPr>
                <w:sz w:val="20"/>
                <w:szCs w:val="20"/>
                <w:color w:val="auto"/>
              </w:rPr>
            </w:pPr>
            <w:r>
              <w:rPr>
                <w:rFonts w:ascii="Calibri" w:cs="Calibri" w:eastAsia="Calibri" w:hAnsi="Calibri"/>
                <w:sz w:val="18"/>
                <w:szCs w:val="18"/>
                <w:b w:val="1"/>
                <w:bCs w:val="1"/>
                <w:color w:val="auto"/>
              </w:rPr>
              <w:t>2022</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tcPr>
          <w:p>
            <w:pPr>
              <w:jc w:val="right"/>
              <w:ind w:right="910"/>
              <w:spacing w:after="0" w:line="216" w:lineRule="exact"/>
              <w:rPr>
                <w:sz w:val="20"/>
                <w:szCs w:val="20"/>
                <w:color w:val="auto"/>
              </w:rPr>
            </w:pPr>
            <w:r>
              <w:rPr>
                <w:rFonts w:ascii="Calibri" w:cs="Calibri" w:eastAsia="Calibri" w:hAnsi="Calibri"/>
                <w:sz w:val="18"/>
                <w:szCs w:val="18"/>
                <w:b w:val="1"/>
                <w:bCs w:val="1"/>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000" w:type="dxa"/>
            <w:vAlign w:val="bottom"/>
            <w:vMerge w:val="restart"/>
          </w:tcPr>
          <w:p>
            <w:pPr>
              <w:ind w:left="20"/>
              <w:spacing w:after="0"/>
              <w:rPr>
                <w:sz w:val="20"/>
                <w:szCs w:val="20"/>
                <w:color w:val="auto"/>
              </w:rPr>
            </w:pPr>
            <w:r>
              <w:rPr>
                <w:rFonts w:ascii="Calibri" w:cs="Calibri" w:eastAsia="Calibri" w:hAnsi="Calibri"/>
                <w:sz w:val="18"/>
                <w:szCs w:val="18"/>
                <w:color w:val="auto"/>
              </w:rPr>
              <w:t>Estmated volatlity</w:t>
            </w:r>
          </w:p>
        </w:tc>
        <w:tc>
          <w:tcPr>
            <w:tcW w:w="1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vMerge w:val="restart"/>
          </w:tcPr>
          <w:p>
            <w:pPr>
              <w:jc w:val="right"/>
              <w:ind w:right="90"/>
              <w:spacing w:after="0"/>
              <w:rPr>
                <w:sz w:val="20"/>
                <w:szCs w:val="20"/>
                <w:color w:val="auto"/>
              </w:rPr>
            </w:pPr>
            <w:r>
              <w:rPr>
                <w:rFonts w:ascii="Calibri" w:cs="Calibri" w:eastAsia="Calibri" w:hAnsi="Calibri"/>
                <w:sz w:val="18"/>
                <w:szCs w:val="18"/>
                <w:color w:val="auto"/>
                <w:w w:val="92"/>
              </w:rPr>
              <w:t>%</w:t>
            </w:r>
          </w:p>
        </w:tc>
        <w:tc>
          <w:tcPr>
            <w:tcW w:w="2340" w:type="dxa"/>
            <w:vAlign w:val="bottom"/>
            <w:tcBorders>
              <w:bottom w:val="single" w:sz="8" w:color="auto"/>
            </w:tcBorders>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Calibri" w:cs="Calibri" w:eastAsia="Calibri" w:hAnsi="Calibri"/>
                <w:sz w:val="18"/>
                <w:szCs w:val="18"/>
                <w:color w:val="auto"/>
                <w:w w:val="92"/>
              </w:rPr>
              <w:t>%</w:t>
            </w:r>
          </w:p>
        </w:tc>
        <w:tc>
          <w:tcPr>
            <w:tcW w:w="0" w:type="dxa"/>
            <w:vAlign w:val="bottom"/>
          </w:tcPr>
          <w:p>
            <w:pPr>
              <w:spacing w:after="0"/>
              <w:rPr>
                <w:sz w:val="1"/>
                <w:szCs w:val="1"/>
                <w:color w:val="auto"/>
              </w:rPr>
            </w:pPr>
          </w:p>
        </w:tc>
      </w:tr>
      <w:tr>
        <w:trPr>
          <w:trHeight w:val="208"/>
        </w:trPr>
        <w:tc>
          <w:tcPr>
            <w:tcW w:w="600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640" w:type="dxa"/>
            <w:vAlign w:val="bottom"/>
          </w:tcPr>
          <w:p>
            <w:pPr>
              <w:jc w:val="right"/>
              <w:spacing w:after="0" w:line="208" w:lineRule="exact"/>
              <w:rPr>
                <w:sz w:val="20"/>
                <w:szCs w:val="20"/>
                <w:color w:val="auto"/>
              </w:rPr>
            </w:pPr>
            <w:r>
              <w:rPr>
                <w:rFonts w:ascii="Calibri" w:cs="Calibri" w:eastAsia="Calibri" w:hAnsi="Calibri"/>
                <w:sz w:val="18"/>
                <w:szCs w:val="18"/>
                <w:color w:val="auto"/>
              </w:rPr>
              <w:t>43.0</w:t>
            </w:r>
          </w:p>
        </w:tc>
        <w:tc>
          <w:tcPr>
            <w:tcW w:w="320" w:type="dxa"/>
            <w:vAlign w:val="bottom"/>
            <w:vMerge w:val="continue"/>
          </w:tcPr>
          <w:p>
            <w:pPr>
              <w:spacing w:after="0"/>
              <w:rPr>
                <w:sz w:val="18"/>
                <w:szCs w:val="18"/>
                <w:color w:val="auto"/>
              </w:rPr>
            </w:pPr>
          </w:p>
        </w:tc>
        <w:tc>
          <w:tcPr>
            <w:tcW w:w="2340" w:type="dxa"/>
            <w:vAlign w:val="bottom"/>
          </w:tcPr>
          <w:p>
            <w:pPr>
              <w:jc w:val="right"/>
              <w:spacing w:after="0" w:line="208" w:lineRule="exact"/>
              <w:rPr>
                <w:sz w:val="20"/>
                <w:szCs w:val="20"/>
                <w:color w:val="auto"/>
              </w:rPr>
            </w:pPr>
            <w:r>
              <w:rPr>
                <w:rFonts w:ascii="Calibri" w:cs="Calibri" w:eastAsia="Calibri" w:hAnsi="Calibri"/>
                <w:sz w:val="18"/>
                <w:szCs w:val="18"/>
                <w:color w:val="auto"/>
              </w:rPr>
              <w:t>36.0</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Expected term (years)</w:t>
            </w: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9.3</w:t>
            </w:r>
          </w:p>
        </w:tc>
        <w:tc>
          <w:tcPr>
            <w:tcW w:w="320" w:type="dxa"/>
            <w:vAlign w:val="bottom"/>
          </w:tcPr>
          <w:p>
            <w:pPr>
              <w:spacing w:after="0"/>
              <w:rPr>
                <w:sz w:val="18"/>
                <w:szCs w:val="18"/>
                <w:color w:val="auto"/>
              </w:rPr>
            </w:pPr>
          </w:p>
        </w:tc>
        <w:tc>
          <w:tcPr>
            <w:tcW w:w="2340" w:type="dxa"/>
            <w:vAlign w:val="bottom"/>
          </w:tcPr>
          <w:p>
            <w:pPr>
              <w:jc w:val="right"/>
              <w:spacing w:after="0" w:line="215" w:lineRule="exact"/>
              <w:rPr>
                <w:sz w:val="20"/>
                <w:szCs w:val="20"/>
                <w:color w:val="auto"/>
              </w:rPr>
            </w:pPr>
            <w:r>
              <w:rPr>
                <w:rFonts w:ascii="Calibri" w:cs="Calibri" w:eastAsia="Calibri" w:hAnsi="Calibri"/>
                <w:sz w:val="18"/>
                <w:szCs w:val="18"/>
                <w:color w:val="auto"/>
              </w:rPr>
              <w:t>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Risk-free rate</w:t>
            </w:r>
          </w:p>
        </w:tc>
        <w:tc>
          <w:tcPr>
            <w:tcW w:w="9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3.0 %</w:t>
            </w:r>
          </w:p>
        </w:tc>
        <w:tc>
          <w:tcPr>
            <w:tcW w:w="24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1.5 %</w:t>
            </w:r>
          </w:p>
        </w:tc>
        <w:tc>
          <w:tcPr>
            <w:tcW w:w="0" w:type="dxa"/>
            <w:vAlign w:val="bottom"/>
          </w:tcPr>
          <w:p>
            <w:pPr>
              <w:spacing w:after="0"/>
              <w:rPr>
                <w:sz w:val="1"/>
                <w:szCs w:val="1"/>
                <w:color w:val="auto"/>
              </w:rPr>
            </w:pPr>
          </w:p>
        </w:tc>
      </w:tr>
      <w:tr>
        <w:trPr>
          <w:trHeight w:val="215"/>
        </w:trPr>
        <w:tc>
          <w:tcPr>
            <w:tcW w:w="784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Expected dividend yield</w:t>
            </w:r>
          </w:p>
        </w:tc>
        <w:tc>
          <w:tcPr>
            <w:tcW w:w="96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0.0 %</w:t>
            </w:r>
          </w:p>
        </w:tc>
        <w:tc>
          <w:tcPr>
            <w:tcW w:w="24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1323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0" w:lineRule="exact"/>
        <w:rPr>
          <w:sz w:val="20"/>
          <w:szCs w:val="20"/>
          <w:color w:val="auto"/>
        </w:rPr>
      </w:pPr>
    </w:p>
    <w:p>
      <w:pPr>
        <w:ind w:right="40"/>
        <w:spacing w:after="0" w:line="227" w:lineRule="auto"/>
        <w:rPr>
          <w:sz w:val="20"/>
          <w:szCs w:val="20"/>
          <w:color w:val="auto"/>
        </w:rPr>
      </w:pPr>
      <w:r>
        <w:rPr>
          <w:rFonts w:ascii="Calibri" w:cs="Calibri" w:eastAsia="Calibri" w:hAnsi="Calibri"/>
          <w:sz w:val="18"/>
          <w:szCs w:val="18"/>
          <w:color w:val="auto"/>
        </w:rPr>
        <w:t>For the three and six months ended June 30, 2022, the fair value of the Hoya Intermediate Warrants and Opton Contngent Warrants decreased by $8.8 million and $6.6 million, respectvely, which is presented in Other (income) expense on the Condensed Consolidated Statements of Operatons.</w:t>
      </w:r>
    </w:p>
    <w:p>
      <w:pPr>
        <w:spacing w:after="0" w:line="138" w:lineRule="exact"/>
        <w:rPr>
          <w:sz w:val="20"/>
          <w:szCs w:val="20"/>
          <w:color w:val="auto"/>
        </w:rPr>
      </w:pPr>
    </w:p>
    <w:p>
      <w:pPr>
        <w:ind w:right="40"/>
        <w:spacing w:after="0" w:line="227" w:lineRule="auto"/>
        <w:rPr>
          <w:sz w:val="20"/>
          <w:szCs w:val="20"/>
          <w:color w:val="auto"/>
        </w:rPr>
      </w:pPr>
      <w:r>
        <w:rPr>
          <w:rFonts w:ascii="Calibri" w:cs="Calibri" w:eastAsia="Calibri" w:hAnsi="Calibri"/>
          <w:sz w:val="18"/>
          <w:szCs w:val="18"/>
          <w:color w:val="auto"/>
        </w:rPr>
        <w:t>Other fnancial instruments, including accounts receivable and accounts payable, are carried at cost, which approximates their fair value because of the short-term nature of these instruments.</w:t>
      </w:r>
    </w:p>
    <w:p>
      <w:pPr>
        <w:spacing w:after="0" w:line="138" w:lineRule="exact"/>
        <w:rPr>
          <w:sz w:val="20"/>
          <w:szCs w:val="20"/>
          <w:color w:val="auto"/>
        </w:rPr>
      </w:pPr>
    </w:p>
    <w:p>
      <w:pPr>
        <w:ind w:right="8480" w:firstLine="8"/>
        <w:spacing w:after="0" w:line="378" w:lineRule="auto"/>
        <w:tabs>
          <w:tab w:leader="none" w:pos="264" w:val="left"/>
        </w:tabs>
        <w:numPr>
          <w:ilvl w:val="0"/>
          <w:numId w:val="5"/>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Commitments and Contingencies Litgaton</w:t>
      </w:r>
    </w:p>
    <w:p>
      <w:pPr>
        <w:spacing w:after="0" w:line="23" w:lineRule="exact"/>
        <w:rPr>
          <w:sz w:val="20"/>
          <w:szCs w:val="20"/>
          <w:color w:val="auto"/>
        </w:rPr>
      </w:pPr>
    </w:p>
    <w:p>
      <w:pPr>
        <w:ind w:right="40"/>
        <w:spacing w:after="0" w:line="245" w:lineRule="auto"/>
        <w:rPr>
          <w:sz w:val="20"/>
          <w:szCs w:val="20"/>
          <w:color w:val="auto"/>
        </w:rPr>
      </w:pPr>
      <w:r>
        <w:rPr>
          <w:rFonts w:ascii="Calibri" w:cs="Calibri" w:eastAsia="Calibri" w:hAnsi="Calibri"/>
          <w:sz w:val="18"/>
          <w:szCs w:val="18"/>
          <w:color w:val="auto"/>
        </w:rPr>
        <w:t>From tme to tme, we are involved in various claims and legal actons arising in the ordinary course of business, none of which, in the opinion of management, could have a material efect on our business, fnancial positon or results of operatons other than those maters discussed herein.</w:t>
      </w:r>
    </w:p>
    <w:p>
      <w:pPr>
        <w:spacing w:after="0" w:line="114"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2" w:right="299" w:bottom="1440" w:gutter="0" w:footer="0" w:header="0"/>
        </w:sectPr>
      </w:pPr>
    </w:p>
    <w:bookmarkStart w:id="21" w:name="page22"/>
    <w:bookmarkEnd w:id="21"/>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line="244" w:lineRule="auto"/>
        <w:rPr>
          <w:sz w:val="20"/>
          <w:szCs w:val="20"/>
          <w:color w:val="auto"/>
        </w:rPr>
      </w:pPr>
      <w:r>
        <w:rPr>
          <w:rFonts w:ascii="Calibri" w:cs="Calibri" w:eastAsia="Calibri" w:hAnsi="Calibri"/>
          <w:sz w:val="18"/>
          <w:szCs w:val="18"/>
          <w:color w:val="auto"/>
        </w:rPr>
        <w:t>We are a co-defendant in a class acton lawsuit in Canada alleging a failure to disclose service fees prior to checkout, which we have setled. On January 5, 2022, we issued coupons to certain members of the class. Other members will be notfed in 2022 that they are eligible to submit a claim for a coupon. As of June 30, 2022 and December 31, 2021, a liability of $0.9 million was recorded in Accrued expenses and other current liabilites in the Condensed Consolidated Balance Sheets related to expected claim submissions and credit redemptons as of the measurement date.</w:t>
      </w:r>
    </w:p>
    <w:p>
      <w:pPr>
        <w:spacing w:after="0" w:line="146" w:lineRule="exact"/>
        <w:rPr>
          <w:sz w:val="20"/>
          <w:szCs w:val="20"/>
          <w:color w:val="auto"/>
        </w:rPr>
      </w:pPr>
    </w:p>
    <w:p>
      <w:pPr>
        <w:jc w:val="both"/>
        <w:spacing w:after="0" w:line="242" w:lineRule="auto"/>
        <w:rPr>
          <w:sz w:val="20"/>
          <w:szCs w:val="20"/>
          <w:color w:val="auto"/>
        </w:rPr>
      </w:pPr>
      <w:r>
        <w:rPr>
          <w:rFonts w:ascii="Calibri" w:cs="Calibri" w:eastAsia="Calibri" w:hAnsi="Calibri"/>
          <w:sz w:val="18"/>
          <w:szCs w:val="18"/>
          <w:color w:val="auto"/>
        </w:rPr>
        <w:t>We received multple class acton lawsuits related to customer compensaton for cancellatons, primarily as a result of COVID-19 restrictons. A fnal order approving setlement of one of the lawsuits was entered by the court on November 1, 2021. As such, afer insurance, $4.5 million was funded to a claims setlement pool and is included in Prepaid expenses and other current assets in the Condensed Consolidated Balance Sheets. As of June 30, 2022 and December 31, 2021, we had accrued a liability of $2.8 million and $1.7 million, respectvely, within Accrued expenses and other current liabilites in the Condensed Consolidated Balance Sheets related to these maters. We expect to recover some of these costs under our insurance policies and have separately recognized an insurance recovery asset of $0.5 million within Prepaid expenses and other current assets in the Condensed Consolidated Balance Sheets at June 30, 2022 and December 31, 2021.</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w:t>
      </w:r>
    </w:p>
    <w:p>
      <w:pPr>
        <w:spacing w:after="0" w:line="163" w:lineRule="exact"/>
        <w:rPr>
          <w:sz w:val="20"/>
          <w:szCs w:val="20"/>
          <w:color w:val="auto"/>
        </w:rPr>
      </w:pPr>
    </w:p>
    <w:p>
      <w:pPr>
        <w:jc w:val="both"/>
        <w:spacing w:after="0" w:line="241" w:lineRule="auto"/>
        <w:rPr>
          <w:sz w:val="20"/>
          <w:szCs w:val="20"/>
          <w:color w:val="auto"/>
        </w:rPr>
      </w:pPr>
      <w:r>
        <w:rPr>
          <w:rFonts w:ascii="Calibri" w:cs="Calibri" w:eastAsia="Calibri" w:hAnsi="Calibri"/>
          <w:sz w:val="18"/>
          <w:szCs w:val="18"/>
          <w:color w:val="auto"/>
        </w:rPr>
        <w:t>In 2018, the U.S. Supreme Court issued its decision in South Dakota v. Wayfair Inc., which overturned previous case law that had precluded states from imposing sales tax collecton requirements on retailers without a physical presence in the state. In response, most states have adopted laws that atempt to impose tax collecton obligatons on out-of-state companies. We have registered, or are in the process of registering, where required by statute. There remains a degree of uncertainty as to our obligatons in jurisdictons where our registraton is stll in progress due to the complex laws that govern secondary tcket sales. Pending discussions, it is more likely than not that some jurisdictons could assess taxes and that assessed amounts may difer materially from amounts currently accrued. It is also possible that some jurisdictons may provide for a later start date for sales tax collecton, which could provide a material reducton in amounts currently accrued. In either case, we will adjust the recorded liability to refect the new informaton, with a porton of the adjustment impactng orders placed in prior periods.</w:t>
      </w:r>
    </w:p>
    <w:p>
      <w:pPr>
        <w:spacing w:after="0" w:line="152"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We have recognized a liability for this potental tax of $6.4 million and $8.8 million at June 30, 2022 and December 31, 2021, respectvely. This liability is recorded in Accrued expenses and other current liabilites in the Condensed Consolidated Balance Sheets. The related sales tax expense was $2.0 million and $2.9 million for the three and six months ended June 30, 2022, respectvely and $10.7 million and $13.0 million for the three and six months ended June 30, 2021, respectvely. This refects the change in uncollected amounts owed to jurisdictons during the period, reduced by any abatements received, inclusive of any penaltes and interest assessed by the jurisdictons.</w:t>
      </w:r>
    </w:p>
    <w:p>
      <w:pPr>
        <w:spacing w:after="0" w:line="14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13. Related-Party Transactions</w:t>
      </w:r>
    </w:p>
    <w:p>
      <w:pPr>
        <w:spacing w:after="0" w:line="136" w:lineRule="exact"/>
        <w:rPr>
          <w:sz w:val="20"/>
          <w:szCs w:val="20"/>
          <w:color w:val="auto"/>
        </w:rPr>
      </w:pPr>
    </w:p>
    <w:p>
      <w:pPr>
        <w:jc w:val="both"/>
        <w:spacing w:after="0" w:line="242" w:lineRule="auto"/>
        <w:rPr>
          <w:sz w:val="20"/>
          <w:szCs w:val="20"/>
          <w:color w:val="auto"/>
        </w:rPr>
      </w:pPr>
      <w:r>
        <w:rPr>
          <w:rFonts w:ascii="Calibri" w:cs="Calibri" w:eastAsia="Calibri" w:hAnsi="Calibri"/>
          <w:sz w:val="18"/>
          <w:szCs w:val="18"/>
          <w:color w:val="auto"/>
        </w:rPr>
        <w:t>Vivid Cheers Inc. (“Vivid Cheers”) was incorporated as a non-proft organizaton within the meaning of Secton 501(c)(3) of the Internal Revenue Code. Vivid Cheers’ mission is to support causes and organizatons dedicated to healthcare, educaton, and support of workers in the live events industry during tmes of need. We have the right to elect the board of directors of Vivid Cheers, which is currently formed by our executves. We do not have a controlling fnancial interest in Vivid Cheers, and accordingly, do not consolidate Vivid Cheers’ statement of actvites with our fnancial results. We made charitable contributons to Vivid Cheers of less than $0.1 million and $0.6 million for the three and six months ended June 30, 2022, respectvely, and $0.4 million and $1.0 million for the three and six months ended June 30, 2021, respectvely. We had no accrued charitable contributons payable as of June 30, 2022 and had $1.3 million of accrued charitable contributons payable as of December 31, 2021.</w:t>
      </w:r>
    </w:p>
    <w:p>
      <w:pPr>
        <w:spacing w:after="0" w:line="10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2" w:name="page23"/>
    <w:bookmarkEnd w:id="22"/>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14. Income Taxes</w:t>
      </w:r>
    </w:p>
    <w:p>
      <w:pPr>
        <w:spacing w:after="0" w:line="136" w:lineRule="exact"/>
        <w:rPr>
          <w:sz w:val="20"/>
          <w:szCs w:val="20"/>
          <w:color w:val="auto"/>
        </w:rPr>
      </w:pPr>
    </w:p>
    <w:p>
      <w:pPr>
        <w:jc w:val="both"/>
        <w:spacing w:after="0"/>
        <w:rPr>
          <w:sz w:val="20"/>
          <w:szCs w:val="20"/>
          <w:color w:val="auto"/>
        </w:rPr>
      </w:pPr>
      <w:r>
        <w:rPr>
          <w:rFonts w:ascii="Calibri" w:cs="Calibri" w:eastAsia="Calibri" w:hAnsi="Calibri"/>
          <w:sz w:val="17"/>
          <w:szCs w:val="17"/>
          <w:color w:val="auto"/>
        </w:rPr>
        <w:t>We recorded a valuaton allowance against our net deferred tax asset as of December 31, 2021 and March 31,2022. We expect to contnue maintaining a full valuaton allowance on our net deferred tax asset untl there is sufcient positve evidence to support the reversal of all or some porton of this allowance. However, given our current earnings and antcipated future earnings, we believe that there is a reasonable possibility that within the next 12 months, sufcient positve evidence may become available to allow us to reach a conclusion that a signifcant porton or the entrety of the valuaton allowance will no longer be necessary to be recorded against our net deferred tax asset. Release of the valuaton allowance would result in the recogniton of previously unrecognized deferred tax assets and an income tax beneft in the period in which the release of the valuaton allowance is recorded. However, the exact tming and amount of the valuaton allowance release are subject to change on the basis of the level of positve evidence becoming available.</w:t>
      </w:r>
    </w:p>
    <w:p>
      <w:pPr>
        <w:spacing w:after="0" w:line="140"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For the three and six months ended June 30, 2022, we recorded zero and $0.1 million income tax expense in contnuing operatons, respectvely. The June 30, 2022 income tax provision was primarily a result of state taxes.</w:t>
      </w:r>
    </w:p>
    <w:p>
      <w:pPr>
        <w:spacing w:after="0" w:line="138"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Prior to the Merger Transacton in the fourth quarter of 2021, we were structured as a partnership for U.S. federal and most applicable state and local income tax purposes. As a partnership, the taxable income and losses were passed through to and included in the taxable income of its members. Accordingly, amounts related to income taxes were zero prior to the Merger Transacton, and we did not incur material amounts of income tax expense or have material income tax liability or deferred tax balances in 2021.</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15. Equity Based Compensation</w:t>
      </w:r>
    </w:p>
    <w:p>
      <w:pPr>
        <w:spacing w:after="0" w:line="13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2021 Incentve Award Plan ("2021 Plan") was approved and adopted in order to facilitate the grant of equity incentve awards to our employees and directors. The 2021 Plan became efectve on October 18, 2021 upon closing of the Merger Transacton.</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Restricted Stock Units ("RSUs")</w:t>
      </w:r>
    </w:p>
    <w:p>
      <w:pPr>
        <w:spacing w:after="0" w:line="1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March 11, 2022, we granted 1.4 million RSUs to certain employees at a weighted average grant date fair value of $10.26 per share. RSUs granted to employees vest over three years, with one-third vestng upon the one-year anniversary of the grant date and the remaining porton vestng on a quarterly basis thereafer, subject to the employee’s contnued employment through the applicable vestng date.</w:t>
      </w:r>
    </w:p>
    <w:p>
      <w:pPr>
        <w:spacing w:after="0" w:line="151"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On May 12, 2022, we granted 0.1 million RSUs to certain employees at a weighted average grant date fair value of $7.71 per share. RSUs granted to employees vest over three years, with one-third vestng upon the one-year anniversary of the grant date and the remaining porton vestng on a quarterly basis thereafer, subject to the employee’s contnued employment through the applicable vestng date.</w:t>
      </w:r>
    </w:p>
    <w:p>
      <w:pPr>
        <w:spacing w:after="0" w:line="151"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On June 7, 2022, we granted 0.1 million RSUs to directors at a weighted average grant date fair value of $8.85 per share. RSUs granted to directors fully vest on the earlier of (i) the day immediately preceding the date of the frst annual meetng of stockholders following the date of the grant and (ii) the one-year anniversary of the grant date, subject to the directors' contnued service on the Board.</w:t>
      </w:r>
    </w:p>
    <w:p>
      <w:pPr>
        <w:spacing w:after="0" w:line="151"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We account for forfeitures of outstanding, but unvested grants, in the period they occur. At June 30, 2022, there were approximately 2.8 million total RSUs outstanding, of which 1.4 million RSUs were outstanding at December 31, 2021.</w:t>
      </w:r>
    </w:p>
    <w:p>
      <w:pPr>
        <w:spacing w:after="0" w:line="10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3" w:name="page24"/>
    <w:bookmarkEnd w:id="23"/>
    <w:p>
      <w:pPr>
        <w:jc w:val="center"/>
        <w:ind w:right="40"/>
        <w:spacing w:after="0"/>
        <w:rPr>
          <w:sz w:val="20"/>
          <w:szCs w:val="20"/>
          <w:color w:val="auto"/>
        </w:rPr>
      </w:pPr>
      <w:r>
        <w:rPr>
          <w:rFonts w:ascii="Calibri" w:cs="Calibri" w:eastAsia="Calibri" w:hAnsi="Calibri"/>
          <w:sz w:val="18"/>
          <w:szCs w:val="18"/>
          <w:b w:val="1"/>
          <w:bCs w:val="1"/>
          <w:color w:val="auto"/>
        </w:rPr>
        <w:t>VIVID SEATS INC.</w:t>
      </w:r>
    </w:p>
    <w:p>
      <w:pPr>
        <w:jc w:val="center"/>
        <w:ind w:right="20"/>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Stock optons</w:t>
      </w:r>
    </w:p>
    <w:p>
      <w:pPr>
        <w:spacing w:after="0" w:line="150" w:lineRule="exact"/>
        <w:rPr>
          <w:sz w:val="20"/>
          <w:szCs w:val="20"/>
          <w:color w:val="auto"/>
        </w:rPr>
      </w:pPr>
    </w:p>
    <w:p>
      <w:pPr>
        <w:jc w:val="both"/>
        <w:ind w:right="40"/>
        <w:spacing w:after="0"/>
        <w:rPr>
          <w:sz w:val="20"/>
          <w:szCs w:val="20"/>
          <w:color w:val="auto"/>
        </w:rPr>
      </w:pPr>
      <w:r>
        <w:rPr>
          <w:rFonts w:ascii="Calibri" w:cs="Calibri" w:eastAsia="Calibri" w:hAnsi="Calibri"/>
          <w:sz w:val="18"/>
          <w:szCs w:val="18"/>
          <w:color w:val="auto"/>
        </w:rPr>
        <w:t>On March 11, 2022, we granted 2.6 million stock optons at an exercise price of $10.26 to certain employees. The grant date fair value is $3.99 per opton. Stock optons provide for the purchase of shares of our Class A Common Stock in the future at an exercise price set on the grant date. These stock optons vest over three years, with one-third vestng upon the one-year anniversary of the grant date and the remaining porton vestng on a quarterly basis thereafer. The stock optons have a contractual term of ten years from the date of the grant, subject to the employee’s contnued employment through the applicable vestng date. The fair value of stock optons granted is estmated on the grant date using the Black-Scholes model. The following assumptons were used to calculate the fair value of our stock awards on March 11, 2022: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0" w:type="dxa"/>
            <w:vAlign w:val="bottom"/>
          </w:tcPr>
          <w:p>
            <w:pPr>
              <w:ind w:left="20"/>
              <w:spacing w:after="0"/>
              <w:rPr>
                <w:sz w:val="20"/>
                <w:szCs w:val="20"/>
                <w:color w:val="auto"/>
              </w:rPr>
            </w:pPr>
            <w:r>
              <w:rPr>
                <w:rFonts w:ascii="Calibri" w:cs="Calibri" w:eastAsia="Calibri" w:hAnsi="Calibri"/>
                <w:sz w:val="18"/>
                <w:szCs w:val="18"/>
                <w:color w:val="auto"/>
              </w:rPr>
              <w:t>Volatlity</w:t>
            </w:r>
          </w:p>
        </w:tc>
        <w:tc>
          <w:tcPr>
            <w:tcW w:w="5080" w:type="dxa"/>
            <w:vAlign w:val="bottom"/>
            <w:gridSpan w:val="2"/>
          </w:tcPr>
          <w:p>
            <w:pPr>
              <w:jc w:val="right"/>
              <w:spacing w:after="0"/>
              <w:rPr>
                <w:sz w:val="20"/>
                <w:szCs w:val="20"/>
                <w:color w:val="auto"/>
              </w:rPr>
            </w:pPr>
            <w:r>
              <w:rPr>
                <w:rFonts w:ascii="Calibri" w:cs="Calibri" w:eastAsia="Calibri" w:hAnsi="Calibri"/>
                <w:sz w:val="18"/>
                <w:szCs w:val="18"/>
                <w:color w:val="auto"/>
              </w:rPr>
              <w:t>37.5 %</w:t>
            </w:r>
          </w:p>
        </w:tc>
      </w:tr>
      <w:tr>
        <w:trPr>
          <w:trHeight w:val="23"/>
        </w:trPr>
        <w:tc>
          <w:tcPr>
            <w:tcW w:w="62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2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Expected term (years)</w:t>
            </w:r>
          </w:p>
        </w:tc>
        <w:tc>
          <w:tcPr>
            <w:tcW w:w="504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5.9</w:t>
            </w:r>
          </w:p>
        </w:tc>
        <w:tc>
          <w:tcPr>
            <w:tcW w:w="40" w:type="dxa"/>
            <w:vAlign w:val="bottom"/>
          </w:tcPr>
          <w:p>
            <w:pPr>
              <w:spacing w:after="0"/>
              <w:rPr>
                <w:sz w:val="18"/>
                <w:szCs w:val="18"/>
                <w:color w:val="auto"/>
              </w:rPr>
            </w:pPr>
          </w:p>
        </w:tc>
      </w:tr>
      <w:tr>
        <w:trPr>
          <w:trHeight w:val="215"/>
        </w:trPr>
        <w:tc>
          <w:tcPr>
            <w:tcW w:w="6200" w:type="dxa"/>
            <w:vAlign w:val="bottom"/>
          </w:tcPr>
          <w:p>
            <w:pPr>
              <w:ind w:left="20"/>
              <w:spacing w:after="0" w:line="215" w:lineRule="exact"/>
              <w:rPr>
                <w:sz w:val="20"/>
                <w:szCs w:val="20"/>
                <w:color w:val="auto"/>
              </w:rPr>
            </w:pPr>
            <w:r>
              <w:rPr>
                <w:rFonts w:ascii="Calibri" w:cs="Calibri" w:eastAsia="Calibri" w:hAnsi="Calibri"/>
                <w:sz w:val="18"/>
                <w:szCs w:val="18"/>
                <w:color w:val="auto"/>
              </w:rPr>
              <w:t>Interest rate</w:t>
            </w:r>
          </w:p>
        </w:tc>
        <w:tc>
          <w:tcPr>
            <w:tcW w:w="50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2.0 %</w:t>
            </w:r>
          </w:p>
        </w:tc>
      </w:tr>
      <w:tr>
        <w:trPr>
          <w:trHeight w:val="215"/>
        </w:trPr>
        <w:tc>
          <w:tcPr>
            <w:tcW w:w="6200" w:type="dxa"/>
            <w:vAlign w:val="bottom"/>
          </w:tcPr>
          <w:p>
            <w:pPr>
              <w:ind w:left="20"/>
              <w:spacing w:after="0" w:line="215" w:lineRule="exact"/>
              <w:rPr>
                <w:sz w:val="20"/>
                <w:szCs w:val="20"/>
                <w:color w:val="auto"/>
              </w:rPr>
            </w:pPr>
            <w:r>
              <w:rPr>
                <w:rFonts w:ascii="Calibri" w:cs="Calibri" w:eastAsia="Calibri" w:hAnsi="Calibri"/>
                <w:sz w:val="18"/>
                <w:szCs w:val="18"/>
                <w:color w:val="auto"/>
              </w:rPr>
              <w:t>Dividend yield</w:t>
            </w:r>
          </w:p>
        </w:tc>
        <w:tc>
          <w:tcPr>
            <w:tcW w:w="50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2" w:lineRule="exact"/>
        <w:rPr>
          <w:sz w:val="20"/>
          <w:szCs w:val="20"/>
          <w:color w:val="auto"/>
        </w:rPr>
      </w:pPr>
    </w:p>
    <w:p>
      <w:pPr>
        <w:jc w:val="both"/>
        <w:ind w:right="40"/>
        <w:spacing w:after="0" w:line="230" w:lineRule="auto"/>
        <w:rPr>
          <w:sz w:val="20"/>
          <w:szCs w:val="20"/>
          <w:color w:val="auto"/>
        </w:rPr>
      </w:pPr>
      <w:r>
        <w:rPr>
          <w:rFonts w:ascii="Calibri" w:cs="Calibri" w:eastAsia="Calibri" w:hAnsi="Calibri"/>
          <w:sz w:val="18"/>
          <w:szCs w:val="18"/>
          <w:color w:val="auto"/>
        </w:rPr>
        <w:t>At June 30, 2022, there were approximately 6.7 million total stock optons outstanding, of which 4.1 million stock optons were granted as of December 31, 2021. No stock optons were exercised or forfeited during the three and six months ended June 30, 2022 or during the three months ended December 31, 2021.</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Compensaton expense</w:t>
      </w:r>
    </w:p>
    <w:p>
      <w:pPr>
        <w:spacing w:after="0" w:line="150" w:lineRule="exact"/>
        <w:rPr>
          <w:sz w:val="20"/>
          <w:szCs w:val="20"/>
          <w:color w:val="auto"/>
        </w:rPr>
      </w:pPr>
    </w:p>
    <w:p>
      <w:pPr>
        <w:jc w:val="both"/>
        <w:ind w:right="40"/>
        <w:spacing w:after="0"/>
        <w:rPr>
          <w:sz w:val="20"/>
          <w:szCs w:val="20"/>
          <w:color w:val="auto"/>
        </w:rPr>
      </w:pPr>
      <w:r>
        <w:rPr>
          <w:rFonts w:ascii="Calibri" w:cs="Calibri" w:eastAsia="Calibri" w:hAnsi="Calibri"/>
          <w:sz w:val="18"/>
          <w:szCs w:val="18"/>
          <w:color w:val="auto"/>
        </w:rPr>
        <w:t>For the three and six months ended June 30, 2022, equity-based compensaton expense related to RSUs was $2.4 million and $3.7 million, respectvely, compared to zero for the three and six months ended June 30, 2021. Unrecognized compensaton expense relatng to unvested RSUs as of June 30, 2022, was approximately $30 million.</w:t>
      </w:r>
    </w:p>
    <w:p>
      <w:pPr>
        <w:spacing w:after="0" w:line="15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For the three and six months ended June 30, 2022, equity-based compensaton expense related to stock optons was $1.8 million and $2.9 million, respectvely, compared to zero for the three and six months ended June 30, 2021. Unrecognized compensaton expense relatng to unvested stock optons as of June 30, 2022, was approximately $22 million.</w:t>
      </w:r>
    </w:p>
    <w:p>
      <w:pPr>
        <w:spacing w:after="0" w:line="151" w:lineRule="exact"/>
        <w:rPr>
          <w:sz w:val="20"/>
          <w:szCs w:val="20"/>
          <w:color w:val="auto"/>
        </w:rPr>
      </w:pPr>
    </w:p>
    <w:p>
      <w:pPr>
        <w:jc w:val="both"/>
        <w:ind w:right="40"/>
        <w:spacing w:after="0" w:line="245" w:lineRule="auto"/>
        <w:rPr>
          <w:sz w:val="20"/>
          <w:szCs w:val="20"/>
          <w:color w:val="auto"/>
        </w:rPr>
      </w:pPr>
      <w:r>
        <w:rPr>
          <w:rFonts w:ascii="Calibri" w:cs="Calibri" w:eastAsia="Calibri" w:hAnsi="Calibri"/>
          <w:sz w:val="18"/>
          <w:szCs w:val="18"/>
          <w:color w:val="auto"/>
        </w:rPr>
        <w:t>For the three and six months ended June 30, 2022, equity-based compensaton expense related to proft interests was $1.2 million and $2.3 million, respectvely, compared to $1.2 million and $2.3 million for the three and six months ended June 30, 2021.</w:t>
      </w:r>
    </w:p>
    <w:p>
      <w:pPr>
        <w:spacing w:after="0" w:line="100"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2" w:right="299" w:bottom="1440" w:gutter="0" w:footer="0" w:header="0"/>
        </w:sectPr>
      </w:pPr>
    </w:p>
    <w:bookmarkStart w:id="24" w:name="page25"/>
    <w:bookmarkEnd w:id="24"/>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ind w:right="-19"/>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16. Earnings Per Share</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Class B common stock does not have economic rights in the Company and as a result, is not considered a partcipatng security for basic and diluted income (loss) per share. As such, basic and diluted income (loss) per share of Class B common stock has not been presented. The following tables set forth the computaton of basic and diluted net income per share of Class A Common Stock for the periods where we had Class A and Class B common stock outstanding (in thousands, except share and per share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20" w:type="dxa"/>
            <w:vAlign w:val="bottom"/>
            <w:gridSpan w:val="2"/>
          </w:tcPr>
          <w:p>
            <w:pPr>
              <w:ind w:left="20"/>
              <w:spacing w:after="0"/>
              <w:rPr>
                <w:sz w:val="20"/>
                <w:szCs w:val="20"/>
                <w:color w:val="auto"/>
              </w:rPr>
            </w:pPr>
            <w:r>
              <w:rPr>
                <w:rFonts w:ascii="Calibri" w:cs="Calibri" w:eastAsia="Calibri" w:hAnsi="Calibri"/>
                <w:sz w:val="18"/>
                <w:szCs w:val="18"/>
                <w:b w:val="1"/>
                <w:bCs w:val="1"/>
                <w:color w:val="auto"/>
                <w:w w:val="98"/>
              </w:rPr>
              <w:t>Three Months Ended June 30,</w:t>
            </w:r>
          </w:p>
        </w:tc>
        <w:tc>
          <w:tcPr>
            <w:tcW w:w="240" w:type="dxa"/>
            <w:vAlign w:val="bottom"/>
          </w:tcPr>
          <w:p>
            <w:pPr>
              <w:spacing w:after="0"/>
              <w:rPr>
                <w:sz w:val="19"/>
                <w:szCs w:val="19"/>
                <w:color w:val="auto"/>
              </w:rPr>
            </w:pPr>
          </w:p>
        </w:tc>
        <w:tc>
          <w:tcPr>
            <w:tcW w:w="2200" w:type="dxa"/>
            <w:vAlign w:val="bottom"/>
            <w:gridSpan w:val="2"/>
          </w:tcPr>
          <w:p>
            <w:pPr>
              <w:jc w:val="right"/>
              <w:ind w:right="50"/>
              <w:spacing w:after="0"/>
              <w:rPr>
                <w:sz w:val="20"/>
                <w:szCs w:val="20"/>
                <w:color w:val="auto"/>
              </w:rPr>
            </w:pPr>
            <w:r>
              <w:rPr>
                <w:rFonts w:ascii="Calibri" w:cs="Calibri" w:eastAsia="Calibri" w:hAnsi="Calibri"/>
                <w:sz w:val="18"/>
                <w:szCs w:val="18"/>
                <w:b w:val="1"/>
                <w:bCs w:val="1"/>
                <w:color w:val="auto"/>
              </w:rPr>
              <w:t>Six Months Ended June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jc w:val="right"/>
              <w:ind w:right="830"/>
              <w:spacing w:after="0" w:line="215"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jc w:val="right"/>
              <w:ind w:right="830"/>
              <w:spacing w:after="0" w:line="215"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Calibri" w:cs="Calibri" w:eastAsia="Calibri" w:hAnsi="Calibri"/>
                <w:sz w:val="18"/>
                <w:szCs w:val="18"/>
                <w:b w:val="1"/>
                <w:bCs w:val="1"/>
                <w:color w:val="auto"/>
              </w:rPr>
              <w:t>Numerator—basic:</w:t>
            </w:r>
          </w:p>
        </w:tc>
        <w:tc>
          <w:tcPr>
            <w:tcW w:w="1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14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7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Net income</w:t>
            </w:r>
          </w:p>
        </w:tc>
        <w:tc>
          <w:tcPr>
            <w:tcW w:w="1860" w:type="dxa"/>
            <w:vAlign w:val="bottom"/>
            <w:gridSpan w:val="2"/>
            <w:shd w:val="clear" w:color="auto" w:fill="CFF0FC"/>
          </w:tcPr>
          <w:p>
            <w:pPr>
              <w:ind w:left="1360"/>
              <w:spacing w:after="0" w:line="215" w:lineRule="exact"/>
              <w:rPr>
                <w:sz w:val="20"/>
                <w:szCs w:val="20"/>
                <w:color w:val="auto"/>
              </w:rPr>
            </w:pPr>
            <w:r>
              <w:rPr>
                <w:rFonts w:ascii="Calibri" w:cs="Calibri" w:eastAsia="Calibri" w:hAnsi="Calibri"/>
                <w:sz w:val="18"/>
                <w:szCs w:val="18"/>
                <w:color w:val="auto"/>
              </w:rPr>
              <w:t>$</w:t>
            </w:r>
          </w:p>
        </w:tc>
        <w:tc>
          <w:tcPr>
            <w:tcW w:w="17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24,060</w:t>
            </w:r>
          </w:p>
        </w:tc>
        <w:tc>
          <w:tcPr>
            <w:tcW w:w="760" w:type="dxa"/>
            <w:vAlign w:val="bottom"/>
            <w:gridSpan w:val="2"/>
            <w:shd w:val="clear" w:color="auto" w:fill="CFF0FC"/>
          </w:tcPr>
          <w:p>
            <w:pPr>
              <w:jc w:val="right"/>
              <w:ind w:right="330"/>
              <w:spacing w:after="0" w:line="215" w:lineRule="exact"/>
              <w:rPr>
                <w:sz w:val="20"/>
                <w:szCs w:val="20"/>
                <w:color w:val="auto"/>
              </w:rPr>
            </w:pPr>
            <w:r>
              <w:rPr>
                <w:rFonts w:ascii="Calibri" w:cs="Calibri" w:eastAsia="Calibri" w:hAnsi="Calibri"/>
                <w:sz w:val="18"/>
                <w:szCs w:val="18"/>
                <w:color w:val="auto"/>
              </w:rPr>
              <w:t>$</w:t>
            </w:r>
          </w:p>
        </w:tc>
        <w:tc>
          <w:tcPr>
            <w:tcW w:w="16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27,198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120"/>
              <w:spacing w:after="0" w:line="215" w:lineRule="exact"/>
              <w:rPr>
                <w:sz w:val="20"/>
                <w:szCs w:val="20"/>
                <w:color w:val="auto"/>
              </w:rPr>
            </w:pPr>
            <w:r>
              <w:rPr>
                <w:rFonts w:ascii="Calibri" w:cs="Calibri" w:eastAsia="Calibri" w:hAnsi="Calibri"/>
                <w:sz w:val="18"/>
                <w:szCs w:val="18"/>
                <w:color w:val="auto"/>
              </w:rPr>
              <w:t>Less: Income atributable to redeemable noncontrolling interests</w:t>
            </w:r>
          </w:p>
        </w:tc>
        <w:tc>
          <w:tcPr>
            <w:tcW w:w="13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14,405</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16,284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FF0FC"/>
            </w:tcBorders>
            <w:shd w:val="clear" w:color="auto" w:fill="CFF0FC"/>
          </w:tcPr>
          <w:p>
            <w:pPr>
              <w:ind w:left="120"/>
              <w:spacing w:after="0" w:line="210" w:lineRule="exact"/>
              <w:rPr>
                <w:sz w:val="20"/>
                <w:szCs w:val="20"/>
                <w:color w:val="auto"/>
              </w:rPr>
            </w:pPr>
            <w:r>
              <w:rPr>
                <w:rFonts w:ascii="Calibri" w:cs="Calibri" w:eastAsia="Calibri" w:hAnsi="Calibri"/>
                <w:sz w:val="18"/>
                <w:szCs w:val="18"/>
                <w:color w:val="auto"/>
              </w:rPr>
              <w:t>Net income atributable to Class A Common Stockholders—basic</w:t>
            </w:r>
          </w:p>
        </w:tc>
        <w:tc>
          <w:tcPr>
            <w:tcW w:w="13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9,655</w:t>
            </w:r>
          </w:p>
        </w:tc>
        <w:tc>
          <w:tcPr>
            <w:tcW w:w="2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10,914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Denominator—basic:</w:t>
            </w: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FF0FC"/>
            </w:tcBorders>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Weighted average Class A common stock outstanding—basic</w:t>
            </w:r>
          </w:p>
        </w:tc>
        <w:tc>
          <w:tcPr>
            <w:tcW w:w="13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79,256,354</w:t>
            </w:r>
          </w:p>
        </w:tc>
        <w:tc>
          <w:tcPr>
            <w:tcW w:w="2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79,204,430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Net income per Class A common stock—basic</w:t>
            </w:r>
          </w:p>
        </w:tc>
        <w:tc>
          <w:tcPr>
            <w:tcW w:w="1860" w:type="dxa"/>
            <w:vAlign w:val="bottom"/>
            <w:gridSpan w:val="2"/>
          </w:tcPr>
          <w:p>
            <w:pPr>
              <w:ind w:left="1360"/>
              <w:spacing w:after="0" w:line="209" w:lineRule="exact"/>
              <w:rPr>
                <w:sz w:val="20"/>
                <w:szCs w:val="20"/>
                <w:color w:val="auto"/>
              </w:rPr>
            </w:pPr>
            <w:r>
              <w:rPr>
                <w:rFonts w:ascii="Calibri" w:cs="Calibri" w:eastAsia="Calibri" w:hAnsi="Calibri"/>
                <w:sz w:val="18"/>
                <w:szCs w:val="18"/>
                <w:b w:val="1"/>
                <w:bCs w:val="1"/>
                <w:color w:val="auto"/>
              </w:rPr>
              <w:t>$</w:t>
            </w:r>
          </w:p>
        </w:tc>
        <w:tc>
          <w:tcPr>
            <w:tcW w:w="170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0.12</w:t>
            </w:r>
          </w:p>
        </w:tc>
        <w:tc>
          <w:tcPr>
            <w:tcW w:w="760" w:type="dxa"/>
            <w:vAlign w:val="bottom"/>
            <w:gridSpan w:val="2"/>
          </w:tcPr>
          <w:p>
            <w:pPr>
              <w:jc w:val="right"/>
              <w:ind w:right="330"/>
              <w:spacing w:after="0" w:line="209" w:lineRule="exact"/>
              <w:rPr>
                <w:sz w:val="20"/>
                <w:szCs w:val="20"/>
                <w:color w:val="auto"/>
              </w:rPr>
            </w:pPr>
            <w:r>
              <w:rPr>
                <w:rFonts w:ascii="Calibri" w:cs="Calibri" w:eastAsia="Calibri" w:hAnsi="Calibri"/>
                <w:sz w:val="18"/>
                <w:szCs w:val="18"/>
                <w:b w:val="1"/>
                <w:bCs w:val="1"/>
                <w:color w:val="auto"/>
              </w:rPr>
              <w:t>$</w:t>
            </w:r>
          </w:p>
        </w:tc>
        <w:tc>
          <w:tcPr>
            <w:tcW w:w="168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Numerator—diluted:</w:t>
            </w: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Net income atributable to Class A Common Stockholders—basic</w:t>
            </w:r>
          </w:p>
        </w:tc>
        <w:tc>
          <w:tcPr>
            <w:tcW w:w="1860" w:type="dxa"/>
            <w:vAlign w:val="bottom"/>
            <w:gridSpan w:val="2"/>
            <w:shd w:val="clear" w:color="auto" w:fill="CFF0FC"/>
          </w:tcPr>
          <w:p>
            <w:pPr>
              <w:ind w:left="1360"/>
              <w:spacing w:after="0" w:line="216" w:lineRule="exact"/>
              <w:rPr>
                <w:sz w:val="20"/>
                <w:szCs w:val="20"/>
                <w:color w:val="auto"/>
              </w:rPr>
            </w:pPr>
            <w:r>
              <w:rPr>
                <w:rFonts w:ascii="Calibri" w:cs="Calibri" w:eastAsia="Calibri" w:hAnsi="Calibri"/>
                <w:sz w:val="18"/>
                <w:szCs w:val="18"/>
                <w:color w:val="auto"/>
              </w:rPr>
              <w:t>$</w:t>
            </w:r>
          </w:p>
        </w:tc>
        <w:tc>
          <w:tcPr>
            <w:tcW w:w="17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9,655</w:t>
            </w:r>
          </w:p>
        </w:tc>
        <w:tc>
          <w:tcPr>
            <w:tcW w:w="760" w:type="dxa"/>
            <w:vAlign w:val="bottom"/>
            <w:gridSpan w:val="2"/>
            <w:shd w:val="clear" w:color="auto" w:fill="CFF0FC"/>
          </w:tcPr>
          <w:p>
            <w:pPr>
              <w:jc w:val="right"/>
              <w:ind w:right="330"/>
              <w:spacing w:after="0" w:line="216" w:lineRule="exact"/>
              <w:rPr>
                <w:sz w:val="20"/>
                <w:szCs w:val="20"/>
                <w:color w:val="auto"/>
              </w:rPr>
            </w:pPr>
            <w:r>
              <w:rPr>
                <w:rFonts w:ascii="Calibri" w:cs="Calibri" w:eastAsia="Calibri" w:hAnsi="Calibri"/>
                <w:sz w:val="18"/>
                <w:szCs w:val="18"/>
                <w:color w:val="auto"/>
              </w:rPr>
              <w:t>$</w:t>
            </w:r>
          </w:p>
        </w:tc>
        <w:tc>
          <w:tcPr>
            <w:tcW w:w="16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10,914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120"/>
              <w:spacing w:after="0" w:line="215" w:lineRule="exact"/>
              <w:rPr>
                <w:sz w:val="20"/>
                <w:szCs w:val="20"/>
                <w:color w:val="auto"/>
              </w:rPr>
            </w:pPr>
            <w:r>
              <w:rPr>
                <w:rFonts w:ascii="Calibri" w:cs="Calibri" w:eastAsia="Calibri" w:hAnsi="Calibri"/>
                <w:sz w:val="18"/>
                <w:szCs w:val="18"/>
                <w:color w:val="auto"/>
              </w:rPr>
              <w:t>Net income efect of dilutve securites:</w:t>
            </w: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Efect of Exercise Warrants</w:t>
            </w:r>
          </w:p>
        </w:tc>
        <w:tc>
          <w:tcPr>
            <w:tcW w:w="13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120"/>
              <w:spacing w:after="0" w:line="215" w:lineRule="exact"/>
              <w:rPr>
                <w:sz w:val="20"/>
                <w:szCs w:val="20"/>
                <w:color w:val="auto"/>
              </w:rPr>
            </w:pPr>
            <w:r>
              <w:rPr>
                <w:rFonts w:ascii="Calibri" w:cs="Calibri" w:eastAsia="Calibri" w:hAnsi="Calibri"/>
                <w:sz w:val="18"/>
                <w:szCs w:val="18"/>
                <w:color w:val="auto"/>
              </w:rPr>
              <w:t>Efect of RSUs</w:t>
            </w:r>
          </w:p>
        </w:tc>
        <w:tc>
          <w:tcPr>
            <w:tcW w:w="13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140" w:type="dxa"/>
            <w:vAlign w:val="bottom"/>
            <w:shd w:val="clear" w:color="auto" w:fill="CFF0FC"/>
          </w:tcPr>
          <w:p>
            <w:pPr>
              <w:ind w:left="120"/>
              <w:spacing w:after="0" w:line="161" w:lineRule="exact"/>
              <w:rPr>
                <w:sz w:val="20"/>
                <w:szCs w:val="20"/>
                <w:color w:val="auto"/>
              </w:rPr>
            </w:pPr>
            <w:r>
              <w:rPr>
                <w:rFonts w:ascii="Calibri" w:cs="Calibri" w:eastAsia="Calibri" w:hAnsi="Calibri"/>
                <w:sz w:val="17"/>
                <w:szCs w:val="17"/>
                <w:color w:val="auto"/>
              </w:rPr>
              <w:t>Net income atributable to Class A Common Stockholders—</w:t>
            </w:r>
          </w:p>
        </w:tc>
        <w:tc>
          <w:tcPr>
            <w:tcW w:w="13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70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9,655</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680" w:type="dxa"/>
            <w:vAlign w:val="bottom"/>
            <w:vMerge w:val="restart"/>
            <w:shd w:val="clear" w:color="auto" w:fill="CFF0FC"/>
          </w:tcPr>
          <w:p>
            <w:pPr>
              <w:jc w:val="right"/>
              <w:spacing w:after="0"/>
              <w:rPr>
                <w:sz w:val="20"/>
                <w:szCs w:val="20"/>
                <w:color w:val="auto"/>
              </w:rPr>
            </w:pPr>
            <w:r>
              <w:rPr>
                <w:rFonts w:ascii="Calibri" w:cs="Calibri" w:eastAsia="Calibri" w:hAnsi="Calibri"/>
                <w:sz w:val="18"/>
                <w:szCs w:val="18"/>
                <w:color w:val="auto"/>
              </w:rPr>
              <w:t>10,958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140" w:type="dxa"/>
            <w:vAlign w:val="bottom"/>
            <w:tcBorders>
              <w:bottom w:val="single" w:sz="8" w:color="CFF0FC"/>
            </w:tcBorders>
            <w:shd w:val="clear" w:color="auto" w:fill="CFF0FC"/>
          </w:tcPr>
          <w:p>
            <w:pPr>
              <w:ind w:left="120"/>
              <w:spacing w:after="0" w:line="215" w:lineRule="exact"/>
              <w:rPr>
                <w:sz w:val="20"/>
                <w:szCs w:val="20"/>
                <w:color w:val="auto"/>
              </w:rPr>
            </w:pPr>
            <w:r>
              <w:rPr>
                <w:rFonts w:ascii="Calibri" w:cs="Calibri" w:eastAsia="Calibri" w:hAnsi="Calibri"/>
                <w:sz w:val="18"/>
                <w:szCs w:val="18"/>
                <w:color w:val="auto"/>
              </w:rPr>
              <w:t>diluted</w:t>
            </w:r>
          </w:p>
        </w:tc>
        <w:tc>
          <w:tcPr>
            <w:tcW w:w="13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40" w:type="dxa"/>
            <w:vAlign w:val="bottom"/>
          </w:tcPr>
          <w:p>
            <w:pPr>
              <w:ind w:left="20"/>
              <w:spacing w:after="0" w:line="214" w:lineRule="exact"/>
              <w:rPr>
                <w:sz w:val="20"/>
                <w:szCs w:val="20"/>
                <w:color w:val="auto"/>
              </w:rPr>
            </w:pPr>
            <w:r>
              <w:rPr>
                <w:rFonts w:ascii="Calibri" w:cs="Calibri" w:eastAsia="Calibri" w:hAnsi="Calibri"/>
                <w:sz w:val="18"/>
                <w:szCs w:val="18"/>
                <w:b w:val="1"/>
                <w:bCs w:val="1"/>
                <w:color w:val="auto"/>
              </w:rPr>
              <w:t>Denominator—diluted:</w:t>
            </w: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Weighted average Class A common stock outstanding—basic</w:t>
            </w:r>
          </w:p>
        </w:tc>
        <w:tc>
          <w:tcPr>
            <w:tcW w:w="13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79,256,354</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79,204,430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120"/>
              <w:spacing w:after="0" w:line="215" w:lineRule="exact"/>
              <w:rPr>
                <w:sz w:val="20"/>
                <w:szCs w:val="20"/>
                <w:color w:val="auto"/>
              </w:rPr>
            </w:pPr>
            <w:r>
              <w:rPr>
                <w:rFonts w:ascii="Calibri" w:cs="Calibri" w:eastAsia="Calibri" w:hAnsi="Calibri"/>
                <w:sz w:val="18"/>
                <w:szCs w:val="18"/>
                <w:color w:val="auto"/>
              </w:rPr>
              <w:t>Weighted average efect of dilutve securites:</w:t>
            </w: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Efect of Exercise Warrants</w:t>
            </w:r>
          </w:p>
        </w:tc>
        <w:tc>
          <w:tcPr>
            <w:tcW w:w="13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517,812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40" w:type="dxa"/>
            <w:vAlign w:val="bottom"/>
          </w:tcPr>
          <w:p>
            <w:pPr>
              <w:ind w:left="120"/>
              <w:spacing w:after="0" w:line="215" w:lineRule="exact"/>
              <w:rPr>
                <w:sz w:val="20"/>
                <w:szCs w:val="20"/>
                <w:color w:val="auto"/>
              </w:rPr>
            </w:pPr>
            <w:r>
              <w:rPr>
                <w:rFonts w:ascii="Calibri" w:cs="Calibri" w:eastAsia="Calibri" w:hAnsi="Calibri"/>
                <w:sz w:val="18"/>
                <w:szCs w:val="18"/>
                <w:color w:val="auto"/>
              </w:rPr>
              <w:t>Efect of RSUs</w:t>
            </w:r>
          </w:p>
        </w:tc>
        <w:tc>
          <w:tcPr>
            <w:tcW w:w="13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2,663</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Borders>
              <w:bottom w:val="single" w:sz="8" w:color="CFF0FC"/>
            </w:tcBorders>
            <w:shd w:val="clear" w:color="auto" w:fill="CFF0FC"/>
          </w:tcPr>
          <w:p>
            <w:pPr>
              <w:ind w:left="120"/>
              <w:spacing w:after="0" w:line="209" w:lineRule="exact"/>
              <w:rPr>
                <w:sz w:val="20"/>
                <w:szCs w:val="20"/>
                <w:color w:val="auto"/>
              </w:rPr>
            </w:pPr>
            <w:r>
              <w:rPr>
                <w:rFonts w:ascii="Calibri" w:cs="Calibri" w:eastAsia="Calibri" w:hAnsi="Calibri"/>
                <w:sz w:val="18"/>
                <w:szCs w:val="18"/>
                <w:color w:val="auto"/>
              </w:rPr>
              <w:t>Weighted average Class A common stock outstanding—diluted</w:t>
            </w:r>
          </w:p>
        </w:tc>
        <w:tc>
          <w:tcPr>
            <w:tcW w:w="13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79,259,017</w:t>
            </w:r>
          </w:p>
        </w:tc>
        <w:tc>
          <w:tcPr>
            <w:tcW w:w="2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79,737,582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ind w:left="120"/>
              <w:spacing w:after="0" w:line="210" w:lineRule="exact"/>
              <w:rPr>
                <w:sz w:val="20"/>
                <w:szCs w:val="20"/>
                <w:color w:val="auto"/>
              </w:rPr>
            </w:pPr>
            <w:r>
              <w:rPr>
                <w:rFonts w:ascii="Calibri" w:cs="Calibri" w:eastAsia="Calibri" w:hAnsi="Calibri"/>
                <w:sz w:val="18"/>
                <w:szCs w:val="18"/>
                <w:b w:val="1"/>
                <w:bCs w:val="1"/>
                <w:color w:val="auto"/>
              </w:rPr>
              <w:t>Net income per Class A common stock—diluted</w:t>
            </w:r>
          </w:p>
        </w:tc>
        <w:tc>
          <w:tcPr>
            <w:tcW w:w="1860" w:type="dxa"/>
            <w:vAlign w:val="bottom"/>
            <w:gridSpan w:val="2"/>
          </w:tcPr>
          <w:p>
            <w:pPr>
              <w:ind w:left="1360"/>
              <w:spacing w:after="0" w:line="210" w:lineRule="exact"/>
              <w:rPr>
                <w:sz w:val="20"/>
                <w:szCs w:val="20"/>
                <w:color w:val="auto"/>
              </w:rPr>
            </w:pPr>
            <w:r>
              <w:rPr>
                <w:rFonts w:ascii="Calibri" w:cs="Calibri" w:eastAsia="Calibri" w:hAnsi="Calibri"/>
                <w:sz w:val="18"/>
                <w:szCs w:val="18"/>
                <w:b w:val="1"/>
                <w:bCs w:val="1"/>
                <w:color w:val="auto"/>
              </w:rPr>
              <w:t>$</w:t>
            </w:r>
          </w:p>
        </w:tc>
        <w:tc>
          <w:tcPr>
            <w:tcW w:w="170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0.12</w:t>
            </w:r>
          </w:p>
        </w:tc>
        <w:tc>
          <w:tcPr>
            <w:tcW w:w="760" w:type="dxa"/>
            <w:vAlign w:val="bottom"/>
            <w:gridSpan w:val="2"/>
          </w:tcPr>
          <w:p>
            <w:pPr>
              <w:jc w:val="right"/>
              <w:ind w:right="330"/>
              <w:spacing w:after="0" w:line="210" w:lineRule="exact"/>
              <w:rPr>
                <w:sz w:val="20"/>
                <w:szCs w:val="20"/>
                <w:color w:val="auto"/>
              </w:rPr>
            </w:pPr>
            <w:r>
              <w:rPr>
                <w:rFonts w:ascii="Calibri" w:cs="Calibri" w:eastAsia="Calibri" w:hAnsi="Calibri"/>
                <w:sz w:val="18"/>
                <w:szCs w:val="18"/>
                <w:b w:val="1"/>
                <w:bCs w:val="1"/>
                <w:color w:val="auto"/>
              </w:rPr>
              <w:t>$</w:t>
            </w:r>
          </w:p>
        </w:tc>
        <w:tc>
          <w:tcPr>
            <w:tcW w:w="1680" w:type="dxa"/>
            <w:vAlign w:val="bottom"/>
          </w:tcPr>
          <w:p>
            <w:pPr>
              <w:jc w:val="right"/>
              <w:spacing w:after="0" w:line="210" w:lineRule="exact"/>
              <w:rPr>
                <w:sz w:val="20"/>
                <w:szCs w:val="20"/>
                <w:color w:val="auto"/>
              </w:rPr>
            </w:pPr>
            <w:r>
              <w:rPr>
                <w:rFonts w:ascii="Calibri" w:cs="Calibri" w:eastAsia="Calibri" w:hAnsi="Calibri"/>
                <w:sz w:val="18"/>
                <w:szCs w:val="18"/>
                <w:b w:val="1"/>
                <w:bCs w:val="1"/>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340" w:type="dxa"/>
            <w:vAlign w:val="bottom"/>
            <w:vMerge w:val="restart"/>
          </w:tcPr>
          <w:p>
            <w:pPr>
              <w:jc w:val="right"/>
              <w:ind w:right="670"/>
              <w:spacing w:after="0"/>
              <w:rPr>
                <w:sz w:val="20"/>
                <w:szCs w:val="20"/>
                <w:color w:val="auto"/>
              </w:rPr>
            </w:pPr>
            <w:r>
              <w:rPr>
                <w:rFonts w:ascii="Calibri" w:cs="Calibri" w:eastAsia="Calibri" w:hAnsi="Calibri"/>
                <w:sz w:val="18"/>
                <w:szCs w:val="18"/>
                <w:color w:val="auto"/>
              </w:rPr>
              <w:t>23</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514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-2887980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-2605405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-1353820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-513715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5" w:name="page26"/>
    <w:bookmarkEnd w:id="25"/>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NOTES TO THE CONDENSED CONSOLIDATED FINANCIAL STATEMENTS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Potental shares of common stock are excluded from the computaton of diluted net income per share if their efect would have been ant-dilutve for the period presented or if the issuance of shares is contngent upon events that did not occur by the end of the period.</w:t>
      </w:r>
    </w:p>
    <w:p>
      <w:pPr>
        <w:spacing w:after="0" w:line="137"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The following tables present potentally dilutve securites excluded from the computaton of diluted net income per share for the periods presented that could potentally dilute earnings per share in the future: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Calibri" w:cs="Calibri" w:eastAsia="Calibri" w:hAnsi="Calibri"/>
                <w:sz w:val="18"/>
                <w:szCs w:val="18"/>
                <w:b w:val="1"/>
                <w:bCs w:val="1"/>
                <w:color w:val="auto"/>
                <w:w w:val="97"/>
              </w:rPr>
              <w:t>Three Months Ended June 30,</w:t>
            </w:r>
          </w:p>
        </w:tc>
        <w:tc>
          <w:tcPr>
            <w:tcW w:w="240" w:type="dxa"/>
            <w:vAlign w:val="bottom"/>
          </w:tcPr>
          <w:p>
            <w:pPr>
              <w:spacing w:after="0"/>
              <w:rPr>
                <w:sz w:val="19"/>
                <w:szCs w:val="19"/>
                <w:color w:val="auto"/>
              </w:rPr>
            </w:pPr>
          </w:p>
        </w:tc>
        <w:tc>
          <w:tcPr>
            <w:tcW w:w="2240" w:type="dxa"/>
            <w:vAlign w:val="bottom"/>
          </w:tcPr>
          <w:p>
            <w:pPr>
              <w:jc w:val="right"/>
              <w:ind w:right="70"/>
              <w:spacing w:after="0"/>
              <w:rPr>
                <w:sz w:val="20"/>
                <w:szCs w:val="20"/>
                <w:color w:val="auto"/>
              </w:rPr>
            </w:pPr>
            <w:r>
              <w:rPr>
                <w:rFonts w:ascii="Calibri" w:cs="Calibri" w:eastAsia="Calibri" w:hAnsi="Calibri"/>
                <w:sz w:val="18"/>
                <w:szCs w:val="18"/>
                <w:b w:val="1"/>
                <w:bCs w:val="1"/>
                <w:color w:val="auto"/>
              </w:rPr>
              <w:t>Six Months Ended June 30,</w:t>
            </w:r>
          </w:p>
        </w:tc>
        <w:tc>
          <w:tcPr>
            <w:tcW w:w="100" w:type="dxa"/>
            <w:vAlign w:val="bottom"/>
          </w:tcPr>
          <w:p>
            <w:pPr>
              <w:spacing w:after="0"/>
              <w:rPr>
                <w:sz w:val="19"/>
                <w:szCs w:val="19"/>
                <w:color w:val="auto"/>
              </w:rPr>
            </w:pPr>
          </w:p>
        </w:tc>
      </w:tr>
      <w:tr>
        <w:trPr>
          <w:trHeight w:val="215"/>
        </w:trPr>
        <w:tc>
          <w:tcPr>
            <w:tcW w:w="6420" w:type="dxa"/>
            <w:vAlign w:val="bottom"/>
          </w:tcPr>
          <w:p>
            <w:pPr>
              <w:spacing w:after="0"/>
              <w:rPr>
                <w:sz w:val="18"/>
                <w:szCs w:val="18"/>
                <w:color w:val="auto"/>
              </w:rPr>
            </w:pPr>
          </w:p>
        </w:tc>
        <w:tc>
          <w:tcPr>
            <w:tcW w:w="2240" w:type="dxa"/>
            <w:vAlign w:val="bottom"/>
          </w:tcPr>
          <w:p>
            <w:pPr>
              <w:jc w:val="right"/>
              <w:ind w:right="850"/>
              <w:spacing w:after="0" w:line="215" w:lineRule="exact"/>
              <w:rPr>
                <w:sz w:val="20"/>
                <w:szCs w:val="20"/>
                <w:color w:val="auto"/>
              </w:rPr>
            </w:pPr>
            <w:r>
              <w:rPr>
                <w:rFonts w:ascii="Calibri" w:cs="Calibri" w:eastAsia="Calibri" w:hAnsi="Calibri"/>
                <w:sz w:val="18"/>
                <w:szCs w:val="18"/>
                <w:b w:val="1"/>
                <w:bCs w:val="1"/>
                <w:color w:val="auto"/>
              </w:rPr>
              <w:t>2022</w:t>
            </w:r>
          </w:p>
        </w:tc>
        <w:tc>
          <w:tcPr>
            <w:tcW w:w="2480" w:type="dxa"/>
            <w:vAlign w:val="bottom"/>
            <w:gridSpan w:val="2"/>
          </w:tcPr>
          <w:p>
            <w:pPr>
              <w:jc w:val="right"/>
              <w:ind w:right="850"/>
              <w:spacing w:after="0" w:line="215"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r>
      <w:tr>
        <w:trPr>
          <w:trHeight w:val="23"/>
        </w:trPr>
        <w:tc>
          <w:tcPr>
            <w:tcW w:w="64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42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RSUs</w:t>
            </w:r>
          </w:p>
        </w:tc>
        <w:tc>
          <w:tcPr>
            <w:tcW w:w="22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2,838,717</w:t>
            </w:r>
          </w:p>
        </w:tc>
        <w:tc>
          <w:tcPr>
            <w:tcW w:w="24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1,418,091</w:t>
            </w:r>
          </w:p>
        </w:tc>
        <w:tc>
          <w:tcPr>
            <w:tcW w:w="100" w:type="dxa"/>
            <w:vAlign w:val="bottom"/>
            <w:shd w:val="clear" w:color="auto" w:fill="CFF0FC"/>
          </w:tcPr>
          <w:p>
            <w:pPr>
              <w:spacing w:after="0"/>
              <w:rPr>
                <w:sz w:val="18"/>
                <w:szCs w:val="18"/>
                <w:color w:val="auto"/>
              </w:rPr>
            </w:pPr>
          </w:p>
        </w:tc>
      </w:tr>
      <w:tr>
        <w:trPr>
          <w:trHeight w:val="215"/>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Stock optons</w:t>
            </w: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color w:val="auto"/>
              </w:rPr>
              <w:t>6,660,995</w:t>
            </w:r>
          </w:p>
        </w:tc>
        <w:tc>
          <w:tcPr>
            <w:tcW w:w="24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6,660,995</w:t>
            </w:r>
          </w:p>
        </w:tc>
        <w:tc>
          <w:tcPr>
            <w:tcW w:w="100" w:type="dxa"/>
            <w:vAlign w:val="bottom"/>
          </w:tcPr>
          <w:p>
            <w:pPr>
              <w:spacing w:after="0"/>
              <w:rPr>
                <w:sz w:val="18"/>
                <w:szCs w:val="18"/>
                <w:color w:val="auto"/>
              </w:rPr>
            </w:pPr>
          </w:p>
        </w:tc>
      </w:tr>
      <w:tr>
        <w:trPr>
          <w:trHeight w:val="217"/>
        </w:trPr>
        <w:tc>
          <w:tcPr>
            <w:tcW w:w="6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Class A Warrants</w:t>
            </w:r>
          </w:p>
        </w:tc>
        <w:tc>
          <w:tcPr>
            <w:tcW w:w="22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13,286,644</w:t>
            </w:r>
          </w:p>
        </w:tc>
        <w:tc>
          <w:tcPr>
            <w:tcW w:w="248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13,286,644</w:t>
            </w:r>
          </w:p>
        </w:tc>
        <w:tc>
          <w:tcPr>
            <w:tcW w:w="100" w:type="dxa"/>
            <w:vAlign w:val="bottom"/>
            <w:shd w:val="clear" w:color="auto" w:fill="CFF0FC"/>
          </w:tcPr>
          <w:p>
            <w:pPr>
              <w:spacing w:after="0"/>
              <w:rPr>
                <w:sz w:val="18"/>
                <w:szCs w:val="18"/>
                <w:color w:val="auto"/>
              </w:rPr>
            </w:pPr>
          </w:p>
        </w:tc>
      </w:tr>
      <w:tr>
        <w:trPr>
          <w:trHeight w:val="215"/>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Exercise Warrants</w:t>
            </w: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color w:val="auto"/>
              </w:rPr>
              <w:t>34,000,000</w:t>
            </w:r>
          </w:p>
        </w:tc>
        <w:tc>
          <w:tcPr>
            <w:tcW w:w="24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17,000,000</w:t>
            </w:r>
          </w:p>
        </w:tc>
        <w:tc>
          <w:tcPr>
            <w:tcW w:w="100" w:type="dxa"/>
            <w:vAlign w:val="bottom"/>
          </w:tcPr>
          <w:p>
            <w:pPr>
              <w:spacing w:after="0"/>
              <w:rPr>
                <w:sz w:val="18"/>
                <w:szCs w:val="18"/>
                <w:color w:val="auto"/>
              </w:rPr>
            </w:pPr>
          </w:p>
        </w:tc>
      </w:tr>
      <w:tr>
        <w:trPr>
          <w:trHeight w:val="217"/>
        </w:trPr>
        <w:tc>
          <w:tcPr>
            <w:tcW w:w="64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Hoya Intermediate Warrants</w:t>
            </w:r>
          </w:p>
        </w:tc>
        <w:tc>
          <w:tcPr>
            <w:tcW w:w="22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6,000,000</w:t>
            </w:r>
          </w:p>
        </w:tc>
        <w:tc>
          <w:tcPr>
            <w:tcW w:w="248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6,000,000</w:t>
            </w:r>
          </w:p>
        </w:tc>
        <w:tc>
          <w:tcPr>
            <w:tcW w:w="100" w:type="dxa"/>
            <w:vAlign w:val="bottom"/>
            <w:shd w:val="clear" w:color="auto" w:fill="CFF0FC"/>
          </w:tcPr>
          <w:p>
            <w:pPr>
              <w:spacing w:after="0"/>
              <w:rPr>
                <w:sz w:val="18"/>
                <w:szCs w:val="18"/>
                <w:color w:val="auto"/>
              </w:rPr>
            </w:pPr>
          </w:p>
        </w:tc>
      </w:tr>
      <w:tr>
        <w:trPr>
          <w:trHeight w:val="215"/>
        </w:trPr>
        <w:tc>
          <w:tcPr>
            <w:tcW w:w="6420" w:type="dxa"/>
            <w:vAlign w:val="bottom"/>
          </w:tcPr>
          <w:p>
            <w:pPr>
              <w:ind w:left="20"/>
              <w:spacing w:after="0" w:line="215" w:lineRule="exact"/>
              <w:rPr>
                <w:sz w:val="20"/>
                <w:szCs w:val="20"/>
                <w:color w:val="auto"/>
              </w:rPr>
            </w:pPr>
            <w:r>
              <w:rPr>
                <w:rFonts w:ascii="Calibri" w:cs="Calibri" w:eastAsia="Calibri" w:hAnsi="Calibri"/>
                <w:sz w:val="18"/>
                <w:szCs w:val="18"/>
                <w:color w:val="auto"/>
              </w:rPr>
              <w:t>Noncontrolling Interest</w:t>
            </w:r>
          </w:p>
        </w:tc>
        <w:tc>
          <w:tcPr>
            <w:tcW w:w="2240" w:type="dxa"/>
            <w:vAlign w:val="bottom"/>
          </w:tcPr>
          <w:p>
            <w:pPr>
              <w:jc w:val="right"/>
              <w:spacing w:after="0" w:line="215" w:lineRule="exact"/>
              <w:rPr>
                <w:sz w:val="20"/>
                <w:szCs w:val="20"/>
                <w:color w:val="auto"/>
              </w:rPr>
            </w:pPr>
            <w:r>
              <w:rPr>
                <w:rFonts w:ascii="Calibri" w:cs="Calibri" w:eastAsia="Calibri" w:hAnsi="Calibri"/>
                <w:sz w:val="18"/>
                <w:szCs w:val="18"/>
                <w:color w:val="auto"/>
              </w:rPr>
              <w:t>118,200,000</w:t>
            </w:r>
          </w:p>
        </w:tc>
        <w:tc>
          <w:tcPr>
            <w:tcW w:w="248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118,200,000</w:t>
            </w:r>
          </w:p>
        </w:tc>
        <w:tc>
          <w:tcPr>
            <w:tcW w:w="100" w:type="dxa"/>
            <w:vAlign w:val="bottom"/>
          </w:tcPr>
          <w:p>
            <w:pPr>
              <w:spacing w:after="0"/>
              <w:rPr>
                <w:sz w:val="18"/>
                <w:szCs w:val="18"/>
                <w:color w:val="auto"/>
              </w:rPr>
            </w:pPr>
          </w:p>
        </w:tc>
      </w:tr>
    </w:tbl>
    <w:p>
      <w:pPr>
        <w:spacing w:after="0" w:line="127"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On June 30, 2022, we received 11,365,913 validly tendered public warrants in exchange for 2,727,785 shares of Class A Common Stock. In accordance with the contngently issuable share guidance in ASC 260, the Class A Common shares were considered issued for earnings per share purposes, and the public warrants were considered tendered when all contngencies were resolved as of that date.</w:t>
      </w:r>
    </w:p>
    <w:p>
      <w:pPr>
        <w:spacing w:after="0" w:line="138"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We analyzed the calculaton of income (loss) per share for periods prior to the Merger Transacton and determined that it resulted in values that would not be meaningful to the users of the condensed consolidated fnancial statements. Therefore, income (loss) per share informaton has not been presented for periods prior to the Merger Transacton.</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17. Subsequent events</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On July 5, 2022, we closed on our ofer to the holders of our outstanding public warrants to receive 0.240 shares of Class A Common Stock in exchange for each outstanding public warrant tendered by the holder ("Ofer"). At closing, we issued 2,727,785 shares of Class A Common Stock in exchange for 11,365,913 public warrants tendered in the Ofer.</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6" w:name="page27"/>
    <w:bookmarkEnd w:id="26"/>
    <w:p>
      <w:pPr>
        <w:jc w:val="center"/>
        <w:spacing w:after="0"/>
        <w:rPr>
          <w:sz w:val="20"/>
          <w:szCs w:val="20"/>
          <w:color w:val="auto"/>
        </w:rPr>
      </w:pPr>
      <w:r>
        <w:rPr>
          <w:rFonts w:ascii="Calibri" w:cs="Calibri" w:eastAsia="Calibri" w:hAnsi="Calibri"/>
          <w:sz w:val="18"/>
          <w:szCs w:val="18"/>
          <w:b w:val="1"/>
          <w:bCs w:val="1"/>
          <w:color w:val="auto"/>
        </w:rPr>
        <w:t>VIVID SEATS INC.</w:t>
      </w:r>
    </w:p>
    <w:p>
      <w:pPr>
        <w:spacing w:after="0" w:line="13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2. MANAGEMENT’S DISCUSSION AND ANALYSIS OF FINANCIAL CONDITION AND RESULTS OF OPERATIONS</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i w:val="1"/>
          <w:iCs w:val="1"/>
          <w:color w:val="auto"/>
        </w:rPr>
        <w:t>Our discussion and analysis is intended to help the reader understand our results of operatons and fnancial conditon and is provided as an additon to, and should be read in connecton with, our condensed consolidated fnancial statements and related notes included elsewhere in this Quarterly Report on Form 10-Q, as well as our consolidated fnancial statements and the accompanying notes contained in our Annual Report on Form 10-K for the year ended December 31, 2021 (the “2021 Form 10-K”). This discussion contains forward-looking statements based upon current plans, expectatons and beliefs involving risks and uncertaintes. Our actual results may difer materially from those antcipated in these forward-looking statements as a result of various factors, including those set forth in the “Risk Factors” secton of our 2021 Form 10-K and other factors set forth in other parts of this Quarterly Report on Form 10-Q and our flings with the SEC.</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36"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We are an online tcket marketplace that utlizes our technology platorm to connect fans of live events seamlessly with tcket sellers. Our mission is to empower and enable fans to Experience It Live. We believe live events deliver some of life’s most excitng moments. Our platorm provides tcket buyers and sellers with an easy-to-use and trusted marketplace experience that enables fans to purchase tckets to live events and create new memories. We believe we diferentate from compettors by ofering an extensive breadth and depth of tcket listngs at a compettve value. Comparatvely, during the three and six months ended June 30, 2022, our revenues were $147.7 million and $278.5 million, respectvely, and Marketplace Gross Order Value ("Marketplace GOV") was $814.8 million and $1,557.0 million, respectvely. During the three and six months ended June 30, 2021, our revenues were $115.5 million and $139.6 million, respectvely, and Marketplace GOV was $693.1 million and $809.6 million, respectvely. Comparatvely, our net income was $24.1 million and $27.2 million for the three and six months ended June 30, 2022, respectvely. Our net income was $2.6 million and net loss was $17.6 million for the three and six months ended June 30, 2021, respectvely.</w:t>
      </w:r>
    </w:p>
    <w:p>
      <w:pPr>
        <w:spacing w:after="0" w:line="13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Business Model</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We operate our business in two segments, Marketplace and Resale.</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Through our Marketplace segment, we act as an intermediary between tcket buyers and tcket sellers. We earn revenue processing tcket sales from our Owned Propertes, consistng of the Vivid Seats website and mobile applicatons, and from our Private Label ofering, which consists of numerous distributon partners. Using our online platorm, we process customer payments, coordinate tcket deliveries, and provide customer service to tcket buyers.</w:t>
      </w:r>
    </w:p>
    <w:p>
      <w:pPr>
        <w:spacing w:after="0" w:line="138"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18"/>
          <w:szCs w:val="18"/>
          <w:color w:val="auto"/>
        </w:rPr>
        <w:t>A key component of our platorm is Skybox, a proprietary enterprise resource planning tool used by many of our tcket sellers. Skybox is a free-to-use sofware system that helps tcket sellers manage tcket inventories, adjust pricing, and fulfll orders across multple secondary tcket marketplaces.</w:t>
      </w:r>
    </w:p>
    <w:p>
      <w:pPr>
        <w:spacing w:after="0" w:line="138"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18"/>
          <w:szCs w:val="18"/>
          <w:color w:val="auto"/>
        </w:rPr>
        <w:t>We primarily earn revenue from service and delivery fees charged to tcket buyers. We also earn referral fee revenue by ofering event tcket insurance to tcket buyers, using a third-party insurance provider. We do not hold tcket inventory in the Marketplace segment. We incur costs for developing and maintaining our platorm, providing back-ofce and customer support to tcket buyers and tcket sellers, processing payments, and shipping tckets. We also incur substantal marketng costs, primarily related to online advertsing.</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In our Resale segment, we acquire tckets to resell on secondary tcketng marketplaces, including our own. Our Resale segment also provides internal research and development support for Skybox and our ongoing eforts to deliver best-in-class seller sofware and tools.</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7" w:name="page28"/>
    <w:bookmarkEnd w:id="27"/>
    <w:p>
      <w:pPr>
        <w:spacing w:after="0"/>
        <w:rPr>
          <w:sz w:val="20"/>
          <w:szCs w:val="20"/>
          <w:color w:val="auto"/>
        </w:rPr>
      </w:pPr>
      <w:r>
        <w:rPr>
          <w:rFonts w:ascii="Calibri" w:cs="Calibri" w:eastAsia="Calibri" w:hAnsi="Calibri"/>
          <w:sz w:val="18"/>
          <w:szCs w:val="18"/>
          <w:b w:val="1"/>
          <w:bCs w:val="1"/>
          <w:color w:val="auto"/>
        </w:rPr>
        <w:t>Key Business Metrics and Non-GAAP Financial Measures</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We use the following metrics to evaluate our performance, identfy trends, formulate fnancial projectons, and make strategic decisions. We believe that these metrics provide useful informaton to investors and others in understanding and evaluatng our results of operatons in the same manner as our management team.</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our key business metrics and non-GAAP fnancial measure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4"/>
          </w:tcPr>
          <w:p>
            <w:pPr>
              <w:jc w:val="right"/>
              <w:ind w:right="590"/>
              <w:spacing w:after="0"/>
              <w:rPr>
                <w:sz w:val="20"/>
                <w:szCs w:val="20"/>
                <w:color w:val="auto"/>
              </w:rPr>
            </w:pPr>
            <w:r>
              <w:rPr>
                <w:rFonts w:ascii="Calibri" w:cs="Calibri" w:eastAsia="Calibri" w:hAnsi="Calibri"/>
                <w:sz w:val="18"/>
                <w:szCs w:val="18"/>
                <w:b w:val="1"/>
                <w:bCs w:val="1"/>
                <w:color w:val="auto"/>
              </w:rPr>
              <w:t>Three Months Ended June 30,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0" w:type="dxa"/>
            <w:vAlign w:val="bottom"/>
            <w:gridSpan w:val="4"/>
          </w:tcPr>
          <w:p>
            <w:pPr>
              <w:jc w:val="right"/>
              <w:ind w:right="650"/>
              <w:spacing w:after="0"/>
              <w:rPr>
                <w:sz w:val="20"/>
                <w:szCs w:val="20"/>
                <w:color w:val="auto"/>
              </w:rPr>
            </w:pPr>
            <w:r>
              <w:rPr>
                <w:rFonts w:ascii="Calibri" w:cs="Calibri" w:eastAsia="Calibri" w:hAnsi="Calibri"/>
                <w:sz w:val="18"/>
                <w:szCs w:val="18"/>
                <w:b w:val="1"/>
                <w:bCs w:val="1"/>
                <w:color w:val="auto"/>
              </w:rPr>
              <w:t>Six Months Ended June 30,</w:t>
            </w:r>
          </w:p>
        </w:tc>
      </w:tr>
      <w:tr>
        <w:trPr>
          <w:trHeight w:val="23"/>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line="208" w:lineRule="exact"/>
              <w:rPr>
                <w:sz w:val="20"/>
                <w:szCs w:val="20"/>
                <w:color w:val="auto"/>
              </w:rPr>
            </w:pPr>
            <w:r>
              <w:rPr>
                <w:rFonts w:ascii="Calibri" w:cs="Calibri" w:eastAsia="Calibri" w:hAnsi="Calibri"/>
                <w:sz w:val="18"/>
                <w:szCs w:val="18"/>
                <w:b w:val="1"/>
                <w:bCs w:val="1"/>
                <w:color w:val="auto"/>
              </w:rPr>
              <w:t>2022</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line="208" w:lineRule="exact"/>
              <w:rPr>
                <w:sz w:val="20"/>
                <w:szCs w:val="20"/>
                <w:color w:val="auto"/>
              </w:rPr>
            </w:pPr>
            <w:r>
              <w:rPr>
                <w:rFonts w:ascii="Calibri" w:cs="Calibri" w:eastAsia="Calibri" w:hAnsi="Calibri"/>
                <w:sz w:val="18"/>
                <w:szCs w:val="18"/>
                <w:b w:val="1"/>
                <w:bCs w:val="1"/>
                <w:color w:val="auto"/>
              </w:rPr>
              <w:t>2021</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line="208" w:lineRule="exact"/>
              <w:rPr>
                <w:sz w:val="20"/>
                <w:szCs w:val="20"/>
                <w:color w:val="auto"/>
              </w:rPr>
            </w:pPr>
            <w:r>
              <w:rPr>
                <w:rFonts w:ascii="Calibri" w:cs="Calibri" w:eastAsia="Calibri" w:hAnsi="Calibri"/>
                <w:sz w:val="18"/>
                <w:szCs w:val="18"/>
                <w:b w:val="1"/>
                <w:bCs w:val="1"/>
                <w:color w:val="auto"/>
              </w:rPr>
              <w:t>2022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line="208" w:lineRule="exact"/>
              <w:rPr>
                <w:sz w:val="20"/>
                <w:szCs w:val="20"/>
                <w:color w:val="auto"/>
              </w:rPr>
            </w:pPr>
            <w:r>
              <w:rPr>
                <w:rFonts w:ascii="Calibri" w:cs="Calibri" w:eastAsia="Calibri" w:hAnsi="Calibri"/>
                <w:sz w:val="18"/>
                <w:szCs w:val="18"/>
                <w:b w:val="1"/>
                <w:bCs w:val="1"/>
                <w:color w:val="auto"/>
              </w:rPr>
              <w:t>2021</w:t>
            </w:r>
          </w:p>
        </w:tc>
      </w:tr>
      <w:tr>
        <w:trPr>
          <w:trHeight w:val="399"/>
        </w:trPr>
        <w:tc>
          <w:tcPr>
            <w:tcW w:w="4360" w:type="dxa"/>
            <w:vAlign w:val="bottom"/>
          </w:tcPr>
          <w:p>
            <w:pPr>
              <w:ind w:left="20"/>
              <w:spacing w:after="0"/>
              <w:rPr>
                <w:sz w:val="20"/>
                <w:szCs w:val="20"/>
                <w:color w:val="auto"/>
              </w:rPr>
            </w:pPr>
            <w:r>
              <w:rPr>
                <w:rFonts w:ascii="Calibri" w:cs="Calibri" w:eastAsia="Calibri" w:hAnsi="Calibri"/>
                <w:sz w:val="18"/>
                <w:szCs w:val="18"/>
                <w:color w:val="auto"/>
              </w:rPr>
              <w:t>Marketplace GOV</w:t>
            </w:r>
            <w:r>
              <w:rPr>
                <w:rFonts w:ascii="Calibri" w:cs="Calibri" w:eastAsia="Calibri" w:hAnsi="Calibri"/>
                <w:sz w:val="24"/>
                <w:szCs w:val="24"/>
                <w:color w:val="auto"/>
                <w:vertAlign w:val="superscript"/>
              </w:rPr>
              <w:t>(1)</w:t>
            </w:r>
          </w:p>
        </w:tc>
        <w:tc>
          <w:tcPr>
            <w:tcW w:w="320" w:type="dxa"/>
            <w:vAlign w:val="bottom"/>
          </w:tcPr>
          <w:p>
            <w:pPr>
              <w:jc w:val="right"/>
              <w:ind w:right="130"/>
              <w:spacing w:after="0"/>
              <w:rPr>
                <w:sz w:val="20"/>
                <w:szCs w:val="20"/>
                <w:color w:val="auto"/>
              </w:rPr>
            </w:pPr>
            <w:r>
              <w:rPr>
                <w:rFonts w:ascii="Calibri" w:cs="Calibri" w:eastAsia="Calibri" w:hAnsi="Calibri"/>
                <w:sz w:val="18"/>
                <w:szCs w:val="18"/>
                <w:color w:val="auto"/>
                <w:w w:val="87"/>
              </w:rPr>
              <w:t>$</w:t>
            </w:r>
          </w:p>
        </w:tc>
        <w:tc>
          <w:tcPr>
            <w:tcW w:w="1280" w:type="dxa"/>
            <w:vAlign w:val="bottom"/>
          </w:tcPr>
          <w:p>
            <w:pPr>
              <w:jc w:val="right"/>
              <w:ind w:right="50"/>
              <w:spacing w:after="0"/>
              <w:rPr>
                <w:sz w:val="20"/>
                <w:szCs w:val="20"/>
                <w:color w:val="auto"/>
              </w:rPr>
            </w:pPr>
            <w:r>
              <w:rPr>
                <w:rFonts w:ascii="Calibri" w:cs="Calibri" w:eastAsia="Calibri" w:hAnsi="Calibri"/>
                <w:sz w:val="18"/>
                <w:szCs w:val="18"/>
                <w:color w:val="auto"/>
              </w:rPr>
              <w:t>814,817</w:t>
            </w:r>
          </w:p>
        </w:tc>
        <w:tc>
          <w:tcPr>
            <w:tcW w:w="52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1280" w:type="dxa"/>
            <w:vAlign w:val="bottom"/>
          </w:tcPr>
          <w:p>
            <w:pPr>
              <w:jc w:val="right"/>
              <w:ind w:right="30"/>
              <w:spacing w:after="0"/>
              <w:rPr>
                <w:sz w:val="20"/>
                <w:szCs w:val="20"/>
                <w:color w:val="auto"/>
              </w:rPr>
            </w:pPr>
            <w:r>
              <w:rPr>
                <w:rFonts w:ascii="Calibri" w:cs="Calibri" w:eastAsia="Calibri" w:hAnsi="Calibri"/>
                <w:sz w:val="18"/>
                <w:szCs w:val="18"/>
                <w:color w:val="auto"/>
              </w:rPr>
              <w:t>693,090</w:t>
            </w:r>
          </w:p>
        </w:tc>
        <w:tc>
          <w:tcPr>
            <w:tcW w:w="48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1240" w:type="dxa"/>
            <w:vAlign w:val="bottom"/>
          </w:tcPr>
          <w:p>
            <w:pPr>
              <w:jc w:val="right"/>
              <w:ind w:right="30"/>
              <w:spacing w:after="0"/>
              <w:rPr>
                <w:sz w:val="20"/>
                <w:szCs w:val="20"/>
                <w:color w:val="auto"/>
              </w:rPr>
            </w:pPr>
            <w:r>
              <w:rPr>
                <w:rFonts w:ascii="Calibri" w:cs="Calibri" w:eastAsia="Calibri" w:hAnsi="Calibri"/>
                <w:sz w:val="18"/>
                <w:szCs w:val="18"/>
                <w:color w:val="auto"/>
              </w:rPr>
              <w:t>1,556,955</w:t>
            </w:r>
          </w:p>
        </w:tc>
        <w:tc>
          <w:tcPr>
            <w:tcW w:w="520" w:type="dxa"/>
            <w:vAlign w:val="bottom"/>
            <w:gridSpan w:val="2"/>
          </w:tcPr>
          <w:p>
            <w:pPr>
              <w:jc w:val="right"/>
              <w:ind w:right="240"/>
              <w:spacing w:after="0"/>
              <w:rPr>
                <w:sz w:val="20"/>
                <w:szCs w:val="20"/>
                <w:color w:val="auto"/>
              </w:rPr>
            </w:pPr>
            <w:r>
              <w:rPr>
                <w:rFonts w:ascii="Calibri" w:cs="Calibri" w:eastAsia="Calibri" w:hAnsi="Calibri"/>
                <w:sz w:val="18"/>
                <w:szCs w:val="18"/>
                <w:color w:val="auto"/>
              </w:rPr>
              <w:t>$</w:t>
            </w:r>
          </w:p>
        </w:tc>
        <w:tc>
          <w:tcPr>
            <w:tcW w:w="1240" w:type="dxa"/>
            <w:vAlign w:val="bottom"/>
          </w:tcPr>
          <w:p>
            <w:pPr>
              <w:jc w:val="right"/>
              <w:ind w:right="30"/>
              <w:spacing w:after="0"/>
              <w:rPr>
                <w:sz w:val="20"/>
                <w:szCs w:val="20"/>
                <w:color w:val="auto"/>
              </w:rPr>
            </w:pPr>
            <w:r>
              <w:rPr>
                <w:rFonts w:ascii="Calibri" w:cs="Calibri" w:eastAsia="Calibri" w:hAnsi="Calibri"/>
                <w:sz w:val="18"/>
                <w:szCs w:val="18"/>
                <w:color w:val="auto"/>
              </w:rPr>
              <w:t>809,563</w:t>
            </w:r>
          </w:p>
        </w:tc>
      </w:tr>
      <w:tr>
        <w:trPr>
          <w:trHeight w:val="216"/>
        </w:trPr>
        <w:tc>
          <w:tcPr>
            <w:tcW w:w="4360" w:type="dxa"/>
            <w:vAlign w:val="bottom"/>
          </w:tcPr>
          <w:p>
            <w:pPr>
              <w:ind w:left="20"/>
              <w:spacing w:after="0" w:line="216" w:lineRule="exact"/>
              <w:rPr>
                <w:sz w:val="20"/>
                <w:szCs w:val="20"/>
                <w:color w:val="auto"/>
              </w:rPr>
            </w:pPr>
            <w:r>
              <w:rPr>
                <w:rFonts w:ascii="Calibri" w:cs="Calibri" w:eastAsia="Calibri" w:hAnsi="Calibri"/>
                <w:sz w:val="17"/>
                <w:szCs w:val="17"/>
                <w:color w:val="auto"/>
              </w:rPr>
              <w:t>Total Marketplace orders</w:t>
            </w:r>
            <w:r>
              <w:rPr>
                <w:rFonts w:ascii="Calibri" w:cs="Calibri" w:eastAsia="Calibri" w:hAnsi="Calibri"/>
                <w:sz w:val="23"/>
                <w:szCs w:val="23"/>
                <w:color w:val="auto"/>
                <w:vertAlign w:val="superscript"/>
              </w:rPr>
              <w:t>(2)</w:t>
            </w:r>
          </w:p>
        </w:tc>
        <w:tc>
          <w:tcPr>
            <w:tcW w:w="320" w:type="dxa"/>
            <w:vAlign w:val="bottom"/>
          </w:tcPr>
          <w:p>
            <w:pPr>
              <w:spacing w:after="0"/>
              <w:rPr>
                <w:sz w:val="18"/>
                <w:szCs w:val="18"/>
                <w:color w:val="auto"/>
              </w:rPr>
            </w:pPr>
          </w:p>
        </w:tc>
        <w:tc>
          <w:tcPr>
            <w:tcW w:w="1280" w:type="dxa"/>
            <w:vAlign w:val="bottom"/>
          </w:tcPr>
          <w:p>
            <w:pPr>
              <w:jc w:val="right"/>
              <w:ind w:right="50"/>
              <w:spacing w:after="0" w:line="216" w:lineRule="exact"/>
              <w:rPr>
                <w:sz w:val="20"/>
                <w:szCs w:val="20"/>
                <w:color w:val="auto"/>
              </w:rPr>
            </w:pPr>
            <w:r>
              <w:rPr>
                <w:rFonts w:ascii="Calibri" w:cs="Calibri" w:eastAsia="Calibri" w:hAnsi="Calibri"/>
                <w:sz w:val="18"/>
                <w:szCs w:val="18"/>
                <w:color w:val="auto"/>
              </w:rPr>
              <w:t>2,410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1,713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4,429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2,006</w:t>
            </w:r>
          </w:p>
        </w:tc>
      </w:tr>
      <w:tr>
        <w:trPr>
          <w:trHeight w:val="216"/>
        </w:trPr>
        <w:tc>
          <w:tcPr>
            <w:tcW w:w="4360" w:type="dxa"/>
            <w:vAlign w:val="bottom"/>
          </w:tcPr>
          <w:p>
            <w:pPr>
              <w:ind w:left="20"/>
              <w:spacing w:after="0" w:line="216" w:lineRule="exact"/>
              <w:rPr>
                <w:sz w:val="20"/>
                <w:szCs w:val="20"/>
                <w:color w:val="auto"/>
              </w:rPr>
            </w:pPr>
            <w:r>
              <w:rPr>
                <w:rFonts w:ascii="Calibri" w:cs="Calibri" w:eastAsia="Calibri" w:hAnsi="Calibri"/>
                <w:sz w:val="17"/>
                <w:szCs w:val="17"/>
                <w:color w:val="auto"/>
              </w:rPr>
              <w:t>Total Resale orders</w:t>
            </w:r>
            <w:r>
              <w:rPr>
                <w:rFonts w:ascii="Calibri" w:cs="Calibri" w:eastAsia="Calibri" w:hAnsi="Calibri"/>
                <w:sz w:val="23"/>
                <w:szCs w:val="23"/>
                <w:color w:val="auto"/>
                <w:vertAlign w:val="superscript"/>
              </w:rPr>
              <w:t>(3)</w:t>
            </w:r>
          </w:p>
        </w:tc>
        <w:tc>
          <w:tcPr>
            <w:tcW w:w="320" w:type="dxa"/>
            <w:vAlign w:val="bottom"/>
          </w:tcPr>
          <w:p>
            <w:pPr>
              <w:spacing w:after="0"/>
              <w:rPr>
                <w:sz w:val="18"/>
                <w:szCs w:val="18"/>
                <w:color w:val="auto"/>
              </w:rPr>
            </w:pPr>
          </w:p>
        </w:tc>
        <w:tc>
          <w:tcPr>
            <w:tcW w:w="1280" w:type="dxa"/>
            <w:vAlign w:val="bottom"/>
          </w:tcPr>
          <w:p>
            <w:pPr>
              <w:jc w:val="right"/>
              <w:ind w:right="50"/>
              <w:spacing w:after="0" w:line="216" w:lineRule="exact"/>
              <w:rPr>
                <w:sz w:val="20"/>
                <w:szCs w:val="20"/>
                <w:color w:val="auto"/>
              </w:rPr>
            </w:pPr>
            <w:r>
              <w:rPr>
                <w:rFonts w:ascii="Calibri" w:cs="Calibri" w:eastAsia="Calibri" w:hAnsi="Calibri"/>
                <w:sz w:val="18"/>
                <w:szCs w:val="18"/>
                <w:color w:val="auto"/>
              </w:rPr>
              <w:t>67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35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135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48</w:t>
            </w:r>
          </w:p>
        </w:tc>
      </w:tr>
      <w:tr>
        <w:trPr>
          <w:trHeight w:val="280"/>
        </w:trPr>
        <w:tc>
          <w:tcPr>
            <w:tcW w:w="4360" w:type="dxa"/>
            <w:vAlign w:val="bottom"/>
          </w:tcPr>
          <w:p>
            <w:pPr>
              <w:ind w:left="20"/>
              <w:spacing w:after="0" w:line="280" w:lineRule="exact"/>
              <w:rPr>
                <w:sz w:val="20"/>
                <w:szCs w:val="20"/>
                <w:color w:val="auto"/>
              </w:rPr>
            </w:pPr>
            <w:r>
              <w:rPr>
                <w:rFonts w:ascii="Calibri" w:cs="Calibri" w:eastAsia="Calibri" w:hAnsi="Calibri"/>
                <w:sz w:val="18"/>
                <w:szCs w:val="18"/>
                <w:color w:val="auto"/>
              </w:rPr>
              <w:t>Adjusted EBITDA</w:t>
            </w:r>
            <w:r>
              <w:rPr>
                <w:rFonts w:ascii="Calibri" w:cs="Calibri" w:eastAsia="Calibri" w:hAnsi="Calibri"/>
                <w:sz w:val="24"/>
                <w:szCs w:val="24"/>
                <w:color w:val="auto"/>
                <w:vertAlign w:val="superscript"/>
              </w:rPr>
              <w:t>(4)</w:t>
            </w:r>
          </w:p>
        </w:tc>
        <w:tc>
          <w:tcPr>
            <w:tcW w:w="320" w:type="dxa"/>
            <w:vAlign w:val="bottom"/>
          </w:tcPr>
          <w:p>
            <w:pPr>
              <w:jc w:val="right"/>
              <w:ind w:right="130"/>
              <w:spacing w:after="0"/>
              <w:rPr>
                <w:sz w:val="20"/>
                <w:szCs w:val="20"/>
                <w:color w:val="auto"/>
              </w:rPr>
            </w:pPr>
            <w:r>
              <w:rPr>
                <w:rFonts w:ascii="Calibri" w:cs="Calibri" w:eastAsia="Calibri" w:hAnsi="Calibri"/>
                <w:sz w:val="18"/>
                <w:szCs w:val="18"/>
                <w:color w:val="auto"/>
                <w:w w:val="87"/>
              </w:rPr>
              <w:t>$</w:t>
            </w:r>
          </w:p>
        </w:tc>
        <w:tc>
          <w:tcPr>
            <w:tcW w:w="1280" w:type="dxa"/>
            <w:vAlign w:val="bottom"/>
          </w:tcPr>
          <w:p>
            <w:pPr>
              <w:jc w:val="right"/>
              <w:ind w:right="50"/>
              <w:spacing w:after="0"/>
              <w:rPr>
                <w:sz w:val="20"/>
                <w:szCs w:val="20"/>
                <w:color w:val="auto"/>
              </w:rPr>
            </w:pPr>
            <w:r>
              <w:rPr>
                <w:rFonts w:ascii="Calibri" w:cs="Calibri" w:eastAsia="Calibri" w:hAnsi="Calibri"/>
                <w:sz w:val="18"/>
                <w:szCs w:val="18"/>
                <w:color w:val="auto"/>
              </w:rPr>
              <w:t>30,329</w:t>
            </w:r>
          </w:p>
        </w:tc>
        <w:tc>
          <w:tcPr>
            <w:tcW w:w="52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1280" w:type="dxa"/>
            <w:vAlign w:val="bottom"/>
          </w:tcPr>
          <w:p>
            <w:pPr>
              <w:jc w:val="right"/>
              <w:ind w:right="30"/>
              <w:spacing w:after="0"/>
              <w:rPr>
                <w:sz w:val="20"/>
                <w:szCs w:val="20"/>
                <w:color w:val="auto"/>
              </w:rPr>
            </w:pPr>
            <w:r>
              <w:rPr>
                <w:rFonts w:ascii="Calibri" w:cs="Calibri" w:eastAsia="Calibri" w:hAnsi="Calibri"/>
                <w:sz w:val="18"/>
                <w:szCs w:val="18"/>
                <w:color w:val="auto"/>
              </w:rPr>
              <w:t>36,195</w:t>
            </w:r>
          </w:p>
        </w:tc>
        <w:tc>
          <w:tcPr>
            <w:tcW w:w="480" w:type="dxa"/>
            <w:vAlign w:val="bottom"/>
            <w:gridSpan w:val="2"/>
          </w:tcPr>
          <w:p>
            <w:pPr>
              <w:jc w:val="right"/>
              <w:ind w:right="220"/>
              <w:spacing w:after="0"/>
              <w:rPr>
                <w:sz w:val="20"/>
                <w:szCs w:val="20"/>
                <w:color w:val="auto"/>
              </w:rPr>
            </w:pPr>
            <w:r>
              <w:rPr>
                <w:rFonts w:ascii="Calibri" w:cs="Calibri" w:eastAsia="Calibri" w:hAnsi="Calibri"/>
                <w:sz w:val="18"/>
                <w:szCs w:val="18"/>
                <w:color w:val="auto"/>
              </w:rPr>
              <w:t>$</w:t>
            </w:r>
          </w:p>
        </w:tc>
        <w:tc>
          <w:tcPr>
            <w:tcW w:w="1240" w:type="dxa"/>
            <w:vAlign w:val="bottom"/>
          </w:tcPr>
          <w:p>
            <w:pPr>
              <w:jc w:val="right"/>
              <w:ind w:right="30"/>
              <w:spacing w:after="0"/>
              <w:rPr>
                <w:sz w:val="20"/>
                <w:szCs w:val="20"/>
                <w:color w:val="auto"/>
              </w:rPr>
            </w:pPr>
            <w:r>
              <w:rPr>
                <w:rFonts w:ascii="Calibri" w:cs="Calibri" w:eastAsia="Calibri" w:hAnsi="Calibri"/>
                <w:sz w:val="18"/>
                <w:szCs w:val="18"/>
                <w:color w:val="auto"/>
              </w:rPr>
              <w:t>51,341</w:t>
            </w:r>
          </w:p>
        </w:tc>
        <w:tc>
          <w:tcPr>
            <w:tcW w:w="520" w:type="dxa"/>
            <w:vAlign w:val="bottom"/>
            <w:gridSpan w:val="2"/>
          </w:tcPr>
          <w:p>
            <w:pPr>
              <w:jc w:val="right"/>
              <w:ind w:right="240"/>
              <w:spacing w:after="0"/>
              <w:rPr>
                <w:sz w:val="20"/>
                <w:szCs w:val="20"/>
                <w:color w:val="auto"/>
              </w:rPr>
            </w:pPr>
            <w:r>
              <w:rPr>
                <w:rFonts w:ascii="Calibri" w:cs="Calibri" w:eastAsia="Calibri" w:hAnsi="Calibri"/>
                <w:sz w:val="18"/>
                <w:szCs w:val="18"/>
                <w:color w:val="auto"/>
              </w:rPr>
              <w:t>$</w:t>
            </w:r>
          </w:p>
        </w:tc>
        <w:tc>
          <w:tcPr>
            <w:tcW w:w="1240" w:type="dxa"/>
            <w:vAlign w:val="bottom"/>
          </w:tcPr>
          <w:p>
            <w:pPr>
              <w:jc w:val="right"/>
              <w:ind w:right="30"/>
              <w:spacing w:after="0"/>
              <w:rPr>
                <w:sz w:val="20"/>
                <w:szCs w:val="20"/>
                <w:color w:val="auto"/>
              </w:rPr>
            </w:pPr>
            <w:r>
              <w:rPr>
                <w:rFonts w:ascii="Calibri" w:cs="Calibri" w:eastAsia="Calibri" w:hAnsi="Calibri"/>
                <w:sz w:val="18"/>
                <w:szCs w:val="18"/>
                <w:color w:val="auto"/>
              </w:rPr>
              <w:t>40,382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9" w:lineRule="exact"/>
        <w:rPr>
          <w:sz w:val="20"/>
          <w:szCs w:val="20"/>
          <w:color w:val="auto"/>
        </w:rPr>
      </w:pPr>
    </w:p>
    <w:p>
      <w:pPr>
        <w:jc w:val="both"/>
        <w:ind w:left="1020" w:hanging="503"/>
        <w:spacing w:after="0" w:line="224" w:lineRule="auto"/>
        <w:tabs>
          <w:tab w:leader="none" w:pos="102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Marketplace GOV represents the total transactonal amount of Marketplace segment orders placed on our platorm in a period, inclusive of fees, exclusive of taxes, and net of event cancellatons that occurred during that period. Marketplace GOV was negatvely impacted by event cancellatons in the amount of $14.7 million and $49.5 million during the three and six months ended June 30, 2022, respectvely, and $18.5 million and $37.0 million during the three and six months ended June 30, 2021, respectvely.</w:t>
      </w:r>
    </w:p>
    <w:p>
      <w:pPr>
        <w:spacing w:after="0" w:line="138" w:lineRule="exact"/>
        <w:rPr>
          <w:rFonts w:ascii="Calibri" w:cs="Calibri" w:eastAsia="Calibri" w:hAnsi="Calibri"/>
          <w:sz w:val="18"/>
          <w:szCs w:val="18"/>
          <w:color w:val="auto"/>
        </w:rPr>
      </w:pPr>
    </w:p>
    <w:p>
      <w:pPr>
        <w:jc w:val="both"/>
        <w:ind w:left="1020" w:hanging="503"/>
        <w:spacing w:after="0" w:line="228" w:lineRule="auto"/>
        <w:tabs>
          <w:tab w:leader="none" w:pos="102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Total Marketplace orders represent the volume of Marketplace segment orders placed on our platorm during a period, net of event cancellatons that occurred during that period. During the three and six months ended June 30, 2022, our Marketplace segment experienced 35,916 and 127,316 event cancellatons, respectvely, compared to 48,319 and 100,094 event cancellatons during the three and six months ended June 30, 2021, respectvely.</w:t>
      </w:r>
    </w:p>
    <w:p>
      <w:pPr>
        <w:spacing w:after="0" w:line="137" w:lineRule="exact"/>
        <w:rPr>
          <w:rFonts w:ascii="Calibri" w:cs="Calibri" w:eastAsia="Calibri" w:hAnsi="Calibri"/>
          <w:sz w:val="18"/>
          <w:szCs w:val="18"/>
          <w:color w:val="auto"/>
        </w:rPr>
      </w:pPr>
    </w:p>
    <w:p>
      <w:pPr>
        <w:jc w:val="both"/>
        <w:ind w:left="1020" w:hanging="503"/>
        <w:spacing w:after="0" w:line="246" w:lineRule="auto"/>
        <w:tabs>
          <w:tab w:leader="none" w:pos="1020"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Total Resale orders represent the volume of Resale segment orders sold by our Resale team in a period, net of event cancellatons that occurred during that period. During the three and six months ended June 30, 2022, our Resale segment experienced 711 and 3,270 event cancellatons, respectvely, compared to 772 and 1,913 event cancellatons during the three and six months ended June 30, 2021, respectvely.</w:t>
      </w:r>
    </w:p>
    <w:p>
      <w:pPr>
        <w:spacing w:after="0" w:line="131" w:lineRule="exact"/>
        <w:rPr>
          <w:rFonts w:ascii="Calibri" w:cs="Calibri" w:eastAsia="Calibri" w:hAnsi="Calibri"/>
          <w:sz w:val="17"/>
          <w:szCs w:val="17"/>
          <w:color w:val="auto"/>
        </w:rPr>
      </w:pPr>
    </w:p>
    <w:p>
      <w:pPr>
        <w:jc w:val="both"/>
        <w:ind w:left="1020" w:hanging="503"/>
        <w:spacing w:after="0" w:line="230" w:lineRule="auto"/>
        <w:tabs>
          <w:tab w:leader="none" w:pos="102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 xml:space="preserve">Adjusted EBITDA is not a measure defned under GAAP. We believe Adjusted EBITDA provides useful informaton to investors and others in understanding and evaluatng our results of operatons, as well as provides a useful measure for period-to-period comparisons of our business performance. Refer to the </w:t>
      </w:r>
      <w:r>
        <w:rPr>
          <w:rFonts w:ascii="Calibri" w:cs="Calibri" w:eastAsia="Calibri" w:hAnsi="Calibri"/>
          <w:sz w:val="18"/>
          <w:szCs w:val="18"/>
          <w:i w:val="1"/>
          <w:iCs w:val="1"/>
          <w:color w:val="auto"/>
        </w:rPr>
        <w:t>Adjusted EBITDA</w:t>
      </w:r>
      <w:r>
        <w:rPr>
          <w:rFonts w:ascii="Calibri" w:cs="Calibri" w:eastAsia="Calibri" w:hAnsi="Calibri"/>
          <w:sz w:val="18"/>
          <w:szCs w:val="18"/>
          <w:color w:val="auto"/>
        </w:rPr>
        <w:t xml:space="preserve"> secton below for a reconciliaton to its most directly comparable GAAP measure.</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 GOV</w:t>
      </w:r>
    </w:p>
    <w:p>
      <w:pPr>
        <w:spacing w:after="0" w:line="123"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Marketplace GOV is a key driver of our Marketplace revenue. Marketplace GOV represents the total transactonal amount of Marketplace orders in a period, inclusive of fees, exclusive of taxes, and net of event cancellatons that occurred during that period. Marketplace GOV refects our ability to atract and retain customers, as well as the overall health of the industry.</w:t>
      </w:r>
    </w:p>
    <w:p>
      <w:pPr>
        <w:spacing w:after="0" w:line="138"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Our Marketplace GOV is impacted by seasonality, and typically sees increased actvity in the fourth quarter when all major sports leagues are in season and we experience increases in order volume for theater and concert events during the holiday season. Quarterly fuctuatons in our Marketplace GOV result from the number of cancellatons, the popularity and demand of performers, tours, teams, and events, and the length and team compositon of sports playof series and championship games.</w:t>
      </w:r>
    </w:p>
    <w:p>
      <w:pPr>
        <w:spacing w:after="0" w:line="137"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Our Marketplace GOV increased during the three and six months ended June 30, 2022 when compared to the same periods in 2021 as a result of higher number of orders processed.</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Marketplace Orders</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8" w:name="page29"/>
    <w:bookmarkEnd w:id="28"/>
    <w:p>
      <w:pPr>
        <w:jc w:val="both"/>
        <w:spacing w:after="0" w:line="228" w:lineRule="auto"/>
        <w:rPr>
          <w:sz w:val="20"/>
          <w:szCs w:val="20"/>
          <w:color w:val="auto"/>
        </w:rPr>
      </w:pPr>
      <w:r>
        <w:rPr>
          <w:rFonts w:ascii="Calibri" w:cs="Calibri" w:eastAsia="Calibri" w:hAnsi="Calibri"/>
          <w:sz w:val="18"/>
          <w:szCs w:val="18"/>
          <w:color w:val="auto"/>
        </w:rPr>
        <w:t>Total Marketplace orders represent the volume of Marketplace segment orders placed on our platorm in a period, net of event cancellatons. An order can include one or more tckets and/or parking passes. Total Marketplace orders allow us to monitor order volume and beter identfy trends within our Marketplace segment. Total Marketplace orders increased during the three and six months ended June 30, 2022 when compared to the same periods in 2021 as a result of a higher number of orders processed.</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Total Resale Orders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Total Resale orders represent the volume of Resale segment orders sold in a period, net of event cancellatons. An order can include one or more tckets and/or parking passes. Total Resale orders allow us to monitor order volume and beter identfy trends within our Resale segment. Total Resale orders increased during the three and six months ended June 30, 2022 when compared to the same periods in 2021 as a result of a higher number of orders processed.</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Adjusted EBITDA</w:t>
      </w:r>
    </w:p>
    <w:p>
      <w:pPr>
        <w:spacing w:after="0" w:line="136" w:lineRule="exact"/>
        <w:rPr>
          <w:sz w:val="20"/>
          <w:szCs w:val="20"/>
          <w:color w:val="auto"/>
        </w:rPr>
      </w:pPr>
    </w:p>
    <w:p>
      <w:pPr>
        <w:jc w:val="both"/>
        <w:spacing w:after="0" w:line="239" w:lineRule="auto"/>
        <w:rPr>
          <w:sz w:val="20"/>
          <w:szCs w:val="20"/>
          <w:color w:val="auto"/>
        </w:rPr>
      </w:pPr>
      <w:r>
        <w:rPr>
          <w:rFonts w:ascii="Calibri" w:cs="Calibri" w:eastAsia="Calibri" w:hAnsi="Calibri"/>
          <w:sz w:val="17"/>
          <w:szCs w:val="17"/>
          <w:color w:val="auto"/>
        </w:rPr>
        <w:t>We present Adjusted EBITDA, which is a non-GAAP measure, because it is a measure frequently used by analysts, investors, and other interested partes to evaluate companies in our industry. Further, we believe this measure is helpful in highlightng trends in our operatng results because it excludes the impact of items that are outside the control of management or not refectve of ongoing performance related directly to the operaton of our business segments.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Adjusted EBITDA is a key measurement used by our management internally to make operatng decisions, including those related to analyzing operatng expenses, evaluatng performance, and performing strategic planning and annual budgetng. Moreover, we believe Adjusted EBITDA provides useful informaton to investors and others in understanding and evaluatng our results of operatons, as well as provides a useful measure for period-to-period comparisons of our business performance and highlightng trends in our operatng results.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is a reconciliaton of Adjusted EBITDA to its most directly comparable GAAP measure, net income (loss)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00" w:type="dxa"/>
            <w:vAlign w:val="bottom"/>
          </w:tcPr>
          <w:p>
            <w:pPr>
              <w:spacing w:after="0"/>
              <w:rPr>
                <w:sz w:val="19"/>
                <w:szCs w:val="19"/>
                <w:color w:val="auto"/>
              </w:rPr>
            </w:pPr>
          </w:p>
        </w:tc>
        <w:tc>
          <w:tcPr>
            <w:tcW w:w="2720" w:type="dxa"/>
            <w:vAlign w:val="bottom"/>
            <w:gridSpan w:val="4"/>
          </w:tcPr>
          <w:p>
            <w:pPr>
              <w:jc w:val="right"/>
              <w:spacing w:after="0"/>
              <w:rPr>
                <w:sz w:val="20"/>
                <w:szCs w:val="20"/>
                <w:color w:val="auto"/>
              </w:rPr>
            </w:pPr>
            <w:r>
              <w:rPr>
                <w:rFonts w:ascii="Calibri" w:cs="Calibri" w:eastAsia="Calibri" w:hAnsi="Calibri"/>
                <w:sz w:val="18"/>
                <w:szCs w:val="18"/>
                <w:b w:val="1"/>
                <w:bCs w:val="1"/>
                <w:color w:val="auto"/>
              </w:rPr>
              <w:t>Three Months Ended June 30,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80" w:type="dxa"/>
            <w:vAlign w:val="bottom"/>
            <w:gridSpan w:val="6"/>
          </w:tcPr>
          <w:p>
            <w:pPr>
              <w:jc w:val="right"/>
              <w:ind w:right="720"/>
              <w:spacing w:after="0"/>
              <w:rPr>
                <w:sz w:val="20"/>
                <w:szCs w:val="20"/>
                <w:color w:val="auto"/>
              </w:rPr>
            </w:pPr>
            <w:r>
              <w:rPr>
                <w:rFonts w:ascii="Calibri" w:cs="Calibri" w:eastAsia="Calibri" w:hAnsi="Calibri"/>
                <w:sz w:val="18"/>
                <w:szCs w:val="18"/>
                <w:b w:val="1"/>
                <w:bCs w:val="1"/>
                <w:color w:val="auto"/>
              </w:rPr>
              <w:t>Six Months Ended June 30,</w:t>
            </w: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30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line="209" w:lineRule="exact"/>
              <w:rPr>
                <w:sz w:val="20"/>
                <w:szCs w:val="20"/>
                <w:color w:val="auto"/>
              </w:rPr>
            </w:pPr>
            <w:r>
              <w:rPr>
                <w:rFonts w:ascii="Calibri" w:cs="Calibri" w:eastAsia="Calibri" w:hAnsi="Calibri"/>
                <w:sz w:val="18"/>
                <w:szCs w:val="18"/>
                <w:b w:val="1"/>
                <w:bCs w:val="1"/>
                <w:color w:val="auto"/>
              </w:rPr>
              <w:t>2021</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Net income (loss)</w:t>
            </w:r>
          </w:p>
        </w:tc>
        <w:tc>
          <w:tcPr>
            <w:tcW w:w="940" w:type="dxa"/>
            <w:vAlign w:val="bottom"/>
            <w:shd w:val="clear" w:color="auto" w:fill="CFF0FC"/>
          </w:tcPr>
          <w:p>
            <w:pPr>
              <w:jc w:val="right"/>
              <w:ind w:right="750"/>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9"/>
              </w:rPr>
              <w:t>24,060</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0"/>
              <w:spacing w:after="0" w:line="215" w:lineRule="exact"/>
              <w:rPr>
                <w:sz w:val="20"/>
                <w:szCs w:val="20"/>
                <w:color w:val="auto"/>
              </w:rPr>
            </w:pPr>
            <w:r>
              <w:rPr>
                <w:rFonts w:ascii="Calibri" w:cs="Calibri" w:eastAsia="Calibri" w:hAnsi="Calibri"/>
                <w:sz w:val="18"/>
                <w:szCs w:val="18"/>
                <w:color w:val="auto"/>
                <w:w w:val="87"/>
              </w:rPr>
              <w:t>$</w:t>
            </w:r>
          </w:p>
        </w:tc>
        <w:tc>
          <w:tcPr>
            <w:tcW w:w="5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2,645</w:t>
            </w:r>
          </w:p>
        </w:tc>
        <w:tc>
          <w:tcPr>
            <w:tcW w:w="1320" w:type="dxa"/>
            <w:vAlign w:val="bottom"/>
            <w:gridSpan w:val="3"/>
            <w:shd w:val="clear" w:color="auto" w:fill="CFF0FC"/>
          </w:tcPr>
          <w:p>
            <w:pPr>
              <w:jc w:val="right"/>
              <w:ind w:right="730"/>
              <w:spacing w:after="0" w:line="215" w:lineRule="exact"/>
              <w:rPr>
                <w:sz w:val="20"/>
                <w:szCs w:val="20"/>
                <w:color w:val="auto"/>
              </w:rPr>
            </w:pPr>
            <w:r>
              <w:rPr>
                <w:rFonts w:ascii="Calibri" w:cs="Calibri" w:eastAsia="Calibri" w:hAnsi="Calibri"/>
                <w:sz w:val="18"/>
                <w:szCs w:val="18"/>
                <w:color w:val="auto"/>
              </w:rPr>
              <w:t>$</w:t>
            </w:r>
          </w:p>
        </w:tc>
        <w:tc>
          <w:tcPr>
            <w:tcW w:w="5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99"/>
              </w:rPr>
              <w:t>27,198</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gridSpan w:val="2"/>
            <w:shd w:val="clear" w:color="auto" w:fill="CFF0FC"/>
          </w:tcPr>
          <w:p>
            <w:pPr>
              <w:jc w:val="right"/>
              <w:ind w:right="40"/>
              <w:spacing w:after="0" w:line="215" w:lineRule="exact"/>
              <w:rPr>
                <w:sz w:val="20"/>
                <w:szCs w:val="20"/>
                <w:color w:val="auto"/>
              </w:rPr>
            </w:pPr>
            <w:r>
              <w:rPr>
                <w:rFonts w:ascii="Calibri" w:cs="Calibri" w:eastAsia="Calibri" w:hAnsi="Calibri"/>
                <w:sz w:val="18"/>
                <w:szCs w:val="18"/>
                <w:color w:val="auto"/>
              </w:rPr>
              <w:t>(17,606 )</w:t>
            </w:r>
          </w:p>
        </w:tc>
        <w:tc>
          <w:tcPr>
            <w:tcW w:w="0" w:type="dxa"/>
            <w:vAlign w:val="bottom"/>
          </w:tcPr>
          <w:p>
            <w:pPr>
              <w:spacing w:after="0"/>
              <w:rPr>
                <w:sz w:val="1"/>
                <w:szCs w:val="1"/>
                <w:color w:val="auto"/>
              </w:rPr>
            </w:pPr>
          </w:p>
        </w:tc>
      </w:tr>
      <w:tr>
        <w:trPr>
          <w:trHeight w:val="215"/>
        </w:trPr>
        <w:tc>
          <w:tcPr>
            <w:tcW w:w="4300" w:type="dxa"/>
            <w:vAlign w:val="bottom"/>
          </w:tcPr>
          <w:p>
            <w:pPr>
              <w:ind w:left="20"/>
              <w:spacing w:after="0" w:line="215" w:lineRule="exact"/>
              <w:rPr>
                <w:sz w:val="20"/>
                <w:szCs w:val="20"/>
                <w:color w:val="auto"/>
              </w:rPr>
            </w:pPr>
            <w:r>
              <w:rPr>
                <w:rFonts w:ascii="Calibri" w:cs="Calibri" w:eastAsia="Calibri" w:hAnsi="Calibri"/>
                <w:sz w:val="18"/>
                <w:szCs w:val="18"/>
                <w:color w:val="auto"/>
              </w:rPr>
              <w:t>Income tax expense</w:t>
            </w:r>
          </w:p>
        </w:tc>
        <w:tc>
          <w:tcPr>
            <w:tcW w:w="940" w:type="dxa"/>
            <w:vAlign w:val="bottom"/>
          </w:tcPr>
          <w:p>
            <w:pPr>
              <w:spacing w:after="0"/>
              <w:rPr>
                <w:sz w:val="18"/>
                <w:szCs w:val="18"/>
                <w:color w:val="auto"/>
              </w:rPr>
            </w:pPr>
          </w:p>
        </w:tc>
        <w:tc>
          <w:tcPr>
            <w:tcW w:w="840" w:type="dxa"/>
            <w:vAlign w:val="bottom"/>
            <w:gridSpan w:val="2"/>
          </w:tcPr>
          <w:p>
            <w:pPr>
              <w:jc w:val="right"/>
              <w:ind w:right="320"/>
              <w:spacing w:after="0" w:line="215" w:lineRule="exact"/>
              <w:rPr>
                <w:sz w:val="20"/>
                <w:szCs w:val="20"/>
                <w:color w:val="auto"/>
              </w:rPr>
            </w:pPr>
            <w:r>
              <w:rPr>
                <w:rFonts w:ascii="Calibri" w:cs="Calibri" w:eastAsia="Calibri" w:hAnsi="Calibri"/>
                <w:sz w:val="18"/>
                <w:szCs w:val="18"/>
                <w:color w:val="auto"/>
              </w:rPr>
              <w:t>—</w:t>
            </w:r>
          </w:p>
        </w:tc>
        <w:tc>
          <w:tcPr>
            <w:tcW w:w="940" w:type="dxa"/>
            <w:vAlign w:val="bottom"/>
          </w:tcPr>
          <w:p>
            <w:pPr>
              <w:spacing w:after="0"/>
              <w:rPr>
                <w:sz w:val="18"/>
                <w:szCs w:val="18"/>
                <w:color w:val="auto"/>
              </w:rPr>
            </w:pPr>
          </w:p>
        </w:tc>
        <w:tc>
          <w:tcPr>
            <w:tcW w:w="5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line="215" w:lineRule="exact"/>
              <w:rPr>
                <w:sz w:val="20"/>
                <w:szCs w:val="20"/>
                <w:color w:val="auto"/>
              </w:rPr>
            </w:pPr>
            <w:r>
              <w:rPr>
                <w:rFonts w:ascii="Calibri" w:cs="Calibri" w:eastAsia="Calibri" w:hAnsi="Calibri"/>
                <w:sz w:val="18"/>
                <w:szCs w:val="18"/>
                <w:color w:val="auto"/>
              </w:rPr>
              <w:t>76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7"/>
        </w:trPr>
        <w:tc>
          <w:tcPr>
            <w:tcW w:w="430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Interest expense - net</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2,699</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99"/>
              </w:rPr>
              <w:t>16,839</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6,641</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300" w:type="dxa"/>
            <w:vAlign w:val="bottom"/>
          </w:tcPr>
          <w:p>
            <w:pPr>
              <w:ind w:left="20"/>
              <w:spacing w:after="0" w:line="156" w:lineRule="exact"/>
              <w:rPr>
                <w:sz w:val="20"/>
                <w:szCs w:val="20"/>
                <w:color w:val="auto"/>
              </w:rPr>
            </w:pPr>
            <w:r>
              <w:rPr>
                <w:rFonts w:ascii="Calibri" w:cs="Calibri" w:eastAsia="Calibri" w:hAnsi="Calibri"/>
                <w:sz w:val="16"/>
                <w:szCs w:val="16"/>
                <w:color w:val="auto"/>
              </w:rPr>
              <w:t>Depreciaton and amortzaton</w:t>
            </w:r>
          </w:p>
        </w:tc>
        <w:tc>
          <w:tcPr>
            <w:tcW w:w="94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Calibri" w:cs="Calibri" w:eastAsia="Calibri" w:hAnsi="Calibri"/>
                <w:sz w:val="16"/>
                <w:szCs w:val="16"/>
                <w:color w:val="auto"/>
              </w:rPr>
              <w:t>1,726</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Calibri" w:cs="Calibri" w:eastAsia="Calibri" w:hAnsi="Calibri"/>
                <w:sz w:val="16"/>
                <w:szCs w:val="16"/>
                <w:color w:val="auto"/>
              </w:rPr>
              <w:t>500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Calibri" w:cs="Calibri" w:eastAsia="Calibri" w:hAnsi="Calibri"/>
                <w:sz w:val="16"/>
                <w:szCs w:val="16"/>
                <w:color w:val="auto"/>
              </w:rPr>
              <w:t>3,111</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line="156" w:lineRule="exact"/>
              <w:rPr>
                <w:sz w:val="20"/>
                <w:szCs w:val="20"/>
                <w:color w:val="auto"/>
              </w:rPr>
            </w:pPr>
            <w:r>
              <w:rPr>
                <w:rFonts w:ascii="Calibri" w:cs="Calibri" w:eastAsia="Calibri" w:hAnsi="Calibri"/>
                <w:sz w:val="16"/>
                <w:szCs w:val="16"/>
                <w:color w:val="auto"/>
              </w:rPr>
              <w:t>795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line="216" w:lineRule="exact"/>
              <w:rPr>
                <w:sz w:val="20"/>
                <w:szCs w:val="20"/>
                <w:color w:val="auto"/>
              </w:rPr>
            </w:pPr>
            <w:r>
              <w:rPr>
                <w:rFonts w:ascii="Calibri" w:cs="Calibri" w:eastAsia="Calibri" w:hAnsi="Calibri"/>
                <w:sz w:val="17"/>
                <w:szCs w:val="17"/>
                <w:color w:val="auto"/>
              </w:rPr>
              <w:t>Sales tax liability</w:t>
            </w:r>
            <w:r>
              <w:rPr>
                <w:rFonts w:ascii="Calibri" w:cs="Calibri" w:eastAsia="Calibri" w:hAnsi="Calibri"/>
                <w:sz w:val="23"/>
                <w:szCs w:val="23"/>
                <w:color w:val="auto"/>
                <w:vertAlign w:val="superscript"/>
              </w:rPr>
              <w:t>(1)</w:t>
            </w:r>
          </w:p>
        </w:tc>
        <w:tc>
          <w:tcPr>
            <w:tcW w:w="940" w:type="dxa"/>
            <w:vAlign w:val="bottom"/>
          </w:tcPr>
          <w:p>
            <w:pPr>
              <w:spacing w:after="0"/>
              <w:rPr>
                <w:sz w:val="18"/>
                <w:szCs w:val="18"/>
                <w:color w:val="auto"/>
              </w:rPr>
            </w:pPr>
          </w:p>
        </w:tc>
        <w:tc>
          <w:tcPr>
            <w:tcW w:w="540" w:type="dxa"/>
            <w:vAlign w:val="bottom"/>
          </w:tcPr>
          <w:p>
            <w:pPr>
              <w:jc w:val="right"/>
              <w:spacing w:after="0" w:line="216" w:lineRule="exact"/>
              <w:rPr>
                <w:sz w:val="20"/>
                <w:szCs w:val="20"/>
                <w:color w:val="auto"/>
              </w:rPr>
            </w:pPr>
            <w:r>
              <w:rPr>
                <w:rFonts w:ascii="Calibri" w:cs="Calibri" w:eastAsia="Calibri" w:hAnsi="Calibri"/>
                <w:sz w:val="18"/>
                <w:szCs w:val="18"/>
                <w:color w:val="auto"/>
              </w:rPr>
              <w:t>2,010</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line="216" w:lineRule="exact"/>
              <w:rPr>
                <w:sz w:val="20"/>
                <w:szCs w:val="20"/>
                <w:color w:val="auto"/>
              </w:rPr>
            </w:pPr>
            <w:r>
              <w:rPr>
                <w:rFonts w:ascii="Calibri" w:cs="Calibri" w:eastAsia="Calibri" w:hAnsi="Calibri"/>
                <w:sz w:val="18"/>
                <w:szCs w:val="18"/>
                <w:color w:val="auto"/>
                <w:w w:val="99"/>
              </w:rPr>
              <w:t>10,726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line="216" w:lineRule="exact"/>
              <w:rPr>
                <w:sz w:val="20"/>
                <w:szCs w:val="20"/>
                <w:color w:val="auto"/>
              </w:rPr>
            </w:pPr>
            <w:r>
              <w:rPr>
                <w:rFonts w:ascii="Calibri" w:cs="Calibri" w:eastAsia="Calibri" w:hAnsi="Calibri"/>
                <w:sz w:val="18"/>
                <w:szCs w:val="18"/>
                <w:color w:val="auto"/>
              </w:rPr>
              <w:t>2,932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Calibri" w:cs="Calibri" w:eastAsia="Calibri" w:hAnsi="Calibri"/>
                <w:sz w:val="18"/>
                <w:szCs w:val="18"/>
                <w:color w:val="auto"/>
              </w:rPr>
              <w:t>12,987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line="216" w:lineRule="exact"/>
              <w:rPr>
                <w:sz w:val="20"/>
                <w:szCs w:val="20"/>
                <w:color w:val="auto"/>
              </w:rPr>
            </w:pPr>
            <w:r>
              <w:rPr>
                <w:rFonts w:ascii="Calibri" w:cs="Calibri" w:eastAsia="Calibri" w:hAnsi="Calibri"/>
                <w:sz w:val="17"/>
                <w:szCs w:val="17"/>
                <w:color w:val="auto"/>
              </w:rPr>
              <w:t>Transacton costs</w:t>
            </w:r>
            <w:r>
              <w:rPr>
                <w:rFonts w:ascii="Calibri" w:cs="Calibri" w:eastAsia="Calibri" w:hAnsi="Calibri"/>
                <w:sz w:val="23"/>
                <w:szCs w:val="23"/>
                <w:color w:val="auto"/>
                <w:vertAlign w:val="superscript"/>
              </w:rPr>
              <w:t>(2)</w:t>
            </w:r>
          </w:p>
        </w:tc>
        <w:tc>
          <w:tcPr>
            <w:tcW w:w="940" w:type="dxa"/>
            <w:vAlign w:val="bottom"/>
          </w:tcPr>
          <w:p>
            <w:pPr>
              <w:spacing w:after="0"/>
              <w:rPr>
                <w:sz w:val="18"/>
                <w:szCs w:val="18"/>
                <w:color w:val="auto"/>
              </w:rPr>
            </w:pPr>
          </w:p>
        </w:tc>
        <w:tc>
          <w:tcPr>
            <w:tcW w:w="540" w:type="dxa"/>
            <w:vAlign w:val="bottom"/>
          </w:tcPr>
          <w:p>
            <w:pPr>
              <w:jc w:val="right"/>
              <w:spacing w:after="0" w:line="216" w:lineRule="exact"/>
              <w:rPr>
                <w:sz w:val="20"/>
                <w:szCs w:val="20"/>
                <w:color w:val="auto"/>
              </w:rPr>
            </w:pPr>
            <w:r>
              <w:rPr>
                <w:rFonts w:ascii="Calibri" w:cs="Calibri" w:eastAsia="Calibri" w:hAnsi="Calibri"/>
                <w:sz w:val="18"/>
                <w:szCs w:val="18"/>
                <w:color w:val="auto"/>
              </w:rPr>
              <w:t>2,345</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line="216" w:lineRule="exact"/>
              <w:rPr>
                <w:sz w:val="20"/>
                <w:szCs w:val="20"/>
                <w:color w:val="auto"/>
              </w:rPr>
            </w:pPr>
            <w:r>
              <w:rPr>
                <w:rFonts w:ascii="Calibri" w:cs="Calibri" w:eastAsia="Calibri" w:hAnsi="Calibri"/>
                <w:sz w:val="18"/>
                <w:szCs w:val="18"/>
                <w:color w:val="auto"/>
              </w:rPr>
              <w:t>3,863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line="216" w:lineRule="exact"/>
              <w:rPr>
                <w:sz w:val="20"/>
                <w:szCs w:val="20"/>
                <w:color w:val="auto"/>
              </w:rPr>
            </w:pPr>
            <w:r>
              <w:rPr>
                <w:rFonts w:ascii="Calibri" w:cs="Calibri" w:eastAsia="Calibri" w:hAnsi="Calibri"/>
                <w:sz w:val="18"/>
                <w:szCs w:val="18"/>
                <w:color w:val="auto"/>
              </w:rPr>
              <w:t>3,747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Calibri" w:cs="Calibri" w:eastAsia="Calibri" w:hAnsi="Calibri"/>
                <w:sz w:val="18"/>
                <w:szCs w:val="18"/>
                <w:color w:val="auto"/>
              </w:rPr>
              <w:t>7,409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line="216" w:lineRule="exact"/>
              <w:rPr>
                <w:sz w:val="20"/>
                <w:szCs w:val="20"/>
                <w:color w:val="auto"/>
              </w:rPr>
            </w:pPr>
            <w:r>
              <w:rPr>
                <w:rFonts w:ascii="Calibri" w:cs="Calibri" w:eastAsia="Calibri" w:hAnsi="Calibri"/>
                <w:sz w:val="17"/>
                <w:szCs w:val="17"/>
                <w:color w:val="auto"/>
              </w:rPr>
              <w:t>Equity-based compensaton</w:t>
            </w:r>
            <w:r>
              <w:rPr>
                <w:rFonts w:ascii="Calibri" w:cs="Calibri" w:eastAsia="Calibri" w:hAnsi="Calibri"/>
                <w:sz w:val="23"/>
                <w:szCs w:val="23"/>
                <w:color w:val="auto"/>
                <w:vertAlign w:val="superscript"/>
              </w:rPr>
              <w:t>(3)</w:t>
            </w:r>
          </w:p>
        </w:tc>
        <w:tc>
          <w:tcPr>
            <w:tcW w:w="940" w:type="dxa"/>
            <w:vAlign w:val="bottom"/>
          </w:tcPr>
          <w:p>
            <w:pPr>
              <w:spacing w:after="0"/>
              <w:rPr>
                <w:sz w:val="18"/>
                <w:szCs w:val="18"/>
                <w:color w:val="auto"/>
              </w:rPr>
            </w:pPr>
          </w:p>
        </w:tc>
        <w:tc>
          <w:tcPr>
            <w:tcW w:w="540" w:type="dxa"/>
            <w:vAlign w:val="bottom"/>
          </w:tcPr>
          <w:p>
            <w:pPr>
              <w:jc w:val="right"/>
              <w:spacing w:after="0" w:line="216" w:lineRule="exact"/>
              <w:rPr>
                <w:sz w:val="20"/>
                <w:szCs w:val="20"/>
                <w:color w:val="auto"/>
              </w:rPr>
            </w:pPr>
            <w:r>
              <w:rPr>
                <w:rFonts w:ascii="Calibri" w:cs="Calibri" w:eastAsia="Calibri" w:hAnsi="Calibri"/>
                <w:sz w:val="18"/>
                <w:szCs w:val="18"/>
                <w:color w:val="auto"/>
              </w:rPr>
              <w:t>5,312</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line="216" w:lineRule="exact"/>
              <w:rPr>
                <w:sz w:val="20"/>
                <w:szCs w:val="20"/>
                <w:color w:val="auto"/>
              </w:rPr>
            </w:pPr>
            <w:r>
              <w:rPr>
                <w:rFonts w:ascii="Calibri" w:cs="Calibri" w:eastAsia="Calibri" w:hAnsi="Calibri"/>
                <w:sz w:val="18"/>
                <w:szCs w:val="18"/>
                <w:color w:val="auto"/>
              </w:rPr>
              <w:t>1,184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line="216" w:lineRule="exact"/>
              <w:rPr>
                <w:sz w:val="20"/>
                <w:szCs w:val="20"/>
                <w:color w:val="auto"/>
              </w:rPr>
            </w:pPr>
            <w:r>
              <w:rPr>
                <w:rFonts w:ascii="Calibri" w:cs="Calibri" w:eastAsia="Calibri" w:hAnsi="Calibri"/>
                <w:sz w:val="18"/>
                <w:szCs w:val="18"/>
                <w:color w:val="auto"/>
              </w:rPr>
              <w:t>8,909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Calibri" w:cs="Calibri" w:eastAsia="Calibri" w:hAnsi="Calibri"/>
                <w:sz w:val="18"/>
                <w:szCs w:val="18"/>
                <w:color w:val="auto"/>
              </w:rPr>
              <w:t>2,274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line="216" w:lineRule="exact"/>
              <w:rPr>
                <w:sz w:val="20"/>
                <w:szCs w:val="20"/>
                <w:color w:val="auto"/>
              </w:rPr>
            </w:pPr>
            <w:r>
              <w:rPr>
                <w:rFonts w:ascii="Calibri" w:cs="Calibri" w:eastAsia="Calibri" w:hAnsi="Calibri"/>
                <w:sz w:val="17"/>
                <w:szCs w:val="17"/>
                <w:color w:val="auto"/>
              </w:rPr>
              <w:t>Loss on extnguishment of debt</w:t>
            </w:r>
            <w:r>
              <w:rPr>
                <w:rFonts w:ascii="Calibri" w:cs="Calibri" w:eastAsia="Calibri" w:hAnsi="Calibri"/>
                <w:sz w:val="23"/>
                <w:szCs w:val="23"/>
                <w:color w:val="auto"/>
                <w:vertAlign w:val="superscript"/>
              </w:rPr>
              <w:t>(4)</w:t>
            </w:r>
          </w:p>
        </w:tc>
        <w:tc>
          <w:tcPr>
            <w:tcW w:w="940" w:type="dxa"/>
            <w:vAlign w:val="bottom"/>
          </w:tcPr>
          <w:p>
            <w:pPr>
              <w:spacing w:after="0"/>
              <w:rPr>
                <w:sz w:val="18"/>
                <w:szCs w:val="18"/>
                <w:color w:val="auto"/>
              </w:rPr>
            </w:pPr>
          </w:p>
        </w:tc>
        <w:tc>
          <w:tcPr>
            <w:tcW w:w="840" w:type="dxa"/>
            <w:vAlign w:val="bottom"/>
            <w:gridSpan w:val="2"/>
          </w:tcPr>
          <w:p>
            <w:pPr>
              <w:jc w:val="right"/>
              <w:ind w:right="320"/>
              <w:spacing w:after="0" w:line="216" w:lineRule="exact"/>
              <w:rPr>
                <w:sz w:val="20"/>
                <w:szCs w:val="20"/>
                <w:color w:val="auto"/>
              </w:rPr>
            </w:pPr>
            <w:r>
              <w:rPr>
                <w:rFonts w:ascii="Calibri" w:cs="Calibri" w:eastAsia="Calibri" w:hAnsi="Calibri"/>
                <w:sz w:val="18"/>
                <w:szCs w:val="18"/>
                <w:color w:val="auto"/>
              </w:rPr>
              <w:t>—</w:t>
            </w:r>
          </w:p>
        </w:tc>
        <w:tc>
          <w:tcPr>
            <w:tcW w:w="940" w:type="dxa"/>
            <w:vAlign w:val="bottom"/>
          </w:tcPr>
          <w:p>
            <w:pPr>
              <w:spacing w:after="0"/>
              <w:rPr>
                <w:sz w:val="18"/>
                <w:szCs w:val="18"/>
                <w:color w:val="auto"/>
              </w:rPr>
            </w:pPr>
          </w:p>
        </w:tc>
        <w:tc>
          <w:tcPr>
            <w:tcW w:w="540" w:type="dxa"/>
            <w:vAlign w:val="bottom"/>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line="216" w:lineRule="exact"/>
              <w:rPr>
                <w:sz w:val="20"/>
                <w:szCs w:val="20"/>
                <w:color w:val="auto"/>
              </w:rPr>
            </w:pPr>
            <w:r>
              <w:rPr>
                <w:rFonts w:ascii="Calibri" w:cs="Calibri" w:eastAsia="Calibri" w:hAnsi="Calibri"/>
                <w:sz w:val="18"/>
                <w:szCs w:val="18"/>
                <w:color w:val="auto"/>
              </w:rPr>
              <w:t>4,285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20"/>
              <w:spacing w:after="0" w:line="216" w:lineRule="exact"/>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line="216" w:lineRule="exact"/>
              <w:rPr>
                <w:sz w:val="20"/>
                <w:szCs w:val="20"/>
                <w:color w:val="auto"/>
              </w:rPr>
            </w:pPr>
            <w:r>
              <w:rPr>
                <w:rFonts w:ascii="Calibri" w:cs="Calibri" w:eastAsia="Calibri" w:hAnsi="Calibri"/>
                <w:sz w:val="17"/>
                <w:szCs w:val="17"/>
                <w:color w:val="auto"/>
              </w:rPr>
              <w:t>Litgaton, setlements and related costs</w:t>
            </w:r>
            <w:r>
              <w:rPr>
                <w:rFonts w:ascii="Calibri" w:cs="Calibri" w:eastAsia="Calibri" w:hAnsi="Calibri"/>
                <w:sz w:val="23"/>
                <w:szCs w:val="23"/>
                <w:color w:val="auto"/>
                <w:vertAlign w:val="superscript"/>
              </w:rPr>
              <w:t>(5)</w:t>
            </w:r>
          </w:p>
        </w:tc>
        <w:tc>
          <w:tcPr>
            <w:tcW w:w="940" w:type="dxa"/>
            <w:vAlign w:val="bottom"/>
          </w:tcPr>
          <w:p>
            <w:pPr>
              <w:spacing w:after="0"/>
              <w:rPr>
                <w:sz w:val="18"/>
                <w:szCs w:val="18"/>
                <w:color w:val="auto"/>
              </w:rPr>
            </w:pPr>
          </w:p>
        </w:tc>
        <w:tc>
          <w:tcPr>
            <w:tcW w:w="540" w:type="dxa"/>
            <w:vAlign w:val="bottom"/>
          </w:tcPr>
          <w:p>
            <w:pPr>
              <w:jc w:val="right"/>
              <w:spacing w:after="0" w:line="216" w:lineRule="exact"/>
              <w:rPr>
                <w:sz w:val="20"/>
                <w:szCs w:val="20"/>
                <w:color w:val="auto"/>
              </w:rPr>
            </w:pPr>
            <w:r>
              <w:rPr>
                <w:rFonts w:ascii="Calibri" w:cs="Calibri" w:eastAsia="Calibri" w:hAnsi="Calibri"/>
                <w:sz w:val="18"/>
                <w:szCs w:val="18"/>
                <w:color w:val="auto"/>
              </w:rPr>
              <w:t>1,009</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line="216" w:lineRule="exact"/>
              <w:rPr>
                <w:sz w:val="20"/>
                <w:szCs w:val="20"/>
                <w:color w:val="auto"/>
              </w:rPr>
            </w:pPr>
            <w:r>
              <w:rPr>
                <w:rFonts w:ascii="Calibri" w:cs="Calibri" w:eastAsia="Calibri" w:hAnsi="Calibri"/>
                <w:sz w:val="18"/>
                <w:szCs w:val="18"/>
                <w:color w:val="auto"/>
              </w:rPr>
              <w:t>438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line="216" w:lineRule="exact"/>
              <w:rPr>
                <w:sz w:val="20"/>
                <w:szCs w:val="20"/>
                <w:color w:val="auto"/>
              </w:rPr>
            </w:pPr>
            <w:r>
              <w:rPr>
                <w:rFonts w:ascii="Calibri" w:cs="Calibri" w:eastAsia="Calibri" w:hAnsi="Calibri"/>
                <w:sz w:val="18"/>
                <w:szCs w:val="18"/>
                <w:color w:val="auto"/>
              </w:rPr>
              <w:t>995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Calibri" w:cs="Calibri" w:eastAsia="Calibri" w:hAnsi="Calibri"/>
                <w:sz w:val="18"/>
                <w:szCs w:val="18"/>
                <w:color w:val="auto"/>
              </w:rPr>
              <w:t>1,079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line="216" w:lineRule="exact"/>
              <w:rPr>
                <w:sz w:val="20"/>
                <w:szCs w:val="20"/>
                <w:color w:val="auto"/>
              </w:rPr>
            </w:pPr>
            <w:r>
              <w:rPr>
                <w:rFonts w:ascii="Calibri" w:cs="Calibri" w:eastAsia="Calibri" w:hAnsi="Calibri"/>
                <w:sz w:val="17"/>
                <w:szCs w:val="17"/>
                <w:color w:val="auto"/>
              </w:rPr>
              <w:t>Severance related to COVID-19</w:t>
            </w:r>
            <w:r>
              <w:rPr>
                <w:rFonts w:ascii="Calibri" w:cs="Calibri" w:eastAsia="Calibri" w:hAnsi="Calibri"/>
                <w:sz w:val="23"/>
                <w:szCs w:val="23"/>
                <w:color w:val="auto"/>
                <w:vertAlign w:val="superscript"/>
              </w:rPr>
              <w:t>(6)</w:t>
            </w:r>
          </w:p>
        </w:tc>
        <w:tc>
          <w:tcPr>
            <w:tcW w:w="940" w:type="dxa"/>
            <w:vAlign w:val="bottom"/>
          </w:tcPr>
          <w:p>
            <w:pPr>
              <w:spacing w:after="0"/>
              <w:rPr>
                <w:sz w:val="18"/>
                <w:szCs w:val="18"/>
                <w:color w:val="auto"/>
              </w:rPr>
            </w:pPr>
          </w:p>
        </w:tc>
        <w:tc>
          <w:tcPr>
            <w:tcW w:w="840" w:type="dxa"/>
            <w:vAlign w:val="bottom"/>
            <w:gridSpan w:val="2"/>
          </w:tcPr>
          <w:p>
            <w:pPr>
              <w:jc w:val="right"/>
              <w:ind w:right="320"/>
              <w:spacing w:after="0" w:line="216" w:lineRule="exact"/>
              <w:rPr>
                <w:sz w:val="20"/>
                <w:szCs w:val="20"/>
                <w:color w:val="auto"/>
              </w:rPr>
            </w:pPr>
            <w:r>
              <w:rPr>
                <w:rFonts w:ascii="Calibri" w:cs="Calibri" w:eastAsia="Calibri" w:hAnsi="Calibri"/>
                <w:sz w:val="18"/>
                <w:szCs w:val="18"/>
                <w:color w:val="auto"/>
              </w:rPr>
              <w:t>—</w:t>
            </w:r>
          </w:p>
        </w:tc>
        <w:tc>
          <w:tcPr>
            <w:tcW w:w="940" w:type="dxa"/>
            <w:vAlign w:val="bottom"/>
          </w:tcPr>
          <w:p>
            <w:pPr>
              <w:spacing w:after="0"/>
              <w:rPr>
                <w:sz w:val="18"/>
                <w:szCs w:val="18"/>
                <w:color w:val="auto"/>
              </w:rPr>
            </w:pPr>
          </w:p>
        </w:tc>
        <w:tc>
          <w:tcPr>
            <w:tcW w:w="540" w:type="dxa"/>
            <w:vAlign w:val="bottom"/>
          </w:tcPr>
          <w:p>
            <w:pPr>
              <w:jc w:val="right"/>
              <w:spacing w:after="0" w:line="216"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280"/>
              <w:spacing w:after="0" w:line="216" w:lineRule="exact"/>
              <w:rPr>
                <w:sz w:val="20"/>
                <w:szCs w:val="20"/>
                <w:color w:val="auto"/>
              </w:rPr>
            </w:pPr>
            <w:r>
              <w:rPr>
                <w:rFonts w:ascii="Calibri" w:cs="Calibri" w:eastAsia="Calibri" w:hAnsi="Calibri"/>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spacing w:after="0" w:line="216" w:lineRule="exact"/>
              <w:rPr>
                <w:sz w:val="20"/>
                <w:szCs w:val="20"/>
                <w:color w:val="auto"/>
              </w:rPr>
            </w:pPr>
            <w:r>
              <w:rPr>
                <w:rFonts w:ascii="Calibri" w:cs="Calibri" w:eastAsia="Calibri" w:hAnsi="Calibri"/>
                <w:sz w:val="18"/>
                <w:szCs w:val="18"/>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300" w:type="dxa"/>
            <w:vAlign w:val="bottom"/>
          </w:tcPr>
          <w:p>
            <w:pPr>
              <w:ind w:left="20"/>
              <w:spacing w:after="0" w:line="276" w:lineRule="exact"/>
              <w:rPr>
                <w:sz w:val="20"/>
                <w:szCs w:val="20"/>
                <w:color w:val="auto"/>
              </w:rPr>
            </w:pPr>
            <w:r>
              <w:rPr>
                <w:rFonts w:ascii="Calibri" w:cs="Calibri" w:eastAsia="Calibri" w:hAnsi="Calibri"/>
                <w:sz w:val="18"/>
                <w:szCs w:val="18"/>
                <w:color w:val="auto"/>
              </w:rPr>
              <w:t>Change in fair value of warrants</w:t>
            </w:r>
            <w:r>
              <w:rPr>
                <w:rFonts w:ascii="Calibri" w:cs="Calibri" w:eastAsia="Calibri" w:hAnsi="Calibri"/>
                <w:sz w:val="24"/>
                <w:szCs w:val="24"/>
                <w:color w:val="auto"/>
                <w:vertAlign w:val="superscript"/>
              </w:rPr>
              <w:t>(7)</w:t>
            </w:r>
          </w:p>
        </w:tc>
        <w:tc>
          <w:tcPr>
            <w:tcW w:w="94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Calibri" w:cs="Calibri" w:eastAsia="Calibri" w:hAnsi="Calibri"/>
                <w:sz w:val="18"/>
                <w:szCs w:val="18"/>
                <w:color w:val="auto"/>
              </w:rPr>
              <w:t>(8,832 )</w:t>
            </w:r>
          </w:p>
        </w:tc>
        <w:tc>
          <w:tcPr>
            <w:tcW w:w="9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Calibri" w:cs="Calibri" w:eastAsia="Calibri" w:hAnsi="Calibri"/>
                <w:sz w:val="18"/>
                <w:szCs w:val="18"/>
                <w:color w:val="auto"/>
              </w:rPr>
              <w:t>(6,553 )</w:t>
            </w:r>
          </w:p>
        </w:tc>
        <w:tc>
          <w:tcPr>
            <w:tcW w:w="34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Calibri" w:cs="Calibri" w:eastAsia="Calibri" w:hAnsi="Calibri"/>
                <w:sz w:val="18"/>
                <w:szCs w:val="18"/>
                <w:color w:val="auto"/>
              </w:rPr>
              <w:t>—</w:t>
            </w:r>
          </w:p>
        </w:tc>
        <w:tc>
          <w:tcPr>
            <w:tcW w:w="0" w:type="dxa"/>
            <w:vAlign w:val="bottom"/>
          </w:tcPr>
          <w:p>
            <w:pPr>
              <w:spacing w:after="0"/>
              <w:rPr>
                <w:sz w:val="1"/>
                <w:szCs w:val="1"/>
                <w:color w:val="auto"/>
              </w:rPr>
            </w:pPr>
          </w:p>
        </w:tc>
      </w:tr>
      <w:tr>
        <w:trPr>
          <w:trHeight w:val="210"/>
        </w:trPr>
        <w:tc>
          <w:tcPr>
            <w:tcW w:w="430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Adjusted EBITDA</w:t>
            </w:r>
          </w:p>
        </w:tc>
        <w:tc>
          <w:tcPr>
            <w:tcW w:w="940" w:type="dxa"/>
            <w:vAlign w:val="bottom"/>
            <w:tcBorders>
              <w:top w:val="single" w:sz="8" w:color="auto"/>
              <w:bottom w:val="single" w:sz="8" w:color="auto"/>
            </w:tcBorders>
          </w:tcPr>
          <w:p>
            <w:pPr>
              <w:jc w:val="right"/>
              <w:ind w:right="750"/>
              <w:spacing w:after="0" w:line="209" w:lineRule="exact"/>
              <w:rPr>
                <w:sz w:val="20"/>
                <w:szCs w:val="20"/>
                <w:color w:val="auto"/>
              </w:rPr>
            </w:pPr>
            <w:r>
              <w:rPr>
                <w:rFonts w:ascii="Calibri" w:cs="Calibri" w:eastAsia="Calibri" w:hAnsi="Calibri"/>
                <w:sz w:val="18"/>
                <w:szCs w:val="18"/>
                <w:b w:val="1"/>
                <w:bCs w:val="1"/>
                <w:color w:val="auto"/>
                <w:w w:val="87"/>
              </w:rPr>
              <w:t>$</w:t>
            </w:r>
          </w:p>
        </w:tc>
        <w:tc>
          <w:tcPr>
            <w:tcW w:w="5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w w:val="99"/>
              </w:rPr>
              <w:t>30,329</w:t>
            </w:r>
          </w:p>
        </w:tc>
        <w:tc>
          <w:tcPr>
            <w:tcW w:w="3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line="209" w:lineRule="exact"/>
              <w:rPr>
                <w:sz w:val="20"/>
                <w:szCs w:val="20"/>
                <w:color w:val="auto"/>
              </w:rPr>
            </w:pPr>
            <w:r>
              <w:rPr>
                <w:rFonts w:ascii="Calibri" w:cs="Calibri" w:eastAsia="Calibri" w:hAnsi="Calibri"/>
                <w:sz w:val="18"/>
                <w:szCs w:val="18"/>
                <w:b w:val="1"/>
                <w:bCs w:val="1"/>
                <w:color w:val="auto"/>
                <w:w w:val="87"/>
              </w:rPr>
              <w:t>$</w:t>
            </w:r>
          </w:p>
        </w:tc>
        <w:tc>
          <w:tcPr>
            <w:tcW w:w="54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w w:val="99"/>
              </w:rPr>
              <w:t>36,195</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gridSpan w:val="2"/>
          </w:tcPr>
          <w:p>
            <w:pPr>
              <w:jc w:val="right"/>
              <w:ind w:right="730"/>
              <w:spacing w:after="0" w:line="209" w:lineRule="exact"/>
              <w:rPr>
                <w:sz w:val="20"/>
                <w:szCs w:val="20"/>
                <w:color w:val="auto"/>
              </w:rPr>
            </w:pPr>
            <w:r>
              <w:rPr>
                <w:rFonts w:ascii="Calibri" w:cs="Calibri" w:eastAsia="Calibri" w:hAnsi="Calibri"/>
                <w:sz w:val="18"/>
                <w:szCs w:val="18"/>
                <w:b w:val="1"/>
                <w:bCs w:val="1"/>
                <w:color w:val="auto"/>
              </w:rPr>
              <w:t>$</w:t>
            </w:r>
          </w:p>
        </w:tc>
        <w:tc>
          <w:tcPr>
            <w:tcW w:w="5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w w:val="99"/>
              </w:rPr>
              <w:t>51,341</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0"/>
              <w:spacing w:after="0" w:line="209"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40,382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46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6" w:lineRule="exact"/>
        <w:rPr>
          <w:sz w:val="20"/>
          <w:szCs w:val="20"/>
          <w:color w:val="auto"/>
        </w:rPr>
      </w:pPr>
    </w:p>
    <w:p>
      <w:pPr>
        <w:jc w:val="both"/>
        <w:ind w:left="1020" w:hanging="503"/>
        <w:spacing w:after="0" w:line="226" w:lineRule="auto"/>
        <w:tabs>
          <w:tab w:leader="none" w:pos="102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We have historically incurred sales tax expense in jurisdictons where we expected to remit sales tax payments but were not yet collectng from customers. During the second half of 2021, we began collectng sales tax from customers in all required states. The sales tax liability presented herein represents the exposure for sales tax prior to the date we began collectng sales tax from customers reduced by abatements received, inclusive of any penaltes and interest assessed by the jurisdictons. Discussions with jurisdictons regarding our liability for uncollected sales taxes contnued during the period ended June 30, 2022.</w:t>
      </w:r>
    </w:p>
    <w:p>
      <w:pPr>
        <w:spacing w:after="0" w:line="99" w:lineRule="exact"/>
        <w:rPr>
          <w:rFonts w:ascii="Calibri" w:cs="Calibri" w:eastAsia="Calibri" w:hAnsi="Calibri"/>
          <w:sz w:val="18"/>
          <w:szCs w:val="18"/>
          <w:color w:val="auto"/>
        </w:rPr>
      </w:pPr>
    </w:p>
    <w:p>
      <w:pPr>
        <w:ind w:left="1020" w:right="20" w:hanging="503"/>
        <w:spacing w:after="0" w:line="227" w:lineRule="auto"/>
        <w:tabs>
          <w:tab w:leader="none" w:pos="1020"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Transacton costs consist of legal; accountng; tax and other professional fees; personnel-related costs, which consist of retenton bonuses; and integraton costs. Transacton costs recognized in 2022 were</w:t>
      </w:r>
    </w:p>
    <w:p>
      <w:pPr>
        <w:jc w:val="center"/>
        <w:spacing w:after="0" w:line="237" w:lineRule="auto"/>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9" w:name="page30"/>
    <w:bookmarkEnd w:id="29"/>
    <w:p>
      <w:pPr>
        <w:jc w:val="both"/>
        <w:ind w:left="1020"/>
        <w:spacing w:after="0" w:line="242" w:lineRule="auto"/>
        <w:rPr>
          <w:sz w:val="20"/>
          <w:szCs w:val="20"/>
          <w:color w:val="auto"/>
        </w:rPr>
      </w:pPr>
      <w:r>
        <w:rPr>
          <w:rFonts w:ascii="Calibri" w:cs="Calibri" w:eastAsia="Calibri" w:hAnsi="Calibri"/>
          <w:sz w:val="17"/>
          <w:szCs w:val="17"/>
          <w:color w:val="auto"/>
        </w:rPr>
        <w:t>related to the merger transacton with Horizon Acquisiton Corporaton (the "Merger Transacton"), the acquisiton of Betcha Sports, Inc. ("Betcha"), refnancing of the remaining June 2017 First Lien Loan with a new February 2022 First Lien Loan and our ofering to the holders of our outstanding public warrants to receive shares of Class A Common Stock in exchange for each outstanding public warrant tendered by the holder. Transacton costs recognized in 2021 were related to the Merger Transacton, to the extent they were not eligible for capitalizaton.</w:t>
      </w:r>
    </w:p>
    <w:p>
      <w:pPr>
        <w:spacing w:after="0" w:line="108" w:lineRule="exact"/>
        <w:rPr>
          <w:sz w:val="20"/>
          <w:szCs w:val="20"/>
          <w:color w:val="auto"/>
        </w:rPr>
      </w:pPr>
    </w:p>
    <w:p>
      <w:pPr>
        <w:jc w:val="both"/>
        <w:ind w:left="1020" w:hanging="503"/>
        <w:spacing w:after="0" w:line="228" w:lineRule="auto"/>
        <w:tabs>
          <w:tab w:leader="none" w:pos="10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We incur equity-based compensaton expenses for profts interests issued prior to the Merger Transacton and equity granted according to the 2021 Incentve Award Plan ("2021 Plan"), which we do not consider to be indicatve of our core operatng performance. The 2021 Plan was approved and adopted in order to facilitate the grant of equity incentve awards to our employees and directors. The 2021 Plan became efectve on October 18, 2021.</w:t>
      </w:r>
    </w:p>
    <w:p>
      <w:pPr>
        <w:spacing w:after="0" w:line="91" w:lineRule="exact"/>
        <w:rPr>
          <w:rFonts w:ascii="Calibri" w:cs="Calibri" w:eastAsia="Calibri" w:hAnsi="Calibri"/>
          <w:sz w:val="18"/>
          <w:szCs w:val="18"/>
          <w:color w:val="auto"/>
        </w:rPr>
      </w:pPr>
    </w:p>
    <w:p>
      <w:pPr>
        <w:ind w:left="1020" w:hanging="503"/>
        <w:spacing w:after="0"/>
        <w:tabs>
          <w:tab w:leader="none" w:pos="10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Losses incurred resulted from the extnguishment of the June 2017 First Lien Loan in February 2022.</w:t>
      </w:r>
    </w:p>
    <w:p>
      <w:pPr>
        <w:spacing w:after="0" w:line="95" w:lineRule="exact"/>
        <w:rPr>
          <w:rFonts w:ascii="Calibri" w:cs="Calibri" w:eastAsia="Calibri" w:hAnsi="Calibri"/>
          <w:sz w:val="18"/>
          <w:szCs w:val="18"/>
          <w:color w:val="auto"/>
        </w:rPr>
      </w:pPr>
    </w:p>
    <w:p>
      <w:pPr>
        <w:ind w:left="1020" w:hanging="503"/>
        <w:spacing w:after="0"/>
        <w:tabs>
          <w:tab w:leader="none" w:pos="1020" w:val="left"/>
        </w:tabs>
        <w:numPr>
          <w:ilvl w:val="0"/>
          <w:numId w:val="8"/>
        </w:numPr>
        <w:rPr>
          <w:rFonts w:ascii="Calibri" w:cs="Calibri" w:eastAsia="Calibri" w:hAnsi="Calibri"/>
          <w:sz w:val="17"/>
          <w:szCs w:val="17"/>
          <w:color w:val="auto"/>
        </w:rPr>
      </w:pPr>
      <w:r>
        <w:rPr>
          <w:rFonts w:ascii="Calibri" w:cs="Calibri" w:eastAsia="Calibri" w:hAnsi="Calibri"/>
          <w:sz w:val="17"/>
          <w:szCs w:val="17"/>
          <w:color w:val="auto"/>
        </w:rPr>
        <w:t>These amounts relate to external legal costs, setlement costs and insurance recoveries, which were unrelated to our core business operatons.</w:t>
      </w:r>
    </w:p>
    <w:p>
      <w:pPr>
        <w:spacing w:after="0" w:line="102" w:lineRule="exact"/>
        <w:rPr>
          <w:rFonts w:ascii="Calibri" w:cs="Calibri" w:eastAsia="Calibri" w:hAnsi="Calibri"/>
          <w:sz w:val="17"/>
          <w:szCs w:val="17"/>
          <w:color w:val="auto"/>
        </w:rPr>
      </w:pPr>
    </w:p>
    <w:p>
      <w:pPr>
        <w:ind w:left="1020" w:hanging="503"/>
        <w:spacing w:after="0" w:line="235" w:lineRule="auto"/>
        <w:tabs>
          <w:tab w:leader="none" w:pos="10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These charges relate to severance costs resultng from signifcant reductons in employee headcount due to the efects of the COVID-19 pandemic.</w:t>
      </w:r>
    </w:p>
    <w:p>
      <w:pPr>
        <w:spacing w:after="0" w:line="91" w:lineRule="exact"/>
        <w:rPr>
          <w:rFonts w:ascii="Calibri" w:cs="Calibri" w:eastAsia="Calibri" w:hAnsi="Calibri"/>
          <w:sz w:val="18"/>
          <w:szCs w:val="18"/>
          <w:color w:val="auto"/>
        </w:rPr>
      </w:pPr>
    </w:p>
    <w:p>
      <w:pPr>
        <w:ind w:left="1020" w:hanging="503"/>
        <w:spacing w:after="0"/>
        <w:tabs>
          <w:tab w:leader="none" w:pos="102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This relates to the revaluaton of Hoya Intermediate Warrants following the Merger Transacton.</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Impact of COVID-19</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On March 11, 2020, the World Health Organizaton declared the COVID-19 outbreak a pandemic. Almost immediately, mitgaton measures implemented or recommended by governmental authorites and private organizatons restricted atendance at live events throughout North America resultng in large-scale event cancellatons and meaningfully reduced actvity on our platorm. Beginning in the second quarter of 2021, and contnuing into the second quarter of 2022, we have seen a recovery in tcket orders as mitgaton measures ease. While we have experienced recovery from the COVID-19 pandemic, given the emergence of new variants and contnued infectous cases, signifcant uncertainty remains. If economic conditons caused by the pandemic were to worsen, our fnancial conditon, cash fows, and results of operatons may be further materially impacted.</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Key Factors Afectng our Performance</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There have been no material changes from the “Key Factors Afectng Our Performance” in the Management’s Discussion and Analysis secton disclosed in our 2021 Form 10-K. Our fnancial positon and results of operatons depend to a signifcant extent on those factors.</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b w:val="1"/>
          <w:bCs w:val="1"/>
          <w:color w:val="auto"/>
        </w:rPr>
        <w:t>Results of Operatons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Comparison of the Three and Six Months Ended June 30, 2022 and 2021</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sets forth our results of operatons (in thousands, except percentages):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680" w:type="dxa"/>
            <w:vAlign w:val="bottom"/>
            <w:gridSpan w:val="4"/>
          </w:tcPr>
          <w:p>
            <w:pPr>
              <w:jc w:val="right"/>
              <w:ind w:right="8"/>
              <w:spacing w:after="0"/>
              <w:rPr>
                <w:sz w:val="20"/>
                <w:szCs w:val="20"/>
                <w:color w:val="auto"/>
              </w:rPr>
            </w:pPr>
            <w:r>
              <w:rPr>
                <w:rFonts w:ascii="Calibri" w:cs="Calibri" w:eastAsia="Calibri" w:hAnsi="Calibri"/>
                <w:sz w:val="14"/>
                <w:szCs w:val="14"/>
                <w:b w:val="1"/>
                <w:bCs w:val="1"/>
                <w:color w:val="auto"/>
              </w:rPr>
              <w:t>Three Months Ended June</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360"/>
              <w:spacing w:after="0"/>
              <w:rPr>
                <w:sz w:val="20"/>
                <w:szCs w:val="20"/>
                <w:color w:val="auto"/>
              </w:rPr>
            </w:pPr>
            <w:r>
              <w:rPr>
                <w:rFonts w:ascii="Calibri" w:cs="Calibri" w:eastAsia="Calibri" w:hAnsi="Calibri"/>
                <w:sz w:val="14"/>
                <w:szCs w:val="14"/>
                <w:b w:val="1"/>
                <w:bCs w:val="1"/>
                <w:color w:val="auto"/>
              </w:rPr>
              <w:t>Six Months Ended June</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Calibri" w:cs="Calibri" w:eastAsia="Calibri" w:hAnsi="Calibri"/>
                <w:sz w:val="14"/>
                <w:szCs w:val="14"/>
                <w:b w:val="1"/>
                <w:bCs w:val="1"/>
                <w:color w:val="auto"/>
              </w:rPr>
              <w:t>30,</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14"/>
                <w:szCs w:val="14"/>
                <w:b w:val="1"/>
                <w:bCs w:val="1"/>
                <w:color w:val="auto"/>
              </w:rPr>
              <w:t>30,</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700" w:type="dxa"/>
            <w:vAlign w:val="bottom"/>
          </w:tcPr>
          <w:p>
            <w:pPr>
              <w:jc w:val="right"/>
              <w:ind w:right="128"/>
              <w:spacing w:after="0"/>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alibri" w:cs="Calibri" w:eastAsia="Calibri" w:hAnsi="Calibri"/>
                <w:sz w:val="14"/>
                <w:szCs w:val="14"/>
                <w:b w:val="1"/>
                <w:bCs w:val="1"/>
                <w:color w:val="auto"/>
              </w:rPr>
              <w:t>2021</w:t>
            </w:r>
          </w:p>
        </w:tc>
        <w:tc>
          <w:tcPr>
            <w:tcW w:w="240" w:type="dxa"/>
            <w:vAlign w:val="bottom"/>
          </w:tcPr>
          <w:p>
            <w:pPr>
              <w:spacing w:after="0"/>
              <w:rPr>
                <w:sz w:val="14"/>
                <w:szCs w:val="14"/>
                <w:color w:val="auto"/>
              </w:rPr>
            </w:pPr>
          </w:p>
        </w:tc>
        <w:tc>
          <w:tcPr>
            <w:tcW w:w="920" w:type="dxa"/>
            <w:vAlign w:val="bottom"/>
            <w:gridSpan w:val="2"/>
          </w:tcPr>
          <w:p>
            <w:pPr>
              <w:jc w:val="right"/>
              <w:ind w:right="268"/>
              <w:spacing w:after="0" w:line="156" w:lineRule="exact"/>
              <w:rPr>
                <w:sz w:val="20"/>
                <w:szCs w:val="20"/>
                <w:color w:val="auto"/>
              </w:rPr>
            </w:pPr>
            <w:r>
              <w:rPr>
                <w:rFonts w:ascii="Calibri" w:cs="Calibri" w:eastAsia="Calibri" w:hAnsi="Calibri"/>
                <w:sz w:val="14"/>
                <w:szCs w:val="14"/>
                <w:b w:val="1"/>
                <w:bCs w:val="1"/>
                <w:color w:val="auto"/>
              </w:rPr>
              <w:t>Change</w:t>
            </w:r>
          </w:p>
        </w:tc>
        <w:tc>
          <w:tcPr>
            <w:tcW w:w="980" w:type="dxa"/>
            <w:vAlign w:val="bottom"/>
            <w:gridSpan w:val="2"/>
          </w:tcPr>
          <w:p>
            <w:pPr>
              <w:jc w:val="right"/>
              <w:ind w:right="228"/>
              <w:spacing w:after="0" w:line="156" w:lineRule="exact"/>
              <w:rPr>
                <w:sz w:val="20"/>
                <w:szCs w:val="20"/>
                <w:color w:val="auto"/>
              </w:rPr>
            </w:pPr>
            <w:r>
              <w:rPr>
                <w:rFonts w:ascii="Calibri" w:cs="Calibri" w:eastAsia="Calibri" w:hAnsi="Calibri"/>
                <w:sz w:val="14"/>
                <w:szCs w:val="14"/>
                <w:b w:val="1"/>
                <w:bCs w:val="1"/>
                <w:color w:val="auto"/>
              </w:rPr>
              <w:t>% Change</w:t>
            </w:r>
          </w:p>
        </w:tc>
        <w:tc>
          <w:tcPr>
            <w:tcW w:w="10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4"/>
                <w:szCs w:val="14"/>
                <w:color w:val="auto"/>
              </w:rPr>
            </w:pPr>
          </w:p>
        </w:tc>
        <w:tc>
          <w:tcPr>
            <w:tcW w:w="920" w:type="dxa"/>
            <w:vAlign w:val="bottom"/>
            <w:gridSpan w:val="2"/>
          </w:tcPr>
          <w:p>
            <w:pPr>
              <w:jc w:val="right"/>
              <w:ind w:right="360"/>
              <w:spacing w:after="0" w:line="156" w:lineRule="exact"/>
              <w:rPr>
                <w:sz w:val="20"/>
                <w:szCs w:val="20"/>
                <w:color w:val="auto"/>
              </w:rPr>
            </w:pPr>
            <w:r>
              <w:rPr>
                <w:rFonts w:ascii="Calibri" w:cs="Calibri" w:eastAsia="Calibri" w:hAnsi="Calibri"/>
                <w:sz w:val="14"/>
                <w:szCs w:val="14"/>
                <w:b w:val="1"/>
                <w:bCs w:val="1"/>
                <w:color w:val="auto"/>
              </w:rPr>
              <w:t>Change</w:t>
            </w:r>
          </w:p>
        </w:tc>
        <w:tc>
          <w:tcPr>
            <w:tcW w:w="940" w:type="dxa"/>
            <w:vAlign w:val="bottom"/>
            <w:gridSpan w:val="3"/>
          </w:tcPr>
          <w:p>
            <w:pPr>
              <w:jc w:val="right"/>
              <w:ind w:right="260"/>
              <w:spacing w:after="0" w:line="156"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Revenues</w:t>
            </w:r>
          </w:p>
        </w:tc>
        <w:tc>
          <w:tcPr>
            <w:tcW w:w="70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  147,694</w:t>
            </w:r>
          </w:p>
        </w:tc>
        <w:tc>
          <w:tcPr>
            <w:tcW w:w="2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Calibri" w:cs="Calibri" w:eastAsia="Calibri" w:hAnsi="Calibri"/>
                <w:sz w:val="14"/>
                <w:szCs w:val="14"/>
                <w:color w:val="auto"/>
                <w:w w:val="83"/>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115,498</w:t>
            </w:r>
          </w:p>
        </w:tc>
        <w:tc>
          <w:tcPr>
            <w:tcW w:w="24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   32,196</w:t>
            </w:r>
          </w:p>
        </w:tc>
        <w:tc>
          <w:tcPr>
            <w:tcW w:w="22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28</w:t>
            </w:r>
          </w:p>
        </w:tc>
        <w:tc>
          <w:tcPr>
            <w:tcW w:w="200" w:type="dxa"/>
            <w:vAlign w:val="bottom"/>
            <w:shd w:val="clear" w:color="auto" w:fill="CFF0FC"/>
          </w:tcPr>
          <w:p>
            <w:pPr>
              <w:spacing w:after="0"/>
              <w:rPr>
                <w:sz w:val="20"/>
                <w:szCs w:val="20"/>
                <w:color w:val="auto"/>
              </w:rPr>
            </w:pPr>
            <w:r>
              <w:rPr>
                <w:rFonts w:ascii="Calibri" w:cs="Calibri" w:eastAsia="Calibri" w:hAnsi="Calibri"/>
                <w:sz w:val="14"/>
                <w:szCs w:val="14"/>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278,466</w:t>
            </w:r>
          </w:p>
        </w:tc>
        <w:tc>
          <w:tcPr>
            <w:tcW w:w="220" w:type="dxa"/>
            <w:vAlign w:val="bottom"/>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  139,612</w:t>
            </w: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  138,854</w:t>
            </w:r>
          </w:p>
        </w:tc>
        <w:tc>
          <w:tcPr>
            <w:tcW w:w="22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color w:val="auto"/>
              </w:rPr>
              <w:t>99</w:t>
            </w:r>
          </w:p>
        </w:tc>
        <w:tc>
          <w:tcPr>
            <w:tcW w:w="1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w w:val="79"/>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780" w:type="dxa"/>
            <w:vAlign w:val="bottom"/>
          </w:tcPr>
          <w:p>
            <w:pPr>
              <w:ind w:left="20"/>
              <w:spacing w:after="0"/>
              <w:rPr>
                <w:sz w:val="20"/>
                <w:szCs w:val="20"/>
                <w:color w:val="auto"/>
              </w:rPr>
            </w:pPr>
            <w:r>
              <w:rPr>
                <w:rFonts w:ascii="Calibri" w:cs="Calibri" w:eastAsia="Calibri" w:hAnsi="Calibri"/>
                <w:sz w:val="14"/>
                <w:szCs w:val="14"/>
                <w:b w:val="1"/>
                <w:bCs w:val="1"/>
                <w:color w:val="auto"/>
              </w:rPr>
              <w:t>Costs and expenses:</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780" w:type="dxa"/>
            <w:vAlign w:val="bottom"/>
            <w:shd w:val="clear" w:color="auto" w:fill="CFF0FC"/>
          </w:tcPr>
          <w:p>
            <w:pPr>
              <w:ind w:left="20"/>
              <w:spacing w:after="0" w:line="137" w:lineRule="exact"/>
              <w:rPr>
                <w:sz w:val="20"/>
                <w:szCs w:val="20"/>
                <w:color w:val="auto"/>
              </w:rPr>
            </w:pPr>
            <w:r>
              <w:rPr>
                <w:rFonts w:ascii="Calibri" w:cs="Calibri" w:eastAsia="Calibri" w:hAnsi="Calibri"/>
                <w:sz w:val="14"/>
                <w:szCs w:val="14"/>
                <w:color w:val="auto"/>
              </w:rPr>
              <w:t>Cost of revenues (exclusive of depreciaton and amortzaton</w:t>
            </w:r>
          </w:p>
        </w:tc>
        <w:tc>
          <w:tcPr>
            <w:tcW w:w="7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7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color w:val="auto"/>
              </w:rPr>
              <w:t>shown separately below)</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32,422</w:t>
            </w: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19,986</w:t>
            </w:r>
          </w:p>
        </w:tc>
        <w:tc>
          <w:tcPr>
            <w:tcW w:w="94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12,436</w:t>
            </w:r>
          </w:p>
        </w:tc>
        <w:tc>
          <w:tcPr>
            <w:tcW w:w="22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gridSpan w:val="2"/>
            <w:shd w:val="clear" w:color="auto" w:fill="CFF0FC"/>
          </w:tcPr>
          <w:p>
            <w:pPr>
              <w:jc w:val="right"/>
              <w:ind w:right="28"/>
              <w:spacing w:after="0"/>
              <w:rPr>
                <w:sz w:val="20"/>
                <w:szCs w:val="20"/>
                <w:color w:val="auto"/>
              </w:rPr>
            </w:pPr>
            <w:r>
              <w:rPr>
                <w:rFonts w:ascii="Calibri" w:cs="Calibri" w:eastAsia="Calibri" w:hAnsi="Calibri"/>
                <w:sz w:val="14"/>
                <w:szCs w:val="14"/>
                <w:color w:val="auto"/>
              </w:rPr>
              <w:t>62 %</w:t>
            </w:r>
          </w:p>
        </w:tc>
        <w:tc>
          <w:tcPr>
            <w:tcW w:w="10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64,586</w:t>
            </w:r>
          </w:p>
        </w:tc>
        <w:tc>
          <w:tcPr>
            <w:tcW w:w="2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23,911</w:t>
            </w:r>
          </w:p>
        </w:tc>
        <w:tc>
          <w:tcPr>
            <w:tcW w:w="2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40,675</w:t>
            </w:r>
          </w:p>
        </w:tc>
        <w:tc>
          <w:tcPr>
            <w:tcW w:w="22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170 %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20"/>
              <w:spacing w:after="0"/>
              <w:rPr>
                <w:sz w:val="20"/>
                <w:szCs w:val="20"/>
                <w:color w:val="auto"/>
              </w:rPr>
            </w:pPr>
            <w:r>
              <w:rPr>
                <w:rFonts w:ascii="Calibri" w:cs="Calibri" w:eastAsia="Calibri" w:hAnsi="Calibri"/>
                <w:sz w:val="14"/>
                <w:szCs w:val="14"/>
                <w:color w:val="auto"/>
              </w:rPr>
              <w:t>Marketng and selling</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59,412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46,422</w:t>
            </w:r>
          </w:p>
        </w:tc>
        <w:tc>
          <w:tcPr>
            <w:tcW w:w="940" w:type="dxa"/>
            <w:vAlign w:val="bottom"/>
            <w:gridSpan w:val="2"/>
          </w:tcPr>
          <w:p>
            <w:pPr>
              <w:jc w:val="right"/>
              <w:spacing w:after="0"/>
              <w:rPr>
                <w:sz w:val="20"/>
                <w:szCs w:val="20"/>
                <w:color w:val="auto"/>
              </w:rPr>
            </w:pPr>
            <w:r>
              <w:rPr>
                <w:rFonts w:ascii="Calibri" w:cs="Calibri" w:eastAsia="Calibri" w:hAnsi="Calibri"/>
                <w:sz w:val="14"/>
                <w:szCs w:val="14"/>
                <w:color w:val="auto"/>
              </w:rPr>
              <w:t>12,990</w:t>
            </w:r>
          </w:p>
        </w:tc>
        <w:tc>
          <w:tcPr>
            <w:tcW w:w="220" w:type="dxa"/>
            <w:vAlign w:val="bottom"/>
          </w:tcPr>
          <w:p>
            <w:pPr>
              <w:spacing w:after="0"/>
              <w:rPr>
                <w:sz w:val="14"/>
                <w:szCs w:val="14"/>
                <w:color w:val="auto"/>
              </w:rPr>
            </w:pPr>
          </w:p>
        </w:tc>
        <w:tc>
          <w:tcPr>
            <w:tcW w:w="980" w:type="dxa"/>
            <w:vAlign w:val="bottom"/>
            <w:gridSpan w:val="2"/>
          </w:tcPr>
          <w:p>
            <w:pPr>
              <w:jc w:val="right"/>
              <w:ind w:right="28"/>
              <w:spacing w:after="0"/>
              <w:rPr>
                <w:sz w:val="20"/>
                <w:szCs w:val="20"/>
                <w:color w:val="auto"/>
              </w:rPr>
            </w:pPr>
            <w:r>
              <w:rPr>
                <w:rFonts w:ascii="Calibri" w:cs="Calibri" w:eastAsia="Calibri" w:hAnsi="Calibri"/>
                <w:sz w:val="14"/>
                <w:szCs w:val="14"/>
                <w:color w:val="auto"/>
              </w:rPr>
              <w:t>28 %</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113,640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54,377</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59,263</w:t>
            </w:r>
          </w:p>
        </w:tc>
        <w:tc>
          <w:tcPr>
            <w:tcW w:w="2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alibri" w:cs="Calibri" w:eastAsia="Calibri" w:hAnsi="Calibri"/>
                <w:sz w:val="14"/>
                <w:szCs w:val="14"/>
                <w:color w:val="auto"/>
              </w:rPr>
              <w:t>109 %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General and administratve</w:t>
            </w:r>
          </w:p>
        </w:tc>
        <w:tc>
          <w:tcPr>
            <w:tcW w:w="7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36,207</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29,106</w:t>
            </w:r>
          </w:p>
        </w:tc>
        <w:tc>
          <w:tcPr>
            <w:tcW w:w="94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7,101</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8"/>
              <w:spacing w:after="0"/>
              <w:rPr>
                <w:sz w:val="20"/>
                <w:szCs w:val="20"/>
                <w:color w:val="auto"/>
              </w:rPr>
            </w:pPr>
            <w:r>
              <w:rPr>
                <w:rFonts w:ascii="Calibri" w:cs="Calibri" w:eastAsia="Calibri" w:hAnsi="Calibri"/>
                <w:sz w:val="14"/>
                <w:szCs w:val="14"/>
                <w:color w:val="auto"/>
              </w:rPr>
              <w:t>24 %</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65,482</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44,977</w:t>
            </w: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20,505</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46 %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20"/>
              <w:spacing w:after="0"/>
              <w:rPr>
                <w:sz w:val="20"/>
                <w:szCs w:val="20"/>
                <w:color w:val="auto"/>
              </w:rPr>
            </w:pPr>
            <w:r>
              <w:rPr>
                <w:rFonts w:ascii="Calibri" w:cs="Calibri" w:eastAsia="Calibri" w:hAnsi="Calibri"/>
                <w:sz w:val="14"/>
                <w:szCs w:val="14"/>
                <w:color w:val="auto"/>
              </w:rPr>
              <w:t>Depreciaton and amortzaton</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1,726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500</w:t>
            </w:r>
          </w:p>
        </w:tc>
        <w:tc>
          <w:tcPr>
            <w:tcW w:w="940" w:type="dxa"/>
            <w:vAlign w:val="bottom"/>
            <w:gridSpan w:val="2"/>
          </w:tcPr>
          <w:p>
            <w:pPr>
              <w:jc w:val="right"/>
              <w:spacing w:after="0"/>
              <w:rPr>
                <w:sz w:val="20"/>
                <w:szCs w:val="20"/>
                <w:color w:val="auto"/>
              </w:rPr>
            </w:pPr>
            <w:r>
              <w:rPr>
                <w:rFonts w:ascii="Calibri" w:cs="Calibri" w:eastAsia="Calibri" w:hAnsi="Calibri"/>
                <w:sz w:val="14"/>
                <w:szCs w:val="14"/>
                <w:color w:val="auto"/>
              </w:rPr>
              <w:t>1,226</w:t>
            </w:r>
          </w:p>
        </w:tc>
        <w:tc>
          <w:tcPr>
            <w:tcW w:w="220" w:type="dxa"/>
            <w:vAlign w:val="bottom"/>
          </w:tcPr>
          <w:p>
            <w:pPr>
              <w:spacing w:after="0"/>
              <w:rPr>
                <w:sz w:val="14"/>
                <w:szCs w:val="14"/>
                <w:color w:val="auto"/>
              </w:rPr>
            </w:pPr>
          </w:p>
        </w:tc>
        <w:tc>
          <w:tcPr>
            <w:tcW w:w="980" w:type="dxa"/>
            <w:vAlign w:val="bottom"/>
            <w:gridSpan w:val="2"/>
          </w:tcPr>
          <w:p>
            <w:pPr>
              <w:jc w:val="right"/>
              <w:ind w:right="28"/>
              <w:spacing w:after="0"/>
              <w:rPr>
                <w:sz w:val="20"/>
                <w:szCs w:val="20"/>
                <w:color w:val="auto"/>
              </w:rPr>
            </w:pPr>
            <w:r>
              <w:rPr>
                <w:rFonts w:ascii="Calibri" w:cs="Calibri" w:eastAsia="Calibri" w:hAnsi="Calibri"/>
                <w:sz w:val="14"/>
                <w:szCs w:val="14"/>
                <w:color w:val="auto"/>
              </w:rPr>
              <w:t>245 %</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3,111</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795</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alibri" w:cs="Calibri" w:eastAsia="Calibri" w:hAnsi="Calibri"/>
                <w:sz w:val="14"/>
                <w:szCs w:val="14"/>
                <w:color w:val="auto"/>
              </w:rPr>
              <w:t>2,316</w:t>
            </w:r>
          </w:p>
        </w:tc>
        <w:tc>
          <w:tcPr>
            <w:tcW w:w="2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Calibri" w:cs="Calibri" w:eastAsia="Calibri" w:hAnsi="Calibri"/>
                <w:sz w:val="14"/>
                <w:szCs w:val="14"/>
                <w:color w:val="auto"/>
              </w:rPr>
              <w:t>291 %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Income from operatons</w:t>
            </w:r>
          </w:p>
        </w:tc>
        <w:tc>
          <w:tcPr>
            <w:tcW w:w="70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17,927</w:t>
            </w:r>
          </w:p>
        </w:tc>
        <w:tc>
          <w:tcPr>
            <w:tcW w:w="24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19,484</w:t>
            </w:r>
          </w:p>
        </w:tc>
        <w:tc>
          <w:tcPr>
            <w:tcW w:w="24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(1,557</w:t>
            </w:r>
          </w:p>
        </w:tc>
        <w:tc>
          <w:tcPr>
            <w:tcW w:w="220" w:type="dxa"/>
            <w:vAlign w:val="bottom"/>
            <w:shd w:val="clear" w:color="auto" w:fill="CFF0FC"/>
          </w:tcPr>
          <w:p>
            <w:pPr>
              <w:jc w:val="right"/>
              <w:ind w:right="88"/>
              <w:spacing w:after="0"/>
              <w:rPr>
                <w:sz w:val="20"/>
                <w:szCs w:val="20"/>
                <w:color w:val="auto"/>
              </w:rPr>
            </w:pPr>
            <w:r>
              <w:rPr>
                <w:rFonts w:ascii="Calibri" w:cs="Calibri" w:eastAsia="Calibri" w:hAnsi="Calibri"/>
                <w:sz w:val="14"/>
                <w:szCs w:val="14"/>
                <w:b w:val="1"/>
                <w:bCs w:val="1"/>
                <w:color w:val="auto"/>
                <w:w w:val="90"/>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(8</w:t>
            </w:r>
          </w:p>
        </w:tc>
        <w:tc>
          <w:tcPr>
            <w:tcW w:w="200" w:type="dxa"/>
            <w:vAlign w:val="bottom"/>
            <w:shd w:val="clear" w:color="auto" w:fill="CFF0FC"/>
          </w:tcPr>
          <w:p>
            <w:pPr>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31,647</w:t>
            </w:r>
          </w:p>
        </w:tc>
        <w:tc>
          <w:tcPr>
            <w:tcW w:w="220" w:type="dxa"/>
            <w:vAlign w:val="bottom"/>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15,552</w:t>
            </w:r>
          </w:p>
        </w:tc>
        <w:tc>
          <w:tcPr>
            <w:tcW w:w="220" w:type="dxa"/>
            <w:vAlign w:val="bottom"/>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16,095</w:t>
            </w:r>
          </w:p>
        </w:tc>
        <w:tc>
          <w:tcPr>
            <w:tcW w:w="220" w:type="dxa"/>
            <w:vAlign w:val="bottom"/>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103</w:t>
            </w:r>
          </w:p>
        </w:tc>
        <w:tc>
          <w:tcPr>
            <w:tcW w:w="100" w:type="dxa"/>
            <w:vAlign w:val="bottom"/>
            <w:shd w:val="clear" w:color="auto" w:fill="CFF0FC"/>
          </w:tcPr>
          <w:p>
            <w:pPr>
              <w:jc w:val="right"/>
              <w:spacing w:after="0"/>
              <w:rPr>
                <w:sz w:val="20"/>
                <w:szCs w:val="20"/>
                <w:color w:val="auto"/>
              </w:rPr>
            </w:pPr>
            <w:r>
              <w:rPr>
                <w:rFonts w:ascii="Calibri" w:cs="Calibri" w:eastAsia="Calibri" w:hAnsi="Calibri"/>
                <w:sz w:val="14"/>
                <w:szCs w:val="14"/>
                <w:b w:val="1"/>
                <w:bCs w:val="1"/>
                <w:color w:val="auto"/>
                <w:w w:val="77"/>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20"/>
              <w:spacing w:after="0"/>
              <w:rPr>
                <w:sz w:val="20"/>
                <w:szCs w:val="20"/>
                <w:color w:val="auto"/>
              </w:rPr>
            </w:pPr>
            <w:r>
              <w:rPr>
                <w:rFonts w:ascii="Calibri" w:cs="Calibri" w:eastAsia="Calibri" w:hAnsi="Calibri"/>
                <w:sz w:val="14"/>
                <w:szCs w:val="14"/>
                <w:b w:val="1"/>
                <w:bCs w:val="1"/>
                <w:color w:val="auto"/>
              </w:rPr>
              <w:t>Other (income) expense:</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20"/>
              <w:spacing w:after="0"/>
              <w:rPr>
                <w:sz w:val="20"/>
                <w:szCs w:val="20"/>
                <w:color w:val="auto"/>
              </w:rPr>
            </w:pPr>
            <w:r>
              <w:rPr>
                <w:rFonts w:ascii="Calibri" w:cs="Calibri" w:eastAsia="Calibri" w:hAnsi="Calibri"/>
                <w:sz w:val="14"/>
                <w:szCs w:val="14"/>
                <w:color w:val="auto"/>
              </w:rPr>
              <w:t>Interest expense – net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2,699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16,839</w:t>
            </w:r>
          </w:p>
        </w:tc>
        <w:tc>
          <w:tcPr>
            <w:tcW w:w="1160" w:type="dxa"/>
            <w:vAlign w:val="bottom"/>
            <w:gridSpan w:val="3"/>
          </w:tcPr>
          <w:p>
            <w:pPr>
              <w:jc w:val="right"/>
              <w:ind w:right="88"/>
              <w:spacing w:after="0"/>
              <w:rPr>
                <w:sz w:val="20"/>
                <w:szCs w:val="20"/>
                <w:color w:val="auto"/>
              </w:rPr>
            </w:pPr>
            <w:r>
              <w:rPr>
                <w:rFonts w:ascii="Calibri" w:cs="Calibri" w:eastAsia="Calibri" w:hAnsi="Calibri"/>
                <w:sz w:val="14"/>
                <w:szCs w:val="14"/>
                <w:color w:val="auto"/>
              </w:rPr>
              <w:t>(14,140 )</w:t>
            </w:r>
          </w:p>
        </w:tc>
        <w:tc>
          <w:tcPr>
            <w:tcW w:w="980" w:type="dxa"/>
            <w:vAlign w:val="bottom"/>
            <w:gridSpan w:val="2"/>
          </w:tcPr>
          <w:p>
            <w:pPr>
              <w:jc w:val="right"/>
              <w:spacing w:after="0"/>
              <w:rPr>
                <w:sz w:val="20"/>
                <w:szCs w:val="20"/>
                <w:color w:val="auto"/>
              </w:rPr>
            </w:pPr>
            <w:r>
              <w:rPr>
                <w:rFonts w:ascii="Calibri" w:cs="Calibri" w:eastAsia="Calibri" w:hAnsi="Calibri"/>
                <w:sz w:val="14"/>
                <w:szCs w:val="14"/>
                <w:color w:val="auto"/>
              </w:rPr>
              <w:t>(84 )%</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6,641</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33,158</w:t>
            </w:r>
          </w:p>
        </w:tc>
        <w:tc>
          <w:tcPr>
            <w:tcW w:w="2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(26,517 )</w:t>
            </w:r>
          </w:p>
        </w:tc>
        <w:tc>
          <w:tcPr>
            <w:tcW w:w="940" w:type="dxa"/>
            <w:vAlign w:val="bottom"/>
            <w:gridSpan w:val="3"/>
          </w:tcPr>
          <w:p>
            <w:pPr>
              <w:jc w:val="right"/>
              <w:spacing w:after="0"/>
              <w:rPr>
                <w:sz w:val="20"/>
                <w:szCs w:val="20"/>
                <w:color w:val="auto"/>
              </w:rPr>
            </w:pPr>
            <w:r>
              <w:rPr>
                <w:rFonts w:ascii="Calibri" w:cs="Calibri" w:eastAsia="Calibri" w:hAnsi="Calibri"/>
                <w:sz w:val="14"/>
                <w:szCs w:val="14"/>
                <w:color w:val="auto"/>
              </w:rPr>
              <w:t>(80 )%</w:t>
            </w:r>
          </w:p>
        </w:tc>
        <w:tc>
          <w:tcPr>
            <w:tcW w:w="0" w:type="dxa"/>
            <w:vAlign w:val="bottom"/>
          </w:tcPr>
          <w:p>
            <w:pPr>
              <w:spacing w:after="0"/>
              <w:rPr>
                <w:sz w:val="1"/>
                <w:szCs w:val="1"/>
                <w:color w:val="auto"/>
              </w:rPr>
            </w:pPr>
          </w:p>
        </w:tc>
      </w:tr>
      <w:tr>
        <w:trPr>
          <w:trHeight w:val="170"/>
        </w:trPr>
        <w:tc>
          <w:tcPr>
            <w:tcW w:w="3780" w:type="dxa"/>
            <w:vAlign w:val="bottom"/>
          </w:tcPr>
          <w:p>
            <w:pPr>
              <w:ind w:left="20"/>
              <w:spacing w:after="0"/>
              <w:rPr>
                <w:sz w:val="20"/>
                <w:szCs w:val="20"/>
                <w:color w:val="auto"/>
              </w:rPr>
            </w:pPr>
            <w:r>
              <w:rPr>
                <w:rFonts w:ascii="Calibri" w:cs="Calibri" w:eastAsia="Calibri" w:hAnsi="Calibri"/>
                <w:sz w:val="14"/>
                <w:szCs w:val="14"/>
                <w:color w:val="auto"/>
              </w:rPr>
              <w:t>Loss on extnguishment of debt</w:t>
            </w:r>
          </w:p>
        </w:tc>
        <w:tc>
          <w:tcPr>
            <w:tcW w:w="940" w:type="dxa"/>
            <w:vAlign w:val="bottom"/>
            <w:gridSpan w:val="2"/>
          </w:tcPr>
          <w:p>
            <w:pPr>
              <w:jc w:val="right"/>
              <w:ind w:right="260"/>
              <w:spacing w:after="0"/>
              <w:rPr>
                <w:sz w:val="20"/>
                <w:szCs w:val="20"/>
                <w:color w:val="auto"/>
              </w:rPr>
            </w:pPr>
            <w:r>
              <w:rPr>
                <w:rFonts w:ascii="Calibri" w:cs="Calibri" w:eastAsia="Calibri" w:hAnsi="Calibri"/>
                <w:sz w:val="14"/>
                <w:szCs w:val="14"/>
                <w:color w:val="auto"/>
              </w:rPr>
              <w:t>—</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8"/>
              <w:spacing w:after="0"/>
              <w:rPr>
                <w:sz w:val="20"/>
                <w:szCs w:val="20"/>
                <w:color w:val="auto"/>
              </w:rPr>
            </w:pPr>
            <w:r>
              <w:rPr>
                <w:rFonts w:ascii="Calibri" w:cs="Calibri" w:eastAsia="Calibri" w:hAnsi="Calibri"/>
                <w:sz w:val="14"/>
                <w:szCs w:val="14"/>
                <w:color w:val="auto"/>
              </w:rPr>
              <w:t>—</w:t>
            </w:r>
          </w:p>
        </w:tc>
        <w:tc>
          <w:tcPr>
            <w:tcW w:w="980" w:type="dxa"/>
            <w:vAlign w:val="bottom"/>
            <w:gridSpan w:val="2"/>
          </w:tcPr>
          <w:p>
            <w:pPr>
              <w:jc w:val="right"/>
              <w:ind w:right="28"/>
              <w:spacing w:after="0"/>
              <w:rPr>
                <w:sz w:val="20"/>
                <w:szCs w:val="20"/>
                <w:color w:val="auto"/>
              </w:rPr>
            </w:pPr>
            <w:r>
              <w:rPr>
                <w:rFonts w:ascii="Calibri" w:cs="Calibri" w:eastAsia="Calibri" w:hAnsi="Calibri"/>
                <w:sz w:val="14"/>
                <w:szCs w:val="14"/>
                <w:color w:val="auto"/>
              </w:rPr>
              <w:t>100 %</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alibri" w:cs="Calibri" w:eastAsia="Calibri" w:hAnsi="Calibri"/>
                <w:sz w:val="14"/>
                <w:szCs w:val="14"/>
                <w:color w:val="auto"/>
              </w:rPr>
              <w:t>4,285</w:t>
            </w:r>
          </w:p>
        </w:tc>
        <w:tc>
          <w:tcPr>
            <w:tcW w:w="2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Calibri" w:cs="Calibri" w:eastAsia="Calibri" w:hAnsi="Calibri"/>
                <w:sz w:val="14"/>
                <w:szCs w:val="14"/>
                <w:color w:val="auto"/>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4,285</w:t>
            </w:r>
          </w:p>
        </w:tc>
        <w:tc>
          <w:tcPr>
            <w:tcW w:w="22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Calibri" w:cs="Calibri" w:eastAsia="Calibri" w:hAnsi="Calibri"/>
                <w:sz w:val="14"/>
                <w:szCs w:val="14"/>
                <w:color w:val="auto"/>
              </w:rPr>
              <w:t>100 %</w:t>
            </w: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Other income</w:t>
            </w:r>
          </w:p>
        </w:tc>
        <w:tc>
          <w:tcPr>
            <w:tcW w:w="94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4"/>
                <w:szCs w:val="14"/>
                <w:color w:val="auto"/>
              </w:rPr>
              <w:t>(8,832 )</w:t>
            </w: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160" w:type="dxa"/>
            <w:vAlign w:val="bottom"/>
            <w:gridSpan w:val="3"/>
            <w:shd w:val="clear" w:color="auto" w:fill="CFF0FC"/>
          </w:tcPr>
          <w:p>
            <w:pPr>
              <w:jc w:val="right"/>
              <w:ind w:right="88"/>
              <w:spacing w:after="0"/>
              <w:rPr>
                <w:sz w:val="20"/>
                <w:szCs w:val="20"/>
                <w:color w:val="auto"/>
              </w:rPr>
            </w:pPr>
            <w:r>
              <w:rPr>
                <w:rFonts w:ascii="Calibri" w:cs="Calibri" w:eastAsia="Calibri" w:hAnsi="Calibri"/>
                <w:sz w:val="14"/>
                <w:szCs w:val="14"/>
                <w:color w:val="auto"/>
              </w:rPr>
              <w:t>(8,832 )</w:t>
            </w:r>
          </w:p>
        </w:tc>
        <w:tc>
          <w:tcPr>
            <w:tcW w:w="980" w:type="dxa"/>
            <w:vAlign w:val="bottom"/>
            <w:gridSpan w:val="2"/>
            <w:shd w:val="clear" w:color="auto" w:fill="CFF0FC"/>
          </w:tcPr>
          <w:p>
            <w:pPr>
              <w:jc w:val="right"/>
              <w:ind w:right="28"/>
              <w:spacing w:after="0"/>
              <w:rPr>
                <w:sz w:val="20"/>
                <w:szCs w:val="20"/>
                <w:color w:val="auto"/>
              </w:rPr>
            </w:pPr>
            <w:r>
              <w:rPr>
                <w:rFonts w:ascii="Calibri" w:cs="Calibri" w:eastAsia="Calibri" w:hAnsi="Calibri"/>
                <w:sz w:val="14"/>
                <w:szCs w:val="14"/>
                <w:color w:val="auto"/>
              </w:rPr>
              <w:t>100 %</w:t>
            </w: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(6,553 )</w:t>
            </w:r>
          </w:p>
        </w:tc>
        <w:tc>
          <w:tcPr>
            <w:tcW w:w="94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w:t>
            </w:r>
          </w:p>
        </w:tc>
        <w:tc>
          <w:tcPr>
            <w:tcW w:w="920" w:type="dxa"/>
            <w:vAlign w:val="bottom"/>
            <w:gridSpan w:val="2"/>
            <w:shd w:val="clear" w:color="auto" w:fill="CFF0FC"/>
          </w:tcPr>
          <w:p>
            <w:pPr>
              <w:jc w:val="right"/>
              <w:ind w:right="160"/>
              <w:spacing w:after="0"/>
              <w:rPr>
                <w:sz w:val="20"/>
                <w:szCs w:val="20"/>
                <w:color w:val="auto"/>
              </w:rPr>
            </w:pPr>
            <w:r>
              <w:rPr>
                <w:rFonts w:ascii="Calibri" w:cs="Calibri" w:eastAsia="Calibri" w:hAnsi="Calibri"/>
                <w:sz w:val="14"/>
                <w:szCs w:val="14"/>
                <w:color w:val="auto"/>
              </w:rPr>
              <w:t>(6,553 )</w:t>
            </w:r>
          </w:p>
        </w:tc>
        <w:tc>
          <w:tcPr>
            <w:tcW w:w="88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100 %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780" w:type="dxa"/>
            <w:vAlign w:val="bottom"/>
          </w:tcPr>
          <w:p>
            <w:pPr>
              <w:ind w:left="20"/>
              <w:spacing w:after="0" w:line="166" w:lineRule="exact"/>
              <w:rPr>
                <w:sz w:val="20"/>
                <w:szCs w:val="20"/>
                <w:color w:val="auto"/>
              </w:rPr>
            </w:pPr>
            <w:r>
              <w:rPr>
                <w:rFonts w:ascii="Calibri" w:cs="Calibri" w:eastAsia="Calibri" w:hAnsi="Calibri"/>
                <w:sz w:val="14"/>
                <w:szCs w:val="14"/>
                <w:b w:val="1"/>
                <w:bCs w:val="1"/>
                <w:color w:val="auto"/>
              </w:rPr>
              <w:t>Income (loss) before income taxes</w:t>
            </w:r>
          </w:p>
        </w:tc>
        <w:tc>
          <w:tcPr>
            <w:tcW w:w="700" w:type="dxa"/>
            <w:vAlign w:val="bottom"/>
          </w:tcPr>
          <w:p>
            <w:pPr>
              <w:jc w:val="right"/>
              <w:spacing w:after="0" w:line="166" w:lineRule="exact"/>
              <w:rPr>
                <w:sz w:val="20"/>
                <w:szCs w:val="20"/>
                <w:color w:val="auto"/>
              </w:rPr>
            </w:pPr>
            <w:r>
              <w:rPr>
                <w:rFonts w:ascii="Calibri" w:cs="Calibri" w:eastAsia="Calibri" w:hAnsi="Calibri"/>
                <w:sz w:val="14"/>
                <w:szCs w:val="14"/>
                <w:b w:val="1"/>
                <w:bCs w:val="1"/>
                <w:color w:val="auto"/>
              </w:rPr>
              <w:t>24,060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line="166" w:lineRule="exact"/>
              <w:rPr>
                <w:sz w:val="20"/>
                <w:szCs w:val="20"/>
                <w:color w:val="auto"/>
              </w:rPr>
            </w:pPr>
            <w:r>
              <w:rPr>
                <w:rFonts w:ascii="Calibri" w:cs="Calibri" w:eastAsia="Calibri" w:hAnsi="Calibri"/>
                <w:sz w:val="14"/>
                <w:szCs w:val="14"/>
                <w:b w:val="1"/>
                <w:bCs w:val="1"/>
                <w:color w:val="auto"/>
              </w:rPr>
              <w:t>2,645</w:t>
            </w:r>
          </w:p>
        </w:tc>
        <w:tc>
          <w:tcPr>
            <w:tcW w:w="240" w:type="dxa"/>
            <w:vAlign w:val="bottom"/>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Calibri" w:cs="Calibri" w:eastAsia="Calibri" w:hAnsi="Calibri"/>
                <w:sz w:val="14"/>
                <w:szCs w:val="14"/>
                <w:b w:val="1"/>
                <w:bCs w:val="1"/>
                <w:color w:val="auto"/>
              </w:rPr>
              <w:t>21,415</w:t>
            </w:r>
          </w:p>
        </w:tc>
        <w:tc>
          <w:tcPr>
            <w:tcW w:w="220" w:type="dxa"/>
            <w:vAlign w:val="bottom"/>
          </w:tcPr>
          <w:p>
            <w:pPr>
              <w:spacing w:after="0"/>
              <w:rPr>
                <w:sz w:val="14"/>
                <w:szCs w:val="14"/>
                <w:color w:val="auto"/>
              </w:rPr>
            </w:pPr>
          </w:p>
        </w:tc>
        <w:tc>
          <w:tcPr>
            <w:tcW w:w="980" w:type="dxa"/>
            <w:vAlign w:val="bottom"/>
            <w:gridSpan w:val="2"/>
          </w:tcPr>
          <w:p>
            <w:pPr>
              <w:jc w:val="right"/>
              <w:ind w:right="8"/>
              <w:spacing w:after="0" w:line="166" w:lineRule="exact"/>
              <w:rPr>
                <w:sz w:val="20"/>
                <w:szCs w:val="20"/>
                <w:color w:val="auto"/>
              </w:rPr>
            </w:pPr>
            <w:r>
              <w:rPr>
                <w:rFonts w:ascii="Calibri" w:cs="Calibri" w:eastAsia="Calibri" w:hAnsi="Calibri"/>
                <w:sz w:val="14"/>
                <w:szCs w:val="14"/>
                <w:b w:val="1"/>
                <w:bCs w:val="1"/>
                <w:color w:val="auto"/>
              </w:rPr>
              <w:t>810 %</w:t>
            </w:r>
          </w:p>
        </w:tc>
        <w:tc>
          <w:tcPr>
            <w:tcW w:w="100" w:type="dxa"/>
            <w:vAlign w:val="bottom"/>
          </w:tcPr>
          <w:p>
            <w:pPr>
              <w:spacing w:after="0"/>
              <w:rPr>
                <w:sz w:val="14"/>
                <w:szCs w:val="14"/>
                <w:color w:val="auto"/>
              </w:rPr>
            </w:pPr>
          </w:p>
        </w:tc>
        <w:tc>
          <w:tcPr>
            <w:tcW w:w="580" w:type="dxa"/>
            <w:vAlign w:val="bottom"/>
          </w:tcPr>
          <w:p>
            <w:pPr>
              <w:jc w:val="right"/>
              <w:spacing w:after="0" w:line="166" w:lineRule="exact"/>
              <w:rPr>
                <w:sz w:val="20"/>
                <w:szCs w:val="20"/>
                <w:color w:val="auto"/>
              </w:rPr>
            </w:pPr>
            <w:r>
              <w:rPr>
                <w:rFonts w:ascii="Calibri" w:cs="Calibri" w:eastAsia="Calibri" w:hAnsi="Calibri"/>
                <w:sz w:val="14"/>
                <w:szCs w:val="14"/>
                <w:b w:val="1"/>
                <w:bCs w:val="1"/>
                <w:color w:val="auto"/>
              </w:rPr>
              <w:t>27,274</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line="166" w:lineRule="exact"/>
              <w:rPr>
                <w:sz w:val="20"/>
                <w:szCs w:val="20"/>
                <w:color w:val="auto"/>
              </w:rPr>
            </w:pPr>
            <w:r>
              <w:rPr>
                <w:rFonts w:ascii="Calibri" w:cs="Calibri" w:eastAsia="Calibri" w:hAnsi="Calibri"/>
                <w:sz w:val="14"/>
                <w:szCs w:val="14"/>
                <w:b w:val="1"/>
                <w:bCs w:val="1"/>
                <w:color w:val="auto"/>
              </w:rPr>
              <w:t>(17,606 )</w:t>
            </w:r>
          </w:p>
        </w:tc>
        <w:tc>
          <w:tcPr>
            <w:tcW w:w="700" w:type="dxa"/>
            <w:vAlign w:val="bottom"/>
          </w:tcPr>
          <w:p>
            <w:pPr>
              <w:jc w:val="right"/>
              <w:spacing w:after="0" w:line="166" w:lineRule="exact"/>
              <w:rPr>
                <w:sz w:val="20"/>
                <w:szCs w:val="20"/>
                <w:color w:val="auto"/>
              </w:rPr>
            </w:pPr>
            <w:r>
              <w:rPr>
                <w:rFonts w:ascii="Calibri" w:cs="Calibri" w:eastAsia="Calibri" w:hAnsi="Calibri"/>
                <w:sz w:val="14"/>
                <w:szCs w:val="14"/>
                <w:b w:val="1"/>
                <w:bCs w:val="1"/>
                <w:color w:val="auto"/>
              </w:rPr>
              <w:t>44,880</w:t>
            </w:r>
          </w:p>
        </w:tc>
        <w:tc>
          <w:tcPr>
            <w:tcW w:w="220" w:type="dxa"/>
            <w:vAlign w:val="bottom"/>
          </w:tcPr>
          <w:p>
            <w:pPr>
              <w:spacing w:after="0"/>
              <w:rPr>
                <w:sz w:val="14"/>
                <w:szCs w:val="14"/>
                <w:color w:val="auto"/>
              </w:rPr>
            </w:pPr>
          </w:p>
        </w:tc>
        <w:tc>
          <w:tcPr>
            <w:tcW w:w="880" w:type="dxa"/>
            <w:vAlign w:val="bottom"/>
            <w:gridSpan w:val="2"/>
          </w:tcPr>
          <w:p>
            <w:pPr>
              <w:jc w:val="right"/>
              <w:spacing w:after="0" w:line="166" w:lineRule="exact"/>
              <w:rPr>
                <w:sz w:val="20"/>
                <w:szCs w:val="20"/>
                <w:color w:val="auto"/>
              </w:rPr>
            </w:pPr>
            <w:r>
              <w:rPr>
                <w:rFonts w:ascii="Calibri" w:cs="Calibri" w:eastAsia="Calibri" w:hAnsi="Calibri"/>
                <w:sz w:val="14"/>
                <w:szCs w:val="14"/>
                <w:b w:val="1"/>
                <w:bCs w:val="1"/>
                <w:color w:val="auto"/>
              </w:rPr>
              <w:t>255 %</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7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Income tax expense</w:t>
            </w:r>
          </w:p>
        </w:tc>
        <w:tc>
          <w:tcPr>
            <w:tcW w:w="7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2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8"/>
              <w:spacing w:after="0"/>
              <w:rPr>
                <w:sz w:val="20"/>
                <w:szCs w:val="20"/>
                <w:color w:val="auto"/>
              </w:rPr>
            </w:pPr>
            <w:r>
              <w:rPr>
                <w:rFonts w:ascii="Calibri" w:cs="Calibri" w:eastAsia="Calibri" w:hAnsi="Calibri"/>
                <w:sz w:val="14"/>
                <w:szCs w:val="14"/>
                <w:color w:val="auto"/>
              </w:rPr>
              <w:t>100 %</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76</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4"/>
                <w:szCs w:val="14"/>
                <w:color w:val="auto"/>
              </w:rPr>
              <w:t>—</w:t>
            </w:r>
          </w:p>
        </w:tc>
        <w:tc>
          <w:tcPr>
            <w:tcW w:w="7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76</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spacing w:after="0"/>
              <w:rPr>
                <w:sz w:val="20"/>
                <w:szCs w:val="20"/>
                <w:color w:val="auto"/>
              </w:rPr>
            </w:pPr>
            <w:r>
              <w:rPr>
                <w:rFonts w:ascii="Calibri" w:cs="Calibri" w:eastAsia="Calibri" w:hAnsi="Calibri"/>
                <w:sz w:val="14"/>
                <w:szCs w:val="14"/>
                <w:color w:val="auto"/>
              </w:rPr>
              <w:t>100 %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780" w:type="dxa"/>
            <w:vAlign w:val="bottom"/>
          </w:tcPr>
          <w:p>
            <w:pPr>
              <w:ind w:left="20"/>
              <w:spacing w:after="0" w:line="166" w:lineRule="exact"/>
              <w:rPr>
                <w:sz w:val="20"/>
                <w:szCs w:val="20"/>
                <w:color w:val="auto"/>
              </w:rPr>
            </w:pPr>
            <w:r>
              <w:rPr>
                <w:rFonts w:ascii="Calibri" w:cs="Calibri" w:eastAsia="Calibri" w:hAnsi="Calibri"/>
                <w:sz w:val="14"/>
                <w:szCs w:val="14"/>
                <w:b w:val="1"/>
                <w:bCs w:val="1"/>
                <w:color w:val="auto"/>
              </w:rPr>
              <w:t>Net income (loss)</w:t>
            </w:r>
          </w:p>
        </w:tc>
        <w:tc>
          <w:tcPr>
            <w:tcW w:w="700" w:type="dxa"/>
            <w:vAlign w:val="bottom"/>
          </w:tcPr>
          <w:p>
            <w:pPr>
              <w:jc w:val="right"/>
              <w:spacing w:after="0" w:line="166" w:lineRule="exact"/>
              <w:rPr>
                <w:sz w:val="20"/>
                <w:szCs w:val="20"/>
                <w:color w:val="auto"/>
              </w:rPr>
            </w:pPr>
            <w:r>
              <w:rPr>
                <w:rFonts w:ascii="Calibri" w:cs="Calibri" w:eastAsia="Calibri" w:hAnsi="Calibri"/>
                <w:sz w:val="14"/>
                <w:szCs w:val="14"/>
                <w:b w:val="1"/>
                <w:bCs w:val="1"/>
                <w:color w:val="auto"/>
              </w:rPr>
              <w:t>24,060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line="166" w:lineRule="exact"/>
              <w:rPr>
                <w:sz w:val="20"/>
                <w:szCs w:val="20"/>
                <w:color w:val="auto"/>
              </w:rPr>
            </w:pPr>
            <w:r>
              <w:rPr>
                <w:rFonts w:ascii="Calibri" w:cs="Calibri" w:eastAsia="Calibri" w:hAnsi="Calibri"/>
                <w:sz w:val="14"/>
                <w:szCs w:val="14"/>
                <w:b w:val="1"/>
                <w:bCs w:val="1"/>
                <w:color w:val="auto"/>
              </w:rPr>
              <w:t>2,645</w:t>
            </w:r>
          </w:p>
        </w:tc>
        <w:tc>
          <w:tcPr>
            <w:tcW w:w="240" w:type="dxa"/>
            <w:vAlign w:val="bottom"/>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Calibri" w:cs="Calibri" w:eastAsia="Calibri" w:hAnsi="Calibri"/>
                <w:sz w:val="14"/>
                <w:szCs w:val="14"/>
                <w:b w:val="1"/>
                <w:bCs w:val="1"/>
                <w:color w:val="auto"/>
              </w:rPr>
              <w:t>21,415</w:t>
            </w:r>
          </w:p>
        </w:tc>
        <w:tc>
          <w:tcPr>
            <w:tcW w:w="220" w:type="dxa"/>
            <w:vAlign w:val="bottom"/>
          </w:tcPr>
          <w:p>
            <w:pPr>
              <w:spacing w:after="0"/>
              <w:rPr>
                <w:sz w:val="14"/>
                <w:szCs w:val="14"/>
                <w:color w:val="auto"/>
              </w:rPr>
            </w:pPr>
          </w:p>
        </w:tc>
        <w:tc>
          <w:tcPr>
            <w:tcW w:w="980" w:type="dxa"/>
            <w:vAlign w:val="bottom"/>
            <w:gridSpan w:val="2"/>
          </w:tcPr>
          <w:p>
            <w:pPr>
              <w:jc w:val="right"/>
              <w:ind w:right="8"/>
              <w:spacing w:after="0" w:line="166" w:lineRule="exact"/>
              <w:rPr>
                <w:sz w:val="20"/>
                <w:szCs w:val="20"/>
                <w:color w:val="auto"/>
              </w:rPr>
            </w:pPr>
            <w:r>
              <w:rPr>
                <w:rFonts w:ascii="Calibri" w:cs="Calibri" w:eastAsia="Calibri" w:hAnsi="Calibri"/>
                <w:sz w:val="14"/>
                <w:szCs w:val="14"/>
                <w:b w:val="1"/>
                <w:bCs w:val="1"/>
                <w:color w:val="auto"/>
              </w:rPr>
              <w:t>810 %</w:t>
            </w:r>
          </w:p>
        </w:tc>
        <w:tc>
          <w:tcPr>
            <w:tcW w:w="100" w:type="dxa"/>
            <w:vAlign w:val="bottom"/>
          </w:tcPr>
          <w:p>
            <w:pPr>
              <w:spacing w:after="0"/>
              <w:rPr>
                <w:sz w:val="14"/>
                <w:szCs w:val="14"/>
                <w:color w:val="auto"/>
              </w:rPr>
            </w:pPr>
          </w:p>
        </w:tc>
        <w:tc>
          <w:tcPr>
            <w:tcW w:w="580" w:type="dxa"/>
            <w:vAlign w:val="bottom"/>
          </w:tcPr>
          <w:p>
            <w:pPr>
              <w:jc w:val="right"/>
              <w:spacing w:after="0" w:line="166" w:lineRule="exact"/>
              <w:rPr>
                <w:sz w:val="20"/>
                <w:szCs w:val="20"/>
                <w:color w:val="auto"/>
              </w:rPr>
            </w:pPr>
            <w:r>
              <w:rPr>
                <w:rFonts w:ascii="Calibri" w:cs="Calibri" w:eastAsia="Calibri" w:hAnsi="Calibri"/>
                <w:sz w:val="14"/>
                <w:szCs w:val="14"/>
                <w:b w:val="1"/>
                <w:bCs w:val="1"/>
                <w:color w:val="auto"/>
              </w:rPr>
              <w:t>27,198</w:t>
            </w:r>
          </w:p>
        </w:tc>
        <w:tc>
          <w:tcPr>
            <w:tcW w:w="220" w:type="dxa"/>
            <w:vAlign w:val="bottom"/>
          </w:tcPr>
          <w:p>
            <w:pPr>
              <w:spacing w:after="0"/>
              <w:rPr>
                <w:sz w:val="14"/>
                <w:szCs w:val="14"/>
                <w:color w:val="auto"/>
              </w:rPr>
            </w:pPr>
          </w:p>
        </w:tc>
        <w:tc>
          <w:tcPr>
            <w:tcW w:w="940" w:type="dxa"/>
            <w:vAlign w:val="bottom"/>
            <w:gridSpan w:val="2"/>
          </w:tcPr>
          <w:p>
            <w:pPr>
              <w:jc w:val="right"/>
              <w:ind w:right="160"/>
              <w:spacing w:after="0" w:line="166" w:lineRule="exact"/>
              <w:rPr>
                <w:sz w:val="20"/>
                <w:szCs w:val="20"/>
                <w:color w:val="auto"/>
              </w:rPr>
            </w:pPr>
            <w:r>
              <w:rPr>
                <w:rFonts w:ascii="Calibri" w:cs="Calibri" w:eastAsia="Calibri" w:hAnsi="Calibri"/>
                <w:sz w:val="14"/>
                <w:szCs w:val="14"/>
                <w:b w:val="1"/>
                <w:bCs w:val="1"/>
                <w:color w:val="auto"/>
              </w:rPr>
              <w:t>(17,606 )</w:t>
            </w:r>
          </w:p>
        </w:tc>
        <w:tc>
          <w:tcPr>
            <w:tcW w:w="700" w:type="dxa"/>
            <w:vAlign w:val="bottom"/>
          </w:tcPr>
          <w:p>
            <w:pPr>
              <w:jc w:val="right"/>
              <w:spacing w:after="0" w:line="166" w:lineRule="exact"/>
              <w:rPr>
                <w:sz w:val="20"/>
                <w:szCs w:val="20"/>
                <w:color w:val="auto"/>
              </w:rPr>
            </w:pPr>
            <w:r>
              <w:rPr>
                <w:rFonts w:ascii="Calibri" w:cs="Calibri" w:eastAsia="Calibri" w:hAnsi="Calibri"/>
                <w:sz w:val="14"/>
                <w:szCs w:val="14"/>
                <w:b w:val="1"/>
                <w:bCs w:val="1"/>
                <w:color w:val="auto"/>
              </w:rPr>
              <w:t>44,804</w:t>
            </w:r>
          </w:p>
        </w:tc>
        <w:tc>
          <w:tcPr>
            <w:tcW w:w="220" w:type="dxa"/>
            <w:vAlign w:val="bottom"/>
          </w:tcPr>
          <w:p>
            <w:pPr>
              <w:spacing w:after="0"/>
              <w:rPr>
                <w:sz w:val="14"/>
                <w:szCs w:val="14"/>
                <w:color w:val="auto"/>
              </w:rPr>
            </w:pPr>
          </w:p>
        </w:tc>
        <w:tc>
          <w:tcPr>
            <w:tcW w:w="880" w:type="dxa"/>
            <w:vAlign w:val="bottom"/>
            <w:gridSpan w:val="2"/>
          </w:tcPr>
          <w:p>
            <w:pPr>
              <w:jc w:val="right"/>
              <w:spacing w:after="0" w:line="166" w:lineRule="exact"/>
              <w:rPr>
                <w:sz w:val="20"/>
                <w:szCs w:val="20"/>
                <w:color w:val="auto"/>
              </w:rPr>
            </w:pPr>
            <w:r>
              <w:rPr>
                <w:rFonts w:ascii="Calibri" w:cs="Calibri" w:eastAsia="Calibri" w:hAnsi="Calibri"/>
                <w:sz w:val="14"/>
                <w:szCs w:val="14"/>
                <w:b w:val="1"/>
                <w:bCs w:val="1"/>
                <w:color w:val="auto"/>
              </w:rPr>
              <w:t>254 %</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-681355</wp:posOffset>
            </wp:positionV>
            <wp:extent cx="7132320" cy="1117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-347345</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-347345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-347345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-347345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-347345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-347345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-347345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-347345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-115570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-115570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-115570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-115570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-115570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-115570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-115570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-115570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00"/>
          </w:cols>
          <w:pgMar w:left="320" w:top="463" w:right="279" w:bottom="1440" w:gutter="0" w:footer="0" w:header="0"/>
        </w:sectPr>
      </w:pPr>
    </w:p>
    <w:p>
      <w:pPr>
        <w:ind w:left="20" w:right="40"/>
        <w:spacing w:after="0" w:line="217" w:lineRule="auto"/>
        <w:rPr>
          <w:sz w:val="20"/>
          <w:szCs w:val="20"/>
          <w:color w:val="auto"/>
        </w:rPr>
      </w:pPr>
      <w:r>
        <w:rPr>
          <w:rFonts w:ascii="Calibri" w:cs="Calibri" w:eastAsia="Calibri" w:hAnsi="Calibri"/>
          <w:sz w:val="14"/>
          <w:szCs w:val="14"/>
          <w:color w:val="auto"/>
        </w:rPr>
        <w:t>Net income (loss) atributable to Hoya Intermediate, LLC shareholders prior to reverse recapitalizaton</w:t>
      </w:r>
    </w:p>
    <w:p>
      <w:pPr>
        <w:spacing w:after="0" w:line="6" w:lineRule="exact"/>
        <w:rPr>
          <w:sz w:val="20"/>
          <w:szCs w:val="20"/>
          <w:color w:val="auto"/>
        </w:rPr>
      </w:pPr>
    </w:p>
    <w:p>
      <w:pPr>
        <w:ind w:left="20" w:right="140"/>
        <w:spacing w:after="0" w:line="223" w:lineRule="auto"/>
        <w:rPr>
          <w:sz w:val="20"/>
          <w:szCs w:val="20"/>
          <w:color w:val="auto"/>
        </w:rPr>
      </w:pPr>
      <w:r>
        <w:rPr>
          <w:rFonts w:ascii="Calibri" w:cs="Calibri" w:eastAsia="Calibri" w:hAnsi="Calibri"/>
          <w:sz w:val="14"/>
          <w:szCs w:val="14"/>
          <w:color w:val="auto"/>
        </w:rPr>
        <w:t>Net income atributable to redeemable noncontrolling interests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740" w:type="dxa"/>
            <w:vAlign w:val="bottom"/>
          </w:tcPr>
          <w:p>
            <w:pPr>
              <w:jc w:val="right"/>
              <w:ind w:right="268"/>
              <w:spacing w:after="0"/>
              <w:rPr>
                <w:sz w:val="20"/>
                <w:szCs w:val="20"/>
                <w:color w:val="auto"/>
              </w:rPr>
            </w:pPr>
            <w:r>
              <w:rPr>
                <w:rFonts w:ascii="Calibri" w:cs="Calibri" w:eastAsia="Calibri" w:hAnsi="Calibri"/>
                <w:sz w:val="14"/>
                <w:szCs w:val="14"/>
                <w:color w:val="auto"/>
              </w:rPr>
              <w:t>—</w:t>
            </w:r>
          </w:p>
        </w:tc>
        <w:tc>
          <w:tcPr>
            <w:tcW w:w="920" w:type="dxa"/>
            <w:vAlign w:val="bottom"/>
          </w:tcPr>
          <w:p>
            <w:pPr>
              <w:jc w:val="right"/>
              <w:ind w:right="208"/>
              <w:spacing w:after="0"/>
              <w:rPr>
                <w:sz w:val="20"/>
                <w:szCs w:val="20"/>
                <w:color w:val="auto"/>
              </w:rPr>
            </w:pPr>
            <w:r>
              <w:rPr>
                <w:rFonts w:ascii="Calibri" w:cs="Calibri" w:eastAsia="Calibri" w:hAnsi="Calibri"/>
                <w:sz w:val="14"/>
                <w:szCs w:val="14"/>
                <w:color w:val="auto"/>
              </w:rPr>
              <w:t>2,645</w:t>
            </w:r>
          </w:p>
        </w:tc>
        <w:tc>
          <w:tcPr>
            <w:tcW w:w="1080" w:type="dxa"/>
            <w:vAlign w:val="bottom"/>
          </w:tcPr>
          <w:p>
            <w:pPr>
              <w:jc w:val="right"/>
              <w:ind w:right="268"/>
              <w:spacing w:after="0"/>
              <w:rPr>
                <w:sz w:val="20"/>
                <w:szCs w:val="20"/>
                <w:color w:val="auto"/>
              </w:rPr>
            </w:pPr>
            <w:r>
              <w:rPr>
                <w:rFonts w:ascii="Calibri" w:cs="Calibri" w:eastAsia="Calibri" w:hAnsi="Calibri"/>
                <w:sz w:val="14"/>
                <w:szCs w:val="14"/>
                <w:color w:val="auto"/>
              </w:rPr>
              <w:t>(2,645 )</w:t>
            </w:r>
          </w:p>
        </w:tc>
        <w:tc>
          <w:tcPr>
            <w:tcW w:w="920" w:type="dxa"/>
            <w:vAlign w:val="bottom"/>
          </w:tcPr>
          <w:p>
            <w:pPr>
              <w:jc w:val="right"/>
              <w:ind w:right="88"/>
              <w:spacing w:after="0"/>
              <w:rPr>
                <w:sz w:val="20"/>
                <w:szCs w:val="20"/>
                <w:color w:val="auto"/>
              </w:rPr>
            </w:pPr>
            <w:r>
              <w:rPr>
                <w:rFonts w:ascii="Calibri" w:cs="Calibri" w:eastAsia="Calibri" w:hAnsi="Calibri"/>
                <w:sz w:val="14"/>
                <w:szCs w:val="14"/>
                <w:color w:val="auto"/>
              </w:rPr>
              <w:t>(100 )%</w:t>
            </w:r>
          </w:p>
        </w:tc>
        <w:tc>
          <w:tcPr>
            <w:tcW w:w="800" w:type="dxa"/>
            <w:vAlign w:val="bottom"/>
          </w:tcPr>
          <w:p>
            <w:pPr>
              <w:jc w:val="right"/>
              <w:ind w:right="168"/>
              <w:spacing w:after="0"/>
              <w:rPr>
                <w:sz w:val="20"/>
                <w:szCs w:val="20"/>
                <w:color w:val="auto"/>
              </w:rPr>
            </w:pPr>
            <w:r>
              <w:rPr>
                <w:rFonts w:ascii="Calibri" w:cs="Calibri" w:eastAsia="Calibri" w:hAnsi="Calibri"/>
                <w:sz w:val="14"/>
                <w:szCs w:val="14"/>
                <w:color w:val="auto"/>
              </w:rPr>
              <w:t>—</w:t>
            </w:r>
          </w:p>
        </w:tc>
        <w:tc>
          <w:tcPr>
            <w:tcW w:w="980" w:type="dxa"/>
            <w:vAlign w:val="bottom"/>
          </w:tcPr>
          <w:p>
            <w:pPr>
              <w:jc w:val="right"/>
              <w:ind w:right="148"/>
              <w:spacing w:after="0"/>
              <w:rPr>
                <w:sz w:val="20"/>
                <w:szCs w:val="20"/>
                <w:color w:val="auto"/>
              </w:rPr>
            </w:pPr>
            <w:r>
              <w:rPr>
                <w:rFonts w:ascii="Calibri" w:cs="Calibri" w:eastAsia="Calibri" w:hAnsi="Calibri"/>
                <w:sz w:val="14"/>
                <w:szCs w:val="14"/>
                <w:color w:val="auto"/>
              </w:rPr>
              <w:t>(17,606 )</w:t>
            </w:r>
          </w:p>
        </w:tc>
        <w:tc>
          <w:tcPr>
            <w:tcW w:w="1020" w:type="dxa"/>
            <w:vAlign w:val="bottom"/>
          </w:tcPr>
          <w:p>
            <w:pPr>
              <w:jc w:val="right"/>
              <w:ind w:right="308"/>
              <w:spacing w:after="0"/>
              <w:rPr>
                <w:sz w:val="20"/>
                <w:szCs w:val="20"/>
                <w:color w:val="auto"/>
              </w:rPr>
            </w:pPr>
            <w:r>
              <w:rPr>
                <w:rFonts w:ascii="Calibri" w:cs="Calibri" w:eastAsia="Calibri" w:hAnsi="Calibri"/>
                <w:sz w:val="14"/>
                <w:szCs w:val="14"/>
                <w:color w:val="auto"/>
              </w:rPr>
              <w:t>17,606</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100 %</w:t>
            </w:r>
          </w:p>
        </w:tc>
      </w:tr>
      <w:tr>
        <w:trPr>
          <w:trHeight w:val="310"/>
        </w:trPr>
        <w:tc>
          <w:tcPr>
            <w:tcW w:w="740" w:type="dxa"/>
            <w:vAlign w:val="bottom"/>
          </w:tcPr>
          <w:p>
            <w:pPr>
              <w:jc w:val="right"/>
              <w:ind w:right="268"/>
              <w:spacing w:after="0"/>
              <w:rPr>
                <w:sz w:val="20"/>
                <w:szCs w:val="20"/>
                <w:color w:val="auto"/>
              </w:rPr>
            </w:pPr>
            <w:r>
              <w:rPr>
                <w:rFonts w:ascii="Calibri" w:cs="Calibri" w:eastAsia="Calibri" w:hAnsi="Calibri"/>
                <w:sz w:val="14"/>
                <w:szCs w:val="14"/>
                <w:color w:val="auto"/>
                <w:w w:val="97"/>
              </w:rPr>
              <w:t>14,405</w:t>
            </w:r>
          </w:p>
        </w:tc>
        <w:tc>
          <w:tcPr>
            <w:tcW w:w="920" w:type="dxa"/>
            <w:vAlign w:val="bottom"/>
          </w:tcPr>
          <w:p>
            <w:pPr>
              <w:jc w:val="right"/>
              <w:ind w:right="208"/>
              <w:spacing w:after="0"/>
              <w:rPr>
                <w:sz w:val="20"/>
                <w:szCs w:val="20"/>
                <w:color w:val="auto"/>
              </w:rPr>
            </w:pPr>
            <w:r>
              <w:rPr>
                <w:rFonts w:ascii="Calibri" w:cs="Calibri" w:eastAsia="Calibri" w:hAnsi="Calibri"/>
                <w:sz w:val="14"/>
                <w:szCs w:val="14"/>
                <w:color w:val="auto"/>
              </w:rPr>
              <w:t>—</w:t>
            </w:r>
          </w:p>
        </w:tc>
        <w:tc>
          <w:tcPr>
            <w:tcW w:w="1080" w:type="dxa"/>
            <w:vAlign w:val="bottom"/>
          </w:tcPr>
          <w:p>
            <w:pPr>
              <w:jc w:val="right"/>
              <w:ind w:right="328"/>
              <w:spacing w:after="0"/>
              <w:rPr>
                <w:sz w:val="20"/>
                <w:szCs w:val="20"/>
                <w:color w:val="auto"/>
              </w:rPr>
            </w:pPr>
            <w:r>
              <w:rPr>
                <w:rFonts w:ascii="Calibri" w:cs="Calibri" w:eastAsia="Calibri" w:hAnsi="Calibri"/>
                <w:sz w:val="14"/>
                <w:szCs w:val="14"/>
                <w:color w:val="auto"/>
              </w:rPr>
              <w:t>14,405</w:t>
            </w:r>
          </w:p>
        </w:tc>
        <w:tc>
          <w:tcPr>
            <w:tcW w:w="920" w:type="dxa"/>
            <w:vAlign w:val="bottom"/>
          </w:tcPr>
          <w:p>
            <w:pPr>
              <w:jc w:val="right"/>
              <w:ind w:right="148"/>
              <w:spacing w:after="0"/>
              <w:rPr>
                <w:sz w:val="20"/>
                <w:szCs w:val="20"/>
                <w:color w:val="auto"/>
              </w:rPr>
            </w:pPr>
            <w:r>
              <w:rPr>
                <w:rFonts w:ascii="Calibri" w:cs="Calibri" w:eastAsia="Calibri" w:hAnsi="Calibri"/>
                <w:sz w:val="14"/>
                <w:szCs w:val="14"/>
                <w:color w:val="auto"/>
              </w:rPr>
              <w:t>100 %</w:t>
            </w:r>
          </w:p>
        </w:tc>
        <w:tc>
          <w:tcPr>
            <w:tcW w:w="800" w:type="dxa"/>
            <w:vAlign w:val="bottom"/>
          </w:tcPr>
          <w:p>
            <w:pPr>
              <w:jc w:val="right"/>
              <w:ind w:right="168"/>
              <w:spacing w:after="0"/>
              <w:rPr>
                <w:sz w:val="20"/>
                <w:szCs w:val="20"/>
                <w:color w:val="auto"/>
              </w:rPr>
            </w:pPr>
            <w:r>
              <w:rPr>
                <w:rFonts w:ascii="Calibri" w:cs="Calibri" w:eastAsia="Calibri" w:hAnsi="Calibri"/>
                <w:sz w:val="14"/>
                <w:szCs w:val="14"/>
                <w:color w:val="auto"/>
              </w:rPr>
              <w:t>16,284</w:t>
            </w:r>
          </w:p>
        </w:tc>
        <w:tc>
          <w:tcPr>
            <w:tcW w:w="980" w:type="dxa"/>
            <w:vAlign w:val="bottom"/>
          </w:tcPr>
          <w:p>
            <w:pPr>
              <w:jc w:val="right"/>
              <w:ind w:right="228"/>
              <w:spacing w:after="0"/>
              <w:rPr>
                <w:sz w:val="20"/>
                <w:szCs w:val="20"/>
                <w:color w:val="auto"/>
              </w:rPr>
            </w:pPr>
            <w:r>
              <w:rPr>
                <w:rFonts w:ascii="Calibri" w:cs="Calibri" w:eastAsia="Calibri" w:hAnsi="Calibri"/>
                <w:sz w:val="14"/>
                <w:szCs w:val="14"/>
                <w:color w:val="auto"/>
              </w:rPr>
              <w:t>—</w:t>
            </w:r>
          </w:p>
        </w:tc>
        <w:tc>
          <w:tcPr>
            <w:tcW w:w="1020" w:type="dxa"/>
            <w:vAlign w:val="bottom"/>
          </w:tcPr>
          <w:p>
            <w:pPr>
              <w:jc w:val="right"/>
              <w:ind w:right="308"/>
              <w:spacing w:after="0"/>
              <w:rPr>
                <w:sz w:val="20"/>
                <w:szCs w:val="20"/>
                <w:color w:val="auto"/>
              </w:rPr>
            </w:pPr>
            <w:r>
              <w:rPr>
                <w:rFonts w:ascii="Calibri" w:cs="Calibri" w:eastAsia="Calibri" w:hAnsi="Calibri"/>
                <w:sz w:val="14"/>
                <w:szCs w:val="14"/>
                <w:color w:val="auto"/>
              </w:rPr>
              <w:t>16,284</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-389255</wp:posOffset>
            </wp:positionV>
            <wp:extent cx="7132320" cy="2057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340" w:space="720"/>
            <w:col w:w="7240"/>
          </w:cols>
          <w:pgMar w:left="320" w:top="463" w:right="279" w:bottom="1440" w:gutter="0" w:footer="0" w:header="0"/>
          <w:type w:val="continuous"/>
        </w:sectPr>
      </w:pPr>
    </w:p>
    <w:p>
      <w:pPr>
        <w:ind w:left="20"/>
        <w:spacing w:after="0"/>
        <w:tabs>
          <w:tab w:leader="none" w:pos="3760" w:val="left"/>
          <w:tab w:leader="none" w:pos="4120" w:val="left"/>
          <w:tab w:leader="none" w:pos="4720" w:val="left"/>
          <w:tab w:leader="none" w:pos="5300" w:val="left"/>
          <w:tab w:leader="none" w:pos="5700" w:val="left"/>
          <w:tab w:leader="none" w:pos="6040" w:val="left"/>
          <w:tab w:leader="none" w:pos="7140" w:val="left"/>
          <w:tab w:leader="none" w:pos="7600" w:val="left"/>
          <w:tab w:leader="none" w:pos="7840" w:val="left"/>
          <w:tab w:leader="none" w:pos="8500" w:val="left"/>
          <w:tab w:leader="none" w:pos="9060" w:val="left"/>
          <w:tab w:leader="none" w:pos="9420" w:val="left"/>
          <w:tab w:leader="none" w:pos="9720" w:val="left"/>
          <w:tab w:leader="none" w:pos="10880" w:val="left"/>
        </w:tabs>
        <w:rPr>
          <w:sz w:val="20"/>
          <w:szCs w:val="20"/>
          <w:color w:val="auto"/>
        </w:rPr>
      </w:pPr>
      <w:r>
        <w:rPr>
          <w:rFonts w:ascii="Calibri" w:cs="Calibri" w:eastAsia="Calibri" w:hAnsi="Calibri"/>
          <w:sz w:val="14"/>
          <w:szCs w:val="14"/>
          <w:b w:val="1"/>
          <w:bCs w:val="1"/>
          <w:color w:val="auto"/>
        </w:rPr>
        <w:t>Net income atributable to Class A Common Stockholders</w:t>
      </w:r>
      <w:r>
        <w:rPr>
          <w:sz w:val="20"/>
          <w:szCs w:val="20"/>
          <w:color w:val="auto"/>
        </w:rPr>
        <w:tab/>
      </w:r>
      <w:r>
        <w:rPr>
          <w:rFonts w:ascii="Calibri" w:cs="Calibri" w:eastAsia="Calibri" w:hAnsi="Calibri"/>
          <w:sz w:val="29"/>
          <w:szCs w:val="29"/>
          <w:b w:val="1"/>
          <w:bCs w:val="1"/>
          <w:color w:val="auto"/>
          <w:vertAlign w:val="superscript"/>
        </w:rPr>
        <w:t>$</w:t>
      </w:r>
      <w:r>
        <w:rPr>
          <w:rFonts w:ascii="Calibri" w:cs="Calibri" w:eastAsia="Calibri" w:hAnsi="Calibri"/>
          <w:sz w:val="29"/>
          <w:szCs w:val="29"/>
          <w:b w:val="1"/>
          <w:bCs w:val="1"/>
          <w:color w:val="auto"/>
        </w:rPr>
        <w:tab/>
      </w:r>
      <w:r>
        <w:rPr>
          <w:rFonts w:ascii="Calibri" w:cs="Calibri" w:eastAsia="Calibri" w:hAnsi="Calibri"/>
          <w:sz w:val="29"/>
          <w:szCs w:val="29"/>
          <w:b w:val="1"/>
          <w:bCs w:val="1"/>
          <w:color w:val="auto"/>
          <w:vertAlign w:val="superscript"/>
        </w:rPr>
        <w:t>9,655</w:t>
      </w:r>
      <w:r>
        <w:rPr>
          <w:rFonts w:ascii="Calibri" w:cs="Calibri" w:eastAsia="Calibri" w:hAnsi="Calibri"/>
          <w:sz w:val="29"/>
          <w:szCs w:val="29"/>
          <w:b w:val="1"/>
          <w:bCs w:val="1"/>
          <w:color w:val="auto"/>
        </w:rPr>
        <w:tab/>
      </w:r>
      <w:r>
        <w:rPr>
          <w:rFonts w:ascii="Calibri" w:cs="Calibri" w:eastAsia="Calibri" w:hAnsi="Calibri"/>
          <w:sz w:val="29"/>
          <w:szCs w:val="29"/>
          <w:b w:val="1"/>
          <w:bCs w:val="1"/>
          <w:color w:val="auto"/>
          <w:vertAlign w:val="superscript"/>
        </w:rPr>
        <w:t>$</w:t>
      </w:r>
      <w:r>
        <w:rPr>
          <w:sz w:val="20"/>
          <w:szCs w:val="20"/>
          <w:color w:val="auto"/>
        </w:rPr>
        <w:tab/>
      </w:r>
      <w:r>
        <w:rPr>
          <w:rFonts w:ascii="Calibri" w:cs="Calibri" w:eastAsia="Calibri" w:hAnsi="Calibri"/>
          <w:sz w:val="29"/>
          <w:szCs w:val="29"/>
          <w:b w:val="1"/>
          <w:bCs w:val="1"/>
          <w:color w:val="auto"/>
          <w:vertAlign w:val="superscript"/>
        </w:rPr>
        <w:t>—</w:t>
      </w:r>
      <w:r>
        <w:rPr>
          <w:rFonts w:ascii="Calibri" w:cs="Calibri" w:eastAsia="Calibri" w:hAnsi="Calibri"/>
          <w:sz w:val="29"/>
          <w:szCs w:val="29"/>
          <w:b w:val="1"/>
          <w:bCs w:val="1"/>
          <w:color w:val="auto"/>
        </w:rPr>
        <w:tab/>
      </w:r>
      <w:r>
        <w:rPr>
          <w:rFonts w:ascii="Calibri" w:cs="Calibri" w:eastAsia="Calibri" w:hAnsi="Calibri"/>
          <w:sz w:val="29"/>
          <w:szCs w:val="29"/>
          <w:b w:val="1"/>
          <w:bCs w:val="1"/>
          <w:color w:val="auto"/>
          <w:vertAlign w:val="superscript"/>
        </w:rPr>
        <w:t>$</w:t>
      </w:r>
      <w:r>
        <w:rPr>
          <w:rFonts w:ascii="Calibri" w:cs="Calibri" w:eastAsia="Calibri" w:hAnsi="Calibri"/>
          <w:sz w:val="29"/>
          <w:szCs w:val="29"/>
          <w:b w:val="1"/>
          <w:bCs w:val="1"/>
          <w:color w:val="auto"/>
        </w:rPr>
        <w:tab/>
      </w:r>
      <w:r>
        <w:rPr>
          <w:rFonts w:ascii="Calibri" w:cs="Calibri" w:eastAsia="Calibri" w:hAnsi="Calibri"/>
          <w:sz w:val="29"/>
          <w:szCs w:val="29"/>
          <w:b w:val="1"/>
          <w:bCs w:val="1"/>
          <w:color w:val="auto"/>
          <w:vertAlign w:val="superscript"/>
        </w:rPr>
        <w:t>9,655</w:t>
      </w:r>
      <w:r>
        <w:rPr>
          <w:sz w:val="20"/>
          <w:szCs w:val="20"/>
          <w:color w:val="auto"/>
        </w:rPr>
        <w:tab/>
      </w:r>
      <w:r>
        <w:rPr>
          <w:rFonts w:ascii="Calibri" w:cs="Calibri" w:eastAsia="Calibri" w:hAnsi="Calibri"/>
          <w:sz w:val="29"/>
          <w:szCs w:val="29"/>
          <w:b w:val="1"/>
          <w:bCs w:val="1"/>
          <w:color w:val="auto"/>
          <w:vertAlign w:val="superscript"/>
        </w:rPr>
        <w:t>100 %</w:t>
      </w:r>
      <w:r>
        <w:rPr>
          <w:rFonts w:ascii="Calibri" w:cs="Calibri" w:eastAsia="Calibri" w:hAnsi="Calibri"/>
          <w:sz w:val="29"/>
          <w:szCs w:val="29"/>
          <w:b w:val="1"/>
          <w:bCs w:val="1"/>
          <w:color w:val="auto"/>
        </w:rPr>
        <w:tab/>
      </w:r>
      <w:r>
        <w:rPr>
          <w:rFonts w:ascii="Calibri" w:cs="Calibri" w:eastAsia="Calibri" w:hAnsi="Calibri"/>
          <w:sz w:val="29"/>
          <w:szCs w:val="29"/>
          <w:b w:val="1"/>
          <w:bCs w:val="1"/>
          <w:color w:val="auto"/>
          <w:vertAlign w:val="superscript"/>
        </w:rPr>
        <w:t>$</w:t>
      </w:r>
      <w:r>
        <w:rPr>
          <w:rFonts w:ascii="Calibri" w:cs="Calibri" w:eastAsia="Calibri" w:hAnsi="Calibri"/>
          <w:sz w:val="29"/>
          <w:szCs w:val="29"/>
          <w:b w:val="1"/>
          <w:bCs w:val="1"/>
          <w:color w:val="auto"/>
        </w:rPr>
        <w:tab/>
      </w:r>
      <w:r>
        <w:rPr>
          <w:rFonts w:ascii="Calibri" w:cs="Calibri" w:eastAsia="Calibri" w:hAnsi="Calibri"/>
          <w:sz w:val="29"/>
          <w:szCs w:val="29"/>
          <w:b w:val="1"/>
          <w:bCs w:val="1"/>
          <w:color w:val="auto"/>
          <w:vertAlign w:val="superscript"/>
        </w:rPr>
        <w:t>10,914</w:t>
      </w:r>
      <w:r>
        <w:rPr>
          <w:rFonts w:ascii="Calibri" w:cs="Calibri" w:eastAsia="Calibri" w:hAnsi="Calibri"/>
          <w:sz w:val="29"/>
          <w:szCs w:val="29"/>
          <w:b w:val="1"/>
          <w:bCs w:val="1"/>
          <w:color w:val="auto"/>
        </w:rPr>
        <w:tab/>
      </w:r>
      <w:r>
        <w:rPr>
          <w:rFonts w:ascii="Calibri" w:cs="Calibri" w:eastAsia="Calibri" w:hAnsi="Calibri"/>
          <w:sz w:val="29"/>
          <w:szCs w:val="29"/>
          <w:b w:val="1"/>
          <w:bCs w:val="1"/>
          <w:color w:val="auto"/>
          <w:vertAlign w:val="superscript"/>
        </w:rPr>
        <w:t>$</w:t>
      </w:r>
      <w:r>
        <w:rPr>
          <w:sz w:val="20"/>
          <w:szCs w:val="20"/>
          <w:color w:val="auto"/>
        </w:rPr>
        <w:tab/>
      </w:r>
      <w:r>
        <w:rPr>
          <w:rFonts w:ascii="Calibri" w:cs="Calibri" w:eastAsia="Calibri" w:hAnsi="Calibri"/>
          <w:sz w:val="29"/>
          <w:szCs w:val="29"/>
          <w:b w:val="1"/>
          <w:bCs w:val="1"/>
          <w:color w:val="auto"/>
          <w:vertAlign w:val="superscript"/>
        </w:rPr>
        <w:t>—</w:t>
      </w:r>
      <w:r>
        <w:rPr>
          <w:rFonts w:ascii="Calibri" w:cs="Calibri" w:eastAsia="Calibri" w:hAnsi="Calibri"/>
          <w:sz w:val="29"/>
          <w:szCs w:val="29"/>
          <w:b w:val="1"/>
          <w:bCs w:val="1"/>
          <w:color w:val="auto"/>
        </w:rPr>
        <w:tab/>
      </w:r>
      <w:r>
        <w:rPr>
          <w:rFonts w:ascii="Calibri" w:cs="Calibri" w:eastAsia="Calibri" w:hAnsi="Calibri"/>
          <w:sz w:val="29"/>
          <w:szCs w:val="29"/>
          <w:b w:val="1"/>
          <w:bCs w:val="1"/>
          <w:color w:val="auto"/>
          <w:vertAlign w:val="superscript"/>
        </w:rPr>
        <w:t>$</w:t>
      </w:r>
      <w:r>
        <w:rPr>
          <w:rFonts w:ascii="Calibri" w:cs="Calibri" w:eastAsia="Calibri" w:hAnsi="Calibri"/>
          <w:sz w:val="29"/>
          <w:szCs w:val="29"/>
          <w:b w:val="1"/>
          <w:bCs w:val="1"/>
          <w:color w:val="auto"/>
        </w:rPr>
        <w:tab/>
      </w:r>
      <w:r>
        <w:rPr>
          <w:rFonts w:ascii="Calibri" w:cs="Calibri" w:eastAsia="Calibri" w:hAnsi="Calibri"/>
          <w:sz w:val="29"/>
          <w:szCs w:val="29"/>
          <w:b w:val="1"/>
          <w:bCs w:val="1"/>
          <w:color w:val="auto"/>
          <w:vertAlign w:val="superscript"/>
        </w:rPr>
        <w:t>10,914</w:t>
      </w:r>
      <w:r>
        <w:rPr>
          <w:sz w:val="20"/>
          <w:szCs w:val="20"/>
          <w:color w:val="auto"/>
        </w:rPr>
        <w:tab/>
      </w:r>
      <w:r>
        <w:rPr>
          <w:rFonts w:ascii="Calibri" w:cs="Calibri" w:eastAsia="Calibri" w:hAnsi="Calibri"/>
          <w:sz w:val="21"/>
          <w:szCs w:val="21"/>
          <w:b w:val="1"/>
          <w:bCs w:val="1"/>
          <w:color w:val="auto"/>
          <w:vertAlign w:val="superscript"/>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Calibri" w:cs="Calibri" w:eastAsia="Calibri" w:hAnsi="Calibri"/>
          <w:sz w:val="18"/>
          <w:szCs w:val="18"/>
          <w:b w:val="1"/>
          <w:bCs w:val="1"/>
          <w:color w:val="auto"/>
        </w:rPr>
        <w:t>Revenues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revenues by segment (in thousands, except percentages):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88"/>
              <w:spacing w:after="0"/>
              <w:rPr>
                <w:sz w:val="20"/>
                <w:szCs w:val="20"/>
                <w:color w:val="auto"/>
              </w:rPr>
            </w:pPr>
            <w:r>
              <w:rPr>
                <w:rFonts w:ascii="Calibri" w:cs="Calibri" w:eastAsia="Calibri" w:hAnsi="Calibri"/>
                <w:sz w:val="14"/>
                <w:szCs w:val="14"/>
                <w:b w:val="1"/>
                <w:bCs w:val="1"/>
                <w:color w:val="auto"/>
              </w:rPr>
              <w:t>Three Months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28"/>
              <w:spacing w:after="0"/>
              <w:rPr>
                <w:sz w:val="20"/>
                <w:szCs w:val="20"/>
                <w:color w:val="auto"/>
              </w:rPr>
            </w:pPr>
            <w:r>
              <w:rPr>
                <w:rFonts w:ascii="Calibri" w:cs="Calibri" w:eastAsia="Calibri" w:hAnsi="Calibri"/>
                <w:sz w:val="14"/>
                <w:szCs w:val="14"/>
                <w:b w:val="1"/>
                <w:bCs w:val="1"/>
                <w:color w:val="auto"/>
              </w:rPr>
              <w:t>Six Months Ended June 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68"/>
              <w:spacing w:after="0"/>
              <w:rPr>
                <w:sz w:val="20"/>
                <w:szCs w:val="20"/>
                <w:color w:val="auto"/>
              </w:rPr>
            </w:pPr>
            <w:r>
              <w:rPr>
                <w:rFonts w:ascii="Calibri" w:cs="Calibri" w:eastAsia="Calibri" w:hAnsi="Calibri"/>
                <w:sz w:val="14"/>
                <w:szCs w:val="14"/>
                <w:b w:val="1"/>
                <w:bCs w:val="1"/>
                <w:color w:val="auto"/>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restart"/>
          </w:tcPr>
          <w:p>
            <w:pPr>
              <w:jc w:val="right"/>
              <w:ind w:right="18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19"/>
                <w:szCs w:val="19"/>
                <w:color w:val="auto"/>
              </w:rPr>
            </w:pPr>
          </w:p>
        </w:tc>
        <w:tc>
          <w:tcPr>
            <w:tcW w:w="1020" w:type="dxa"/>
            <w:vAlign w:val="bottom"/>
            <w:gridSpan w:val="2"/>
            <w:vMerge w:val="restart"/>
          </w:tcPr>
          <w:p>
            <w:pPr>
              <w:jc w:val="right"/>
              <w:ind w:right="320"/>
              <w:spacing w:after="0"/>
              <w:rPr>
                <w:sz w:val="20"/>
                <w:szCs w:val="20"/>
                <w:color w:val="auto"/>
              </w:rPr>
            </w:pPr>
            <w:r>
              <w:rPr>
                <w:rFonts w:ascii="Calibri" w:cs="Calibri" w:eastAsia="Calibri" w:hAnsi="Calibri"/>
                <w:sz w:val="14"/>
                <w:szCs w:val="14"/>
                <w:b w:val="1"/>
                <w:bCs w:val="1"/>
                <w:color w:val="auto"/>
              </w:rPr>
              <w:t>% Change</w:t>
            </w:r>
          </w:p>
        </w:tc>
        <w:tc>
          <w:tcPr>
            <w:tcW w:w="140" w:type="dxa"/>
            <w:vAlign w:val="bottom"/>
          </w:tcPr>
          <w:p>
            <w:pPr>
              <w:spacing w:after="0"/>
              <w:rPr>
                <w:sz w:val="19"/>
                <w:szCs w:val="19"/>
                <w:color w:val="auto"/>
              </w:rPr>
            </w:pPr>
          </w:p>
        </w:tc>
        <w:tc>
          <w:tcPr>
            <w:tcW w:w="700" w:type="dxa"/>
            <w:vAlign w:val="bottom"/>
          </w:tcPr>
          <w:p>
            <w:pPr>
              <w:jc w:val="right"/>
              <w:ind w:right="208"/>
              <w:spacing w:after="0"/>
              <w:rPr>
                <w:sz w:val="20"/>
                <w:szCs w:val="20"/>
                <w:color w:val="auto"/>
              </w:rPr>
            </w:pPr>
            <w:r>
              <w:rPr>
                <w:rFonts w:ascii="Calibri" w:cs="Calibri" w:eastAsia="Calibri" w:hAnsi="Calibri"/>
                <w:sz w:val="14"/>
                <w:szCs w:val="14"/>
                <w:b w:val="1"/>
                <w:bCs w:val="1"/>
                <w:color w:val="auto"/>
              </w:rPr>
              <w:t>2022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68"/>
              <w:spacing w:after="0"/>
              <w:rPr>
                <w:sz w:val="20"/>
                <w:szCs w:val="20"/>
                <w:color w:val="auto"/>
              </w:rPr>
            </w:pPr>
            <w:r>
              <w:rPr>
                <w:rFonts w:ascii="Calibri" w:cs="Calibri" w:eastAsia="Calibri" w:hAnsi="Calibri"/>
                <w:sz w:val="14"/>
                <w:szCs w:val="14"/>
                <w:b w:val="1"/>
                <w:bCs w:val="1"/>
                <w:color w:val="auto"/>
              </w:rPr>
              <w:t>2021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restart"/>
          </w:tcPr>
          <w:p>
            <w:pPr>
              <w:jc w:val="right"/>
              <w:ind w:right="168"/>
              <w:spacing w:after="0"/>
              <w:rPr>
                <w:sz w:val="20"/>
                <w:szCs w:val="20"/>
                <w:color w:val="auto"/>
              </w:rPr>
            </w:pPr>
            <w:r>
              <w:rPr>
                <w:rFonts w:ascii="Calibri" w:cs="Calibri" w:eastAsia="Calibri" w:hAnsi="Calibri"/>
                <w:sz w:val="14"/>
                <w:szCs w:val="14"/>
                <w:b w:val="1"/>
                <w:bCs w:val="1"/>
                <w:color w:val="auto"/>
              </w:rPr>
              <w:t>Change</w:t>
            </w:r>
          </w:p>
        </w:tc>
        <w:tc>
          <w:tcPr>
            <w:tcW w:w="200" w:type="dxa"/>
            <w:vAlign w:val="bottom"/>
          </w:tcPr>
          <w:p>
            <w:pPr>
              <w:spacing w:after="0"/>
              <w:rPr>
                <w:sz w:val="19"/>
                <w:szCs w:val="19"/>
                <w:color w:val="auto"/>
              </w:rPr>
            </w:pPr>
          </w:p>
        </w:tc>
        <w:tc>
          <w:tcPr>
            <w:tcW w:w="920" w:type="dxa"/>
            <w:vAlign w:val="bottom"/>
            <w:gridSpan w:val="3"/>
            <w:vMerge w:val="restart"/>
          </w:tcPr>
          <w:p>
            <w:pPr>
              <w:ind w:left="12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81"/>
        </w:trPr>
        <w:tc>
          <w:tcPr>
            <w:tcW w:w="2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6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Revenues:</w:t>
            </w:r>
          </w:p>
        </w:tc>
        <w:tc>
          <w:tcPr>
            <w:tcW w:w="120" w:type="dxa"/>
            <w:vAlign w:val="bottom"/>
            <w:tcBorders>
              <w:top w:val="single" w:sz="8" w:color="auto"/>
              <w:bottom w:val="single" w:sz="8" w:color="CFF0FC"/>
            </w:tcBorders>
            <w:shd w:val="clear" w:color="auto" w:fill="CFF0FC"/>
          </w:tcPr>
          <w:p>
            <w:pPr>
              <w:spacing w:after="0"/>
              <w:rPr>
                <w:sz w:val="24"/>
                <w:szCs w:val="24"/>
                <w:color w:val="auto"/>
              </w:rPr>
            </w:pPr>
          </w:p>
        </w:tc>
        <w:tc>
          <w:tcPr>
            <w:tcW w:w="760" w:type="dxa"/>
            <w:vAlign w:val="bottom"/>
            <w:tcBorders>
              <w:top w:val="single" w:sz="8" w:color="auto"/>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CFF0FC"/>
            </w:tcBorders>
            <w:shd w:val="clear" w:color="auto" w:fill="CFF0FC"/>
          </w:tcPr>
          <w:p>
            <w:pPr>
              <w:spacing w:after="0"/>
              <w:rPr>
                <w:sz w:val="24"/>
                <w:szCs w:val="24"/>
                <w:color w:val="auto"/>
              </w:rPr>
            </w:pPr>
          </w:p>
        </w:tc>
        <w:tc>
          <w:tcPr>
            <w:tcW w:w="760" w:type="dxa"/>
            <w:vAlign w:val="bottom"/>
            <w:tcBorders>
              <w:top w:val="single" w:sz="8" w:color="auto"/>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CFF0FC"/>
            </w:tcBorders>
            <w:shd w:val="clear" w:color="auto" w:fill="CFF0FC"/>
          </w:tcPr>
          <w:p>
            <w:pPr>
              <w:spacing w:after="0"/>
              <w:rPr>
                <w:sz w:val="24"/>
                <w:szCs w:val="24"/>
                <w:color w:val="auto"/>
              </w:rPr>
            </w:pPr>
          </w:p>
        </w:tc>
        <w:tc>
          <w:tcPr>
            <w:tcW w:w="800" w:type="dxa"/>
            <w:vAlign w:val="bottom"/>
            <w:tcBorders>
              <w:top w:val="single" w:sz="8" w:color="auto"/>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700" w:type="dxa"/>
            <w:vAlign w:val="bottom"/>
            <w:tcBorders>
              <w:top w:val="single" w:sz="8" w:color="auto"/>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CFF0FC"/>
            </w:tcBorders>
            <w:shd w:val="clear" w:color="auto" w:fill="CFF0FC"/>
          </w:tcPr>
          <w:p>
            <w:pPr>
              <w:spacing w:after="0"/>
              <w:rPr>
                <w:sz w:val="24"/>
                <w:szCs w:val="24"/>
                <w:color w:val="auto"/>
              </w:rPr>
            </w:pPr>
          </w:p>
        </w:tc>
        <w:tc>
          <w:tcPr>
            <w:tcW w:w="740" w:type="dxa"/>
            <w:vAlign w:val="bottom"/>
            <w:tcBorders>
              <w:top w:val="single" w:sz="8" w:color="auto"/>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CFF0FC"/>
            </w:tcBorders>
            <w:shd w:val="clear" w:color="auto" w:fill="CFF0FC"/>
          </w:tcPr>
          <w:p>
            <w:pPr>
              <w:spacing w:after="0"/>
              <w:rPr>
                <w:sz w:val="24"/>
                <w:szCs w:val="24"/>
                <w:color w:val="auto"/>
              </w:rPr>
            </w:pPr>
          </w:p>
        </w:tc>
        <w:tc>
          <w:tcPr>
            <w:tcW w:w="760" w:type="dxa"/>
            <w:vAlign w:val="bottom"/>
            <w:tcBorders>
              <w:top w:val="single" w:sz="8" w:color="auto"/>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top w:val="single" w:sz="8" w:color="auto"/>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620" w:type="dxa"/>
            <w:vAlign w:val="bottom"/>
          </w:tcPr>
          <w:p>
            <w:pPr>
              <w:ind w:left="20"/>
              <w:spacing w:after="0"/>
              <w:rPr>
                <w:sz w:val="20"/>
                <w:szCs w:val="20"/>
                <w:color w:val="auto"/>
              </w:rPr>
            </w:pPr>
            <w:r>
              <w:rPr>
                <w:rFonts w:ascii="Calibri" w:cs="Calibri" w:eastAsia="Calibri" w:hAnsi="Calibri"/>
                <w:sz w:val="14"/>
                <w:szCs w:val="14"/>
                <w:color w:val="auto"/>
              </w:rPr>
              <w:t>Marketplace</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129,914</w:t>
            </w:r>
          </w:p>
        </w:tc>
        <w:tc>
          <w:tcPr>
            <w:tcW w:w="440" w:type="dxa"/>
            <w:vAlign w:val="bottom"/>
            <w:gridSpan w:val="2"/>
          </w:tcPr>
          <w:p>
            <w:pPr>
              <w:jc w:val="right"/>
              <w:ind w:right="68"/>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104,648</w:t>
            </w:r>
          </w:p>
        </w:tc>
        <w:tc>
          <w:tcPr>
            <w:tcW w:w="280" w:type="dxa"/>
            <w:vAlign w:val="bottom"/>
            <w:gridSpan w:val="2"/>
          </w:tcPr>
          <w:p>
            <w:pPr>
              <w:jc w:val="right"/>
              <w:ind w:right="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spacing w:after="0"/>
              <w:rPr>
                <w:sz w:val="20"/>
                <w:szCs w:val="20"/>
                <w:color w:val="auto"/>
              </w:rPr>
            </w:pPr>
            <w:r>
              <w:rPr>
                <w:rFonts w:ascii="Calibri" w:cs="Calibri" w:eastAsia="Calibri" w:hAnsi="Calibri"/>
                <w:sz w:val="14"/>
                <w:szCs w:val="14"/>
                <w:color w:val="auto"/>
              </w:rPr>
              <w:t>25,266</w:t>
            </w:r>
          </w:p>
        </w:tc>
        <w:tc>
          <w:tcPr>
            <w:tcW w:w="1240" w:type="dxa"/>
            <w:vAlign w:val="bottom"/>
            <w:gridSpan w:val="3"/>
          </w:tcPr>
          <w:p>
            <w:pPr>
              <w:jc w:val="right"/>
              <w:ind w:right="100"/>
              <w:spacing w:after="0"/>
              <w:rPr>
                <w:sz w:val="20"/>
                <w:szCs w:val="20"/>
                <w:color w:val="auto"/>
              </w:rPr>
            </w:pPr>
            <w:r>
              <w:rPr>
                <w:rFonts w:ascii="Calibri" w:cs="Calibri" w:eastAsia="Calibri" w:hAnsi="Calibri"/>
                <w:sz w:val="14"/>
                <w:szCs w:val="14"/>
                <w:color w:val="auto"/>
              </w:rPr>
              <w:t>24 %</w:t>
            </w:r>
          </w:p>
        </w:tc>
        <w:tc>
          <w:tcPr>
            <w:tcW w:w="14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240,430</w:t>
            </w: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color w:val="auto"/>
              </w:rPr>
              <w:t>126,641</w:t>
            </w:r>
          </w:p>
        </w:tc>
        <w:tc>
          <w:tcPr>
            <w:tcW w:w="360" w:type="dxa"/>
            <w:vAlign w:val="bottom"/>
            <w:gridSpan w:val="2"/>
          </w:tcPr>
          <w:p>
            <w:pPr>
              <w:jc w:val="right"/>
              <w:ind w:right="80"/>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113,789</w:t>
            </w:r>
          </w:p>
        </w:tc>
        <w:tc>
          <w:tcPr>
            <w:tcW w:w="1100" w:type="dxa"/>
            <w:vAlign w:val="bottom"/>
            <w:gridSpan w:val="3"/>
          </w:tcPr>
          <w:p>
            <w:pPr>
              <w:jc w:val="right"/>
              <w:spacing w:after="0"/>
              <w:rPr>
                <w:sz w:val="20"/>
                <w:szCs w:val="20"/>
                <w:color w:val="auto"/>
              </w:rPr>
            </w:pPr>
            <w:r>
              <w:rPr>
                <w:rFonts w:ascii="Calibri" w:cs="Calibri" w:eastAsia="Calibri" w:hAnsi="Calibri"/>
                <w:sz w:val="14"/>
                <w:szCs w:val="14"/>
                <w:color w:val="auto"/>
              </w:rPr>
              <w:t>90 %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Resale</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17,780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10,850</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6,930</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64 %</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38,036</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12,971</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25,065</w:t>
            </w:r>
          </w:p>
        </w:tc>
        <w:tc>
          <w:tcPr>
            <w:tcW w:w="110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193 %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20" w:type="dxa"/>
            <w:vAlign w:val="bottom"/>
          </w:tcPr>
          <w:p>
            <w:pPr>
              <w:ind w:left="20"/>
              <w:spacing w:after="0"/>
              <w:rPr>
                <w:sz w:val="20"/>
                <w:szCs w:val="20"/>
                <w:color w:val="auto"/>
              </w:rPr>
            </w:pPr>
            <w:r>
              <w:rPr>
                <w:rFonts w:ascii="Calibri" w:cs="Calibri" w:eastAsia="Calibri" w:hAnsi="Calibri"/>
                <w:sz w:val="14"/>
                <w:szCs w:val="14"/>
                <w:b w:val="1"/>
                <w:bCs w:val="1"/>
                <w:color w:val="auto"/>
              </w:rPr>
              <w:t>Total revenues</w:t>
            </w:r>
          </w:p>
        </w:tc>
        <w:tc>
          <w:tcPr>
            <w:tcW w:w="12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color w:val="auto"/>
              </w:rPr>
              <w:t>147,694</w:t>
            </w:r>
          </w:p>
        </w:tc>
        <w:tc>
          <w:tcPr>
            <w:tcW w:w="2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alibri" w:cs="Calibri" w:eastAsia="Calibri" w:hAnsi="Calibri"/>
                <w:sz w:val="14"/>
                <w:szCs w:val="14"/>
                <w:b w:val="1"/>
                <w:bCs w:val="1"/>
                <w:color w:val="auto"/>
                <w:w w:val="83"/>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color w:val="auto"/>
              </w:rPr>
              <w:t>115,498</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800" w:type="dxa"/>
            <w:vAlign w:val="bottom"/>
          </w:tcPr>
          <w:p>
            <w:pPr>
              <w:jc w:val="right"/>
              <w:spacing w:after="0"/>
              <w:rPr>
                <w:sz w:val="20"/>
                <w:szCs w:val="20"/>
                <w:color w:val="auto"/>
              </w:rPr>
            </w:pPr>
            <w:r>
              <w:rPr>
                <w:rFonts w:ascii="Calibri" w:cs="Calibri" w:eastAsia="Calibri" w:hAnsi="Calibri"/>
                <w:sz w:val="14"/>
                <w:szCs w:val="14"/>
                <w:b w:val="1"/>
                <w:bCs w:val="1"/>
                <w:color w:val="auto"/>
              </w:rPr>
              <w:t>32,196</w:t>
            </w:r>
          </w:p>
        </w:tc>
        <w:tc>
          <w:tcPr>
            <w:tcW w:w="22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Calibri" w:cs="Calibri" w:eastAsia="Calibri" w:hAnsi="Calibri"/>
                <w:sz w:val="14"/>
                <w:szCs w:val="14"/>
                <w:b w:val="1"/>
                <w:bCs w:val="1"/>
                <w:color w:val="auto"/>
              </w:rPr>
              <w:t>28 %</w:t>
            </w:r>
          </w:p>
        </w:tc>
        <w:tc>
          <w:tcPr>
            <w:tcW w:w="14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278,466</w:t>
            </w: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b w:val="1"/>
                <w:bCs w:val="1"/>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b w:val="1"/>
                <w:bCs w:val="1"/>
                <w:color w:val="auto"/>
              </w:rPr>
              <w:t>139,612</w:t>
            </w:r>
          </w:p>
        </w:tc>
        <w:tc>
          <w:tcPr>
            <w:tcW w:w="360" w:type="dxa"/>
            <w:vAlign w:val="bottom"/>
            <w:gridSpan w:val="2"/>
          </w:tcPr>
          <w:p>
            <w:pPr>
              <w:jc w:val="right"/>
              <w:ind w:right="80"/>
              <w:spacing w:after="0"/>
              <w:rPr>
                <w:sz w:val="20"/>
                <w:szCs w:val="20"/>
                <w:color w:val="auto"/>
              </w:rPr>
            </w:pPr>
            <w:r>
              <w:rPr>
                <w:rFonts w:ascii="Calibri" w:cs="Calibri" w:eastAsia="Calibri" w:hAnsi="Calibri"/>
                <w:sz w:val="14"/>
                <w:szCs w:val="14"/>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color w:val="auto"/>
              </w:rPr>
              <w:t>138,854</w:t>
            </w:r>
          </w:p>
        </w:tc>
        <w:tc>
          <w:tcPr>
            <w:tcW w:w="11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99 %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-145415</wp:posOffset>
            </wp:positionV>
            <wp:extent cx="774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-145415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-145415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-145415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-145415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-145415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-145415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ind w:right="60"/>
        <w:spacing w:after="0" w:line="225" w:lineRule="auto"/>
        <w:rPr>
          <w:sz w:val="20"/>
          <w:szCs w:val="20"/>
          <w:color w:val="auto"/>
        </w:rPr>
      </w:pPr>
      <w:r>
        <w:rPr>
          <w:rFonts w:ascii="Calibri" w:cs="Calibri" w:eastAsia="Calibri" w:hAnsi="Calibri"/>
          <w:sz w:val="18"/>
          <w:szCs w:val="18"/>
          <w:color w:val="auto"/>
        </w:rPr>
        <w:t>Total revenues increased $32.2 million, or 28% during the three months ended June 30, 2022 compared to the three months ended June 30, 2021 and increased $138.9 million, or 99% during the six months ended June 30, 2022 compared to the six months ended June 30, 2021. The increase, which occurred in both our Marketplace and Resale segments, resulted from an increase in new orders processed resultng from the resumpton of live events. The pandemic and resultng mitgaton measures had a signifcant adverse efect on order volume and event cancellatons during the three and six months ended June 30, 2021. In the second quarter of 2021, most local governments began to lif large scale restrictons on live events such that there was a signifcant increase in live events held for the three and six months ended June 30, 2022 compared to three and six months ended June 30, 2021.</w:t>
      </w:r>
    </w:p>
    <w:p>
      <w:pPr>
        <w:spacing w:after="0" w:line="109"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63" w:right="27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8"/>
          <w:szCs w:val="18"/>
          <w:i w:val="1"/>
          <w:iCs w:val="1"/>
          <w:color w:val="auto"/>
        </w:rPr>
        <w:t>Marketplace</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Marketplace revenues by event category (in thousands, except percentages):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108"/>
              <w:spacing w:after="0"/>
              <w:rPr>
                <w:sz w:val="20"/>
                <w:szCs w:val="20"/>
                <w:color w:val="auto"/>
              </w:rPr>
            </w:pPr>
            <w:r>
              <w:rPr>
                <w:rFonts w:ascii="Calibri" w:cs="Calibri" w:eastAsia="Calibri" w:hAnsi="Calibri"/>
                <w:sz w:val="14"/>
                <w:szCs w:val="14"/>
                <w:b w:val="1"/>
                <w:bCs w:val="1"/>
                <w:color w:val="auto"/>
              </w:rPr>
              <w:t>Three Months Ended June 30,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168"/>
              <w:spacing w:after="0"/>
              <w:rPr>
                <w:sz w:val="20"/>
                <w:szCs w:val="20"/>
                <w:color w:val="auto"/>
              </w:rPr>
            </w:pPr>
            <w:r>
              <w:rPr>
                <w:rFonts w:ascii="Calibri" w:cs="Calibri" w:eastAsia="Calibri" w:hAnsi="Calibri"/>
                <w:sz w:val="14"/>
                <w:szCs w:val="14"/>
                <w:b w:val="1"/>
                <w:bCs w:val="1"/>
                <w:color w:val="auto"/>
              </w:rPr>
              <w:t>Six Months Ended June 30,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2022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8"/>
              <w:spacing w:after="0"/>
              <w:rPr>
                <w:sz w:val="20"/>
                <w:szCs w:val="20"/>
                <w:color w:val="auto"/>
              </w:rPr>
            </w:pPr>
            <w:r>
              <w:rPr>
                <w:rFonts w:ascii="Calibri" w:cs="Calibri" w:eastAsia="Calibri" w:hAnsi="Calibri"/>
                <w:sz w:val="14"/>
                <w:szCs w:val="14"/>
                <w:b w:val="1"/>
                <w:bCs w:val="1"/>
                <w:color w:val="auto"/>
              </w:rPr>
              <w:t>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restart"/>
          </w:tcPr>
          <w:p>
            <w:pPr>
              <w:jc w:val="right"/>
              <w:ind w:right="208"/>
              <w:spacing w:after="0"/>
              <w:rPr>
                <w:sz w:val="20"/>
                <w:szCs w:val="20"/>
                <w:color w:val="auto"/>
              </w:rPr>
            </w:pPr>
            <w:r>
              <w:rPr>
                <w:rFonts w:ascii="Calibri" w:cs="Calibri" w:eastAsia="Calibri" w:hAnsi="Calibri"/>
                <w:sz w:val="14"/>
                <w:szCs w:val="14"/>
                <w:b w:val="1"/>
                <w:bCs w:val="1"/>
                <w:color w:val="auto"/>
              </w:rPr>
              <w:t>Change</w:t>
            </w:r>
          </w:p>
        </w:tc>
        <w:tc>
          <w:tcPr>
            <w:tcW w:w="240" w:type="dxa"/>
            <w:vAlign w:val="bottom"/>
          </w:tcPr>
          <w:p>
            <w:pPr>
              <w:spacing w:after="0"/>
              <w:rPr>
                <w:sz w:val="19"/>
                <w:szCs w:val="19"/>
                <w:color w:val="auto"/>
              </w:rPr>
            </w:pPr>
          </w:p>
        </w:tc>
        <w:tc>
          <w:tcPr>
            <w:tcW w:w="960" w:type="dxa"/>
            <w:vAlign w:val="bottom"/>
            <w:gridSpan w:val="2"/>
            <w:vMerge w:val="restart"/>
          </w:tcPr>
          <w:p>
            <w:pPr>
              <w:jc w:val="right"/>
              <w:ind w:right="300"/>
              <w:spacing w:after="0"/>
              <w:rPr>
                <w:sz w:val="20"/>
                <w:szCs w:val="20"/>
                <w:color w:val="auto"/>
              </w:rPr>
            </w:pPr>
            <w:r>
              <w:rPr>
                <w:rFonts w:ascii="Calibri" w:cs="Calibri" w:eastAsia="Calibri" w:hAnsi="Calibri"/>
                <w:sz w:val="14"/>
                <w:szCs w:val="14"/>
                <w:b w:val="1"/>
                <w:bCs w:val="1"/>
                <w:color w:val="auto"/>
              </w:rPr>
              <w:t>% Change</w:t>
            </w:r>
          </w:p>
        </w:tc>
        <w:tc>
          <w:tcPr>
            <w:tcW w:w="180" w:type="dxa"/>
            <w:vAlign w:val="bottom"/>
          </w:tcPr>
          <w:p>
            <w:pPr>
              <w:spacing w:after="0"/>
              <w:rPr>
                <w:sz w:val="19"/>
                <w:szCs w:val="19"/>
                <w:color w:val="auto"/>
              </w:rPr>
            </w:pPr>
          </w:p>
        </w:tc>
        <w:tc>
          <w:tcPr>
            <w:tcW w:w="72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2022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68"/>
              <w:spacing w:after="0"/>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restart"/>
          </w:tcPr>
          <w:p>
            <w:pPr>
              <w:jc w:val="right"/>
              <w:ind w:right="208"/>
              <w:spacing w:after="0"/>
              <w:rPr>
                <w:sz w:val="20"/>
                <w:szCs w:val="20"/>
                <w:color w:val="auto"/>
              </w:rPr>
            </w:pPr>
            <w:r>
              <w:rPr>
                <w:rFonts w:ascii="Calibri" w:cs="Calibri" w:eastAsia="Calibri" w:hAnsi="Calibri"/>
                <w:sz w:val="14"/>
                <w:szCs w:val="14"/>
                <w:b w:val="1"/>
                <w:bCs w:val="1"/>
                <w:color w:val="auto"/>
              </w:rPr>
              <w:t>Change</w:t>
            </w:r>
          </w:p>
        </w:tc>
        <w:tc>
          <w:tcPr>
            <w:tcW w:w="200" w:type="dxa"/>
            <w:vAlign w:val="bottom"/>
          </w:tcPr>
          <w:p>
            <w:pPr>
              <w:spacing w:after="0"/>
              <w:rPr>
                <w:sz w:val="19"/>
                <w:szCs w:val="19"/>
                <w:color w:val="auto"/>
              </w:rPr>
            </w:pPr>
          </w:p>
        </w:tc>
        <w:tc>
          <w:tcPr>
            <w:tcW w:w="1140" w:type="dxa"/>
            <w:vAlign w:val="bottom"/>
            <w:gridSpan w:val="3"/>
            <w:vMerge w:val="restart"/>
          </w:tcPr>
          <w:p>
            <w:pPr>
              <w:ind w:left="22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16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Revenues:</w:t>
            </w:r>
          </w:p>
        </w:tc>
        <w:tc>
          <w:tcPr>
            <w:tcW w:w="140" w:type="dxa"/>
            <w:vAlign w:val="bottom"/>
            <w:tcBorders>
              <w:top w:val="single" w:sz="8" w:color="auto"/>
            </w:tcBorders>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80" w:type="dxa"/>
            <w:vAlign w:val="bottom"/>
            <w:tcBorders>
              <w:top w:val="single" w:sz="8" w:color="auto"/>
            </w:tcBorders>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800" w:type="dxa"/>
            <w:vAlign w:val="bottom"/>
            <w:tcBorders>
              <w:top w:val="single" w:sz="8" w:color="auto"/>
            </w:tcBorders>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760" w:type="dxa"/>
            <w:vAlign w:val="bottom"/>
            <w:tcBorders>
              <w:top w:val="single" w:sz="8" w:color="auto"/>
            </w:tcBorders>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80" w:type="dxa"/>
            <w:vAlign w:val="bottom"/>
            <w:tcBorders>
              <w:top w:val="single" w:sz="8" w:color="auto"/>
            </w:tcBorders>
            <w:shd w:val="clear" w:color="auto" w:fill="CFF0FC"/>
          </w:tcPr>
          <w:p>
            <w:pPr>
              <w:spacing w:after="0"/>
              <w:rPr>
                <w:sz w:val="24"/>
                <w:szCs w:val="24"/>
                <w:color w:val="auto"/>
              </w:rPr>
            </w:pPr>
          </w:p>
        </w:tc>
        <w:tc>
          <w:tcPr>
            <w:tcW w:w="720" w:type="dxa"/>
            <w:vAlign w:val="bottom"/>
            <w:tcBorders>
              <w:top w:val="single" w:sz="8" w:color="auto"/>
            </w:tcBorders>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220" w:type="dxa"/>
            <w:vAlign w:val="bottom"/>
            <w:tcBorders>
              <w:top w:val="single" w:sz="8" w:color="auto"/>
            </w:tcBorders>
            <w:shd w:val="clear" w:color="auto" w:fill="CFF0FC"/>
          </w:tcPr>
          <w:p>
            <w:pPr>
              <w:spacing w:after="0"/>
              <w:rPr>
                <w:sz w:val="24"/>
                <w:szCs w:val="24"/>
                <w:color w:val="auto"/>
              </w:rPr>
            </w:pPr>
          </w:p>
        </w:tc>
        <w:tc>
          <w:tcPr>
            <w:tcW w:w="760" w:type="dxa"/>
            <w:vAlign w:val="bottom"/>
            <w:tcBorders>
              <w:top w:val="single" w:sz="8" w:color="auto"/>
            </w:tcBorders>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80" w:type="dxa"/>
            <w:vAlign w:val="bottom"/>
            <w:tcBorders>
              <w:top w:val="single" w:sz="8" w:color="auto"/>
            </w:tcBorders>
            <w:shd w:val="clear" w:color="auto" w:fill="CFF0FC"/>
          </w:tcPr>
          <w:p>
            <w:pPr>
              <w:spacing w:after="0"/>
              <w:rPr>
                <w:sz w:val="24"/>
                <w:szCs w:val="24"/>
                <w:color w:val="auto"/>
              </w:rPr>
            </w:pPr>
          </w:p>
        </w:tc>
        <w:tc>
          <w:tcPr>
            <w:tcW w:w="800" w:type="dxa"/>
            <w:vAlign w:val="bottom"/>
            <w:tcBorders>
              <w:top w:val="single" w:sz="8" w:color="auto"/>
            </w:tcBorders>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20" w:type="dxa"/>
            <w:vAlign w:val="bottom"/>
            <w:tcBorders>
              <w:top w:val="single" w:sz="8" w:color="auto"/>
            </w:tcBorders>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20"/>
              <w:spacing w:after="0"/>
              <w:rPr>
                <w:sz w:val="20"/>
                <w:szCs w:val="20"/>
                <w:color w:val="auto"/>
              </w:rPr>
            </w:pPr>
            <w:r>
              <w:rPr>
                <w:rFonts w:ascii="Calibri" w:cs="Calibri" w:eastAsia="Calibri" w:hAnsi="Calibri"/>
                <w:sz w:val="14"/>
                <w:szCs w:val="14"/>
                <w:color w:val="auto"/>
              </w:rPr>
              <w:t>Concerts</w:t>
            </w:r>
          </w:p>
        </w:tc>
        <w:tc>
          <w:tcPr>
            <w:tcW w:w="1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spacing w:after="0"/>
              <w:rPr>
                <w:sz w:val="20"/>
                <w:szCs w:val="20"/>
                <w:color w:val="auto"/>
              </w:rPr>
            </w:pPr>
            <w:r>
              <w:rPr>
                <w:rFonts w:ascii="Calibri" w:cs="Calibri" w:eastAsia="Calibri" w:hAnsi="Calibri"/>
                <w:sz w:val="14"/>
                <w:szCs w:val="14"/>
                <w:color w:val="auto"/>
              </w:rPr>
              <w:t>65,816</w:t>
            </w:r>
          </w:p>
        </w:tc>
        <w:tc>
          <w:tcPr>
            <w:tcW w:w="460" w:type="dxa"/>
            <w:vAlign w:val="bottom"/>
            <w:gridSpan w:val="2"/>
          </w:tcPr>
          <w:p>
            <w:pPr>
              <w:jc w:val="right"/>
              <w:ind w:right="68"/>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spacing w:after="0"/>
              <w:rPr>
                <w:sz w:val="20"/>
                <w:szCs w:val="20"/>
                <w:color w:val="auto"/>
              </w:rPr>
            </w:pPr>
            <w:r>
              <w:rPr>
                <w:rFonts w:ascii="Calibri" w:cs="Calibri" w:eastAsia="Calibri" w:hAnsi="Calibri"/>
                <w:sz w:val="14"/>
                <w:szCs w:val="14"/>
                <w:color w:val="auto"/>
              </w:rPr>
              <w:t>49,843</w:t>
            </w:r>
          </w:p>
        </w:tc>
        <w:tc>
          <w:tcPr>
            <w:tcW w:w="320" w:type="dxa"/>
            <w:vAlign w:val="bottom"/>
            <w:gridSpan w:val="2"/>
          </w:tcPr>
          <w:p>
            <w:pPr>
              <w:jc w:val="right"/>
              <w:ind w:right="28"/>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spacing w:after="0"/>
              <w:rPr>
                <w:sz w:val="20"/>
                <w:szCs w:val="20"/>
                <w:color w:val="auto"/>
              </w:rPr>
            </w:pPr>
            <w:r>
              <w:rPr>
                <w:rFonts w:ascii="Calibri" w:cs="Calibri" w:eastAsia="Calibri" w:hAnsi="Calibri"/>
                <w:sz w:val="14"/>
                <w:szCs w:val="14"/>
                <w:color w:val="auto"/>
              </w:rPr>
              <w:t>15,973</w:t>
            </w:r>
          </w:p>
        </w:tc>
        <w:tc>
          <w:tcPr>
            <w:tcW w:w="1200" w:type="dxa"/>
            <w:vAlign w:val="bottom"/>
            <w:gridSpan w:val="3"/>
          </w:tcPr>
          <w:p>
            <w:pPr>
              <w:jc w:val="right"/>
              <w:ind w:right="80"/>
              <w:spacing w:after="0"/>
              <w:rPr>
                <w:sz w:val="20"/>
                <w:szCs w:val="20"/>
                <w:color w:val="auto"/>
              </w:rPr>
            </w:pPr>
            <w:r>
              <w:rPr>
                <w:rFonts w:ascii="Calibri" w:cs="Calibri" w:eastAsia="Calibri" w:hAnsi="Calibri"/>
                <w:sz w:val="14"/>
                <w:szCs w:val="14"/>
                <w:color w:val="auto"/>
              </w:rPr>
              <w:t>32 %</w:t>
            </w:r>
          </w:p>
        </w:tc>
        <w:tc>
          <w:tcPr>
            <w:tcW w:w="180" w:type="dxa"/>
            <w:vAlign w:val="bottom"/>
          </w:tcPr>
          <w:p>
            <w:pPr>
              <w:jc w:val="right"/>
              <w:ind w:right="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124,489</w:t>
            </w: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56,857</w:t>
            </w:r>
          </w:p>
        </w:tc>
        <w:tc>
          <w:tcPr>
            <w:tcW w:w="400" w:type="dxa"/>
            <w:vAlign w:val="bottom"/>
            <w:gridSpan w:val="2"/>
          </w:tcPr>
          <w:p>
            <w:pPr>
              <w:jc w:val="right"/>
              <w:ind w:right="100"/>
              <w:spacing w:after="0"/>
              <w:rPr>
                <w:sz w:val="20"/>
                <w:szCs w:val="20"/>
                <w:color w:val="auto"/>
              </w:rPr>
            </w:pPr>
            <w:r>
              <w:rPr>
                <w:rFonts w:ascii="Calibri" w:cs="Calibri" w:eastAsia="Calibri" w:hAnsi="Calibri"/>
                <w:sz w:val="14"/>
                <w:szCs w:val="14"/>
                <w:color w:val="auto"/>
              </w:rPr>
              <w:t>$</w:t>
            </w:r>
          </w:p>
        </w:tc>
        <w:tc>
          <w:tcPr>
            <w:tcW w:w="800" w:type="dxa"/>
            <w:vAlign w:val="bottom"/>
          </w:tcPr>
          <w:p>
            <w:pPr>
              <w:jc w:val="right"/>
              <w:spacing w:after="0"/>
              <w:rPr>
                <w:sz w:val="20"/>
                <w:szCs w:val="20"/>
                <w:color w:val="auto"/>
              </w:rPr>
            </w:pPr>
            <w:r>
              <w:rPr>
                <w:rFonts w:ascii="Calibri" w:cs="Calibri" w:eastAsia="Calibri" w:hAnsi="Calibri"/>
                <w:sz w:val="14"/>
                <w:szCs w:val="14"/>
                <w:color w:val="auto"/>
              </w:rPr>
              <w:t>67,632</w:t>
            </w:r>
          </w:p>
        </w:tc>
        <w:tc>
          <w:tcPr>
            <w:tcW w:w="1320" w:type="dxa"/>
            <w:vAlign w:val="bottom"/>
            <w:gridSpan w:val="3"/>
          </w:tcPr>
          <w:p>
            <w:pPr>
              <w:jc w:val="right"/>
              <w:spacing w:after="0"/>
              <w:rPr>
                <w:sz w:val="20"/>
                <w:szCs w:val="20"/>
                <w:color w:val="auto"/>
              </w:rPr>
            </w:pPr>
            <w:r>
              <w:rPr>
                <w:rFonts w:ascii="Calibri" w:cs="Calibri" w:eastAsia="Calibri" w:hAnsi="Calibri"/>
                <w:sz w:val="14"/>
                <w:szCs w:val="14"/>
                <w:color w:val="auto"/>
              </w:rPr>
              <w:t>119 %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Sports</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51,285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48,005</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3,280</w:t>
            </w:r>
          </w:p>
        </w:tc>
        <w:tc>
          <w:tcPr>
            <w:tcW w:w="1200" w:type="dxa"/>
            <w:vAlign w:val="bottom"/>
            <w:gridSpan w:val="3"/>
            <w:shd w:val="clear" w:color="auto" w:fill="CFF0FC"/>
          </w:tcPr>
          <w:p>
            <w:pPr>
              <w:jc w:val="right"/>
              <w:ind w:right="80"/>
              <w:spacing w:after="0"/>
              <w:rPr>
                <w:sz w:val="20"/>
                <w:szCs w:val="20"/>
                <w:color w:val="auto"/>
              </w:rPr>
            </w:pPr>
            <w:r>
              <w:rPr>
                <w:rFonts w:ascii="Calibri" w:cs="Calibri" w:eastAsia="Calibri" w:hAnsi="Calibri"/>
                <w:sz w:val="14"/>
                <w:szCs w:val="14"/>
                <w:color w:val="auto"/>
              </w:rPr>
              <w:t>7 %</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90,200</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62,143</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28,057</w:t>
            </w:r>
          </w:p>
        </w:tc>
        <w:tc>
          <w:tcPr>
            <w:tcW w:w="132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45 %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20"/>
              <w:spacing w:after="0"/>
              <w:rPr>
                <w:sz w:val="20"/>
                <w:szCs w:val="20"/>
                <w:color w:val="auto"/>
              </w:rPr>
            </w:pPr>
            <w:r>
              <w:rPr>
                <w:rFonts w:ascii="Calibri" w:cs="Calibri" w:eastAsia="Calibri" w:hAnsi="Calibri"/>
                <w:sz w:val="14"/>
                <w:szCs w:val="14"/>
                <w:color w:val="auto"/>
              </w:rPr>
              <w:t>Theater</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11,856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6,515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5,341</w:t>
            </w:r>
          </w:p>
        </w:tc>
        <w:tc>
          <w:tcPr>
            <w:tcW w:w="1200" w:type="dxa"/>
            <w:vAlign w:val="bottom"/>
            <w:gridSpan w:val="3"/>
          </w:tcPr>
          <w:p>
            <w:pPr>
              <w:jc w:val="right"/>
              <w:ind w:right="80"/>
              <w:spacing w:after="0"/>
              <w:rPr>
                <w:sz w:val="20"/>
                <w:szCs w:val="20"/>
                <w:color w:val="auto"/>
              </w:rPr>
            </w:pPr>
            <w:r>
              <w:rPr>
                <w:rFonts w:ascii="Calibri" w:cs="Calibri" w:eastAsia="Calibri" w:hAnsi="Calibri"/>
                <w:sz w:val="14"/>
                <w:szCs w:val="14"/>
                <w:color w:val="auto"/>
              </w:rPr>
              <w:t>82 %</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24,471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alibri" w:cs="Calibri" w:eastAsia="Calibri" w:hAnsi="Calibri"/>
                <w:sz w:val="14"/>
                <w:szCs w:val="14"/>
                <w:color w:val="auto"/>
              </w:rPr>
              <w:t>7,298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alibri" w:cs="Calibri" w:eastAsia="Calibri" w:hAnsi="Calibri"/>
                <w:sz w:val="14"/>
                <w:szCs w:val="14"/>
                <w:color w:val="auto"/>
              </w:rPr>
              <w:t>17,173</w:t>
            </w:r>
          </w:p>
        </w:tc>
        <w:tc>
          <w:tcPr>
            <w:tcW w:w="1320" w:type="dxa"/>
            <w:vAlign w:val="bottom"/>
            <w:gridSpan w:val="3"/>
          </w:tcPr>
          <w:p>
            <w:pPr>
              <w:jc w:val="right"/>
              <w:spacing w:after="0"/>
              <w:rPr>
                <w:sz w:val="20"/>
                <w:szCs w:val="20"/>
                <w:color w:val="auto"/>
              </w:rPr>
            </w:pPr>
            <w:r>
              <w:rPr>
                <w:rFonts w:ascii="Calibri" w:cs="Calibri" w:eastAsia="Calibri" w:hAnsi="Calibri"/>
                <w:sz w:val="14"/>
                <w:szCs w:val="14"/>
                <w:color w:val="auto"/>
              </w:rPr>
              <w:t>235 %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Other</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957</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285</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672</w:t>
            </w:r>
          </w:p>
        </w:tc>
        <w:tc>
          <w:tcPr>
            <w:tcW w:w="2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rPr>
                <w:sz w:val="20"/>
                <w:szCs w:val="20"/>
                <w:color w:val="auto"/>
              </w:rPr>
            </w:pPr>
            <w:r>
              <w:rPr>
                <w:rFonts w:ascii="Calibri" w:cs="Calibri" w:eastAsia="Calibri" w:hAnsi="Calibri"/>
                <w:sz w:val="14"/>
                <w:szCs w:val="14"/>
                <w:color w:val="auto"/>
              </w:rPr>
              <w:t>236 %</w:t>
            </w: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1,270</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343</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927</w:t>
            </w:r>
          </w:p>
        </w:tc>
        <w:tc>
          <w:tcPr>
            <w:tcW w:w="132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270 %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16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Marketplace revenues</w:t>
            </w:r>
          </w:p>
        </w:tc>
        <w:tc>
          <w:tcPr>
            <w:tcW w:w="140" w:type="dxa"/>
            <w:vAlign w:val="bottom"/>
          </w:tcPr>
          <w:p>
            <w:pPr>
              <w:jc w:val="right"/>
              <w:spacing w:after="0"/>
              <w:rPr>
                <w:sz w:val="20"/>
                <w:szCs w:val="20"/>
                <w:color w:val="auto"/>
              </w:rPr>
            </w:pPr>
            <w:r>
              <w:rPr>
                <w:rFonts w:ascii="Calibri" w:cs="Calibri" w:eastAsia="Calibri" w:hAnsi="Calibri"/>
                <w:sz w:val="14"/>
                <w:szCs w:val="14"/>
                <w:b w:val="1"/>
                <w:bCs w:val="1"/>
                <w:color w:val="auto"/>
              </w:rPr>
              <w:t>$</w:t>
            </w:r>
          </w:p>
        </w:tc>
        <w:tc>
          <w:tcPr>
            <w:tcW w:w="780" w:type="dxa"/>
            <w:vAlign w:val="bottom"/>
          </w:tcPr>
          <w:p>
            <w:pPr>
              <w:jc w:val="right"/>
              <w:spacing w:after="0"/>
              <w:rPr>
                <w:sz w:val="20"/>
                <w:szCs w:val="20"/>
                <w:color w:val="auto"/>
              </w:rPr>
            </w:pPr>
            <w:r>
              <w:rPr>
                <w:rFonts w:ascii="Calibri" w:cs="Calibri" w:eastAsia="Calibri" w:hAnsi="Calibri"/>
                <w:sz w:val="14"/>
                <w:szCs w:val="14"/>
                <w:b w:val="1"/>
                <w:bCs w:val="1"/>
                <w:color w:val="auto"/>
              </w:rPr>
              <w:t>129,914</w:t>
            </w:r>
          </w:p>
        </w:tc>
        <w:tc>
          <w:tcPr>
            <w:tcW w:w="2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alibri" w:cs="Calibri" w:eastAsia="Calibri" w:hAnsi="Calibri"/>
                <w:sz w:val="14"/>
                <w:szCs w:val="14"/>
                <w:b w:val="1"/>
                <w:bCs w:val="1"/>
                <w:color w:val="auto"/>
                <w:w w:val="83"/>
              </w:rPr>
              <w:t>$</w:t>
            </w:r>
          </w:p>
        </w:tc>
        <w:tc>
          <w:tcPr>
            <w:tcW w:w="780" w:type="dxa"/>
            <w:vAlign w:val="bottom"/>
          </w:tcPr>
          <w:p>
            <w:pPr>
              <w:jc w:val="right"/>
              <w:spacing w:after="0"/>
              <w:rPr>
                <w:sz w:val="20"/>
                <w:szCs w:val="20"/>
                <w:color w:val="auto"/>
              </w:rPr>
            </w:pPr>
            <w:r>
              <w:rPr>
                <w:rFonts w:ascii="Calibri" w:cs="Calibri" w:eastAsia="Calibri" w:hAnsi="Calibri"/>
                <w:sz w:val="14"/>
                <w:szCs w:val="14"/>
                <w:b w:val="1"/>
                <w:bCs w:val="1"/>
                <w:color w:val="auto"/>
              </w:rPr>
              <w:t>104,648</w:t>
            </w:r>
          </w:p>
        </w:tc>
        <w:tc>
          <w:tcPr>
            <w:tcW w:w="12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Calibri" w:cs="Calibri" w:eastAsia="Calibri" w:hAnsi="Calibri"/>
                <w:sz w:val="14"/>
                <w:szCs w:val="14"/>
                <w:b w:val="1"/>
                <w:bCs w:val="1"/>
                <w:color w:val="auto"/>
              </w:rPr>
              <w:t>$</w:t>
            </w:r>
          </w:p>
        </w:tc>
        <w:tc>
          <w:tcPr>
            <w:tcW w:w="800" w:type="dxa"/>
            <w:vAlign w:val="bottom"/>
          </w:tcPr>
          <w:p>
            <w:pPr>
              <w:jc w:val="right"/>
              <w:spacing w:after="0"/>
              <w:rPr>
                <w:sz w:val="20"/>
                <w:szCs w:val="20"/>
                <w:color w:val="auto"/>
              </w:rPr>
            </w:pPr>
            <w:r>
              <w:rPr>
                <w:rFonts w:ascii="Calibri" w:cs="Calibri" w:eastAsia="Calibri" w:hAnsi="Calibri"/>
                <w:sz w:val="14"/>
                <w:szCs w:val="14"/>
                <w:b w:val="1"/>
                <w:bCs w:val="1"/>
                <w:color w:val="auto"/>
              </w:rPr>
              <w:t>25,266</w:t>
            </w:r>
          </w:p>
        </w:tc>
        <w:tc>
          <w:tcPr>
            <w:tcW w:w="24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Calibri" w:cs="Calibri" w:eastAsia="Calibri" w:hAnsi="Calibri"/>
                <w:sz w:val="14"/>
                <w:szCs w:val="14"/>
                <w:b w:val="1"/>
                <w:bCs w:val="1"/>
                <w:color w:val="auto"/>
              </w:rPr>
              <w:t>24 %</w:t>
            </w:r>
          </w:p>
        </w:tc>
        <w:tc>
          <w:tcPr>
            <w:tcW w:w="180" w:type="dxa"/>
            <w:vAlign w:val="bottom"/>
          </w:tcPr>
          <w:p>
            <w:pPr>
              <w:jc w:val="right"/>
              <w:ind w:right="8"/>
              <w:spacing w:after="0"/>
              <w:rPr>
                <w:sz w:val="20"/>
                <w:szCs w:val="20"/>
                <w:color w:val="auto"/>
              </w:rPr>
            </w:pPr>
            <w:r>
              <w:rPr>
                <w:rFonts w:ascii="Calibri" w:cs="Calibri" w:eastAsia="Calibri" w:hAnsi="Calibri"/>
                <w:sz w:val="14"/>
                <w:szCs w:val="14"/>
                <w:b w:val="1"/>
                <w:bCs w:val="1"/>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color w:val="auto"/>
              </w:rPr>
              <w:t>240,430</w:t>
            </w: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color w:val="auto"/>
              </w:rPr>
              <w:t>126,641</w:t>
            </w:r>
          </w:p>
        </w:tc>
        <w:tc>
          <w:tcPr>
            <w:tcW w:w="400" w:type="dxa"/>
            <w:vAlign w:val="bottom"/>
            <w:gridSpan w:val="2"/>
          </w:tcPr>
          <w:p>
            <w:pPr>
              <w:jc w:val="right"/>
              <w:ind w:right="100"/>
              <w:spacing w:after="0"/>
              <w:rPr>
                <w:sz w:val="20"/>
                <w:szCs w:val="20"/>
                <w:color w:val="auto"/>
              </w:rPr>
            </w:pPr>
            <w:r>
              <w:rPr>
                <w:rFonts w:ascii="Calibri" w:cs="Calibri" w:eastAsia="Calibri" w:hAnsi="Calibri"/>
                <w:sz w:val="14"/>
                <w:szCs w:val="14"/>
                <w:b w:val="1"/>
                <w:bCs w:val="1"/>
                <w:color w:val="auto"/>
              </w:rPr>
              <w:t>$</w:t>
            </w:r>
          </w:p>
        </w:tc>
        <w:tc>
          <w:tcPr>
            <w:tcW w:w="800" w:type="dxa"/>
            <w:vAlign w:val="bottom"/>
          </w:tcPr>
          <w:p>
            <w:pPr>
              <w:jc w:val="right"/>
              <w:spacing w:after="0"/>
              <w:rPr>
                <w:sz w:val="20"/>
                <w:szCs w:val="20"/>
                <w:color w:val="auto"/>
              </w:rPr>
            </w:pPr>
            <w:r>
              <w:rPr>
                <w:rFonts w:ascii="Calibri" w:cs="Calibri" w:eastAsia="Calibri" w:hAnsi="Calibri"/>
                <w:sz w:val="14"/>
                <w:szCs w:val="14"/>
                <w:b w:val="1"/>
                <w:bCs w:val="1"/>
                <w:color w:val="auto"/>
              </w:rPr>
              <w:t>113,789</w:t>
            </w:r>
          </w:p>
        </w:tc>
        <w:tc>
          <w:tcPr>
            <w:tcW w:w="132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90 %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-144780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-144780</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-144780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-144780</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-144780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-144780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-144780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18"/>
          <w:szCs w:val="18"/>
          <w:color w:val="auto"/>
        </w:rPr>
        <w:t>Marketplace revenues increased $25.3 million, or 24% during the three months ended June 30, 2022 compared to the three months ended June 30, 2021 and increased $113.8 million, or 90% during the six months ended June 30, 2022 compared to the six months ended June 30, 2021. The increase in Marketplace revenues resulted primarily from an overall increase in new orders processed on our Marketplace platorm for the three and six months ended June 30, 2022 compared to the three and six months ended June 30, 2021.</w:t>
      </w:r>
    </w:p>
    <w:p>
      <w:pPr>
        <w:spacing w:after="0" w:line="137"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18"/>
          <w:szCs w:val="18"/>
          <w:color w:val="auto"/>
        </w:rPr>
        <w:t>Total Marketplace orders increased 0.7 million, or 41%, during the three months ended June 30, 2022 compared to the three months ended June 30, 2021 and increased 2.4 million, or 121%, during the six months ended June 30, 2022 compared to the six months ended June 30, 2021. The increase in orders resulted from the increase in events held afer restrictons on fan atendance due to the COVID-19 pandemic were reduced or lifed. These increases occurred across all event categories.</w:t>
      </w:r>
    </w:p>
    <w:p>
      <w:pPr>
        <w:spacing w:after="0" w:line="137" w:lineRule="exact"/>
        <w:rPr>
          <w:sz w:val="20"/>
          <w:szCs w:val="20"/>
          <w:color w:val="auto"/>
        </w:rPr>
      </w:pPr>
    </w:p>
    <w:p>
      <w:pPr>
        <w:jc w:val="both"/>
        <w:ind w:right="20"/>
        <w:spacing w:after="0" w:line="226" w:lineRule="auto"/>
        <w:rPr>
          <w:sz w:val="20"/>
          <w:szCs w:val="20"/>
          <w:color w:val="auto"/>
        </w:rPr>
      </w:pPr>
      <w:r>
        <w:rPr>
          <w:rFonts w:ascii="Calibri" w:cs="Calibri" w:eastAsia="Calibri" w:hAnsi="Calibri"/>
          <w:sz w:val="18"/>
          <w:szCs w:val="18"/>
          <w:color w:val="auto"/>
        </w:rPr>
        <w:t>Cancellaton charges, which are recognized as a reducton to revenues, were $5.0 million and $21.0 million for the three and six months ended June 30, 2022, respectvely, compared to $15.8 million and $17.2 million for the three and six months ended June 30, 2021, respectvely. Cancellaton charges for the three months ended June 30, 2022 were lower than the three months ended June 30, 2021. Cancellaton charges for the six months ended June 30, 2022 were higher than the six months ended June 30, 2021 due to an overall increase in volume, MLB cancellatons due to the early-2022 setled labor dispute, and other large concert tour cancellatons.</w:t>
      </w:r>
    </w:p>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color w:val="auto"/>
        </w:rPr>
        <w:t>Marketplace revenues by business model consisted of the following (in thousands, except percentages):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88"/>
              <w:spacing w:after="0"/>
              <w:rPr>
                <w:sz w:val="20"/>
                <w:szCs w:val="20"/>
                <w:color w:val="auto"/>
              </w:rPr>
            </w:pPr>
            <w:r>
              <w:rPr>
                <w:rFonts w:ascii="Calibri" w:cs="Calibri" w:eastAsia="Calibri" w:hAnsi="Calibri"/>
                <w:sz w:val="14"/>
                <w:szCs w:val="14"/>
                <w:b w:val="1"/>
                <w:bCs w:val="1"/>
                <w:color w:val="auto"/>
              </w:rPr>
              <w:t>Three Months Ended 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28"/>
              <w:spacing w:after="0"/>
              <w:rPr>
                <w:sz w:val="20"/>
                <w:szCs w:val="20"/>
                <w:color w:val="auto"/>
              </w:rPr>
            </w:pPr>
            <w:r>
              <w:rPr>
                <w:rFonts w:ascii="Calibri" w:cs="Calibri" w:eastAsia="Calibri" w:hAnsi="Calibri"/>
                <w:sz w:val="14"/>
                <w:szCs w:val="14"/>
                <w:b w:val="1"/>
                <w:bCs w:val="1"/>
                <w:color w:val="auto"/>
              </w:rPr>
              <w:t>Six Months Ended June 30,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268"/>
              <w:spacing w:after="0"/>
              <w:rPr>
                <w:sz w:val="20"/>
                <w:szCs w:val="20"/>
                <w:color w:val="auto"/>
              </w:rPr>
            </w:pPr>
            <w:r>
              <w:rPr>
                <w:rFonts w:ascii="Calibri" w:cs="Calibri" w:eastAsia="Calibri" w:hAnsi="Calibri"/>
                <w:sz w:val="14"/>
                <w:szCs w:val="14"/>
                <w:b w:val="1"/>
                <w:bCs w:val="1"/>
                <w:color w:val="auto"/>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restart"/>
          </w:tcPr>
          <w:p>
            <w:pPr>
              <w:jc w:val="right"/>
              <w:ind w:right="18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19"/>
                <w:szCs w:val="19"/>
                <w:color w:val="auto"/>
              </w:rPr>
            </w:pPr>
          </w:p>
        </w:tc>
        <w:tc>
          <w:tcPr>
            <w:tcW w:w="1040" w:type="dxa"/>
            <w:vAlign w:val="bottom"/>
            <w:gridSpan w:val="2"/>
            <w:vMerge w:val="restart"/>
          </w:tcPr>
          <w:p>
            <w:pPr>
              <w:jc w:val="right"/>
              <w:ind w:right="340"/>
              <w:spacing w:after="0"/>
              <w:rPr>
                <w:sz w:val="20"/>
                <w:szCs w:val="20"/>
                <w:color w:val="auto"/>
              </w:rPr>
            </w:pPr>
            <w:r>
              <w:rPr>
                <w:rFonts w:ascii="Calibri" w:cs="Calibri" w:eastAsia="Calibri" w:hAnsi="Calibri"/>
                <w:sz w:val="14"/>
                <w:szCs w:val="14"/>
                <w:b w:val="1"/>
                <w:bCs w:val="1"/>
                <w:color w:val="auto"/>
              </w:rPr>
              <w:t>% Change</w:t>
            </w:r>
          </w:p>
        </w:tc>
        <w:tc>
          <w:tcPr>
            <w:tcW w:w="140" w:type="dxa"/>
            <w:vAlign w:val="bottom"/>
          </w:tcPr>
          <w:p>
            <w:pPr>
              <w:spacing w:after="0"/>
              <w:rPr>
                <w:sz w:val="19"/>
                <w:szCs w:val="19"/>
                <w:color w:val="auto"/>
              </w:rPr>
            </w:pPr>
          </w:p>
        </w:tc>
        <w:tc>
          <w:tcPr>
            <w:tcW w:w="700" w:type="dxa"/>
            <w:vAlign w:val="bottom"/>
          </w:tcPr>
          <w:p>
            <w:pPr>
              <w:jc w:val="right"/>
              <w:ind w:right="208"/>
              <w:spacing w:after="0"/>
              <w:rPr>
                <w:sz w:val="20"/>
                <w:szCs w:val="20"/>
                <w:color w:val="auto"/>
              </w:rPr>
            </w:pPr>
            <w:r>
              <w:rPr>
                <w:rFonts w:ascii="Calibri" w:cs="Calibri" w:eastAsia="Calibri" w:hAnsi="Calibri"/>
                <w:sz w:val="14"/>
                <w:szCs w:val="14"/>
                <w:b w:val="1"/>
                <w:bCs w:val="1"/>
                <w:color w:val="auto"/>
              </w:rPr>
              <w:t>2022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68"/>
              <w:spacing w:after="0"/>
              <w:rPr>
                <w:sz w:val="20"/>
                <w:szCs w:val="20"/>
                <w:color w:val="auto"/>
              </w:rPr>
            </w:pPr>
            <w:r>
              <w:rPr>
                <w:rFonts w:ascii="Calibri" w:cs="Calibri" w:eastAsia="Calibri" w:hAnsi="Calibri"/>
                <w:sz w:val="14"/>
                <w:szCs w:val="14"/>
                <w:b w:val="1"/>
                <w:bCs w:val="1"/>
                <w:color w:val="auto"/>
              </w:rPr>
              <w:t>2021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restart"/>
          </w:tcPr>
          <w:p>
            <w:pPr>
              <w:jc w:val="right"/>
              <w:ind w:right="168"/>
              <w:spacing w:after="0"/>
              <w:rPr>
                <w:sz w:val="20"/>
                <w:szCs w:val="20"/>
                <w:color w:val="auto"/>
              </w:rPr>
            </w:pPr>
            <w:r>
              <w:rPr>
                <w:rFonts w:ascii="Calibri" w:cs="Calibri" w:eastAsia="Calibri" w:hAnsi="Calibri"/>
                <w:sz w:val="14"/>
                <w:szCs w:val="14"/>
                <w:b w:val="1"/>
                <w:bCs w:val="1"/>
                <w:color w:val="auto"/>
              </w:rPr>
              <w:t>Change</w:t>
            </w:r>
          </w:p>
        </w:tc>
        <w:tc>
          <w:tcPr>
            <w:tcW w:w="200" w:type="dxa"/>
            <w:vAlign w:val="bottom"/>
          </w:tcPr>
          <w:p>
            <w:pPr>
              <w:spacing w:after="0"/>
              <w:rPr>
                <w:sz w:val="19"/>
                <w:szCs w:val="19"/>
                <w:color w:val="auto"/>
              </w:rPr>
            </w:pPr>
          </w:p>
        </w:tc>
        <w:tc>
          <w:tcPr>
            <w:tcW w:w="920" w:type="dxa"/>
            <w:vAlign w:val="bottom"/>
            <w:gridSpan w:val="3"/>
            <w:vMerge w:val="restart"/>
          </w:tcPr>
          <w:p>
            <w:pPr>
              <w:ind w:left="12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81"/>
        </w:trPr>
        <w:tc>
          <w:tcPr>
            <w:tcW w:w="2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262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Revenues:</w:t>
            </w:r>
          </w:p>
        </w:tc>
        <w:tc>
          <w:tcPr>
            <w:tcW w:w="120" w:type="dxa"/>
            <w:vAlign w:val="bottom"/>
            <w:tcBorders>
              <w:top w:val="single" w:sz="8" w:color="auto"/>
              <w:bottom w:val="single" w:sz="8" w:color="CFF0FC"/>
            </w:tcBorders>
            <w:shd w:val="clear" w:color="auto" w:fill="CFF0FC"/>
          </w:tcPr>
          <w:p>
            <w:pPr>
              <w:spacing w:after="0"/>
              <w:rPr>
                <w:sz w:val="24"/>
                <w:szCs w:val="24"/>
                <w:color w:val="auto"/>
              </w:rPr>
            </w:pPr>
          </w:p>
        </w:tc>
        <w:tc>
          <w:tcPr>
            <w:tcW w:w="760" w:type="dxa"/>
            <w:vAlign w:val="bottom"/>
            <w:tcBorders>
              <w:top w:val="single" w:sz="8" w:color="auto"/>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CFF0FC"/>
            </w:tcBorders>
            <w:shd w:val="clear" w:color="auto" w:fill="CFF0FC"/>
          </w:tcPr>
          <w:p>
            <w:pPr>
              <w:spacing w:after="0"/>
              <w:rPr>
                <w:sz w:val="24"/>
                <w:szCs w:val="24"/>
                <w:color w:val="auto"/>
              </w:rPr>
            </w:pPr>
          </w:p>
        </w:tc>
        <w:tc>
          <w:tcPr>
            <w:tcW w:w="760" w:type="dxa"/>
            <w:vAlign w:val="bottom"/>
            <w:tcBorders>
              <w:top w:val="single" w:sz="8" w:color="auto"/>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CFF0FC"/>
            </w:tcBorders>
            <w:shd w:val="clear" w:color="auto" w:fill="CFF0FC"/>
          </w:tcPr>
          <w:p>
            <w:pPr>
              <w:spacing w:after="0"/>
              <w:rPr>
                <w:sz w:val="24"/>
                <w:szCs w:val="24"/>
                <w:color w:val="auto"/>
              </w:rPr>
            </w:pPr>
          </w:p>
        </w:tc>
        <w:tc>
          <w:tcPr>
            <w:tcW w:w="780" w:type="dxa"/>
            <w:vAlign w:val="bottom"/>
            <w:tcBorders>
              <w:top w:val="single" w:sz="8" w:color="auto"/>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CFF0FC"/>
            </w:tcBorders>
            <w:shd w:val="clear" w:color="auto" w:fill="CFF0FC"/>
          </w:tcPr>
          <w:p>
            <w:pPr>
              <w:spacing w:after="0"/>
              <w:rPr>
                <w:sz w:val="24"/>
                <w:szCs w:val="24"/>
                <w:color w:val="auto"/>
              </w:rPr>
            </w:pPr>
          </w:p>
        </w:tc>
        <w:tc>
          <w:tcPr>
            <w:tcW w:w="700" w:type="dxa"/>
            <w:vAlign w:val="bottom"/>
            <w:tcBorders>
              <w:top w:val="single" w:sz="8" w:color="auto"/>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CFF0FC"/>
            </w:tcBorders>
            <w:shd w:val="clear" w:color="auto" w:fill="CFF0FC"/>
          </w:tcPr>
          <w:p>
            <w:pPr>
              <w:spacing w:after="0"/>
              <w:rPr>
                <w:sz w:val="24"/>
                <w:szCs w:val="24"/>
                <w:color w:val="auto"/>
              </w:rPr>
            </w:pPr>
          </w:p>
        </w:tc>
        <w:tc>
          <w:tcPr>
            <w:tcW w:w="740" w:type="dxa"/>
            <w:vAlign w:val="bottom"/>
            <w:tcBorders>
              <w:top w:val="single" w:sz="8" w:color="auto"/>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CFF0FC"/>
            </w:tcBorders>
            <w:shd w:val="clear" w:color="auto" w:fill="CFF0FC"/>
          </w:tcPr>
          <w:p>
            <w:pPr>
              <w:spacing w:after="0"/>
              <w:rPr>
                <w:sz w:val="24"/>
                <w:szCs w:val="24"/>
                <w:color w:val="auto"/>
              </w:rPr>
            </w:pPr>
          </w:p>
        </w:tc>
        <w:tc>
          <w:tcPr>
            <w:tcW w:w="760" w:type="dxa"/>
            <w:vAlign w:val="bottom"/>
            <w:tcBorders>
              <w:top w:val="single" w:sz="8" w:color="auto"/>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top w:val="single" w:sz="8" w:color="auto"/>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620" w:type="dxa"/>
            <w:vAlign w:val="bottom"/>
          </w:tcPr>
          <w:p>
            <w:pPr>
              <w:ind w:left="20"/>
              <w:spacing w:after="0"/>
              <w:rPr>
                <w:sz w:val="20"/>
                <w:szCs w:val="20"/>
                <w:color w:val="auto"/>
              </w:rPr>
            </w:pPr>
            <w:r>
              <w:rPr>
                <w:rFonts w:ascii="Calibri" w:cs="Calibri" w:eastAsia="Calibri" w:hAnsi="Calibri"/>
                <w:sz w:val="14"/>
                <w:szCs w:val="14"/>
                <w:color w:val="auto"/>
              </w:rPr>
              <w:t>Owned Propertes</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98,564</w:t>
            </w:r>
          </w:p>
        </w:tc>
        <w:tc>
          <w:tcPr>
            <w:tcW w:w="440" w:type="dxa"/>
            <w:vAlign w:val="bottom"/>
            <w:gridSpan w:val="2"/>
          </w:tcPr>
          <w:p>
            <w:pPr>
              <w:jc w:val="right"/>
              <w:ind w:right="68"/>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84,535</w:t>
            </w:r>
          </w:p>
        </w:tc>
        <w:tc>
          <w:tcPr>
            <w:tcW w:w="280" w:type="dxa"/>
            <w:vAlign w:val="bottom"/>
            <w:gridSpan w:val="2"/>
          </w:tcPr>
          <w:p>
            <w:pPr>
              <w:jc w:val="right"/>
              <w:ind w:right="8"/>
              <w:spacing w:after="0"/>
              <w:rPr>
                <w:sz w:val="20"/>
                <w:szCs w:val="20"/>
                <w:color w:val="auto"/>
              </w:rPr>
            </w:pPr>
            <w:r>
              <w:rPr>
                <w:rFonts w:ascii="Calibri" w:cs="Calibri" w:eastAsia="Calibri" w:hAnsi="Calibri"/>
                <w:sz w:val="14"/>
                <w:szCs w:val="14"/>
                <w:color w:val="auto"/>
              </w:rPr>
              <w:t>$</w:t>
            </w:r>
          </w:p>
        </w:tc>
        <w:tc>
          <w:tcPr>
            <w:tcW w:w="780" w:type="dxa"/>
            <w:vAlign w:val="bottom"/>
          </w:tcPr>
          <w:p>
            <w:pPr>
              <w:jc w:val="right"/>
              <w:spacing w:after="0"/>
              <w:rPr>
                <w:sz w:val="20"/>
                <w:szCs w:val="20"/>
                <w:color w:val="auto"/>
              </w:rPr>
            </w:pPr>
            <w:r>
              <w:rPr>
                <w:rFonts w:ascii="Calibri" w:cs="Calibri" w:eastAsia="Calibri" w:hAnsi="Calibri"/>
                <w:sz w:val="14"/>
                <w:szCs w:val="14"/>
                <w:color w:val="auto"/>
              </w:rPr>
              <w:t>14,029</w:t>
            </w:r>
          </w:p>
        </w:tc>
        <w:tc>
          <w:tcPr>
            <w:tcW w:w="1260" w:type="dxa"/>
            <w:vAlign w:val="bottom"/>
            <w:gridSpan w:val="3"/>
          </w:tcPr>
          <w:p>
            <w:pPr>
              <w:jc w:val="right"/>
              <w:ind w:right="100"/>
              <w:spacing w:after="0"/>
              <w:rPr>
                <w:sz w:val="20"/>
                <w:szCs w:val="20"/>
                <w:color w:val="auto"/>
              </w:rPr>
            </w:pPr>
            <w:r>
              <w:rPr>
                <w:rFonts w:ascii="Calibri" w:cs="Calibri" w:eastAsia="Calibri" w:hAnsi="Calibri"/>
                <w:sz w:val="14"/>
                <w:szCs w:val="14"/>
                <w:color w:val="auto"/>
              </w:rPr>
              <w:t>17 %</w:t>
            </w:r>
          </w:p>
        </w:tc>
        <w:tc>
          <w:tcPr>
            <w:tcW w:w="14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00" w:type="dxa"/>
            <w:vAlign w:val="bottom"/>
          </w:tcPr>
          <w:p>
            <w:pPr>
              <w:jc w:val="right"/>
              <w:spacing w:after="0"/>
              <w:rPr>
                <w:sz w:val="20"/>
                <w:szCs w:val="20"/>
                <w:color w:val="auto"/>
              </w:rPr>
            </w:pPr>
            <w:r>
              <w:rPr>
                <w:rFonts w:ascii="Calibri" w:cs="Calibri" w:eastAsia="Calibri" w:hAnsi="Calibri"/>
                <w:sz w:val="14"/>
                <w:szCs w:val="14"/>
                <w:color w:val="auto"/>
              </w:rPr>
              <w:t>182,230</w:t>
            </w: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color w:val="auto"/>
              </w:rPr>
              <w:t>102,731</w:t>
            </w:r>
          </w:p>
        </w:tc>
        <w:tc>
          <w:tcPr>
            <w:tcW w:w="360" w:type="dxa"/>
            <w:vAlign w:val="bottom"/>
            <w:gridSpan w:val="2"/>
          </w:tcPr>
          <w:p>
            <w:pPr>
              <w:jc w:val="right"/>
              <w:ind w:right="80"/>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79,499</w:t>
            </w:r>
          </w:p>
        </w:tc>
        <w:tc>
          <w:tcPr>
            <w:tcW w:w="1100" w:type="dxa"/>
            <w:vAlign w:val="bottom"/>
            <w:gridSpan w:val="3"/>
          </w:tcPr>
          <w:p>
            <w:pPr>
              <w:jc w:val="right"/>
              <w:spacing w:after="0"/>
              <w:rPr>
                <w:sz w:val="20"/>
                <w:szCs w:val="20"/>
                <w:color w:val="auto"/>
              </w:rPr>
            </w:pPr>
            <w:r>
              <w:rPr>
                <w:rFonts w:ascii="Calibri" w:cs="Calibri" w:eastAsia="Calibri" w:hAnsi="Calibri"/>
                <w:sz w:val="14"/>
                <w:szCs w:val="14"/>
                <w:color w:val="auto"/>
              </w:rPr>
              <w:t>77 %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6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Private Label</w:t>
            </w: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31,350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20,113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11,237</w:t>
            </w:r>
          </w:p>
        </w:tc>
        <w:tc>
          <w:tcPr>
            <w:tcW w:w="2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56 %</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58,200</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23,910</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34,290</w:t>
            </w:r>
          </w:p>
        </w:tc>
        <w:tc>
          <w:tcPr>
            <w:tcW w:w="110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143 %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62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Marketplace revenues</w:t>
            </w:r>
          </w:p>
        </w:tc>
        <w:tc>
          <w:tcPr>
            <w:tcW w:w="12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color w:val="auto"/>
              </w:rPr>
              <w:t>129,914</w:t>
            </w:r>
          </w:p>
        </w:tc>
        <w:tc>
          <w:tcPr>
            <w:tcW w:w="2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Calibri" w:cs="Calibri" w:eastAsia="Calibri" w:hAnsi="Calibri"/>
                <w:sz w:val="14"/>
                <w:szCs w:val="14"/>
                <w:b w:val="1"/>
                <w:bCs w:val="1"/>
                <w:color w:val="auto"/>
                <w:w w:val="83"/>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color w:val="auto"/>
              </w:rPr>
              <w:t>104,648</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Calibri" w:cs="Calibri" w:eastAsia="Calibri" w:hAnsi="Calibri"/>
                <w:sz w:val="14"/>
                <w:szCs w:val="14"/>
                <w:b w:val="1"/>
                <w:bCs w:val="1"/>
                <w:color w:val="auto"/>
                <w:w w:val="83"/>
              </w:rPr>
              <w:t>$</w:t>
            </w:r>
          </w:p>
        </w:tc>
        <w:tc>
          <w:tcPr>
            <w:tcW w:w="780" w:type="dxa"/>
            <w:vAlign w:val="bottom"/>
          </w:tcPr>
          <w:p>
            <w:pPr>
              <w:jc w:val="right"/>
              <w:spacing w:after="0"/>
              <w:rPr>
                <w:sz w:val="20"/>
                <w:szCs w:val="20"/>
                <w:color w:val="auto"/>
              </w:rPr>
            </w:pPr>
            <w:r>
              <w:rPr>
                <w:rFonts w:ascii="Calibri" w:cs="Calibri" w:eastAsia="Calibri" w:hAnsi="Calibri"/>
                <w:sz w:val="14"/>
                <w:szCs w:val="14"/>
                <w:b w:val="1"/>
                <w:bCs w:val="1"/>
                <w:color w:val="auto"/>
              </w:rPr>
              <w:t>25,266</w:t>
            </w:r>
          </w:p>
        </w:tc>
        <w:tc>
          <w:tcPr>
            <w:tcW w:w="2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Calibri" w:cs="Calibri" w:eastAsia="Calibri" w:hAnsi="Calibri"/>
                <w:sz w:val="14"/>
                <w:szCs w:val="14"/>
                <w:b w:val="1"/>
                <w:bCs w:val="1"/>
                <w:color w:val="auto"/>
              </w:rPr>
              <w:t>24 %</w:t>
            </w:r>
          </w:p>
        </w:tc>
        <w:tc>
          <w:tcPr>
            <w:tcW w:w="14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00" w:type="dxa"/>
            <w:vAlign w:val="bottom"/>
          </w:tcPr>
          <w:p>
            <w:pPr>
              <w:jc w:val="right"/>
              <w:spacing w:after="0"/>
              <w:rPr>
                <w:sz w:val="20"/>
                <w:szCs w:val="20"/>
                <w:color w:val="auto"/>
              </w:rPr>
            </w:pPr>
            <w:r>
              <w:rPr>
                <w:rFonts w:ascii="Calibri" w:cs="Calibri" w:eastAsia="Calibri" w:hAnsi="Calibri"/>
                <w:sz w:val="14"/>
                <w:szCs w:val="14"/>
                <w:b w:val="1"/>
                <w:bCs w:val="1"/>
                <w:color w:val="auto"/>
              </w:rPr>
              <w:t>240,430</w:t>
            </w:r>
          </w:p>
        </w:tc>
        <w:tc>
          <w:tcPr>
            <w:tcW w:w="420" w:type="dxa"/>
            <w:vAlign w:val="bottom"/>
            <w:gridSpan w:val="2"/>
          </w:tcPr>
          <w:p>
            <w:pPr>
              <w:jc w:val="right"/>
              <w:ind w:right="120"/>
              <w:spacing w:after="0"/>
              <w:rPr>
                <w:sz w:val="20"/>
                <w:szCs w:val="20"/>
                <w:color w:val="auto"/>
              </w:rPr>
            </w:pPr>
            <w:r>
              <w:rPr>
                <w:rFonts w:ascii="Calibri" w:cs="Calibri" w:eastAsia="Calibri" w:hAnsi="Calibri"/>
                <w:sz w:val="14"/>
                <w:szCs w:val="14"/>
                <w:b w:val="1"/>
                <w:bCs w:val="1"/>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b w:val="1"/>
                <w:bCs w:val="1"/>
                <w:color w:val="auto"/>
              </w:rPr>
              <w:t>126,641</w:t>
            </w:r>
          </w:p>
        </w:tc>
        <w:tc>
          <w:tcPr>
            <w:tcW w:w="360" w:type="dxa"/>
            <w:vAlign w:val="bottom"/>
            <w:gridSpan w:val="2"/>
          </w:tcPr>
          <w:p>
            <w:pPr>
              <w:jc w:val="right"/>
              <w:ind w:right="80"/>
              <w:spacing w:after="0"/>
              <w:rPr>
                <w:sz w:val="20"/>
                <w:szCs w:val="20"/>
                <w:color w:val="auto"/>
              </w:rPr>
            </w:pPr>
            <w:r>
              <w:rPr>
                <w:rFonts w:ascii="Calibri" w:cs="Calibri" w:eastAsia="Calibri" w:hAnsi="Calibri"/>
                <w:sz w:val="14"/>
                <w:szCs w:val="14"/>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color w:val="auto"/>
              </w:rPr>
              <w:t>113,789</w:t>
            </w:r>
          </w:p>
        </w:tc>
        <w:tc>
          <w:tcPr>
            <w:tcW w:w="110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90 %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-145415</wp:posOffset>
            </wp:positionV>
            <wp:extent cx="774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-145415</wp:posOffset>
            </wp:positionV>
            <wp:extent cx="774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-145415</wp:posOffset>
            </wp:positionV>
            <wp:extent cx="774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-145415</wp:posOffset>
            </wp:positionV>
            <wp:extent cx="774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-145415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-145415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-145415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jc w:val="both"/>
        <w:ind w:right="20"/>
        <w:spacing w:after="0" w:line="230" w:lineRule="auto"/>
        <w:rPr>
          <w:sz w:val="20"/>
          <w:szCs w:val="20"/>
          <w:color w:val="auto"/>
        </w:rPr>
      </w:pPr>
      <w:r>
        <w:rPr>
          <w:rFonts w:ascii="Calibri" w:cs="Calibri" w:eastAsia="Calibri" w:hAnsi="Calibri"/>
          <w:sz w:val="18"/>
          <w:szCs w:val="18"/>
          <w:color w:val="auto"/>
        </w:rPr>
        <w:t>The increases in revenue from both Owned Propertes and Private Label during the three and six months ended June 30, 2022 compared to the three and six months ended June 30, 2021 resulted primarily from the increase in order volume as COVID-19 restrictons were lifed and more events occurred with larger audiences.</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63" w:right="31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i w:val="1"/>
          <w:iCs w:val="1"/>
          <w:color w:val="auto"/>
        </w:rPr>
        <w:t>Resale</w:t>
      </w:r>
    </w:p>
    <w:p>
      <w:pPr>
        <w:spacing w:after="0" w:line="136"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18"/>
          <w:szCs w:val="18"/>
          <w:color w:val="auto"/>
        </w:rPr>
        <w:t>Resale revenues increased $6.9 million, or 64%, during the three months ended June 30, 2022 compared to the three months ended June 30, 2021 and increased $25.1 million, or 193%, during the six months ended June 30, 2022 compared to the six months ended June 30, 2021. The increase resulted primarily from higher order volume. Total Resale orders increased less than 0.1 million during the three months ended June 30, 2022 compared to the three months ended June 30, 2021 and increased 0.1 million, or 181%, during the six months ended June 30, 2022 compared to the six months ended June 30, 2021. Cancellaton charges, classifed as a reducton of revenue, negatvely impacted Resale revenue by $0.4 million and $0.6 million for the three and six months ended June 30, 2022, respectvely, and $1.8 million and $2.9 million for the three and six months ended June 30, 2021, respectvely.</w:t>
      </w:r>
    </w:p>
    <w:p>
      <w:pPr>
        <w:spacing w:after="0" w:line="1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Cost of Revenues (exclusive of Depreciaton and Amortzaton)</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cost of revenues by segment (in thousands, except percentages):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68"/>
              <w:spacing w:after="0"/>
              <w:rPr>
                <w:sz w:val="20"/>
                <w:szCs w:val="20"/>
                <w:color w:val="auto"/>
              </w:rPr>
            </w:pPr>
            <w:r>
              <w:rPr>
                <w:rFonts w:ascii="Calibri" w:cs="Calibri" w:eastAsia="Calibri" w:hAnsi="Calibri"/>
                <w:sz w:val="14"/>
                <w:szCs w:val="14"/>
                <w:b w:val="1"/>
                <w:bCs w:val="1"/>
                <w:color w:val="auto"/>
              </w:rPr>
              <w:t>Three Months Ended June 30,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108"/>
              <w:spacing w:after="0"/>
              <w:rPr>
                <w:sz w:val="20"/>
                <w:szCs w:val="20"/>
                <w:color w:val="auto"/>
              </w:rPr>
            </w:pPr>
            <w:r>
              <w:rPr>
                <w:rFonts w:ascii="Calibri" w:cs="Calibri" w:eastAsia="Calibri" w:hAnsi="Calibri"/>
                <w:sz w:val="14"/>
                <w:szCs w:val="14"/>
                <w:b w:val="1"/>
                <w:bCs w:val="1"/>
                <w:color w:val="auto"/>
              </w:rPr>
              <w:t>Six Months Ended June 30,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68"/>
              <w:spacing w:after="0"/>
              <w:rPr>
                <w:sz w:val="20"/>
                <w:szCs w:val="20"/>
                <w:color w:val="auto"/>
              </w:rPr>
            </w:pPr>
            <w:r>
              <w:rPr>
                <w:rFonts w:ascii="Calibri" w:cs="Calibri" w:eastAsia="Calibri" w:hAnsi="Calibri"/>
                <w:sz w:val="14"/>
                <w:szCs w:val="14"/>
                <w:b w:val="1"/>
                <w:bCs w:val="1"/>
                <w:color w:val="auto"/>
              </w:rPr>
              <w:t>2022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68"/>
              <w:spacing w:after="0"/>
              <w:rPr>
                <w:sz w:val="20"/>
                <w:szCs w:val="20"/>
                <w:color w:val="auto"/>
              </w:rPr>
            </w:pPr>
            <w:r>
              <w:rPr>
                <w:rFonts w:ascii="Calibri" w:cs="Calibri" w:eastAsia="Calibri" w:hAnsi="Calibri"/>
                <w:sz w:val="14"/>
                <w:szCs w:val="14"/>
                <w:b w:val="1"/>
                <w:bCs w:val="1"/>
                <w:color w:val="auto"/>
              </w:rPr>
              <w:t>2021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08"/>
              <w:spacing w:after="0" w:line="156" w:lineRule="exact"/>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15"/>
                <w:szCs w:val="15"/>
                <w:color w:val="auto"/>
              </w:rPr>
            </w:pPr>
          </w:p>
        </w:tc>
        <w:tc>
          <w:tcPr>
            <w:tcW w:w="1240" w:type="dxa"/>
            <w:vAlign w:val="bottom"/>
            <w:gridSpan w:val="2"/>
          </w:tcPr>
          <w:p>
            <w:pPr>
              <w:jc w:val="right"/>
              <w:ind w:right="440"/>
              <w:spacing w:after="0" w:line="156" w:lineRule="exact"/>
              <w:rPr>
                <w:sz w:val="20"/>
                <w:szCs w:val="20"/>
                <w:color w:val="auto"/>
              </w:rPr>
            </w:pPr>
            <w:r>
              <w:rPr>
                <w:rFonts w:ascii="Calibri" w:cs="Calibri" w:eastAsia="Calibri" w:hAnsi="Calibri"/>
                <w:sz w:val="14"/>
                <w:szCs w:val="14"/>
                <w:b w:val="1"/>
                <w:bCs w:val="1"/>
                <w:color w:val="auto"/>
              </w:rPr>
              <w:t>% Change</w:t>
            </w:r>
          </w:p>
        </w:tc>
        <w:tc>
          <w:tcPr>
            <w:tcW w:w="120" w:type="dxa"/>
            <w:vAlign w:val="bottom"/>
          </w:tcPr>
          <w:p>
            <w:pPr>
              <w:spacing w:after="0"/>
              <w:rPr>
                <w:sz w:val="15"/>
                <w:szCs w:val="15"/>
                <w:color w:val="auto"/>
              </w:rPr>
            </w:pPr>
          </w:p>
        </w:tc>
        <w:tc>
          <w:tcPr>
            <w:tcW w:w="640" w:type="dxa"/>
            <w:vAlign w:val="bottom"/>
          </w:tcPr>
          <w:p>
            <w:pPr>
              <w:jc w:val="right"/>
              <w:ind w:right="168"/>
              <w:spacing w:after="0"/>
              <w:rPr>
                <w:sz w:val="20"/>
                <w:szCs w:val="20"/>
                <w:color w:val="auto"/>
              </w:rPr>
            </w:pPr>
            <w:r>
              <w:rPr>
                <w:rFonts w:ascii="Calibri" w:cs="Calibri" w:eastAsia="Calibri" w:hAnsi="Calibri"/>
                <w:sz w:val="14"/>
                <w:szCs w:val="14"/>
                <w:b w:val="1"/>
                <w:bCs w:val="1"/>
                <w:color w:val="auto"/>
              </w:rPr>
              <w:t>2022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48"/>
              <w:spacing w:after="0"/>
              <w:rPr>
                <w:sz w:val="20"/>
                <w:szCs w:val="20"/>
                <w:color w:val="auto"/>
              </w:rPr>
            </w:pPr>
            <w:r>
              <w:rPr>
                <w:rFonts w:ascii="Calibri" w:cs="Calibri" w:eastAsia="Calibri" w:hAnsi="Calibri"/>
                <w:sz w:val="14"/>
                <w:szCs w:val="14"/>
                <w:b w:val="1"/>
                <w:bCs w:val="1"/>
                <w:color w:val="auto"/>
              </w:rPr>
              <w:t>2021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88"/>
              <w:spacing w:after="0" w:line="156" w:lineRule="exact"/>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15"/>
                <w:szCs w:val="15"/>
                <w:color w:val="auto"/>
              </w:rPr>
            </w:pPr>
          </w:p>
        </w:tc>
        <w:tc>
          <w:tcPr>
            <w:tcW w:w="1160" w:type="dxa"/>
            <w:vAlign w:val="bottom"/>
            <w:gridSpan w:val="3"/>
          </w:tcPr>
          <w:p>
            <w:pPr>
              <w:ind w:left="240"/>
              <w:spacing w:after="0" w:line="156" w:lineRule="exact"/>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232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Cost of revenues:</w:t>
            </w: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Calibri" w:cs="Calibri" w:eastAsia="Calibri" w:hAnsi="Calibri"/>
                <w:sz w:val="14"/>
                <w:szCs w:val="14"/>
                <w:color w:val="auto"/>
              </w:rPr>
              <w:t>Marketplace</w:t>
            </w:r>
          </w:p>
        </w:tc>
        <w:tc>
          <w:tcPr>
            <w:tcW w:w="120" w:type="dxa"/>
            <w:vAlign w:val="bottom"/>
          </w:tcPr>
          <w:p>
            <w:pPr>
              <w:jc w:val="right"/>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18,553</w:t>
            </w:r>
          </w:p>
        </w:tc>
        <w:tc>
          <w:tcPr>
            <w:tcW w:w="500" w:type="dxa"/>
            <w:vAlign w:val="bottom"/>
            <w:gridSpan w:val="2"/>
          </w:tcPr>
          <w:p>
            <w:pPr>
              <w:jc w:val="right"/>
              <w:ind w:right="48"/>
              <w:spacing w:after="0"/>
              <w:rPr>
                <w:sz w:val="20"/>
                <w:szCs w:val="20"/>
                <w:color w:val="auto"/>
              </w:rPr>
            </w:pPr>
            <w:r>
              <w:rPr>
                <w:rFonts w:ascii="Calibri" w:cs="Calibri" w:eastAsia="Calibri" w:hAnsi="Calibri"/>
                <w:sz w:val="14"/>
                <w:szCs w:val="14"/>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color w:val="auto"/>
              </w:rPr>
              <w:t>13,707</w:t>
            </w:r>
          </w:p>
        </w:tc>
        <w:tc>
          <w:tcPr>
            <w:tcW w:w="42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4,846</w:t>
            </w:r>
          </w:p>
        </w:tc>
        <w:tc>
          <w:tcPr>
            <w:tcW w:w="1460" w:type="dxa"/>
            <w:vAlign w:val="bottom"/>
            <w:gridSpan w:val="3"/>
          </w:tcPr>
          <w:p>
            <w:pPr>
              <w:jc w:val="right"/>
              <w:ind w:right="100"/>
              <w:spacing w:after="0"/>
              <w:rPr>
                <w:sz w:val="20"/>
                <w:szCs w:val="20"/>
                <w:color w:val="auto"/>
              </w:rPr>
            </w:pPr>
            <w:r>
              <w:rPr>
                <w:rFonts w:ascii="Calibri" w:cs="Calibri" w:eastAsia="Calibri" w:hAnsi="Calibri"/>
                <w:sz w:val="14"/>
                <w:szCs w:val="14"/>
                <w:color w:val="auto"/>
              </w:rPr>
              <w:t>35 %</w:t>
            </w:r>
          </w:p>
        </w:tc>
        <w:tc>
          <w:tcPr>
            <w:tcW w:w="12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color w:val="auto"/>
              </w:rPr>
              <w:t>34,962</w:t>
            </w:r>
          </w:p>
        </w:tc>
        <w:tc>
          <w:tcPr>
            <w:tcW w:w="46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16,407</w:t>
            </w:r>
          </w:p>
        </w:tc>
        <w:tc>
          <w:tcPr>
            <w:tcW w:w="380" w:type="dxa"/>
            <w:vAlign w:val="bottom"/>
            <w:gridSpan w:val="2"/>
          </w:tcPr>
          <w:p>
            <w:pPr>
              <w:jc w:val="right"/>
              <w:ind w:right="40"/>
              <w:spacing w:after="0"/>
              <w:rPr>
                <w:sz w:val="20"/>
                <w:szCs w:val="20"/>
                <w:color w:val="auto"/>
              </w:rPr>
            </w:pPr>
            <w:r>
              <w:rPr>
                <w:rFonts w:ascii="Calibri" w:cs="Calibri" w:eastAsia="Calibri" w:hAnsi="Calibri"/>
                <w:sz w:val="14"/>
                <w:szCs w:val="14"/>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color w:val="auto"/>
              </w:rPr>
              <w:t>18,555</w:t>
            </w:r>
          </w:p>
        </w:tc>
        <w:tc>
          <w:tcPr>
            <w:tcW w:w="1360" w:type="dxa"/>
            <w:vAlign w:val="bottom"/>
            <w:gridSpan w:val="3"/>
          </w:tcPr>
          <w:p>
            <w:pPr>
              <w:jc w:val="right"/>
              <w:spacing w:after="0"/>
              <w:rPr>
                <w:sz w:val="20"/>
                <w:szCs w:val="20"/>
                <w:color w:val="auto"/>
              </w:rPr>
            </w:pPr>
            <w:r>
              <w:rPr>
                <w:rFonts w:ascii="Calibri" w:cs="Calibri" w:eastAsia="Calibri" w:hAnsi="Calibri"/>
                <w:sz w:val="14"/>
                <w:szCs w:val="14"/>
                <w:color w:val="auto"/>
              </w:rPr>
              <w:t>113 %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Resale</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13,869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6,279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7,590</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121 %</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29,624</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7,504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22,120</w:t>
            </w:r>
          </w:p>
        </w:tc>
        <w:tc>
          <w:tcPr>
            <w:tcW w:w="136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295 %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320" w:type="dxa"/>
            <w:vAlign w:val="bottom"/>
          </w:tcPr>
          <w:p>
            <w:pPr>
              <w:ind w:left="20"/>
              <w:spacing w:after="0"/>
              <w:rPr>
                <w:sz w:val="20"/>
                <w:szCs w:val="20"/>
                <w:color w:val="auto"/>
              </w:rPr>
            </w:pPr>
            <w:r>
              <w:rPr>
                <w:rFonts w:ascii="Calibri" w:cs="Calibri" w:eastAsia="Calibri" w:hAnsi="Calibri"/>
                <w:sz w:val="14"/>
                <w:szCs w:val="14"/>
                <w:b w:val="1"/>
                <w:bCs w:val="1"/>
                <w:color w:val="auto"/>
              </w:rPr>
              <w:t>Total cost of revenues</w:t>
            </w:r>
          </w:p>
        </w:tc>
        <w:tc>
          <w:tcPr>
            <w:tcW w:w="120" w:type="dxa"/>
            <w:vAlign w:val="bottom"/>
          </w:tcPr>
          <w:p>
            <w:pPr>
              <w:jc w:val="right"/>
              <w:spacing w:after="0"/>
              <w:rPr>
                <w:sz w:val="20"/>
                <w:szCs w:val="20"/>
                <w:color w:val="auto"/>
              </w:rPr>
            </w:pPr>
            <w:r>
              <w:rPr>
                <w:rFonts w:ascii="Calibri" w:cs="Calibri" w:eastAsia="Calibri" w:hAnsi="Calibri"/>
                <w:sz w:val="14"/>
                <w:szCs w:val="14"/>
                <w:b w:val="1"/>
                <w:bCs w:val="1"/>
                <w:color w:val="auto"/>
              </w:rPr>
              <w:t>$</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32,422</w:t>
            </w:r>
          </w:p>
        </w:tc>
        <w:tc>
          <w:tcPr>
            <w:tcW w:w="28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Calibri" w:cs="Calibri" w:eastAsia="Calibri" w:hAnsi="Calibri"/>
                <w:sz w:val="14"/>
                <w:szCs w:val="14"/>
                <w:b w:val="1"/>
                <w:bCs w:val="1"/>
                <w:color w:val="auto"/>
              </w:rPr>
              <w:t>$</w:t>
            </w:r>
          </w:p>
        </w:tc>
        <w:tc>
          <w:tcPr>
            <w:tcW w:w="740" w:type="dxa"/>
            <w:vAlign w:val="bottom"/>
          </w:tcPr>
          <w:p>
            <w:pPr>
              <w:jc w:val="right"/>
              <w:spacing w:after="0"/>
              <w:rPr>
                <w:sz w:val="20"/>
                <w:szCs w:val="20"/>
                <w:color w:val="auto"/>
              </w:rPr>
            </w:pPr>
            <w:r>
              <w:rPr>
                <w:rFonts w:ascii="Calibri" w:cs="Calibri" w:eastAsia="Calibri" w:hAnsi="Calibri"/>
                <w:sz w:val="14"/>
                <w:szCs w:val="14"/>
                <w:b w:val="1"/>
                <w:bCs w:val="1"/>
                <w:color w:val="auto"/>
              </w:rPr>
              <w:t>19,986</w:t>
            </w:r>
          </w:p>
        </w:tc>
        <w:tc>
          <w:tcPr>
            <w:tcW w:w="2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12,436</w:t>
            </w: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Calibri" w:cs="Calibri" w:eastAsia="Calibri" w:hAnsi="Calibri"/>
                <w:sz w:val="14"/>
                <w:szCs w:val="14"/>
                <w:b w:val="1"/>
                <w:bCs w:val="1"/>
                <w:color w:val="auto"/>
              </w:rPr>
              <w:t>62 %</w:t>
            </w:r>
          </w:p>
        </w:tc>
        <w:tc>
          <w:tcPr>
            <w:tcW w:w="12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640" w:type="dxa"/>
            <w:vAlign w:val="bottom"/>
          </w:tcPr>
          <w:p>
            <w:pPr>
              <w:jc w:val="right"/>
              <w:spacing w:after="0"/>
              <w:rPr>
                <w:sz w:val="20"/>
                <w:szCs w:val="20"/>
                <w:color w:val="auto"/>
              </w:rPr>
            </w:pPr>
            <w:r>
              <w:rPr>
                <w:rFonts w:ascii="Calibri" w:cs="Calibri" w:eastAsia="Calibri" w:hAnsi="Calibri"/>
                <w:sz w:val="14"/>
                <w:szCs w:val="14"/>
                <w:b w:val="1"/>
                <w:bCs w:val="1"/>
                <w:color w:val="auto"/>
              </w:rPr>
              <w:t>64,586</w:t>
            </w:r>
          </w:p>
        </w:tc>
        <w:tc>
          <w:tcPr>
            <w:tcW w:w="460" w:type="dxa"/>
            <w:vAlign w:val="bottom"/>
            <w:gridSpan w:val="2"/>
          </w:tcPr>
          <w:p>
            <w:pPr>
              <w:jc w:val="right"/>
              <w:ind w:right="120"/>
              <w:spacing w:after="0"/>
              <w:rPr>
                <w:sz w:val="20"/>
                <w:szCs w:val="20"/>
                <w:color w:val="auto"/>
              </w:rPr>
            </w:pPr>
            <w:r>
              <w:rPr>
                <w:rFonts w:ascii="Calibri" w:cs="Calibri" w:eastAsia="Calibri" w:hAnsi="Calibri"/>
                <w:sz w:val="14"/>
                <w:szCs w:val="14"/>
                <w:b w:val="1"/>
                <w:bCs w:val="1"/>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color w:val="auto"/>
              </w:rPr>
              <w:t>23,911</w:t>
            </w:r>
          </w:p>
        </w:tc>
        <w:tc>
          <w:tcPr>
            <w:tcW w:w="380" w:type="dxa"/>
            <w:vAlign w:val="bottom"/>
            <w:gridSpan w:val="2"/>
          </w:tcPr>
          <w:p>
            <w:pPr>
              <w:jc w:val="right"/>
              <w:ind w:right="40"/>
              <w:spacing w:after="0"/>
              <w:rPr>
                <w:sz w:val="20"/>
                <w:szCs w:val="20"/>
                <w:color w:val="auto"/>
              </w:rPr>
            </w:pPr>
            <w:r>
              <w:rPr>
                <w:rFonts w:ascii="Calibri" w:cs="Calibri" w:eastAsia="Calibri" w:hAnsi="Calibri"/>
                <w:sz w:val="14"/>
                <w:szCs w:val="14"/>
                <w:b w:val="1"/>
                <w:bCs w:val="1"/>
                <w:color w:val="auto"/>
              </w:rPr>
              <w:t>$</w:t>
            </w:r>
          </w:p>
        </w:tc>
        <w:tc>
          <w:tcPr>
            <w:tcW w:w="660" w:type="dxa"/>
            <w:vAlign w:val="bottom"/>
          </w:tcPr>
          <w:p>
            <w:pPr>
              <w:jc w:val="right"/>
              <w:spacing w:after="0"/>
              <w:rPr>
                <w:sz w:val="20"/>
                <w:szCs w:val="20"/>
                <w:color w:val="auto"/>
              </w:rPr>
            </w:pPr>
            <w:r>
              <w:rPr>
                <w:rFonts w:ascii="Calibri" w:cs="Calibri" w:eastAsia="Calibri" w:hAnsi="Calibri"/>
                <w:sz w:val="14"/>
                <w:szCs w:val="14"/>
                <w:b w:val="1"/>
                <w:bCs w:val="1"/>
                <w:color w:val="auto"/>
              </w:rPr>
              <w:t>40,675</w:t>
            </w:r>
          </w:p>
        </w:tc>
        <w:tc>
          <w:tcPr>
            <w:tcW w:w="136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170 %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-145415</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-145415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-145415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-145415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-145415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-145415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-145415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3" w:lineRule="exact"/>
        <w:rPr>
          <w:sz w:val="20"/>
          <w:szCs w:val="20"/>
          <w:color w:val="auto"/>
        </w:rPr>
      </w:pPr>
    </w:p>
    <w:p>
      <w:pPr>
        <w:jc w:val="both"/>
        <w:ind w:right="20"/>
        <w:spacing w:after="0" w:line="230" w:lineRule="auto"/>
        <w:rPr>
          <w:sz w:val="20"/>
          <w:szCs w:val="20"/>
          <w:color w:val="auto"/>
        </w:rPr>
      </w:pPr>
      <w:r>
        <w:rPr>
          <w:rFonts w:ascii="Calibri" w:cs="Calibri" w:eastAsia="Calibri" w:hAnsi="Calibri"/>
          <w:sz w:val="18"/>
          <w:szCs w:val="18"/>
          <w:color w:val="auto"/>
        </w:rPr>
        <w:t>Total cost of revenues increased $12.4 million, or 62%, for the three months ended June 30, 2022 compared to the three months ended June 30, 2021 and increased $40.7 million, or 170%, for the six months ended June 30, 2022 compared to the six months ended June 30, 2021. The increase to total cost of revenues resulted from higher order volume in both our Marketplace and Resale segments.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Marketplace</w:t>
      </w:r>
    </w:p>
    <w:p>
      <w:pPr>
        <w:spacing w:after="0" w:line="136" w:lineRule="exact"/>
        <w:rPr>
          <w:sz w:val="20"/>
          <w:szCs w:val="20"/>
          <w:color w:val="auto"/>
        </w:rPr>
      </w:pPr>
    </w:p>
    <w:p>
      <w:pPr>
        <w:jc w:val="both"/>
        <w:ind w:right="20"/>
        <w:spacing w:after="0" w:line="226" w:lineRule="auto"/>
        <w:rPr>
          <w:sz w:val="20"/>
          <w:szCs w:val="20"/>
          <w:color w:val="auto"/>
        </w:rPr>
      </w:pPr>
      <w:r>
        <w:rPr>
          <w:rFonts w:ascii="Calibri" w:cs="Calibri" w:eastAsia="Calibri" w:hAnsi="Calibri"/>
          <w:sz w:val="18"/>
          <w:szCs w:val="18"/>
          <w:color w:val="auto"/>
        </w:rPr>
        <w:t>Marketplace cost of revenues increased $4.8 million, or 35%, for the three months ended June 30, 2022 compared to the three months ended June 30, 2021 and increased $18.6 million, or 113%, for the six months ended June 30, 2022 compared to the six months ended June 30, 2021. The increase in cost of revenues is consistent with the increase in total Marketplace orders, which increased by 0.7 million orders, or 41%, for the three months ended June 30, 2022 compared to the three months ended June 30, 2021 and increased 2.4 million orders, or 121%, for the six months ended June 30, 2022 compared to the six months ended June 30, 2021.</w:t>
      </w:r>
    </w:p>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Resale</w:t>
      </w:r>
    </w:p>
    <w:p>
      <w:pPr>
        <w:spacing w:after="0" w:line="109" w:lineRule="exact"/>
        <w:rPr>
          <w:sz w:val="20"/>
          <w:szCs w:val="20"/>
          <w:color w:val="auto"/>
        </w:rPr>
      </w:pPr>
    </w:p>
    <w:p>
      <w:pPr>
        <w:jc w:val="both"/>
        <w:ind w:right="20"/>
        <w:spacing w:after="0" w:line="226" w:lineRule="auto"/>
        <w:rPr>
          <w:sz w:val="20"/>
          <w:szCs w:val="20"/>
          <w:color w:val="auto"/>
        </w:rPr>
      </w:pPr>
      <w:r>
        <w:rPr>
          <w:rFonts w:ascii="Calibri" w:cs="Calibri" w:eastAsia="Calibri" w:hAnsi="Calibri"/>
          <w:sz w:val="18"/>
          <w:szCs w:val="18"/>
          <w:color w:val="auto"/>
        </w:rPr>
        <w:t>Resale cost of revenues increased $7.6 million, or 121%, for the three months ended June 30, 2022 compared to the three months ended June 30, 2021 and increased $22.1 million, or 295%, for the six months ended June 30, 2022 compared to the six months ended June 30, 2021. The increase resulted from an increase in total Resale orders of less than 0.1 million orders during the three months ended June 30, 2022 compared to the three months ended June 30, 2021 and an increase of 0.1 million orders, or 181%, during the six months ended June 30, 2022 compared to the six months ended June 30, 2021. The increase in Resale cost of revenues is not consistent with the increase in Resale revenues due to lower margins in 2022 compared to 2021.</w:t>
      </w:r>
    </w:p>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Marketng and Selling</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marketng and selling expenses (in thousands, except percentages):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8"/>
              <w:spacing w:after="0"/>
              <w:rPr>
                <w:sz w:val="20"/>
                <w:szCs w:val="20"/>
                <w:color w:val="auto"/>
              </w:rPr>
            </w:pPr>
            <w:r>
              <w:rPr>
                <w:rFonts w:ascii="Calibri" w:cs="Calibri" w:eastAsia="Calibri" w:hAnsi="Calibri"/>
                <w:sz w:val="14"/>
                <w:szCs w:val="14"/>
                <w:b w:val="1"/>
                <w:bCs w:val="1"/>
                <w:color w:val="auto"/>
              </w:rPr>
              <w:t>Three Months Ended June 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88"/>
              <w:spacing w:after="0"/>
              <w:rPr>
                <w:sz w:val="20"/>
                <w:szCs w:val="20"/>
                <w:color w:val="auto"/>
              </w:rPr>
            </w:pPr>
            <w:r>
              <w:rPr>
                <w:rFonts w:ascii="Calibri" w:cs="Calibri" w:eastAsia="Calibri" w:hAnsi="Calibri"/>
                <w:sz w:val="14"/>
                <w:szCs w:val="14"/>
                <w:b w:val="1"/>
                <w:bCs w:val="1"/>
                <w:color w:val="auto"/>
              </w:rPr>
              <w:t>Six Months Ended June 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248"/>
              <w:spacing w:after="0"/>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16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24"/>
                <w:szCs w:val="24"/>
                <w:color w:val="auto"/>
              </w:rPr>
            </w:pPr>
          </w:p>
        </w:tc>
        <w:tc>
          <w:tcPr>
            <w:tcW w:w="1320" w:type="dxa"/>
            <w:vAlign w:val="bottom"/>
            <w:gridSpan w:val="2"/>
          </w:tcPr>
          <w:p>
            <w:pPr>
              <w:jc w:val="right"/>
              <w:ind w:right="460"/>
              <w:spacing w:after="0"/>
              <w:rPr>
                <w:sz w:val="20"/>
                <w:szCs w:val="20"/>
                <w:color w:val="auto"/>
              </w:rPr>
            </w:pPr>
            <w:r>
              <w:rPr>
                <w:rFonts w:ascii="Calibri" w:cs="Calibri" w:eastAsia="Calibri" w:hAnsi="Calibri"/>
                <w:sz w:val="14"/>
                <w:szCs w:val="14"/>
                <w:b w:val="1"/>
                <w:bCs w:val="1"/>
                <w:color w:val="auto"/>
              </w:rPr>
              <w:t>% Change</w:t>
            </w:r>
          </w:p>
        </w:tc>
        <w:tc>
          <w:tcPr>
            <w:tcW w:w="140" w:type="dxa"/>
            <w:vAlign w:val="bottom"/>
          </w:tcPr>
          <w:p>
            <w:pPr>
              <w:spacing w:after="0"/>
              <w:rPr>
                <w:sz w:val="24"/>
                <w:szCs w:val="24"/>
                <w:color w:val="auto"/>
              </w:rPr>
            </w:pPr>
          </w:p>
        </w:tc>
        <w:tc>
          <w:tcPr>
            <w:tcW w:w="720" w:type="dxa"/>
            <w:vAlign w:val="bottom"/>
          </w:tcPr>
          <w:p>
            <w:pPr>
              <w:jc w:val="right"/>
              <w:ind w:right="208"/>
              <w:spacing w:after="0"/>
              <w:rPr>
                <w:sz w:val="20"/>
                <w:szCs w:val="20"/>
                <w:color w:val="auto"/>
              </w:rPr>
            </w:pPr>
            <w:r>
              <w:rPr>
                <w:rFonts w:ascii="Calibri" w:cs="Calibri" w:eastAsia="Calibri" w:hAnsi="Calibri"/>
                <w:sz w:val="14"/>
                <w:szCs w:val="14"/>
                <w:b w:val="1"/>
                <w:bCs w:val="1"/>
                <w:color w:val="auto"/>
              </w:rPr>
              <w:t>2022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28"/>
              <w:spacing w:after="0"/>
              <w:rPr>
                <w:sz w:val="20"/>
                <w:szCs w:val="20"/>
                <w:color w:val="auto"/>
              </w:rPr>
            </w:pPr>
            <w:r>
              <w:rPr>
                <w:rFonts w:ascii="Calibri" w:cs="Calibri" w:eastAsia="Calibri" w:hAnsi="Calibri"/>
                <w:sz w:val="14"/>
                <w:szCs w:val="14"/>
                <w:b w:val="1"/>
                <w:bCs w:val="1"/>
                <w:color w:val="auto"/>
              </w:rPr>
              <w:t>Change</w:t>
            </w:r>
          </w:p>
        </w:tc>
        <w:tc>
          <w:tcPr>
            <w:tcW w:w="220" w:type="dxa"/>
            <w:vAlign w:val="bottom"/>
          </w:tcPr>
          <w:p>
            <w:pPr>
              <w:spacing w:after="0"/>
              <w:rPr>
                <w:sz w:val="24"/>
                <w:szCs w:val="24"/>
                <w:color w:val="auto"/>
              </w:rPr>
            </w:pPr>
          </w:p>
        </w:tc>
        <w:tc>
          <w:tcPr>
            <w:tcW w:w="1240" w:type="dxa"/>
            <w:vAlign w:val="bottom"/>
            <w:gridSpan w:val="3"/>
          </w:tcPr>
          <w:p>
            <w:pPr>
              <w:ind w:left="260"/>
              <w:spacing w:after="0"/>
              <w:rPr>
                <w:sz w:val="20"/>
                <w:szCs w:val="20"/>
                <w:color w:val="auto"/>
              </w:rPr>
            </w:pPr>
            <w:r>
              <w:rPr>
                <w:rFonts w:ascii="Calibri" w:cs="Calibri" w:eastAsia="Calibri" w:hAnsi="Calibri"/>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208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Marketng and selling:</w:t>
            </w:r>
          </w:p>
        </w:tc>
        <w:tc>
          <w:tcPr>
            <w:tcW w:w="1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80" w:type="dxa"/>
            <w:vAlign w:val="bottom"/>
          </w:tcPr>
          <w:p>
            <w:pPr>
              <w:ind w:left="20"/>
              <w:spacing w:after="0"/>
              <w:rPr>
                <w:sz w:val="20"/>
                <w:szCs w:val="20"/>
                <w:color w:val="auto"/>
              </w:rPr>
            </w:pPr>
            <w:r>
              <w:rPr>
                <w:rFonts w:ascii="Calibri" w:cs="Calibri" w:eastAsia="Calibri" w:hAnsi="Calibri"/>
                <w:sz w:val="14"/>
                <w:szCs w:val="14"/>
                <w:color w:val="auto"/>
              </w:rPr>
              <w:t>Online</w:t>
            </w:r>
          </w:p>
        </w:tc>
        <w:tc>
          <w:tcPr>
            <w:tcW w:w="10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80" w:type="dxa"/>
            <w:vAlign w:val="bottom"/>
          </w:tcPr>
          <w:p>
            <w:pPr>
              <w:jc w:val="right"/>
              <w:spacing w:after="0"/>
              <w:rPr>
                <w:sz w:val="20"/>
                <w:szCs w:val="20"/>
                <w:color w:val="auto"/>
              </w:rPr>
            </w:pPr>
            <w:r>
              <w:rPr>
                <w:rFonts w:ascii="Calibri" w:cs="Calibri" w:eastAsia="Calibri" w:hAnsi="Calibri"/>
                <w:sz w:val="14"/>
                <w:szCs w:val="14"/>
                <w:color w:val="auto"/>
              </w:rPr>
              <w:t>54,820</w:t>
            </w:r>
          </w:p>
        </w:tc>
        <w:tc>
          <w:tcPr>
            <w:tcW w:w="420" w:type="dxa"/>
            <w:vAlign w:val="bottom"/>
            <w:gridSpan w:val="2"/>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45,096</w:t>
            </w:r>
          </w:p>
        </w:tc>
        <w:tc>
          <w:tcPr>
            <w:tcW w:w="38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9,724</w:t>
            </w:r>
          </w:p>
        </w:tc>
        <w:tc>
          <w:tcPr>
            <w:tcW w:w="1540" w:type="dxa"/>
            <w:vAlign w:val="bottom"/>
            <w:gridSpan w:val="3"/>
          </w:tcPr>
          <w:p>
            <w:pPr>
              <w:jc w:val="right"/>
              <w:ind w:right="80"/>
              <w:spacing w:after="0"/>
              <w:rPr>
                <w:sz w:val="20"/>
                <w:szCs w:val="20"/>
                <w:color w:val="auto"/>
              </w:rPr>
            </w:pPr>
            <w:r>
              <w:rPr>
                <w:rFonts w:ascii="Calibri" w:cs="Calibri" w:eastAsia="Calibri" w:hAnsi="Calibri"/>
                <w:sz w:val="14"/>
                <w:szCs w:val="14"/>
                <w:color w:val="auto"/>
              </w:rPr>
              <w:t>22 %</w:t>
            </w:r>
          </w:p>
        </w:tc>
        <w:tc>
          <w:tcPr>
            <w:tcW w:w="1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104,670</w:t>
            </w:r>
          </w:p>
        </w:tc>
        <w:tc>
          <w:tcPr>
            <w:tcW w:w="400" w:type="dxa"/>
            <w:vAlign w:val="bottom"/>
            <w:gridSpan w:val="2"/>
          </w:tcPr>
          <w:p>
            <w:pPr>
              <w:jc w:val="right"/>
              <w:ind w:right="120"/>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52,885</w:t>
            </w:r>
          </w:p>
        </w:tc>
        <w:tc>
          <w:tcPr>
            <w:tcW w:w="360" w:type="dxa"/>
            <w:vAlign w:val="bottom"/>
            <w:gridSpan w:val="2"/>
          </w:tcPr>
          <w:p>
            <w:pPr>
              <w:jc w:val="right"/>
              <w:ind w:right="60"/>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51,785</w:t>
            </w:r>
          </w:p>
        </w:tc>
        <w:tc>
          <w:tcPr>
            <w:tcW w:w="1440" w:type="dxa"/>
            <w:vAlign w:val="bottom"/>
            <w:gridSpan w:val="3"/>
          </w:tcPr>
          <w:p>
            <w:pPr>
              <w:jc w:val="right"/>
              <w:spacing w:after="0"/>
              <w:rPr>
                <w:sz w:val="20"/>
                <w:szCs w:val="20"/>
                <w:color w:val="auto"/>
              </w:rPr>
            </w:pPr>
            <w:r>
              <w:rPr>
                <w:rFonts w:ascii="Calibri" w:cs="Calibri" w:eastAsia="Calibri" w:hAnsi="Calibri"/>
                <w:sz w:val="14"/>
                <w:szCs w:val="14"/>
                <w:color w:val="auto"/>
              </w:rPr>
              <w:t>98 %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80" w:type="dxa"/>
            <w:vAlign w:val="bottom"/>
            <w:shd w:val="clear" w:color="auto" w:fill="CFF0FC"/>
          </w:tcPr>
          <w:p>
            <w:pPr>
              <w:ind w:left="20"/>
              <w:spacing w:after="0"/>
              <w:rPr>
                <w:sz w:val="20"/>
                <w:szCs w:val="20"/>
                <w:color w:val="auto"/>
              </w:rPr>
            </w:pPr>
            <w:r>
              <w:rPr>
                <w:rFonts w:ascii="Calibri" w:cs="Calibri" w:eastAsia="Calibri" w:hAnsi="Calibri"/>
                <w:sz w:val="14"/>
                <w:szCs w:val="14"/>
                <w:color w:val="auto"/>
              </w:rPr>
              <w:t>Ofine</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4,592</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1,326</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3,266</w:t>
            </w:r>
          </w:p>
        </w:tc>
        <w:tc>
          <w:tcPr>
            <w:tcW w:w="2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Calibri" w:cs="Calibri" w:eastAsia="Calibri" w:hAnsi="Calibri"/>
                <w:sz w:val="14"/>
                <w:szCs w:val="14"/>
                <w:color w:val="auto"/>
              </w:rPr>
              <w:t>246 %</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8,970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1,492</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Calibri" w:cs="Calibri" w:eastAsia="Calibri" w:hAnsi="Calibri"/>
                <w:sz w:val="14"/>
                <w:szCs w:val="14"/>
                <w:color w:val="auto"/>
              </w:rPr>
              <w:t>7,478</w:t>
            </w:r>
          </w:p>
        </w:tc>
        <w:tc>
          <w:tcPr>
            <w:tcW w:w="1440" w:type="dxa"/>
            <w:vAlign w:val="bottom"/>
            <w:gridSpan w:val="3"/>
            <w:shd w:val="clear" w:color="auto" w:fill="CFF0FC"/>
          </w:tcPr>
          <w:p>
            <w:pPr>
              <w:jc w:val="right"/>
              <w:spacing w:after="0"/>
              <w:rPr>
                <w:sz w:val="20"/>
                <w:szCs w:val="20"/>
                <w:color w:val="auto"/>
              </w:rPr>
            </w:pPr>
            <w:r>
              <w:rPr>
                <w:rFonts w:ascii="Calibri" w:cs="Calibri" w:eastAsia="Calibri" w:hAnsi="Calibri"/>
                <w:sz w:val="14"/>
                <w:szCs w:val="14"/>
                <w:color w:val="auto"/>
              </w:rPr>
              <w:t>501 %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80" w:type="dxa"/>
            <w:vAlign w:val="bottom"/>
          </w:tcPr>
          <w:p>
            <w:pPr>
              <w:ind w:left="20"/>
              <w:spacing w:after="0"/>
              <w:rPr>
                <w:sz w:val="20"/>
                <w:szCs w:val="20"/>
                <w:color w:val="auto"/>
              </w:rPr>
            </w:pPr>
            <w:r>
              <w:rPr>
                <w:rFonts w:ascii="Calibri" w:cs="Calibri" w:eastAsia="Calibri" w:hAnsi="Calibri"/>
                <w:sz w:val="14"/>
                <w:szCs w:val="14"/>
                <w:b w:val="1"/>
                <w:bCs w:val="1"/>
                <w:color w:val="auto"/>
              </w:rPr>
              <w:t>Total marketng and selling</w:t>
            </w:r>
          </w:p>
        </w:tc>
        <w:tc>
          <w:tcPr>
            <w:tcW w:w="100" w:type="dxa"/>
            <w:vAlign w:val="bottom"/>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80" w:type="dxa"/>
            <w:vAlign w:val="bottom"/>
          </w:tcPr>
          <w:p>
            <w:pPr>
              <w:jc w:val="right"/>
              <w:spacing w:after="0"/>
              <w:rPr>
                <w:sz w:val="20"/>
                <w:szCs w:val="20"/>
                <w:color w:val="auto"/>
              </w:rPr>
            </w:pPr>
            <w:r>
              <w:rPr>
                <w:rFonts w:ascii="Calibri" w:cs="Calibri" w:eastAsia="Calibri" w:hAnsi="Calibri"/>
                <w:sz w:val="14"/>
                <w:szCs w:val="14"/>
                <w:b w:val="1"/>
                <w:bCs w:val="1"/>
                <w:color w:val="auto"/>
              </w:rPr>
              <w:t>59,412</w:t>
            </w:r>
          </w:p>
        </w:tc>
        <w:tc>
          <w:tcPr>
            <w:tcW w:w="2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Calibri" w:cs="Calibri" w:eastAsia="Calibri" w:hAnsi="Calibri"/>
                <w:sz w:val="14"/>
                <w:szCs w:val="14"/>
                <w:b w:val="1"/>
                <w:bCs w:val="1"/>
                <w:color w:val="auto"/>
                <w:w w:val="83"/>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color w:val="auto"/>
              </w:rPr>
              <w:t>46,422</w:t>
            </w:r>
          </w:p>
        </w:tc>
        <w:tc>
          <w:tcPr>
            <w:tcW w:w="2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alibri" w:cs="Calibri" w:eastAsia="Calibri" w:hAnsi="Calibri"/>
                <w:sz w:val="14"/>
                <w:szCs w:val="14"/>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b w:val="1"/>
                <w:bCs w:val="1"/>
                <w:color w:val="auto"/>
              </w:rPr>
              <w:t>12,990</w:t>
            </w:r>
          </w:p>
        </w:tc>
        <w:tc>
          <w:tcPr>
            <w:tcW w:w="22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Calibri" w:cs="Calibri" w:eastAsia="Calibri" w:hAnsi="Calibri"/>
                <w:sz w:val="14"/>
                <w:szCs w:val="14"/>
                <w:b w:val="1"/>
                <w:bCs w:val="1"/>
                <w:color w:val="auto"/>
              </w:rPr>
              <w:t>28 %</w:t>
            </w:r>
          </w:p>
        </w:tc>
        <w:tc>
          <w:tcPr>
            <w:tcW w:w="140" w:type="dxa"/>
            <w:vAlign w:val="bottom"/>
          </w:tcPr>
          <w:p>
            <w:pPr>
              <w:jc w:val="right"/>
              <w:spacing w:after="0"/>
              <w:rPr>
                <w:sz w:val="20"/>
                <w:szCs w:val="20"/>
                <w:color w:val="auto"/>
              </w:rPr>
            </w:pPr>
            <w:r>
              <w:rPr>
                <w:rFonts w:ascii="Calibri" w:cs="Calibri" w:eastAsia="Calibri" w:hAnsi="Calibri"/>
                <w:sz w:val="14"/>
                <w:szCs w:val="14"/>
                <w:b w:val="1"/>
                <w:bCs w:val="1"/>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color w:val="auto"/>
              </w:rPr>
              <w:t>113,640</w:t>
            </w:r>
          </w:p>
        </w:tc>
        <w:tc>
          <w:tcPr>
            <w:tcW w:w="400" w:type="dxa"/>
            <w:vAlign w:val="bottom"/>
            <w:gridSpan w:val="2"/>
          </w:tcPr>
          <w:p>
            <w:pPr>
              <w:jc w:val="right"/>
              <w:ind w:right="120"/>
              <w:spacing w:after="0"/>
              <w:rPr>
                <w:sz w:val="20"/>
                <w:szCs w:val="20"/>
                <w:color w:val="auto"/>
              </w:rPr>
            </w:pPr>
            <w:r>
              <w:rPr>
                <w:rFonts w:ascii="Calibri" w:cs="Calibri" w:eastAsia="Calibri" w:hAnsi="Calibri"/>
                <w:sz w:val="14"/>
                <w:szCs w:val="14"/>
                <w:b w:val="1"/>
                <w:bCs w:val="1"/>
                <w:color w:val="auto"/>
              </w:rPr>
              <w:t>$</w:t>
            </w:r>
          </w:p>
        </w:tc>
        <w:tc>
          <w:tcPr>
            <w:tcW w:w="680" w:type="dxa"/>
            <w:vAlign w:val="bottom"/>
          </w:tcPr>
          <w:p>
            <w:pPr>
              <w:jc w:val="right"/>
              <w:spacing w:after="0"/>
              <w:rPr>
                <w:sz w:val="20"/>
                <w:szCs w:val="20"/>
                <w:color w:val="auto"/>
              </w:rPr>
            </w:pPr>
            <w:r>
              <w:rPr>
                <w:rFonts w:ascii="Calibri" w:cs="Calibri" w:eastAsia="Calibri" w:hAnsi="Calibri"/>
                <w:sz w:val="14"/>
                <w:szCs w:val="14"/>
                <w:b w:val="1"/>
                <w:bCs w:val="1"/>
                <w:color w:val="auto"/>
              </w:rPr>
              <w:t>54,377</w:t>
            </w:r>
          </w:p>
        </w:tc>
        <w:tc>
          <w:tcPr>
            <w:tcW w:w="360" w:type="dxa"/>
            <w:vAlign w:val="bottom"/>
            <w:gridSpan w:val="2"/>
          </w:tcPr>
          <w:p>
            <w:pPr>
              <w:jc w:val="right"/>
              <w:ind w:right="60"/>
              <w:spacing w:after="0"/>
              <w:rPr>
                <w:sz w:val="20"/>
                <w:szCs w:val="20"/>
                <w:color w:val="auto"/>
              </w:rPr>
            </w:pPr>
            <w:r>
              <w:rPr>
                <w:rFonts w:ascii="Calibri" w:cs="Calibri" w:eastAsia="Calibri" w:hAnsi="Calibri"/>
                <w:sz w:val="14"/>
                <w:szCs w:val="14"/>
                <w:b w:val="1"/>
                <w:bCs w:val="1"/>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b w:val="1"/>
                <w:bCs w:val="1"/>
                <w:color w:val="auto"/>
              </w:rPr>
              <w:t>59,263</w:t>
            </w:r>
          </w:p>
        </w:tc>
        <w:tc>
          <w:tcPr>
            <w:tcW w:w="1440" w:type="dxa"/>
            <w:vAlign w:val="bottom"/>
            <w:gridSpan w:val="3"/>
          </w:tcPr>
          <w:p>
            <w:pPr>
              <w:jc w:val="right"/>
              <w:spacing w:after="0"/>
              <w:rPr>
                <w:sz w:val="20"/>
                <w:szCs w:val="20"/>
                <w:color w:val="auto"/>
              </w:rPr>
            </w:pPr>
            <w:r>
              <w:rPr>
                <w:rFonts w:ascii="Calibri" w:cs="Calibri" w:eastAsia="Calibri" w:hAnsi="Calibri"/>
                <w:sz w:val="14"/>
                <w:szCs w:val="14"/>
                <w:b w:val="1"/>
                <w:bCs w:val="1"/>
                <w:color w:val="auto"/>
              </w:rPr>
              <w:t>109 %</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-145415</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-145415</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-145415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-145415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-145415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-145415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-145415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63" w:right="319" w:bottom="1440" w:gutter="0" w:footer="0" w:header="0"/>
        </w:sectPr>
      </w:pPr>
    </w:p>
    <w:bookmarkStart w:id="33" w:name="page34"/>
    <w:bookmarkEnd w:id="33"/>
    <w:p>
      <w:pPr>
        <w:jc w:val="both"/>
        <w:ind w:right="60"/>
        <w:spacing w:after="0" w:line="227" w:lineRule="auto"/>
        <w:rPr>
          <w:sz w:val="20"/>
          <w:szCs w:val="20"/>
          <w:color w:val="auto"/>
        </w:rPr>
      </w:pPr>
      <w:r>
        <w:rPr>
          <w:rFonts w:ascii="Calibri" w:cs="Calibri" w:eastAsia="Calibri" w:hAnsi="Calibri"/>
          <w:sz w:val="18"/>
          <w:szCs w:val="18"/>
          <w:color w:val="auto"/>
        </w:rPr>
        <w:t>Marketng and selling expenses, which are entrely atributable to our Marketplace segment, increased $13.0 million, or 28%, during the three months ended June 30, 2022 compared to the three months ended June 30, 2021 and increased $59.3 million, or 109%, during the six months ended June 30, 2022 compared to the six months ended June 30, 2021. The increase in expenses primarily resulted from greater spending on online advertsing. Our spending on online advertsing increased by $9.7 million, or 22%, during the three months ended June 30, 2022 compared to the three months ended June 30, 2021 and increased by $51.8 million, or 98%, during the six months ended June 30, 2022 compared to the six months ended June 30, 2021. As restrictons on the atendance of live events were reduced or lifed, we increased our spending on marketng to capitalize on the increase in live event atendance. In additon, in 2022, we contnued our increased marketng eforts as part of our brand awareness eforts.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 and Administratve</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general and administratve expenses (in thousands, except percentages):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8"/>
              <w:spacing w:after="0"/>
              <w:rPr>
                <w:sz w:val="20"/>
                <w:szCs w:val="20"/>
                <w:color w:val="auto"/>
              </w:rPr>
            </w:pPr>
            <w:r>
              <w:rPr>
                <w:rFonts w:ascii="Calibri" w:cs="Calibri" w:eastAsia="Calibri" w:hAnsi="Calibri"/>
                <w:sz w:val="14"/>
                <w:szCs w:val="14"/>
                <w:b w:val="1"/>
                <w:bCs w:val="1"/>
                <w:color w:val="auto"/>
              </w:rPr>
              <w:t>Three Months Ended June 30,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88"/>
              <w:spacing w:after="0"/>
              <w:rPr>
                <w:sz w:val="20"/>
                <w:szCs w:val="20"/>
                <w:color w:val="auto"/>
              </w:rPr>
            </w:pPr>
            <w:r>
              <w:rPr>
                <w:rFonts w:ascii="Calibri" w:cs="Calibri" w:eastAsia="Calibri" w:hAnsi="Calibri"/>
                <w:sz w:val="14"/>
                <w:szCs w:val="14"/>
                <w:b w:val="1"/>
                <w:bCs w:val="1"/>
                <w:color w:val="auto"/>
              </w:rPr>
              <w:t>Six Months Ended June 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4"/>
        </w:trPr>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2022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248"/>
              <w:spacing w:after="0"/>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Calibri" w:cs="Calibri" w:eastAsia="Calibri" w:hAnsi="Calibri"/>
                <w:sz w:val="14"/>
                <w:szCs w:val="14"/>
                <w:b w:val="1"/>
                <w:bCs w:val="1"/>
                <w:color w:val="auto"/>
              </w:rPr>
              <w:t>Change</w:t>
            </w:r>
          </w:p>
        </w:tc>
        <w:tc>
          <w:tcPr>
            <w:tcW w:w="1320" w:type="dxa"/>
            <w:vAlign w:val="bottom"/>
            <w:gridSpan w:val="2"/>
          </w:tcPr>
          <w:p>
            <w:pPr>
              <w:jc w:val="right"/>
              <w:ind w:right="388"/>
              <w:spacing w:after="0"/>
              <w:rPr>
                <w:sz w:val="20"/>
                <w:szCs w:val="20"/>
                <w:color w:val="auto"/>
              </w:rPr>
            </w:pPr>
            <w:r>
              <w:rPr>
                <w:rFonts w:ascii="Calibri" w:cs="Calibri" w:eastAsia="Calibri" w:hAnsi="Calibri"/>
                <w:sz w:val="14"/>
                <w:szCs w:val="14"/>
                <w:b w:val="1"/>
                <w:bCs w:val="1"/>
                <w:color w:val="auto"/>
              </w:rPr>
              <w:t>% Change</w:t>
            </w:r>
          </w:p>
        </w:tc>
        <w:tc>
          <w:tcPr>
            <w:tcW w:w="140" w:type="dxa"/>
            <w:vAlign w:val="bottom"/>
          </w:tcPr>
          <w:p>
            <w:pPr>
              <w:spacing w:after="0"/>
              <w:rPr>
                <w:sz w:val="24"/>
                <w:szCs w:val="24"/>
                <w:color w:val="auto"/>
              </w:rPr>
            </w:pPr>
          </w:p>
        </w:tc>
        <w:tc>
          <w:tcPr>
            <w:tcW w:w="720" w:type="dxa"/>
            <w:vAlign w:val="bottom"/>
          </w:tcPr>
          <w:p>
            <w:pPr>
              <w:jc w:val="right"/>
              <w:ind w:right="208"/>
              <w:spacing w:after="0"/>
              <w:rPr>
                <w:sz w:val="20"/>
                <w:szCs w:val="20"/>
                <w:color w:val="auto"/>
              </w:rPr>
            </w:pPr>
            <w:r>
              <w:rPr>
                <w:rFonts w:ascii="Calibri" w:cs="Calibri" w:eastAsia="Calibri" w:hAnsi="Calibri"/>
                <w:sz w:val="14"/>
                <w:szCs w:val="14"/>
                <w:b w:val="1"/>
                <w:bCs w:val="1"/>
                <w:color w:val="auto"/>
              </w:rPr>
              <w:t>2022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28"/>
              <w:spacing w:after="0"/>
              <w:rPr>
                <w:sz w:val="20"/>
                <w:szCs w:val="20"/>
                <w:color w:val="auto"/>
              </w:rPr>
            </w:pPr>
            <w:r>
              <w:rPr>
                <w:rFonts w:ascii="Calibri" w:cs="Calibri" w:eastAsia="Calibri" w:hAnsi="Calibri"/>
                <w:sz w:val="14"/>
                <w:szCs w:val="14"/>
                <w:b w:val="1"/>
                <w:bCs w:val="1"/>
                <w:color w:val="auto"/>
              </w:rPr>
              <w:t>2021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Calibri" w:cs="Calibri" w:eastAsia="Calibri" w:hAnsi="Calibri"/>
                <w:sz w:val="14"/>
                <w:szCs w:val="14"/>
                <w:b w:val="1"/>
                <w:bCs w:val="1"/>
                <w:color w:val="auto"/>
              </w:rPr>
              <w:t>Change</w:t>
            </w:r>
          </w:p>
        </w:tc>
        <w:tc>
          <w:tcPr>
            <w:tcW w:w="1280" w:type="dxa"/>
            <w:vAlign w:val="bottom"/>
            <w:gridSpan w:val="3"/>
          </w:tcPr>
          <w:p>
            <w:pPr>
              <w:jc w:val="right"/>
              <w:ind w:right="440"/>
              <w:spacing w:after="0"/>
              <w:rPr>
                <w:sz w:val="20"/>
                <w:szCs w:val="20"/>
                <w:color w:val="auto"/>
              </w:rPr>
            </w:pPr>
            <w:r>
              <w:rPr>
                <w:rFonts w:ascii="Calibri" w:cs="Calibri" w:eastAsia="Calibri" w:hAnsi="Calibri"/>
                <w:sz w:val="14"/>
                <w:szCs w:val="14"/>
                <w:b w:val="1"/>
                <w:bCs w:val="1"/>
                <w:color w:val="auto"/>
              </w:rPr>
              <w:t>% Change</w:t>
            </w:r>
          </w:p>
        </w:tc>
      </w:tr>
      <w:tr>
        <w:trPr>
          <w:trHeight w:val="176"/>
        </w:trPr>
        <w:tc>
          <w:tcPr>
            <w:tcW w:w="2080" w:type="dxa"/>
            <w:vAlign w:val="bottom"/>
            <w:shd w:val="clear" w:color="auto" w:fill="CFF0FC"/>
          </w:tcPr>
          <w:p>
            <w:pPr>
              <w:ind w:left="20"/>
              <w:spacing w:after="0"/>
              <w:rPr>
                <w:sz w:val="20"/>
                <w:szCs w:val="20"/>
                <w:color w:val="auto"/>
              </w:rPr>
            </w:pPr>
            <w:r>
              <w:rPr>
                <w:rFonts w:ascii="Calibri" w:cs="Calibri" w:eastAsia="Calibri" w:hAnsi="Calibri"/>
                <w:sz w:val="14"/>
                <w:szCs w:val="14"/>
                <w:b w:val="1"/>
                <w:bCs w:val="1"/>
                <w:color w:val="auto"/>
              </w:rPr>
              <w:t>General and administratve:</w:t>
            </w:r>
          </w:p>
        </w:tc>
        <w:tc>
          <w:tcPr>
            <w:tcW w:w="10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2080" w:type="dxa"/>
            <w:vAlign w:val="bottom"/>
          </w:tcPr>
          <w:p>
            <w:pPr>
              <w:ind w:left="20"/>
              <w:spacing w:after="0"/>
              <w:rPr>
                <w:sz w:val="20"/>
                <w:szCs w:val="20"/>
                <w:color w:val="auto"/>
              </w:rPr>
            </w:pPr>
            <w:r>
              <w:rPr>
                <w:rFonts w:ascii="Calibri" w:cs="Calibri" w:eastAsia="Calibri" w:hAnsi="Calibri"/>
                <w:sz w:val="14"/>
                <w:szCs w:val="14"/>
                <w:color w:val="auto"/>
              </w:rPr>
              <w:t>Personnel expenses</w:t>
            </w:r>
          </w:p>
        </w:tc>
        <w:tc>
          <w:tcPr>
            <w:tcW w:w="100" w:type="dxa"/>
            <w:vAlign w:val="bottom"/>
          </w:tcPr>
          <w:p>
            <w:pPr>
              <w:jc w:val="right"/>
              <w:spacing w:after="0"/>
              <w:rPr>
                <w:sz w:val="20"/>
                <w:szCs w:val="20"/>
                <w:color w:val="auto"/>
              </w:rPr>
            </w:pPr>
            <w:r>
              <w:rPr>
                <w:rFonts w:ascii="Calibri" w:cs="Calibri" w:eastAsia="Calibri" w:hAnsi="Calibri"/>
                <w:sz w:val="14"/>
                <w:szCs w:val="14"/>
                <w:color w:val="auto"/>
                <w:w w:val="83"/>
              </w:rPr>
              <w:t>$</w:t>
            </w:r>
          </w:p>
        </w:tc>
        <w:tc>
          <w:tcPr>
            <w:tcW w:w="780" w:type="dxa"/>
            <w:vAlign w:val="bottom"/>
          </w:tcPr>
          <w:p>
            <w:pPr>
              <w:jc w:val="right"/>
              <w:spacing w:after="0"/>
              <w:rPr>
                <w:sz w:val="20"/>
                <w:szCs w:val="20"/>
                <w:color w:val="auto"/>
              </w:rPr>
            </w:pPr>
            <w:r>
              <w:rPr>
                <w:rFonts w:ascii="Calibri" w:cs="Calibri" w:eastAsia="Calibri" w:hAnsi="Calibri"/>
                <w:sz w:val="14"/>
                <w:szCs w:val="14"/>
                <w:color w:val="auto"/>
              </w:rPr>
              <w:t>22,696</w:t>
            </w:r>
          </w:p>
        </w:tc>
        <w:tc>
          <w:tcPr>
            <w:tcW w:w="420" w:type="dxa"/>
            <w:vAlign w:val="bottom"/>
            <w:gridSpan w:val="2"/>
          </w:tcPr>
          <w:p>
            <w:pPr>
              <w:jc w:val="right"/>
              <w:ind w:right="48"/>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9,602</w:t>
            </w:r>
          </w:p>
        </w:tc>
        <w:tc>
          <w:tcPr>
            <w:tcW w:w="38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760" w:type="dxa"/>
            <w:vAlign w:val="bottom"/>
          </w:tcPr>
          <w:p>
            <w:pPr>
              <w:jc w:val="right"/>
              <w:spacing w:after="0"/>
              <w:rPr>
                <w:sz w:val="20"/>
                <w:szCs w:val="20"/>
                <w:color w:val="auto"/>
              </w:rPr>
            </w:pPr>
            <w:r>
              <w:rPr>
                <w:rFonts w:ascii="Calibri" w:cs="Calibri" w:eastAsia="Calibri" w:hAnsi="Calibri"/>
                <w:sz w:val="14"/>
                <w:szCs w:val="14"/>
                <w:color w:val="auto"/>
              </w:rPr>
              <w:t>13,094</w:t>
            </w:r>
          </w:p>
        </w:tc>
        <w:tc>
          <w:tcPr>
            <w:tcW w:w="220" w:type="dxa"/>
            <w:vAlign w:val="bottom"/>
          </w:tcPr>
          <w:p>
            <w:pPr>
              <w:spacing w:after="0"/>
              <w:rPr>
                <w:sz w:val="14"/>
                <w:szCs w:val="14"/>
                <w:color w:val="auto"/>
              </w:rPr>
            </w:pPr>
          </w:p>
        </w:tc>
        <w:tc>
          <w:tcPr>
            <w:tcW w:w="1320" w:type="dxa"/>
            <w:vAlign w:val="bottom"/>
            <w:gridSpan w:val="2"/>
          </w:tcPr>
          <w:p>
            <w:pPr>
              <w:jc w:val="right"/>
              <w:ind w:right="8"/>
              <w:spacing w:after="0"/>
              <w:rPr>
                <w:sz w:val="20"/>
                <w:szCs w:val="20"/>
                <w:color w:val="auto"/>
              </w:rPr>
            </w:pPr>
            <w:r>
              <w:rPr>
                <w:rFonts w:ascii="Calibri" w:cs="Calibri" w:eastAsia="Calibri" w:hAnsi="Calibri"/>
                <w:sz w:val="14"/>
                <w:szCs w:val="14"/>
                <w:color w:val="auto"/>
              </w:rPr>
              <w:t>136 %</w:t>
            </w:r>
          </w:p>
        </w:tc>
        <w:tc>
          <w:tcPr>
            <w:tcW w:w="140" w:type="dxa"/>
            <w:vAlign w:val="bottom"/>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42,434</w:t>
            </w:r>
          </w:p>
        </w:tc>
        <w:tc>
          <w:tcPr>
            <w:tcW w:w="400" w:type="dxa"/>
            <w:vAlign w:val="bottom"/>
            <w:gridSpan w:val="2"/>
          </w:tcPr>
          <w:p>
            <w:pPr>
              <w:jc w:val="right"/>
              <w:ind w:right="48"/>
              <w:spacing w:after="0"/>
              <w:rPr>
                <w:sz w:val="20"/>
                <w:szCs w:val="20"/>
                <w:color w:val="auto"/>
              </w:rPr>
            </w:pPr>
            <w:r>
              <w:rPr>
                <w:rFonts w:ascii="Calibri" w:cs="Calibri" w:eastAsia="Calibri" w:hAnsi="Calibri"/>
                <w:sz w:val="14"/>
                <w:szCs w:val="14"/>
                <w:color w:val="auto"/>
              </w:rPr>
              <w:t>$</w:t>
            </w:r>
          </w:p>
        </w:tc>
        <w:tc>
          <w:tcPr>
            <w:tcW w:w="680" w:type="dxa"/>
            <w:vAlign w:val="bottom"/>
          </w:tcPr>
          <w:p>
            <w:pPr>
              <w:jc w:val="right"/>
              <w:spacing w:after="0"/>
              <w:rPr>
                <w:sz w:val="20"/>
                <w:szCs w:val="20"/>
                <w:color w:val="auto"/>
              </w:rPr>
            </w:pPr>
            <w:r>
              <w:rPr>
                <w:rFonts w:ascii="Calibri" w:cs="Calibri" w:eastAsia="Calibri" w:hAnsi="Calibri"/>
                <w:sz w:val="14"/>
                <w:szCs w:val="14"/>
                <w:color w:val="auto"/>
              </w:rPr>
              <w:t>16,273</w:t>
            </w:r>
          </w:p>
        </w:tc>
        <w:tc>
          <w:tcPr>
            <w:tcW w:w="360" w:type="dxa"/>
            <w:vAlign w:val="bottom"/>
            <w:gridSpan w:val="2"/>
          </w:tcPr>
          <w:p>
            <w:pPr>
              <w:jc w:val="right"/>
              <w:spacing w:after="0"/>
              <w:rPr>
                <w:sz w:val="20"/>
                <w:szCs w:val="20"/>
                <w:color w:val="auto"/>
              </w:rPr>
            </w:pPr>
            <w:r>
              <w:rPr>
                <w:rFonts w:ascii="Calibri" w:cs="Calibri" w:eastAsia="Calibri" w:hAnsi="Calibri"/>
                <w:sz w:val="14"/>
                <w:szCs w:val="14"/>
                <w:color w:val="auto"/>
              </w:rPr>
              <w:t>$</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26,161</w:t>
            </w:r>
          </w:p>
        </w:tc>
        <w:tc>
          <w:tcPr>
            <w:tcW w:w="2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alibri" w:cs="Calibri" w:eastAsia="Calibri" w:hAnsi="Calibri"/>
                <w:sz w:val="14"/>
                <w:szCs w:val="14"/>
                <w:color w:val="auto"/>
              </w:rPr>
              <w:t>161 %</w:t>
            </w:r>
          </w:p>
        </w:tc>
        <w:tc>
          <w:tcPr>
            <w:tcW w:w="60" w:type="dxa"/>
            <w:vAlign w:val="bottom"/>
          </w:tcPr>
          <w:p>
            <w:pPr>
              <w:spacing w:after="0"/>
              <w:rPr>
                <w:sz w:val="14"/>
                <w:szCs w:val="14"/>
                <w:color w:val="auto"/>
              </w:rPr>
            </w:pPr>
          </w:p>
        </w:tc>
      </w:tr>
      <w:tr>
        <w:trPr>
          <w:trHeight w:val="170"/>
        </w:trPr>
        <w:tc>
          <w:tcPr>
            <w:tcW w:w="2080" w:type="dxa"/>
            <w:vAlign w:val="bottom"/>
          </w:tcPr>
          <w:p>
            <w:pPr>
              <w:ind w:left="20"/>
              <w:spacing w:after="0"/>
              <w:rPr>
                <w:sz w:val="20"/>
                <w:szCs w:val="20"/>
                <w:color w:val="auto"/>
              </w:rPr>
            </w:pPr>
            <w:r>
              <w:rPr>
                <w:rFonts w:ascii="Calibri" w:cs="Calibri" w:eastAsia="Calibri" w:hAnsi="Calibri"/>
                <w:sz w:val="14"/>
                <w:szCs w:val="14"/>
                <w:color w:val="auto"/>
              </w:rPr>
              <w:t>Non-income tax expenses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2,443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11,083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Calibri" w:cs="Calibri" w:eastAsia="Calibri" w:hAnsi="Calibri"/>
                <w:sz w:val="14"/>
                <w:szCs w:val="14"/>
                <w:color w:val="auto"/>
              </w:rPr>
              <w:t>(8,640 )</w:t>
            </w:r>
          </w:p>
        </w:tc>
        <w:tc>
          <w:tcPr>
            <w:tcW w:w="1320" w:type="dxa"/>
            <w:vAlign w:val="bottom"/>
            <w:gridSpan w:val="2"/>
          </w:tcPr>
          <w:p>
            <w:pPr>
              <w:jc w:val="right"/>
              <w:spacing w:after="0"/>
              <w:rPr>
                <w:sz w:val="20"/>
                <w:szCs w:val="20"/>
                <w:color w:val="auto"/>
              </w:rPr>
            </w:pPr>
            <w:r>
              <w:rPr>
                <w:rFonts w:ascii="Calibri" w:cs="Calibri" w:eastAsia="Calibri" w:hAnsi="Calibri"/>
                <w:sz w:val="14"/>
                <w:szCs w:val="14"/>
                <w:color w:val="auto"/>
              </w:rPr>
              <w:t>(78 )%</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3,682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13,445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Calibri" w:cs="Calibri" w:eastAsia="Calibri" w:hAnsi="Calibri"/>
                <w:sz w:val="14"/>
                <w:szCs w:val="14"/>
                <w:color w:val="auto"/>
              </w:rPr>
              <w:t>(9,763 )</w:t>
            </w:r>
          </w:p>
        </w:tc>
        <w:tc>
          <w:tcPr>
            <w:tcW w:w="1280" w:type="dxa"/>
            <w:vAlign w:val="bottom"/>
            <w:gridSpan w:val="3"/>
          </w:tcPr>
          <w:p>
            <w:pPr>
              <w:jc w:val="right"/>
              <w:spacing w:after="0"/>
              <w:rPr>
                <w:sz w:val="20"/>
                <w:szCs w:val="20"/>
                <w:color w:val="auto"/>
              </w:rPr>
            </w:pPr>
            <w:r>
              <w:rPr>
                <w:rFonts w:ascii="Calibri" w:cs="Calibri" w:eastAsia="Calibri" w:hAnsi="Calibri"/>
                <w:sz w:val="14"/>
                <w:szCs w:val="14"/>
                <w:color w:val="auto"/>
              </w:rPr>
              <w:t>(73 )%</w:t>
            </w:r>
          </w:p>
        </w:tc>
      </w:tr>
      <w:tr>
        <w:trPr>
          <w:trHeight w:val="180"/>
        </w:trPr>
        <w:tc>
          <w:tcPr>
            <w:tcW w:w="2080" w:type="dxa"/>
            <w:vAlign w:val="bottom"/>
          </w:tcPr>
          <w:p>
            <w:pPr>
              <w:ind w:left="20"/>
              <w:spacing w:after="0"/>
              <w:rPr>
                <w:sz w:val="20"/>
                <w:szCs w:val="20"/>
                <w:color w:val="auto"/>
              </w:rPr>
            </w:pPr>
            <w:r>
              <w:rPr>
                <w:rFonts w:ascii="Calibri" w:cs="Calibri" w:eastAsia="Calibri" w:hAnsi="Calibri"/>
                <w:sz w:val="14"/>
                <w:szCs w:val="14"/>
                <w:color w:val="auto"/>
              </w:rPr>
              <w:t>Other</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alibri" w:cs="Calibri" w:eastAsia="Calibri" w:hAnsi="Calibri"/>
                <w:sz w:val="14"/>
                <w:szCs w:val="14"/>
                <w:color w:val="auto"/>
              </w:rPr>
              <w:t>11,068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8,421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alibri" w:cs="Calibri" w:eastAsia="Calibri" w:hAnsi="Calibri"/>
                <w:sz w:val="14"/>
                <w:szCs w:val="14"/>
                <w:color w:val="auto"/>
              </w:rPr>
              <w:t>2,647</w:t>
            </w:r>
          </w:p>
        </w:tc>
        <w:tc>
          <w:tcPr>
            <w:tcW w:w="220" w:type="dxa"/>
            <w:vAlign w:val="bottom"/>
          </w:tcPr>
          <w:p>
            <w:pPr>
              <w:spacing w:after="0"/>
              <w:rPr>
                <w:sz w:val="15"/>
                <w:szCs w:val="15"/>
                <w:color w:val="auto"/>
              </w:rPr>
            </w:pPr>
          </w:p>
        </w:tc>
        <w:tc>
          <w:tcPr>
            <w:tcW w:w="1320" w:type="dxa"/>
            <w:vAlign w:val="bottom"/>
            <w:gridSpan w:val="2"/>
          </w:tcPr>
          <w:p>
            <w:pPr>
              <w:jc w:val="right"/>
              <w:ind w:right="8"/>
              <w:spacing w:after="0"/>
              <w:rPr>
                <w:sz w:val="20"/>
                <w:szCs w:val="20"/>
                <w:color w:val="auto"/>
              </w:rPr>
            </w:pPr>
            <w:r>
              <w:rPr>
                <w:rFonts w:ascii="Calibri" w:cs="Calibri" w:eastAsia="Calibri" w:hAnsi="Calibri"/>
                <w:sz w:val="14"/>
                <w:szCs w:val="14"/>
                <w:color w:val="auto"/>
              </w:rPr>
              <w:t>31 %</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19,366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alibri" w:cs="Calibri" w:eastAsia="Calibri" w:hAnsi="Calibri"/>
                <w:sz w:val="14"/>
                <w:szCs w:val="14"/>
                <w:color w:val="auto"/>
              </w:rPr>
              <w:t>15,259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alibri" w:cs="Calibri" w:eastAsia="Calibri" w:hAnsi="Calibri"/>
                <w:sz w:val="14"/>
                <w:szCs w:val="14"/>
                <w:color w:val="auto"/>
              </w:rPr>
              <w:t>4,107</w:t>
            </w:r>
          </w:p>
        </w:tc>
        <w:tc>
          <w:tcPr>
            <w:tcW w:w="220" w:type="dxa"/>
            <w:vAlign w:val="bottom"/>
          </w:tcPr>
          <w:p>
            <w:pPr>
              <w:spacing w:after="0"/>
              <w:rPr>
                <w:sz w:val="15"/>
                <w:szCs w:val="15"/>
                <w:color w:val="auto"/>
              </w:rPr>
            </w:pPr>
          </w:p>
        </w:tc>
        <w:tc>
          <w:tcPr>
            <w:tcW w:w="1280" w:type="dxa"/>
            <w:vAlign w:val="bottom"/>
            <w:gridSpan w:val="3"/>
          </w:tcPr>
          <w:p>
            <w:pPr>
              <w:jc w:val="right"/>
              <w:ind w:right="60"/>
              <w:spacing w:after="0"/>
              <w:rPr>
                <w:sz w:val="20"/>
                <w:szCs w:val="20"/>
                <w:color w:val="auto"/>
              </w:rPr>
            </w:pPr>
            <w:r>
              <w:rPr>
                <w:rFonts w:ascii="Calibri" w:cs="Calibri" w:eastAsia="Calibri" w:hAnsi="Calibri"/>
                <w:sz w:val="14"/>
                <w:szCs w:val="14"/>
                <w:color w:val="auto"/>
              </w:rPr>
              <w:t>27 %</w:t>
            </w:r>
          </w:p>
        </w:tc>
      </w:tr>
      <w:tr>
        <w:trPr>
          <w:trHeight w:val="215"/>
        </w:trPr>
        <w:tc>
          <w:tcPr>
            <w:tcW w:w="20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4"/>
                <w:szCs w:val="14"/>
                <w:b w:val="1"/>
                <w:bCs w:val="1"/>
                <w:color w:val="auto"/>
              </w:rPr>
              <w:t>Total general and administratve</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36,207</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Calibri" w:cs="Calibri" w:eastAsia="Calibri" w:hAnsi="Calibri"/>
                <w:sz w:val="14"/>
                <w:szCs w:val="14"/>
                <w:b w:val="1"/>
                <w:bCs w:val="1"/>
                <w:color w:val="auto"/>
                <w:w w:val="83"/>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29,106</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7,101</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24</w:t>
            </w:r>
          </w:p>
        </w:tc>
        <w:tc>
          <w:tcPr>
            <w:tcW w:w="200" w:type="dxa"/>
            <w:vAlign w:val="bottom"/>
            <w:tcBorders>
              <w:bottom w:val="single" w:sz="8" w:color="CFF0FC"/>
            </w:tcBorders>
            <w:shd w:val="clear" w:color="auto" w:fill="CFF0FC"/>
          </w:tcPr>
          <w:p>
            <w:pPr>
              <w:jc w:val="right"/>
              <w:ind w:right="8"/>
              <w:spacing w:after="0"/>
              <w:rPr>
                <w:sz w:val="20"/>
                <w:szCs w:val="20"/>
                <w:color w:val="auto"/>
              </w:rPr>
            </w:pPr>
            <w:r>
              <w:rPr>
                <w:rFonts w:ascii="Calibri" w:cs="Calibri" w:eastAsia="Calibri" w:hAnsi="Calibri"/>
                <w:sz w:val="14"/>
                <w:szCs w:val="14"/>
                <w:b w:val="1"/>
                <w:bCs w:val="1"/>
                <w:color w:val="auto"/>
                <w:w w:val="97"/>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65,482</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Calibri" w:cs="Calibri" w:eastAsia="Calibri" w:hAnsi="Calibri"/>
                <w:sz w:val="14"/>
                <w:szCs w:val="14"/>
                <w:b w:val="1"/>
                <w:bCs w:val="1"/>
                <w:color w:val="auto"/>
                <w:w w:val="83"/>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44,977</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20,505</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rPr>
              <w:t>46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b w:val="1"/>
                <w:bCs w:val="1"/>
                <w:color w:val="auto"/>
                <w:w w:val="77"/>
              </w:rPr>
              <w:t>%</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117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-25400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-7620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-25400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-25400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-7620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-25400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-25400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jc w:val="both"/>
        <w:ind w:right="60"/>
        <w:spacing w:after="0" w:line="225" w:lineRule="auto"/>
        <w:rPr>
          <w:sz w:val="20"/>
          <w:szCs w:val="20"/>
          <w:color w:val="auto"/>
        </w:rPr>
      </w:pPr>
      <w:r>
        <w:rPr>
          <w:rFonts w:ascii="Calibri" w:cs="Calibri" w:eastAsia="Calibri" w:hAnsi="Calibri"/>
          <w:sz w:val="18"/>
          <w:szCs w:val="18"/>
          <w:color w:val="auto"/>
        </w:rPr>
        <w:t>Total general and administratve expenses increased $7.1 million, or 24%, for the three months ended June 30, 2022 compared to the three months ended June 30, 2021 and increased $20.5 million, or 46%, for the six months ended June 30, 2022 compared to the six months ended June 30, 2021. The increase was primarily due to a higher employee headcount and an increase in costs for our outsourced customer service provider.</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Depreciaton and Amortzaton</w:t>
      </w:r>
    </w:p>
    <w:p>
      <w:pPr>
        <w:spacing w:after="0" w:line="136" w:lineRule="exact"/>
        <w:rPr>
          <w:sz w:val="20"/>
          <w:szCs w:val="20"/>
          <w:color w:val="auto"/>
        </w:rPr>
      </w:pPr>
    </w:p>
    <w:p>
      <w:pPr>
        <w:jc w:val="both"/>
        <w:ind w:right="60"/>
        <w:spacing w:after="0" w:line="246" w:lineRule="auto"/>
        <w:rPr>
          <w:sz w:val="20"/>
          <w:szCs w:val="20"/>
          <w:color w:val="auto"/>
        </w:rPr>
      </w:pPr>
      <w:r>
        <w:rPr>
          <w:rFonts w:ascii="Calibri" w:cs="Calibri" w:eastAsia="Calibri" w:hAnsi="Calibri"/>
          <w:sz w:val="17"/>
          <w:szCs w:val="17"/>
          <w:color w:val="auto"/>
        </w:rPr>
        <w:t>Depreciaton and amortzaton expenses increased $1.2 million, or 245%, during the three months ended June 30, 2022 compared to the three months ended June 30, 2021 and increased $2.3 million, or 291%, during the six months ended June 30, 2022 compared to the six months ended June 30, 2021. The increase is primarily related to an increase in development actvites related to our platorm and the intangibles acquired as part of the Betcha acquisiton.</w:t>
      </w:r>
    </w:p>
    <w:p>
      <w:pPr>
        <w:spacing w:after="0" w:line="12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(Income) Expense</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Interest expense – net</w:t>
      </w:r>
    </w:p>
    <w:p>
      <w:pPr>
        <w:spacing w:after="0" w:line="136" w:lineRule="exact"/>
        <w:rPr>
          <w:sz w:val="20"/>
          <w:szCs w:val="20"/>
          <w:color w:val="auto"/>
        </w:rPr>
      </w:pPr>
    </w:p>
    <w:p>
      <w:pPr>
        <w:jc w:val="both"/>
        <w:ind w:right="60"/>
        <w:spacing w:after="0" w:line="226" w:lineRule="auto"/>
        <w:rPr>
          <w:sz w:val="20"/>
          <w:szCs w:val="20"/>
          <w:color w:val="auto"/>
        </w:rPr>
      </w:pPr>
      <w:r>
        <w:rPr>
          <w:rFonts w:ascii="Calibri" w:cs="Calibri" w:eastAsia="Calibri" w:hAnsi="Calibri"/>
          <w:sz w:val="18"/>
          <w:szCs w:val="18"/>
          <w:color w:val="auto"/>
        </w:rPr>
        <w:t>Interest expense decreased $14.1 million, or 84%, for the three months ended June 30, 2022 compared to the three months ended June 30, 2021 and decreased $26.5 million, or 80%, for the six months ended June 30, 2022 compared to the six months ended June 30, 2021. We paid of the May 2020 First Lien Loan and made a partal payment of the outstanding principal on the June 2017 First Lien Loan in the fourth quarter of 2021. In additon, we further reduced our outstanding debt balance and efectve interest rate on February 3, 2022 when we refnanced the June 2017 First Lien Loan with the February 2022 First Lien Loan.</w:t>
      </w:r>
    </w:p>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Loss on extnguishment of debt</w:t>
      </w:r>
    </w:p>
    <w:p>
      <w:pPr>
        <w:spacing w:after="0" w:line="96"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color w:val="auto"/>
        </w:rPr>
        <w:t>Loss on extnguishment of debt was $4.3 million during the six months ended June 30, 2022 due to the refnancing of the June 2017 First Lien Loan with the February 2022 First Lien Loan in the frst quarter of 2022 and therefore had no impact on the three months ended June 30, 2022.</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 income</w:t>
      </w:r>
    </w:p>
    <w:p>
      <w:pPr>
        <w:spacing w:after="0" w:line="91"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68" w:right="279" w:bottom="1440" w:gutter="0" w:footer="0" w:header="0"/>
        </w:sectPr>
      </w:pPr>
    </w:p>
    <w:bookmarkStart w:id="34" w:name="page35"/>
    <w:bookmarkEnd w:id="34"/>
    <w:p>
      <w:pPr>
        <w:jc w:val="both"/>
        <w:spacing w:after="0" w:line="227" w:lineRule="auto"/>
        <w:rPr>
          <w:sz w:val="20"/>
          <w:szCs w:val="20"/>
          <w:color w:val="auto"/>
        </w:rPr>
      </w:pPr>
      <w:r>
        <w:rPr>
          <w:rFonts w:ascii="Calibri" w:cs="Calibri" w:eastAsia="Calibri" w:hAnsi="Calibri"/>
          <w:sz w:val="18"/>
          <w:szCs w:val="18"/>
          <w:color w:val="auto"/>
        </w:rPr>
        <w:t>Other income was $8.8 million and $6.6 million during the three and six months ended June 30, 2022 primarily due to the fair value remeasurement of the Hoya Intermediate Warrants.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We have historically fnanced our operatons primarily through cash generated from our operatng actvites. Our primary short-term requirements for liquidity and capital are to fund general working capital, capital expenditures, and debt service requirements. Our primary long-term liquidity needs are related to debt repayment and potental acquisitons.</w:t>
      </w:r>
    </w:p>
    <w:p>
      <w:pPr>
        <w:spacing w:after="0" w:line="138"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Our primary sources of funds are cash generated from operatons and proceeds from borrowings, including our term loans. In response to the COVID-19 pandemic, we borrowed $50.0 million under our revolving credit facility in March 2020 and subsequently entered into the May 2020 First Lien Loan (defned below). We received $251.5 million in net cash proceeds from the May 2020 First Lien Loan, which we used to repay the $50.0 million in outstanding borrowings under the revolving credit facility in May 2020 and to fund our operatons. As noted in the “Liquidity and Capital Resources—Loan Agreements” secton below, we repaid the May 2020 First Lien Loan in connecton with, and using the proceeds from, the Merger Transacton and the PIPE Subscripton. Our existng cash and cash equivalents are sufcient to fund our liquidity needs for the next 12 months.</w:t>
      </w:r>
    </w:p>
    <w:p>
      <w:pPr>
        <w:spacing w:after="0" w:line="141"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As of June 30, 2022, we had $287.8 million of cash and cash equivalents. Cash and cash equivalents consist of interest-bearing deposit accounts, money market accounts managed by fnancial insttutons, and highly liquid investments with maturites of three months or less. For the six months ended June 30, 2022, we generated positve cash fows from our operatng actvites.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Loan Agreements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In response to the COVID-19 pandemic, we borrowed $50.0 million under the Revolving Facility in March 2020. We then entered into the May 2020 First Lien Loan, which resulted in $251.5 million in net cash proceeds. We used the net cash proceeds from the May 2020 First Lien Loan to immediately repay the $50.0 million in outstanding borrowings under the Revolving Facility and to fund our operatons. The Revolving Facility was terminated in full simultaneously with the repayment in May 2020.</w:t>
      </w:r>
    </w:p>
    <w:p>
      <w:pPr>
        <w:spacing w:after="0" w:line="137"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The May 2020 First Lien Loan, which is pari passu with the June 2017 First Lien Loan, carries a variable interest rate of LIBOR plus an applicable margin of 9.50%, or a base rate plus an applicable margin of 8.50%. The May 2020 First Lien Loan matures in May 2026, subject to an earlier springing maturity date of June 30, 2024 if the June 2017 First Lien Loan, or a refnancing thereof with scheduled payments of principal prior to June 30, 2024, remains outstanding as of that date. The efectve interest rate on the May 2020 First Lien Loan, which fuctuates based on certain paid-in-kind electons, was 11.50% per annum as of December 31, 2020. We made no payments during 2020 on the May 2020 First Lien Term Loan. Interest incurred under the May 2020 First Lien Loan was capitalized into the principal quarterly in August and November 2020, resultng in an outstanding principal of $275.7 million as of December 31, 2020. Additonal interest was capitalized into the principal in the frst nine months of 2021, resultng in an outstanding principal of $304.1 million as of September 30, 2021. On October 18, 2021, we repaid this loan in full in connecton with, and using the proceeds from, the Merger Transacton and the PIPE Subscripton and incurred a $28.0 million prepayment penalty.</w:t>
      </w:r>
    </w:p>
    <w:p>
      <w:pPr>
        <w:spacing w:after="0" w:line="144"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We had an outstanding loan balance of $465.7 million under the June 2017 First Lien Loan as of December 31, 2021. In the frst quarter of 2022, we repaid $190.7 million of the outstanding June 2017 First Lien Loan. On February 3, 2022, we entered into an amendment which refnances the remaining June 2017 First Lien Loan with a new $275.0 million February 2022 First Lien Loan with a maturity date of February 3, 2029, adds a new revolving credit facility in an aggregate principal amount of $100.0 million with a maturity date of February 3, 2027, replaces the LIBOR based foatng interest rate with a term SOFR based foatng interest rate and revises the springing fnancial covenant to require compliance with a frst lien net leverage rato when revolver borrowings exceed certain levels. The February 2022 First Lien Loan requires quarterly amortzaton payments of $0.7 million. The Revolving Facility does not require periodic payments. All obligatons under the February 2022 First Lien Loan are secured, subject to permited liens and other exceptons, by frst-priority perfected security interests in substantally all of our assets. The February 2022</w:t>
      </w:r>
    </w:p>
    <w:p>
      <w:pPr>
        <w:spacing w:after="0" w:line="10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color w:val="auto"/>
        </w:rPr>
        <w:t>First Lien Loan will carry an interest rate of SOFR plus 3.25%. The SOFR rate for the February 2022 First Lien Loan is subject to a 0.5% foor.</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As of June 30, 2022, we are only party to one credit facility, the February 2022 First Lien Loan. At June 30, 2022, we had no outstanding borrowings under our Revolving Facility.</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Share Repurchase Program</w:t>
      </w:r>
    </w:p>
    <w:p>
      <w:pPr>
        <w:spacing w:after="0" w:line="136"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On May 25, 2022, our board of directors authorized a share repurchase program of our Class A Common Stock of up to $40.0 million ("Program"). The Program will be efectve untl March 31, 2023. We may repurchase shares from tme to tme in open market transactons, through privately negotated transactons or otherwise in accordance with applicable federal securites laws. The amount and tming of repurchases will depend upon market conditons and other factors including price. The Program does not obligate us to acquire any partcular amount of stock, and it may be terminated, modifed, or suspended at any tme at our discreton. The Program may commence upon the completon or terminaton of our ofering to the holders of our outstanding public warrants to receive shares of Class A Common Stock in exchange for each outstanding public warrant tendered by the holder ( the "Ofer"). On July 5, 2022, we completed the Ofer. At closing, we issued 2,727,785 shares of Class A Common Stock in exchange for 11,365,913 public warrants tendered in the Ofer.</w:t>
      </w:r>
    </w:p>
    <w:p>
      <w:pPr>
        <w:spacing w:after="0" w:line="13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Tax Receivable Agreement</w:t>
      </w:r>
    </w:p>
    <w:p>
      <w:pPr>
        <w:spacing w:after="0" w:line="136"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In connecton with the Merger Transacton, we entered into a Tax Receivable Agreement with the existng Hoya Intermediate shareholders that will provide for payment to Hoya Intermediate shareholders of 85% of the amount of the tax savings, if any, that we realize (or, under certain circumstances, is deemed to realize) as a result of, or atributable to, (i) increases in the tax basis of assets owned directly or indirectly by Hoya Intermediate or its subsidiaries from, among other things, any redemptons or exchanges of Hoya Intermediate common units (ii) existng tax basis (including depreciaton and amortzaton deductons arising from such tax basis) in long-lived assets owned directly or indirectly by Hoya Intermediate and its subsidiaries, and (iii) certain other tax benefts (including deductons in respect of imputed interest) related to Hoya Intermediate making payments under the Tax Receivable Agreement.</w:t>
      </w:r>
    </w:p>
    <w:p>
      <w:pPr>
        <w:spacing w:after="0" w:line="13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Cash Flows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our cash fows for the periods indicated (in thousands):</w:t>
      </w:r>
    </w:p>
    <w:p>
      <w:pPr>
        <w:spacing w:after="0" w:line="91" w:lineRule="exact"/>
        <w:rPr>
          <w:sz w:val="20"/>
          <w:szCs w:val="20"/>
          <w:color w:val="auto"/>
        </w:rPr>
      </w:pPr>
    </w:p>
    <w:p>
      <w:pPr>
        <w:jc w:val="center"/>
        <w:ind w:left="7560"/>
        <w:spacing w:after="0"/>
        <w:rPr>
          <w:sz w:val="20"/>
          <w:szCs w:val="20"/>
          <w:color w:val="auto"/>
        </w:rPr>
      </w:pPr>
      <w:r>
        <w:rPr>
          <w:rFonts w:ascii="Calibri" w:cs="Calibri" w:eastAsia="Calibri" w:hAnsi="Calibri"/>
          <w:sz w:val="18"/>
          <w:szCs w:val="18"/>
          <w:b w:val="1"/>
          <w:bCs w:val="1"/>
          <w:color w:val="auto"/>
        </w:rPr>
        <w:t>Six Months Ended</w:t>
      </w:r>
    </w:p>
    <w:p>
      <w:pPr>
        <w:jc w:val="center"/>
        <w:ind w:left="7560"/>
        <w:spacing w:after="0" w:line="206" w:lineRule="auto"/>
        <w:rPr>
          <w:sz w:val="20"/>
          <w:szCs w:val="20"/>
          <w:color w:val="auto"/>
        </w:rPr>
      </w:pPr>
      <w:r>
        <w:rPr>
          <w:rFonts w:ascii="Calibri" w:cs="Calibri" w:eastAsia="Calibri" w:hAnsi="Calibri"/>
          <w:sz w:val="18"/>
          <w:szCs w:val="18"/>
          <w:b w:val="1"/>
          <w:bCs w:val="1"/>
          <w:color w:val="auto"/>
        </w:rPr>
        <w:t>June 30,</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Calibri" w:cs="Calibri" w:eastAsia="Calibri" w:hAnsi="Calibri"/>
                <w:sz w:val="18"/>
                <w:szCs w:val="18"/>
                <w:b w:val="1"/>
                <w:bCs w:val="1"/>
                <w:color w:val="auto"/>
              </w:rPr>
              <w:t>2022</w:t>
            </w:r>
          </w:p>
        </w:tc>
        <w:tc>
          <w:tcPr>
            <w:tcW w:w="3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Calibri" w:cs="Calibri" w:eastAsia="Calibri" w:hAnsi="Calibri"/>
                <w:sz w:val="18"/>
                <w:szCs w:val="18"/>
                <w:b w:val="1"/>
                <w:bCs w:val="1"/>
                <w:color w:val="auto"/>
              </w:rPr>
              <w:t>2021</w:t>
            </w:r>
          </w:p>
        </w:tc>
        <w:tc>
          <w:tcPr>
            <w:tcW w:w="100" w:type="dxa"/>
            <w:vAlign w:val="bottom"/>
          </w:tcPr>
          <w:p>
            <w:pPr>
              <w:spacing w:after="0"/>
              <w:rPr>
                <w:sz w:val="19"/>
                <w:szCs w:val="19"/>
                <w:color w:val="auto"/>
              </w:rPr>
            </w:pPr>
          </w:p>
        </w:tc>
      </w:tr>
      <w:tr>
        <w:trPr>
          <w:trHeight w:val="211"/>
        </w:trPr>
        <w:tc>
          <w:tcPr>
            <w:tcW w:w="768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Net cash provided by operatng actvites</w:t>
            </w:r>
          </w:p>
        </w:tc>
        <w:tc>
          <w:tcPr>
            <w:tcW w:w="360" w:type="dxa"/>
            <w:vAlign w:val="bottom"/>
            <w:shd w:val="clear" w:color="auto" w:fill="CFF0FC"/>
          </w:tcPr>
          <w:p>
            <w:pPr>
              <w:jc w:val="right"/>
              <w:ind w:right="150"/>
              <w:spacing w:after="0" w:line="210"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1,406</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line="210" w:lineRule="exact"/>
              <w:rPr>
                <w:sz w:val="20"/>
                <w:szCs w:val="20"/>
                <w:color w:val="auto"/>
              </w:rPr>
            </w:pPr>
            <w:r>
              <w:rPr>
                <w:rFonts w:ascii="Calibri" w:cs="Calibri" w:eastAsia="Calibri" w:hAnsi="Calibri"/>
                <w:sz w:val="18"/>
                <w:szCs w:val="18"/>
                <w:color w:val="auto"/>
              </w:rPr>
              <w:t>$</w:t>
            </w:r>
          </w:p>
        </w:tc>
        <w:tc>
          <w:tcPr>
            <w:tcW w:w="12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182,996</w:t>
            </w:r>
          </w:p>
        </w:tc>
        <w:tc>
          <w:tcPr>
            <w:tcW w:w="100" w:type="dxa"/>
            <w:vAlign w:val="bottom"/>
            <w:shd w:val="clear" w:color="auto" w:fill="CFF0FC"/>
          </w:tcPr>
          <w:p>
            <w:pPr>
              <w:spacing w:after="0"/>
              <w:rPr>
                <w:sz w:val="18"/>
                <w:szCs w:val="18"/>
                <w:color w:val="auto"/>
              </w:rPr>
            </w:pPr>
          </w:p>
        </w:tc>
      </w:tr>
      <w:tr>
        <w:trPr>
          <w:trHeight w:val="215"/>
        </w:trPr>
        <w:tc>
          <w:tcPr>
            <w:tcW w:w="7680" w:type="dxa"/>
            <w:vAlign w:val="bottom"/>
          </w:tcPr>
          <w:p>
            <w:pPr>
              <w:ind w:left="20"/>
              <w:spacing w:after="0" w:line="215" w:lineRule="exact"/>
              <w:rPr>
                <w:sz w:val="20"/>
                <w:szCs w:val="20"/>
                <w:color w:val="auto"/>
              </w:rPr>
            </w:pPr>
            <w:r>
              <w:rPr>
                <w:rFonts w:ascii="Calibri" w:cs="Calibri" w:eastAsia="Calibri" w:hAnsi="Calibri"/>
                <w:sz w:val="18"/>
                <w:szCs w:val="18"/>
                <w:color w:val="auto"/>
              </w:rPr>
              <w:t>Net cash used in investng actvites</w:t>
            </w:r>
          </w:p>
        </w:tc>
        <w:tc>
          <w:tcPr>
            <w:tcW w:w="360" w:type="dxa"/>
            <w:vAlign w:val="bottom"/>
          </w:tcPr>
          <w:p>
            <w:pPr>
              <w:spacing w:after="0"/>
              <w:rPr>
                <w:sz w:val="18"/>
                <w:szCs w:val="18"/>
                <w:color w:val="auto"/>
              </w:rPr>
            </w:pPr>
          </w:p>
        </w:tc>
        <w:tc>
          <w:tcPr>
            <w:tcW w:w="152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(6,931 )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(4,212 )</w:t>
            </w:r>
          </w:p>
        </w:tc>
      </w:tr>
      <w:tr>
        <w:trPr>
          <w:trHeight w:val="216"/>
        </w:trPr>
        <w:tc>
          <w:tcPr>
            <w:tcW w:w="76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Net cash used in fnancing actvites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line="216" w:lineRule="exact"/>
              <w:rPr>
                <w:sz w:val="20"/>
                <w:szCs w:val="20"/>
                <w:color w:val="auto"/>
              </w:rPr>
            </w:pPr>
            <w:r>
              <w:rPr>
                <w:rFonts w:ascii="Calibri" w:cs="Calibri" w:eastAsia="Calibri" w:hAnsi="Calibri"/>
                <w:sz w:val="18"/>
                <w:szCs w:val="18"/>
                <w:color w:val="auto"/>
              </w:rPr>
              <w:t>(196,255 )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line="216" w:lineRule="exact"/>
              <w:rPr>
                <w:sz w:val="20"/>
                <w:szCs w:val="20"/>
                <w:color w:val="auto"/>
              </w:rPr>
            </w:pPr>
            <w:r>
              <w:rPr>
                <w:rFonts w:ascii="Calibri" w:cs="Calibri" w:eastAsia="Calibri" w:hAnsi="Calibri"/>
                <w:sz w:val="18"/>
                <w:szCs w:val="18"/>
                <w:color w:val="auto"/>
              </w:rPr>
              <w:t>(3,206 )</w:t>
            </w:r>
          </w:p>
        </w:tc>
      </w:tr>
      <w:tr>
        <w:trPr>
          <w:trHeight w:val="20"/>
        </w:trPr>
        <w:tc>
          <w:tcPr>
            <w:tcW w:w="76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68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Net increase (decrease) in cash and cash equivalents</w:t>
            </w:r>
          </w:p>
        </w:tc>
        <w:tc>
          <w:tcPr>
            <w:tcW w:w="360" w:type="dxa"/>
            <w:vAlign w:val="bottom"/>
          </w:tcPr>
          <w:p>
            <w:pPr>
              <w:jc w:val="right"/>
              <w:ind w:right="150"/>
              <w:spacing w:after="0" w:line="209" w:lineRule="exact"/>
              <w:rPr>
                <w:sz w:val="20"/>
                <w:szCs w:val="20"/>
                <w:color w:val="auto"/>
              </w:rPr>
            </w:pPr>
            <w:r>
              <w:rPr>
                <w:rFonts w:ascii="Calibri" w:cs="Calibri" w:eastAsia="Calibri" w:hAnsi="Calibri"/>
                <w:sz w:val="18"/>
                <w:szCs w:val="18"/>
                <w:b w:val="1"/>
                <w:bCs w:val="1"/>
                <w:color w:val="auto"/>
              </w:rPr>
              <w:t>$</w:t>
            </w:r>
          </w:p>
        </w:tc>
        <w:tc>
          <w:tcPr>
            <w:tcW w:w="1520" w:type="dxa"/>
            <w:vAlign w:val="bottom"/>
            <w:gridSpan w:val="2"/>
          </w:tcPr>
          <w:p>
            <w:pPr>
              <w:jc w:val="right"/>
              <w:ind w:right="220"/>
              <w:spacing w:after="0" w:line="209" w:lineRule="exact"/>
              <w:rPr>
                <w:sz w:val="20"/>
                <w:szCs w:val="20"/>
                <w:color w:val="auto"/>
              </w:rPr>
            </w:pPr>
            <w:r>
              <w:rPr>
                <w:rFonts w:ascii="Calibri" w:cs="Calibri" w:eastAsia="Calibri" w:hAnsi="Calibri"/>
                <w:sz w:val="18"/>
                <w:szCs w:val="18"/>
                <w:b w:val="1"/>
                <w:bCs w:val="1"/>
                <w:color w:val="auto"/>
              </w:rPr>
              <w:t>(201,780 )</w:t>
            </w:r>
          </w:p>
        </w:tc>
        <w:tc>
          <w:tcPr>
            <w:tcW w:w="360" w:type="dxa"/>
            <w:vAlign w:val="bottom"/>
          </w:tcPr>
          <w:p>
            <w:pPr>
              <w:jc w:val="right"/>
              <w:ind w:right="150"/>
              <w:spacing w:after="0" w:line="209" w:lineRule="exact"/>
              <w:rPr>
                <w:sz w:val="20"/>
                <w:szCs w:val="20"/>
                <w:color w:val="auto"/>
              </w:rPr>
            </w:pPr>
            <w:r>
              <w:rPr>
                <w:rFonts w:ascii="Calibri" w:cs="Calibri" w:eastAsia="Calibri" w:hAnsi="Calibri"/>
                <w:sz w:val="18"/>
                <w:szCs w:val="18"/>
                <w:b w:val="1"/>
                <w:bCs w:val="1"/>
                <w:color w:val="auto"/>
              </w:rPr>
              <w:t>$</w:t>
            </w:r>
          </w:p>
        </w:tc>
        <w:tc>
          <w:tcPr>
            <w:tcW w:w="1220" w:type="dxa"/>
            <w:vAlign w:val="bottom"/>
          </w:tcPr>
          <w:p>
            <w:pPr>
              <w:jc w:val="right"/>
              <w:spacing w:after="0" w:line="209" w:lineRule="exact"/>
              <w:rPr>
                <w:sz w:val="20"/>
                <w:szCs w:val="20"/>
                <w:color w:val="auto"/>
              </w:rPr>
            </w:pPr>
            <w:r>
              <w:rPr>
                <w:rFonts w:ascii="Calibri" w:cs="Calibri" w:eastAsia="Calibri" w:hAnsi="Calibri"/>
                <w:sz w:val="18"/>
                <w:szCs w:val="18"/>
                <w:b w:val="1"/>
                <w:bCs w:val="1"/>
                <w:color w:val="auto"/>
              </w:rPr>
              <w:t>175,578</w:t>
            </w:r>
          </w:p>
        </w:tc>
        <w:tc>
          <w:tcPr>
            <w:tcW w:w="10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Cash Provided by Operatng Actvites</w:t>
      </w:r>
    </w:p>
    <w:p>
      <w:pPr>
        <w:spacing w:after="0" w:line="136"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Net cash provided by operatng actvites was $1.4 million for the six months ended June 30, 2022 due to $27.2 million in net income, non-cash charges of $11.5 million, and net cash outlows from a $37.3 million change in net operatng assets. The net cash outlows from the change in our net operatng assets were primarily due to the increase in operatons as COVID-19 mitgaton measures contnue to ease.</w:t>
      </w:r>
    </w:p>
    <w:p>
      <w:pPr>
        <w:spacing w:after="0" w:line="138"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Net cash provided by operatng actvites was $183.0 million for the six months ended June 30, 2021 due to $17.6 million in net loss, non-cash charges of $21.9 million, and net cash infows from a $178.7 million change in net operatng assets. The net cash infows from the change in net operatng assets were primarily due to an increase in accounts payable. The increase in accounts payable resulted primarily from an increase in amounts payable to tcket sellers as sales increased in the frst half of 2021.</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Cash Used in Investng Actvites</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6" w:name="page37"/>
    <w:bookmarkEnd w:id="36"/>
    <w:p>
      <w:pPr>
        <w:jc w:val="both"/>
        <w:ind w:right="20"/>
        <w:spacing w:after="0" w:line="227" w:lineRule="auto"/>
        <w:rPr>
          <w:sz w:val="20"/>
          <w:szCs w:val="20"/>
          <w:color w:val="auto"/>
        </w:rPr>
      </w:pPr>
      <w:r>
        <w:rPr>
          <w:rFonts w:ascii="Calibri" w:cs="Calibri" w:eastAsia="Calibri" w:hAnsi="Calibri"/>
          <w:sz w:val="18"/>
          <w:szCs w:val="18"/>
          <w:color w:val="auto"/>
        </w:rPr>
        <w:t>Net cash used in investng actvites for the six months ended June 30, 2022 was $6.9 million and was primarily related to capital spending on development actvites related to our platorm.</w:t>
      </w:r>
    </w:p>
    <w:p>
      <w:pPr>
        <w:spacing w:after="0" w:line="138"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Net cash used in investng actvites for the six months ended June 30, 2021 was $4.2 million and was primarily related to capital spending on development actvites related to our platorm.</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Cash Used in Financing Actvites</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Net cash used in fnancing actvites for the six months ended June 30, 2022 was $196.3 million and was primarily related to the repayment of the June 2017 First Lien Loan in connecton with the refnancing.</w:t>
      </w:r>
    </w:p>
    <w:p>
      <w:pPr>
        <w:spacing w:after="0" w:line="138"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Net cash used in fnancing actvites for the six months ended June 30, 2021 was $3.2 million and was primarily related to payments on our June 2017 First Lien Loan.</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Estmates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Accountng policies and estmates are considered critcal when they require management to make subjectve and complex judgments, estmates and assumptons about maters that have a material impact on the presentaton of our fnancial statements and accompanying notes. For a descripton of our critcal accountng policies and estmates, see our Annual Report on Form 10-K for the fscal year ended December 31, 2021. During the six months ended June 30, 2022, there were no material changes to our critcal accountng policies from those discussed in the 2021 Form 10-K.</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Accountng Pronouncements</w:t>
      </w:r>
    </w:p>
    <w:p>
      <w:pPr>
        <w:spacing w:after="0" w:line="136" w:lineRule="exact"/>
        <w:rPr>
          <w:sz w:val="20"/>
          <w:szCs w:val="20"/>
          <w:color w:val="auto"/>
        </w:rPr>
      </w:pPr>
    </w:p>
    <w:p>
      <w:pPr>
        <w:jc w:val="both"/>
        <w:spacing w:after="0" w:line="242" w:lineRule="auto"/>
        <w:rPr>
          <w:sz w:val="20"/>
          <w:szCs w:val="20"/>
          <w:color w:val="auto"/>
        </w:rPr>
      </w:pPr>
      <w:r>
        <w:rPr>
          <w:rFonts w:ascii="Calibri" w:cs="Calibri" w:eastAsia="Calibri" w:hAnsi="Calibri"/>
          <w:sz w:val="17"/>
          <w:szCs w:val="17"/>
          <w:color w:val="auto"/>
        </w:rPr>
        <w:t>Refer to Note 2, New Accountng Standards, in our notes to the unaudited condensed consolidated fnancial statements included elsewhere in this Quarterly Report on Form 10-Q for a descripton of recently adopted accountng pronouncements and issued accountng pronouncements not yet adopted.</w:t>
      </w:r>
    </w:p>
    <w:p>
      <w:pPr>
        <w:spacing w:after="0" w:line="130"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color w:val="auto"/>
        </w:rPr>
        <w:t>Item 3. Quanttatve and Qualitatve Disclosures about Market Risk</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Market risk is the potental loss from adverse changes in interest rates, foreign exchange rates, and market prices. Our primary market risk is interest rate risk associated with our long-term debt. We manage our exposure to this risk through established policies and procedures. Our objectve is to mitgate potental income statement, cash fow, and market exposures from changes in interest rates.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Rate Risk</w:t>
      </w:r>
    </w:p>
    <w:p>
      <w:pPr>
        <w:spacing w:after="0" w:line="136"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Our market risk is afected by changes in interest rates. We maintain foatng-rate debt that bears interest based on market rates plus an applicable spread. Because our interest rate is ted to market rates, we will be susceptble to fuctuatons in interest rates if we do not hedge the interest rate exposure arising from our foatng-rate borrowings. A hypothetcal 1% increase or decrease in interest rates, assuming rates are above our interest rate foor, would not have a material impact on interest expense based on amounts outstanding under the June 2017 First Lien Loan and February 2022 First Lien Loan during the three and six months ended June 30, 2022.</w:t>
      </w:r>
    </w:p>
    <w:p>
      <w:pPr>
        <w:spacing w:after="0" w:line="135" w:lineRule="exact"/>
        <w:rPr>
          <w:sz w:val="20"/>
          <w:szCs w:val="20"/>
          <w:color w:val="auto"/>
        </w:rPr>
      </w:pPr>
    </w:p>
    <w:p>
      <w:pPr>
        <w:ind w:left="4460"/>
        <w:spacing w:after="0"/>
        <w:rPr>
          <w:sz w:val="20"/>
          <w:szCs w:val="20"/>
          <w:color w:val="auto"/>
        </w:rPr>
      </w:pPr>
      <w:r>
        <w:rPr>
          <w:rFonts w:ascii="Calibri" w:cs="Calibri" w:eastAsia="Calibri" w:hAnsi="Calibri"/>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Limitatons on Efectveness of Disclosure Controls and Procedures</w:t>
      </w:r>
    </w:p>
    <w:p>
      <w:pPr>
        <w:spacing w:after="0" w:line="136" w:lineRule="exact"/>
        <w:rPr>
          <w:sz w:val="20"/>
          <w:szCs w:val="20"/>
          <w:color w:val="auto"/>
        </w:rPr>
      </w:pPr>
    </w:p>
    <w:p>
      <w:pPr>
        <w:jc w:val="both"/>
        <w:spacing w:after="0" w:line="230" w:lineRule="auto"/>
        <w:rPr>
          <w:sz w:val="20"/>
          <w:szCs w:val="20"/>
          <w:color w:val="auto"/>
        </w:rPr>
      </w:pPr>
      <w:r>
        <w:rPr>
          <w:rFonts w:ascii="Calibri" w:cs="Calibri" w:eastAsia="Calibri" w:hAnsi="Calibri"/>
          <w:sz w:val="18"/>
          <w:szCs w:val="18"/>
          <w:color w:val="auto"/>
        </w:rPr>
        <w:t>In designing and evaluatng our disclosure controls and procedures, management recognizes that any controls and procedures, no mater how well designed and operated, can provide only reasonable assurance of achieving the desired control objectves. In additon, the design of disclosure controls and procedures must refect the fact that</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7" w:name="page38"/>
    <w:bookmarkEnd w:id="37"/>
    <w:p>
      <w:pPr>
        <w:jc w:val="both"/>
        <w:spacing w:after="0" w:line="227" w:lineRule="auto"/>
        <w:rPr>
          <w:sz w:val="20"/>
          <w:szCs w:val="20"/>
          <w:color w:val="auto"/>
        </w:rPr>
      </w:pPr>
      <w:r>
        <w:rPr>
          <w:rFonts w:ascii="Calibri" w:cs="Calibri" w:eastAsia="Calibri" w:hAnsi="Calibri"/>
          <w:sz w:val="18"/>
          <w:szCs w:val="18"/>
          <w:color w:val="auto"/>
        </w:rPr>
        <w:t>there are resource constraints and that management is required to apply judgment in evaluatng the benefts of possible controls and procedures relatve to their costs.</w:t>
      </w:r>
    </w:p>
    <w:p>
      <w:pPr>
        <w:spacing w:after="0" w:line="13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Evaluaton of Disclosure Controls and Procedures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Disclosure controls and procedures (as defned in Rules 13a-15(e) and 15d-15(e) under the Exchange Act) are designed to ensure that informaton required to be disclosed in reports fled or submited under the Exchange Act is recorded, processed, summarized, and reported within the tme periods specifed in the SEC rules and forms, and that such informaton is accumulated and communicated to management, including our Chief Executve Ofcer and Chief Financial Ofcer, to allow tmely decisions regarding required disclosures.</w:t>
      </w:r>
    </w:p>
    <w:p>
      <w:pPr>
        <w:spacing w:after="0" w:line="137"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Our management, with the partcipaton of our principal executve ofcer and principal fnancial ofcer, has evaluated the efectveness of our disclosure controls and procedures (as defned in Rules 13a-15(e) and 15d-15(e) under the Exchange Act), as of the end of the period covered by this Quarterly Report on Form 10-Q. Based on such evaluaton, our principal executve ofcer and principal fnancial ofcer have concluded that our disclosure controls and procedures were not efectve at reasonable assurance levels as of June 30, 2022 due to the reasons described below.</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Material Weakness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In connecton with the audit of our consolidated fnancial statements as of December 31, 2021, we identfed a material weakness in our internal control over fnancial reportng related to the implementaton of segregaton of dutes as part of our control actvites, establishment of clearly defned roles within our fnance and accountng functons and the number of personnel in our fnance and accountng functons with an appropriate level of technical accountng and SEC reportng experience, which in the aggregate, consttute a material weakness.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Remediaton Actvites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As part of our plan to remediate this material weakness, we are performing a full review of our internal control procedures. We have implemented, and plan to contnue to implement, new controls and new processes. We have hired and plan to contnue to hire additonal qualifed personnel and establish more robust processes to support our internal control over fnancial reportng, including clearly defned roles and responsibilites and appropriate segregaton of dutes.</w:t>
      </w:r>
    </w:p>
    <w:p>
      <w:pPr>
        <w:spacing w:after="0" w:line="13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Changes in Internal Control over Financial Reportng</w:t>
      </w:r>
    </w:p>
    <w:p>
      <w:pPr>
        <w:spacing w:after="0" w:line="13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There were no changes in our internal control over fnancial reportng (as defned in Rules 13a-15(f) and 15d-15(f) under the Exchange Act) during the quarter ended June 30, 2022 that have materially afected, or are reasonably likely to materially afect, our internal control over fnancial reportng.</w:t>
      </w:r>
    </w:p>
    <w:p>
      <w:pPr>
        <w:spacing w:after="0" w:line="9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Part II - Other Informaton</w:t>
      </w:r>
    </w:p>
    <w:p>
      <w:pPr>
        <w:spacing w:after="0" w:line="199"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 Legal Proceedings</w:t>
      </w:r>
    </w:p>
    <w:p>
      <w:pPr>
        <w:spacing w:after="0" w:line="204"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Refer to Note 12, Commitments and Contngencies, in our notes to the unaudited condensed consolidated fnancial statements in this Quarterly Report on Form 10-Q.</w:t>
      </w:r>
    </w:p>
    <w:p>
      <w:pPr>
        <w:spacing w:after="0" w:line="13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1A. Risk Factors</w:t>
      </w:r>
    </w:p>
    <w:p>
      <w:pPr>
        <w:spacing w:after="0" w:line="136" w:lineRule="exact"/>
        <w:rPr>
          <w:sz w:val="20"/>
          <w:szCs w:val="20"/>
          <w:color w:val="auto"/>
        </w:rPr>
      </w:pPr>
    </w:p>
    <w:p>
      <w:pPr>
        <w:jc w:val="both"/>
        <w:spacing w:after="0" w:line="228" w:lineRule="auto"/>
        <w:rPr>
          <w:sz w:val="20"/>
          <w:szCs w:val="20"/>
          <w:color w:val="auto"/>
        </w:rPr>
      </w:pPr>
      <w:r>
        <w:rPr>
          <w:rFonts w:ascii="Calibri" w:cs="Calibri" w:eastAsia="Calibri" w:hAnsi="Calibri"/>
          <w:sz w:val="18"/>
          <w:szCs w:val="18"/>
          <w:color w:val="auto"/>
        </w:rPr>
        <w:t>In additon to the other informaton set forth in this Quarterly Report on Form 10-Q, you should carefully consider the factors discussed under Part I, Item 1A, “Risk Factors” in our 2021 Form 10-K. These factors could materially adversely afect our business, fnancial conditon, liquidity, results of operatons and capital positon, and could cause our actual results to difer materially from our historical results or the results contemplated by any forward-looking statements contained in this Quarterly Report on Form 10-Q. There have been no material changes from the risk factors disclosed in our 2021 Form 10-K.</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Item 2. Unregistered Sales of Equity Securites and Use of Proceeds</w:t>
      </w:r>
    </w:p>
    <w:p>
      <w:pPr>
        <w:jc w:val="center"/>
        <w:ind w:right="-19"/>
        <w:spacing w:after="0" w:line="235" w:lineRule="auto"/>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8" w:name="page39"/>
    <w:bookmarkEnd w:id="38"/>
    <w:p>
      <w:pPr>
        <w:spacing w:after="0"/>
        <w:rPr>
          <w:sz w:val="20"/>
          <w:szCs w:val="20"/>
          <w:color w:val="auto"/>
        </w:rPr>
      </w:pPr>
      <w:r>
        <w:rPr>
          <w:rFonts w:ascii="Calibri" w:cs="Calibri" w:eastAsia="Calibri" w:hAnsi="Calibri"/>
          <w:sz w:val="18"/>
          <w:szCs w:val="18"/>
          <w:color w:val="auto"/>
        </w:rPr>
        <w:t>None.</w:t>
      </w:r>
    </w:p>
    <w:p>
      <w:pPr>
        <w:spacing w:after="0" w:line="185" w:lineRule="exact"/>
        <w:rPr>
          <w:sz w:val="20"/>
          <w:szCs w:val="20"/>
          <w:color w:val="auto"/>
        </w:rPr>
      </w:pPr>
    </w:p>
    <w:p>
      <w:pPr>
        <w:jc w:val="right"/>
        <w:ind w:right="3099"/>
        <w:spacing w:after="0"/>
        <w:rPr>
          <w:sz w:val="20"/>
          <w:szCs w:val="20"/>
          <w:color w:val="auto"/>
        </w:rPr>
      </w:pPr>
      <w:r>
        <w:rPr>
          <w:rFonts w:ascii="Calibri" w:cs="Calibri" w:eastAsia="Calibri" w:hAnsi="Calibri"/>
          <w:sz w:val="18"/>
          <w:szCs w:val="18"/>
          <w:b w:val="1"/>
          <w:bCs w:val="1"/>
          <w:color w:val="auto"/>
        </w:rPr>
        <w:t>Item 3. Defaults Upon Senior Securites</w:t>
      </w:r>
    </w:p>
    <w:p>
      <w:pPr>
        <w:spacing w:after="0" w:line="199"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99" w:lineRule="exact"/>
        <w:rPr>
          <w:sz w:val="20"/>
          <w:szCs w:val="20"/>
          <w:color w:val="auto"/>
        </w:rPr>
      </w:pPr>
    </w:p>
    <w:p>
      <w:pPr>
        <w:ind w:left="4480"/>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199" w:lineRule="exact"/>
        <w:rPr>
          <w:sz w:val="20"/>
          <w:szCs w:val="20"/>
          <w:color w:val="auto"/>
        </w:rPr>
      </w:pPr>
    </w:p>
    <w:p>
      <w:pPr>
        <w:ind w:left="4680"/>
        <w:spacing w:after="0"/>
        <w:rPr>
          <w:sz w:val="20"/>
          <w:szCs w:val="20"/>
          <w:color w:val="auto"/>
        </w:rPr>
      </w:pPr>
      <w:r>
        <w:rPr>
          <w:rFonts w:ascii="Calibri" w:cs="Calibri" w:eastAsia="Calibri" w:hAnsi="Calibri"/>
          <w:sz w:val="18"/>
          <w:szCs w:val="18"/>
          <w:b w:val="1"/>
          <w:bCs w:val="1"/>
          <w:color w:val="auto"/>
        </w:rPr>
        <w:t>Item 5. Other Informaton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31"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0"/>
        </w:trPr>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18"/>
          </w:tcPr>
          <w:p>
            <w:pPr>
              <w:spacing w:after="0"/>
              <w:rPr>
                <w:sz w:val="20"/>
                <w:szCs w:val="20"/>
                <w:color w:val="auto"/>
              </w:rPr>
            </w:pPr>
            <w:r>
              <w:rPr>
                <w:rFonts w:ascii="Calibri" w:cs="Calibri" w:eastAsia="Calibri" w:hAnsi="Calibri"/>
                <w:sz w:val="18"/>
                <w:szCs w:val="18"/>
                <w:b w:val="1"/>
                <w:bCs w:val="1"/>
                <w:color w:val="auto"/>
              </w:rPr>
              <w:t>Item 6. Exhibits</w:t>
            </w:r>
          </w:p>
        </w:tc>
        <w:tc>
          <w:tcPr>
            <w:tcW w:w="1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gridSpan w:val="3"/>
          </w:tcPr>
          <w:p>
            <w:pPr>
              <w:ind w:left="700"/>
              <w:spacing w:after="0"/>
              <w:rPr>
                <w:sz w:val="20"/>
                <w:szCs w:val="20"/>
                <w:color w:val="auto"/>
              </w:rPr>
            </w:pPr>
            <w:r>
              <w:rPr>
                <w:rFonts w:ascii="Calibri" w:cs="Calibri" w:eastAsia="Calibri" w:hAnsi="Calibri"/>
                <w:sz w:val="18"/>
                <w:szCs w:val="18"/>
                <w:b w:val="1"/>
                <w:bCs w:val="1"/>
                <w:color w:val="auto"/>
              </w:rPr>
              <w:t>Incorporated by Reference</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920" w:type="dxa"/>
            <w:vAlign w:val="bottom"/>
            <w:vMerge w:val="restart"/>
          </w:tcPr>
          <w:p>
            <w:pPr>
              <w:ind w:left="200"/>
              <w:spacing w:after="0" w:line="190" w:lineRule="exact"/>
              <w:rPr>
                <w:sz w:val="20"/>
                <w:szCs w:val="20"/>
                <w:color w:val="auto"/>
              </w:rPr>
            </w:pPr>
            <w:r>
              <w:rPr>
                <w:rFonts w:ascii="Calibri" w:cs="Calibri" w:eastAsia="Calibri" w:hAnsi="Calibri"/>
                <w:sz w:val="18"/>
                <w:szCs w:val="18"/>
                <w:b w:val="1"/>
                <w:bCs w:val="1"/>
                <w:color w:val="auto"/>
              </w:rPr>
              <w:t>Exhibit</w:t>
            </w:r>
          </w:p>
        </w:tc>
        <w:tc>
          <w:tcPr>
            <w:tcW w:w="7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640" w:type="dxa"/>
            <w:vAlign w:val="bottom"/>
            <w:gridSpan w:val="23"/>
            <w:vMerge w:val="restart"/>
          </w:tcPr>
          <w:p>
            <w:pPr>
              <w:ind w:left="340"/>
              <w:spacing w:after="0" w:line="190" w:lineRule="exact"/>
              <w:rPr>
                <w:sz w:val="20"/>
                <w:szCs w:val="20"/>
                <w:color w:val="auto"/>
              </w:rPr>
            </w:pPr>
            <w:r>
              <w:rPr>
                <w:rFonts w:ascii="Calibri" w:cs="Calibri" w:eastAsia="Calibri" w:hAnsi="Calibri"/>
                <w:sz w:val="18"/>
                <w:szCs w:val="18"/>
                <w:b w:val="1"/>
                <w:bCs w:val="1"/>
                <w:color w:val="auto"/>
              </w:rPr>
              <w:t>Descripton</w:t>
            </w:r>
          </w:p>
        </w:tc>
        <w:tc>
          <w:tcPr>
            <w:tcW w:w="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vMerge w:val="restart"/>
          </w:tcPr>
          <w:p>
            <w:pPr>
              <w:jc w:val="center"/>
              <w:spacing w:after="0" w:line="190" w:lineRule="exact"/>
              <w:rPr>
                <w:sz w:val="20"/>
                <w:szCs w:val="20"/>
                <w:color w:val="auto"/>
              </w:rPr>
            </w:pPr>
            <w:r>
              <w:rPr>
                <w:rFonts w:ascii="Calibri" w:cs="Calibri" w:eastAsia="Calibri" w:hAnsi="Calibri"/>
                <w:sz w:val="18"/>
                <w:szCs w:val="18"/>
                <w:b w:val="1"/>
                <w:bCs w:val="1"/>
                <w:color w:val="auto"/>
                <w:w w:val="97"/>
              </w:rPr>
              <w:t>Filed / Furnished</w:t>
            </w: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9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640" w:type="dxa"/>
            <w:vAlign w:val="bottom"/>
            <w:gridSpan w:val="23"/>
            <w:vMerge w:val="continue"/>
          </w:tcPr>
          <w:p>
            <w:pPr>
              <w:spacing w:after="0"/>
              <w:rPr>
                <w:sz w:val="12"/>
                <w:szCs w:val="12"/>
                <w:color w:val="auto"/>
              </w:rPr>
            </w:pPr>
          </w:p>
        </w:tc>
        <w:tc>
          <w:tcPr>
            <w:tcW w:w="900" w:type="dxa"/>
            <w:vAlign w:val="bottom"/>
          </w:tcPr>
          <w:p>
            <w:pPr>
              <w:ind w:left="340"/>
              <w:spacing w:after="0" w:line="147" w:lineRule="exact"/>
              <w:rPr>
                <w:sz w:val="20"/>
                <w:szCs w:val="20"/>
                <w:color w:val="auto"/>
              </w:rPr>
            </w:pPr>
            <w:r>
              <w:rPr>
                <w:rFonts w:ascii="Calibri" w:cs="Calibri" w:eastAsia="Calibri" w:hAnsi="Calibri"/>
                <w:sz w:val="16"/>
                <w:szCs w:val="16"/>
                <w:b w:val="1"/>
                <w:bCs w:val="1"/>
                <w:color w:val="auto"/>
              </w:rPr>
              <w:t>Form</w:t>
            </w:r>
          </w:p>
        </w:tc>
        <w:tc>
          <w:tcPr>
            <w:tcW w:w="1040" w:type="dxa"/>
            <w:vAlign w:val="bottom"/>
          </w:tcPr>
          <w:p>
            <w:pPr>
              <w:ind w:left="420"/>
              <w:spacing w:after="0" w:line="147" w:lineRule="exact"/>
              <w:rPr>
                <w:sz w:val="20"/>
                <w:szCs w:val="20"/>
                <w:color w:val="auto"/>
              </w:rPr>
            </w:pPr>
            <w:r>
              <w:rPr>
                <w:rFonts w:ascii="Calibri" w:cs="Calibri" w:eastAsia="Calibri" w:hAnsi="Calibri"/>
                <w:sz w:val="16"/>
                <w:szCs w:val="16"/>
                <w:b w:val="1"/>
                <w:bCs w:val="1"/>
                <w:color w:val="auto"/>
              </w:rPr>
              <w:t>Exhibit</w:t>
            </w:r>
          </w:p>
        </w:tc>
        <w:tc>
          <w:tcPr>
            <w:tcW w:w="1420" w:type="dxa"/>
            <w:vAlign w:val="bottom"/>
          </w:tcPr>
          <w:p>
            <w:pPr>
              <w:ind w:left="380"/>
              <w:spacing w:after="0" w:line="147" w:lineRule="exact"/>
              <w:rPr>
                <w:sz w:val="20"/>
                <w:szCs w:val="20"/>
                <w:color w:val="auto"/>
              </w:rPr>
            </w:pPr>
            <w:r>
              <w:rPr>
                <w:rFonts w:ascii="Calibri" w:cs="Calibri" w:eastAsia="Calibri" w:hAnsi="Calibri"/>
                <w:sz w:val="16"/>
                <w:szCs w:val="16"/>
                <w:b w:val="1"/>
                <w:bCs w:val="1"/>
                <w:color w:val="auto"/>
              </w:rPr>
              <w:t>Filing Date</w:t>
            </w:r>
          </w:p>
        </w:tc>
        <w:tc>
          <w:tcPr>
            <w:tcW w:w="13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960" w:type="dxa"/>
            <w:vAlign w:val="bottom"/>
          </w:tcPr>
          <w:p>
            <w:pPr>
              <w:spacing w:after="0"/>
              <w:rPr>
                <w:sz w:val="18"/>
                <w:szCs w:val="18"/>
                <w:color w:val="auto"/>
              </w:rPr>
            </w:pPr>
          </w:p>
        </w:tc>
        <w:tc>
          <w:tcPr>
            <w:tcW w:w="920" w:type="dxa"/>
            <w:vAlign w:val="bottom"/>
          </w:tcPr>
          <w:p>
            <w:pPr>
              <w:ind w:left="160"/>
              <w:spacing w:after="0" w:line="215" w:lineRule="exact"/>
              <w:rPr>
                <w:sz w:val="20"/>
                <w:szCs w:val="20"/>
                <w:color w:val="auto"/>
              </w:rPr>
            </w:pPr>
            <w:r>
              <w:rPr>
                <w:rFonts w:ascii="Calibri" w:cs="Calibri" w:eastAsia="Calibri" w:hAnsi="Calibri"/>
                <w:sz w:val="18"/>
                <w:szCs w:val="18"/>
                <w:b w:val="1"/>
                <w:bCs w:val="1"/>
                <w:color w:val="auto"/>
              </w:rPr>
              <w:t>Number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97"/>
              </w:rPr>
              <w:t>Herewith</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920" w:type="dxa"/>
            <w:vAlign w:val="bottom"/>
          </w:tcPr>
          <w:p>
            <w:pPr>
              <w:ind w:left="20"/>
              <w:spacing w:after="0" w:line="142" w:lineRule="exact"/>
              <w:rPr>
                <w:sz w:val="20"/>
                <w:szCs w:val="20"/>
                <w:color w:val="auto"/>
              </w:rPr>
            </w:pPr>
            <w:r>
              <w:rPr>
                <w:rFonts w:ascii="Calibri" w:cs="Calibri" w:eastAsia="Calibri" w:hAnsi="Calibri"/>
                <w:sz w:val="15"/>
                <w:szCs w:val="15"/>
                <w:color w:val="auto"/>
              </w:rPr>
              <w:t>2.1</w:t>
            </w:r>
          </w:p>
        </w:tc>
        <w:tc>
          <w:tcPr>
            <w:tcW w:w="4640" w:type="dxa"/>
            <w:vAlign w:val="bottom"/>
            <w:gridSpan w:val="29"/>
          </w:tcPr>
          <w:p>
            <w:pPr>
              <w:spacing w:after="0" w:line="142" w:lineRule="exact"/>
              <w:rPr>
                <w:rFonts w:ascii="Calibri" w:cs="Calibri" w:eastAsia="Calibri" w:hAnsi="Calibri"/>
                <w:sz w:val="15"/>
                <w:szCs w:val="15"/>
                <w:color w:val="0000FF"/>
              </w:rPr>
            </w:pPr>
            <w:hyperlink r:id="rId294">
              <w:r>
                <w:rPr>
                  <w:rFonts w:ascii="Calibri" w:cs="Calibri" w:eastAsia="Calibri" w:hAnsi="Calibri"/>
                  <w:sz w:val="15"/>
                  <w:szCs w:val="15"/>
                  <w:color w:val="0000FF"/>
                </w:rPr>
                <w:t xml:space="preserve">Transacton Agreement dated April 21, 2021 among </w:t>
              </w:r>
            </w:hyperlink>
            <w:r>
              <w:rPr>
                <w:rFonts w:ascii="Calibri" w:cs="Calibri" w:eastAsia="Calibri" w:hAnsi="Calibri"/>
                <w:sz w:val="15"/>
                <w:szCs w:val="15"/>
                <w:color w:val="000000"/>
              </w:rPr>
              <w:t>S-4</w:t>
            </w:r>
          </w:p>
        </w:tc>
        <w:tc>
          <w:tcPr>
            <w:tcW w:w="1040" w:type="dxa"/>
            <w:vAlign w:val="bottom"/>
          </w:tcPr>
          <w:p>
            <w:pPr>
              <w:ind w:left="180"/>
              <w:spacing w:after="0" w:line="142" w:lineRule="exact"/>
              <w:rPr>
                <w:sz w:val="20"/>
                <w:szCs w:val="20"/>
                <w:color w:val="auto"/>
              </w:rPr>
            </w:pPr>
            <w:r>
              <w:rPr>
                <w:rFonts w:ascii="Calibri" w:cs="Calibri" w:eastAsia="Calibri" w:hAnsi="Calibri"/>
                <w:sz w:val="15"/>
                <w:szCs w:val="15"/>
                <w:color w:val="auto"/>
              </w:rPr>
              <w:t>2.1</w:t>
            </w:r>
          </w:p>
        </w:tc>
        <w:tc>
          <w:tcPr>
            <w:tcW w:w="1420" w:type="dxa"/>
            <w:vAlign w:val="bottom"/>
          </w:tcPr>
          <w:p>
            <w:pPr>
              <w:ind w:left="120"/>
              <w:spacing w:after="0" w:line="142" w:lineRule="exact"/>
              <w:rPr>
                <w:sz w:val="20"/>
                <w:szCs w:val="20"/>
                <w:color w:val="auto"/>
              </w:rPr>
            </w:pPr>
            <w:r>
              <w:rPr>
                <w:rFonts w:ascii="Calibri" w:cs="Calibri" w:eastAsia="Calibri" w:hAnsi="Calibri"/>
                <w:sz w:val="15"/>
                <w:szCs w:val="15"/>
                <w:color w:val="auto"/>
              </w:rPr>
              <w:t>5/28/2021</w:t>
            </w: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00" w:type="dxa"/>
            <w:vAlign w:val="bottom"/>
            <w:tcBorders>
              <w:top w:val="single" w:sz="8" w:color="0000FF"/>
            </w:tcBorders>
            <w:gridSpan w:val="26"/>
          </w:tcPr>
          <w:p>
            <w:pPr>
              <w:spacing w:after="0" w:line="169" w:lineRule="exact"/>
              <w:rPr>
                <w:rFonts w:ascii="Calibri" w:cs="Calibri" w:eastAsia="Calibri" w:hAnsi="Calibri"/>
                <w:sz w:val="18"/>
                <w:szCs w:val="18"/>
                <w:color w:val="0000FF"/>
              </w:rPr>
            </w:pPr>
            <w:hyperlink r:id="rId294">
              <w:r>
                <w:rPr>
                  <w:rFonts w:ascii="Calibri" w:cs="Calibri" w:eastAsia="Calibri" w:hAnsi="Calibri"/>
                  <w:sz w:val="18"/>
                  <w:szCs w:val="18"/>
                  <w:color w:val="0000FF"/>
                </w:rPr>
                <w:t>Horizon Acquisiton Corporaton, Horizon Sponsor,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20" w:type="dxa"/>
            <w:vAlign w:val="bottom"/>
            <w:tcBorders>
              <w:top w:val="single" w:sz="8" w:color="0000FF"/>
            </w:tcBorders>
            <w:gridSpan w:val="22"/>
          </w:tcPr>
          <w:p>
            <w:pPr>
              <w:spacing w:after="0" w:line="169" w:lineRule="exact"/>
              <w:rPr>
                <w:rFonts w:ascii="Calibri" w:cs="Calibri" w:eastAsia="Calibri" w:hAnsi="Calibri"/>
                <w:sz w:val="18"/>
                <w:szCs w:val="18"/>
                <w:color w:val="0000FF"/>
                <w:w w:val="98"/>
              </w:rPr>
            </w:pPr>
            <w:hyperlink r:id="rId294">
              <w:r>
                <w:rPr>
                  <w:rFonts w:ascii="Calibri" w:cs="Calibri" w:eastAsia="Calibri" w:hAnsi="Calibri"/>
                  <w:sz w:val="18"/>
                  <w:szCs w:val="18"/>
                  <w:color w:val="0000FF"/>
                  <w:w w:val="98"/>
                </w:rPr>
                <w:t>LLC, Hoya Topco, LLC, Hoya Intermediate, LLC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3"/>
          </w:tcPr>
          <w:p>
            <w:pPr>
              <w:spacing w:after="0" w:line="169" w:lineRule="exact"/>
              <w:rPr>
                <w:rFonts w:ascii="Calibri" w:cs="Calibri" w:eastAsia="Calibri" w:hAnsi="Calibri"/>
                <w:sz w:val="18"/>
                <w:szCs w:val="18"/>
                <w:color w:val="0000FF"/>
                <w:w w:val="95"/>
              </w:rPr>
            </w:pPr>
            <w:hyperlink r:id="rId294">
              <w:r>
                <w:rPr>
                  <w:rFonts w:ascii="Calibri" w:cs="Calibri" w:eastAsia="Calibri" w:hAnsi="Calibri"/>
                  <w:sz w:val="18"/>
                  <w:szCs w:val="18"/>
                  <w:color w:val="0000FF"/>
                  <w:w w:val="95"/>
                </w:rPr>
                <w:t>Vivid Seats Inc.</w:t>
              </w:r>
            </w:hyperlink>
          </w:p>
        </w:tc>
        <w:tc>
          <w:tcPr>
            <w:tcW w:w="40" w:type="dxa"/>
            <w:vAlign w:val="bottom"/>
            <w:tcBorders>
              <w:top w:val="single" w:sz="8" w:color="0000FF"/>
              <w:bottom w:val="single" w:sz="8" w:color="0000EE"/>
            </w:tcBorders>
            <w:gridSpan w:val="2"/>
          </w:tcPr>
          <w:p>
            <w:pPr>
              <w:spacing w:after="0"/>
              <w:rPr>
                <w:sz w:val="14"/>
                <w:szCs w:val="14"/>
                <w:color w:val="auto"/>
              </w:rPr>
            </w:pPr>
          </w:p>
        </w:tc>
        <w:tc>
          <w:tcPr>
            <w:tcW w:w="244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2.2</w:t>
            </w:r>
          </w:p>
        </w:tc>
        <w:tc>
          <w:tcPr>
            <w:tcW w:w="3740" w:type="dxa"/>
            <w:vAlign w:val="bottom"/>
            <w:gridSpan w:val="28"/>
          </w:tcPr>
          <w:p>
            <w:pPr>
              <w:spacing w:after="0" w:line="183" w:lineRule="exact"/>
              <w:rPr>
                <w:rFonts w:ascii="Calibri" w:cs="Calibri" w:eastAsia="Calibri" w:hAnsi="Calibri"/>
                <w:sz w:val="18"/>
                <w:szCs w:val="18"/>
                <w:color w:val="0000FF"/>
              </w:rPr>
            </w:pPr>
            <w:hyperlink r:id="rId295">
              <w:r>
                <w:rPr>
                  <w:rFonts w:ascii="Calibri" w:cs="Calibri" w:eastAsia="Calibri" w:hAnsi="Calibri"/>
                  <w:sz w:val="18"/>
                  <w:szCs w:val="18"/>
                  <w:color w:val="0000FF"/>
                </w:rPr>
                <w:t>Purchase, Sale and Redempton Agreement dated</w:t>
              </w:r>
            </w:hyperlink>
          </w:p>
        </w:tc>
        <w:tc>
          <w:tcPr>
            <w:tcW w:w="900" w:type="dxa"/>
            <w:vAlign w:val="bottom"/>
          </w:tcPr>
          <w:p>
            <w:pPr>
              <w:spacing w:after="0" w:line="183" w:lineRule="exact"/>
              <w:rPr>
                <w:sz w:val="20"/>
                <w:szCs w:val="20"/>
                <w:color w:val="auto"/>
              </w:rPr>
            </w:pPr>
            <w:r>
              <w:rPr>
                <w:rFonts w:ascii="Calibri" w:cs="Calibri" w:eastAsia="Calibri" w:hAnsi="Calibri"/>
                <w:sz w:val="18"/>
                <w:szCs w:val="18"/>
                <w:color w:val="auto"/>
              </w:rPr>
              <w:t>S-4</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2.2</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5/28/2021</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0" w:type="dxa"/>
            <w:vAlign w:val="bottom"/>
            <w:tcBorders>
              <w:top w:val="single" w:sz="8" w:color="0000FF"/>
            </w:tcBorders>
            <w:gridSpan w:val="21"/>
          </w:tcPr>
          <w:p>
            <w:pPr>
              <w:spacing w:after="0" w:line="169" w:lineRule="exact"/>
              <w:rPr>
                <w:rFonts w:ascii="Calibri" w:cs="Calibri" w:eastAsia="Calibri" w:hAnsi="Calibri"/>
                <w:sz w:val="18"/>
                <w:szCs w:val="18"/>
                <w:color w:val="0000FF"/>
              </w:rPr>
            </w:pPr>
            <w:hyperlink r:id="rId295">
              <w:r>
                <w:rPr>
                  <w:rFonts w:ascii="Calibri" w:cs="Calibri" w:eastAsia="Calibri" w:hAnsi="Calibri"/>
                  <w:sz w:val="18"/>
                  <w:szCs w:val="18"/>
                  <w:color w:val="0000FF"/>
                </w:rPr>
                <w:t>April 21, 2021 among Hoya Topco, LLC, Hoya</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20" w:type="dxa"/>
            <w:vAlign w:val="bottom"/>
            <w:tcBorders>
              <w:top w:val="single" w:sz="8" w:color="0000FF"/>
              <w:bottom w:val="single" w:sz="8" w:color="0000FF"/>
            </w:tcBorders>
            <w:gridSpan w:val="10"/>
          </w:tcPr>
          <w:p>
            <w:pPr>
              <w:spacing w:after="0" w:line="169" w:lineRule="exact"/>
              <w:rPr>
                <w:rFonts w:ascii="Calibri" w:cs="Calibri" w:eastAsia="Calibri" w:hAnsi="Calibri"/>
                <w:sz w:val="18"/>
                <w:szCs w:val="18"/>
                <w:color w:val="0000FF"/>
                <w:w w:val="97"/>
              </w:rPr>
            </w:pPr>
            <w:hyperlink r:id="rId295">
              <w:r>
                <w:rPr>
                  <w:rFonts w:ascii="Calibri" w:cs="Calibri" w:eastAsia="Calibri" w:hAnsi="Calibri"/>
                  <w:sz w:val="18"/>
                  <w:szCs w:val="18"/>
                  <w:color w:val="0000FF"/>
                  <w:w w:val="97"/>
                </w:rPr>
                <w:t>Intermediate, LLC, Vivid Seats Inc., Crescent</w:t>
              </w:r>
            </w:hyperlink>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40" w:type="dxa"/>
            <w:vAlign w:val="bottom"/>
            <w:gridSpan w:val="28"/>
          </w:tcPr>
          <w:p>
            <w:pPr>
              <w:spacing w:after="0" w:line="169" w:lineRule="exact"/>
              <w:rPr>
                <w:rFonts w:ascii="Calibri" w:cs="Calibri" w:eastAsia="Calibri" w:hAnsi="Calibri"/>
                <w:sz w:val="18"/>
                <w:szCs w:val="18"/>
                <w:color w:val="0000FF"/>
              </w:rPr>
            </w:pPr>
            <w:hyperlink r:id="rId295">
              <w:r>
                <w:rPr>
                  <w:rFonts w:ascii="Calibri" w:cs="Calibri" w:eastAsia="Calibri" w:hAnsi="Calibri"/>
                  <w:sz w:val="18"/>
                  <w:szCs w:val="18"/>
                  <w:color w:val="0000FF"/>
                </w:rPr>
                <w:t>Mezzanine Partners VIB, L.P., Crescent Mezzanine</w:t>
              </w:r>
            </w:hyperlink>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60" w:type="dxa"/>
            <w:vAlign w:val="bottom"/>
            <w:tcBorders>
              <w:top w:val="single" w:sz="8" w:color="0000FF"/>
            </w:tcBorders>
            <w:gridSpan w:val="19"/>
          </w:tcPr>
          <w:p>
            <w:pPr>
              <w:spacing w:after="0" w:line="169" w:lineRule="exact"/>
              <w:rPr>
                <w:rFonts w:ascii="Calibri" w:cs="Calibri" w:eastAsia="Calibri" w:hAnsi="Calibri"/>
                <w:sz w:val="18"/>
                <w:szCs w:val="18"/>
                <w:color w:val="0000FF"/>
              </w:rPr>
            </w:pPr>
            <w:hyperlink r:id="rId295">
              <w:r>
                <w:rPr>
                  <w:rFonts w:ascii="Calibri" w:cs="Calibri" w:eastAsia="Calibri" w:hAnsi="Calibri"/>
                  <w:sz w:val="18"/>
                  <w:szCs w:val="18"/>
                  <w:color w:val="0000FF"/>
                </w:rPr>
                <w:t>Partners VIC, L.P., NPS/Crescent Strategic</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40" w:type="dxa"/>
            <w:vAlign w:val="bottom"/>
            <w:tcBorders>
              <w:top w:val="single" w:sz="8" w:color="0000FF"/>
              <w:bottom w:val="single" w:sz="8" w:color="0000FF"/>
            </w:tcBorders>
            <w:gridSpan w:val="7"/>
          </w:tcPr>
          <w:p>
            <w:pPr>
              <w:spacing w:after="0" w:line="169" w:lineRule="exact"/>
              <w:rPr>
                <w:rFonts w:ascii="Calibri" w:cs="Calibri" w:eastAsia="Calibri" w:hAnsi="Calibri"/>
                <w:sz w:val="18"/>
                <w:szCs w:val="18"/>
                <w:color w:val="0000FF"/>
                <w:w w:val="91"/>
              </w:rPr>
            </w:pPr>
            <w:hyperlink r:id="rId295">
              <w:r>
                <w:rPr>
                  <w:rFonts w:ascii="Calibri" w:cs="Calibri" w:eastAsia="Calibri" w:hAnsi="Calibri"/>
                  <w:sz w:val="18"/>
                  <w:szCs w:val="18"/>
                  <w:color w:val="0000FF"/>
                  <w:w w:val="91"/>
                </w:rPr>
                <w:t>Partnership II, LP, CM7C VS Equity Holdings,</w:t>
              </w:r>
            </w:hyperlink>
          </w:p>
        </w:tc>
        <w:tc>
          <w:tcPr>
            <w:tcW w:w="4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320" w:type="dxa"/>
            <w:vAlign w:val="bottom"/>
            <w:tcBorders>
              <w:bottom w:val="single" w:sz="8" w:color="0000FF"/>
            </w:tcBorders>
            <w:gridSpan w:val="5"/>
          </w:tcPr>
          <w:p>
            <w:pPr>
              <w:ind w:left="100"/>
              <w:spacing w:after="0" w:line="169" w:lineRule="exact"/>
              <w:rPr>
                <w:rFonts w:ascii="Calibri" w:cs="Calibri" w:eastAsia="Calibri" w:hAnsi="Calibri"/>
                <w:sz w:val="18"/>
                <w:szCs w:val="18"/>
                <w:color w:val="0000FF"/>
                <w:w w:val="93"/>
              </w:rPr>
            </w:pPr>
            <w:hyperlink r:id="rId295">
              <w:r>
                <w:rPr>
                  <w:rFonts w:ascii="Calibri" w:cs="Calibri" w:eastAsia="Calibri" w:hAnsi="Calibri"/>
                  <w:sz w:val="18"/>
                  <w:szCs w:val="18"/>
                  <w:color w:val="0000FF"/>
                  <w:w w:val="93"/>
                </w:rPr>
                <w:t>LP,</w:t>
              </w:r>
            </w:hyperlink>
          </w:p>
        </w:tc>
        <w:tc>
          <w:tcPr>
            <w:tcW w:w="400" w:type="dxa"/>
            <w:vAlign w:val="bottom"/>
            <w:gridSpan w:val="14"/>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40" w:type="dxa"/>
            <w:vAlign w:val="bottom"/>
            <w:gridSpan w:val="28"/>
          </w:tcPr>
          <w:p>
            <w:pPr>
              <w:spacing w:after="0" w:line="169" w:lineRule="exact"/>
              <w:rPr>
                <w:rFonts w:ascii="Calibri" w:cs="Calibri" w:eastAsia="Calibri" w:hAnsi="Calibri"/>
                <w:sz w:val="18"/>
                <w:szCs w:val="18"/>
                <w:color w:val="0000FF"/>
                <w:w w:val="99"/>
              </w:rPr>
            </w:pPr>
            <w:hyperlink r:id="rId295">
              <w:r>
                <w:rPr>
                  <w:rFonts w:ascii="Calibri" w:cs="Calibri" w:eastAsia="Calibri" w:hAnsi="Calibri"/>
                  <w:sz w:val="18"/>
                  <w:szCs w:val="18"/>
                  <w:color w:val="0000FF"/>
                  <w:w w:val="99"/>
                </w:rPr>
                <w:t>Crescent Mezzanine Partners VIIB, L.P., CM6B Vivid</w:t>
              </w:r>
            </w:hyperlink>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60" w:type="dxa"/>
            <w:vAlign w:val="bottom"/>
            <w:tcBorders>
              <w:top w:val="single" w:sz="8" w:color="0000FF"/>
            </w:tcBorders>
            <w:gridSpan w:val="24"/>
          </w:tcPr>
          <w:p>
            <w:pPr>
              <w:spacing w:after="0" w:line="169" w:lineRule="exact"/>
              <w:rPr>
                <w:rFonts w:ascii="Calibri" w:cs="Calibri" w:eastAsia="Calibri" w:hAnsi="Calibri"/>
                <w:sz w:val="18"/>
                <w:szCs w:val="18"/>
                <w:color w:val="0000FF"/>
              </w:rPr>
            </w:pPr>
            <w:hyperlink r:id="rId295">
              <w:r>
                <w:rPr>
                  <w:rFonts w:ascii="Calibri" w:cs="Calibri" w:eastAsia="Calibri" w:hAnsi="Calibri"/>
                  <w:sz w:val="18"/>
                  <w:szCs w:val="18"/>
                  <w:color w:val="0000FF"/>
                </w:rPr>
                <w:t>Equity, Inc., CM6C Vivid Equity, Inc., CM7C VS</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9"/>
          </w:tcPr>
          <w:p>
            <w:pPr>
              <w:spacing w:after="0" w:line="169" w:lineRule="exact"/>
              <w:rPr>
                <w:rFonts w:ascii="Calibri" w:cs="Calibri" w:eastAsia="Calibri" w:hAnsi="Calibri"/>
                <w:sz w:val="18"/>
                <w:szCs w:val="18"/>
                <w:color w:val="0000FF"/>
                <w:w w:val="96"/>
              </w:rPr>
            </w:pPr>
            <w:hyperlink r:id="rId295">
              <w:r>
                <w:rPr>
                  <w:rFonts w:ascii="Calibri" w:cs="Calibri" w:eastAsia="Calibri" w:hAnsi="Calibri"/>
                  <w:sz w:val="18"/>
                  <w:szCs w:val="18"/>
                  <w:color w:val="0000FF"/>
                  <w:w w:val="96"/>
                </w:rPr>
                <w:t>Equity, LLC, CM7B VS Equity, LLC, Crescent</w:t>
              </w:r>
            </w:hyperlink>
          </w:p>
        </w:tc>
        <w:tc>
          <w:tcPr>
            <w:tcW w:w="220" w:type="dxa"/>
            <w:vAlign w:val="bottom"/>
            <w:tcBorders>
              <w:top w:val="single" w:sz="8" w:color="0000FF"/>
            </w:tcBorders>
            <w:gridSpan w:val="4"/>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40" w:type="dxa"/>
            <w:vAlign w:val="bottom"/>
            <w:tcBorders>
              <w:bottom w:val="single" w:sz="8" w:color="0000FF"/>
            </w:tcBorders>
            <w:gridSpan w:val="17"/>
          </w:tcPr>
          <w:p>
            <w:pPr>
              <w:spacing w:after="0" w:line="169" w:lineRule="exact"/>
              <w:rPr>
                <w:rFonts w:ascii="Calibri" w:cs="Calibri" w:eastAsia="Calibri" w:hAnsi="Calibri"/>
                <w:sz w:val="18"/>
                <w:szCs w:val="18"/>
                <w:color w:val="0000FF"/>
                <w:w w:val="96"/>
              </w:rPr>
            </w:pPr>
            <w:hyperlink r:id="rId295">
              <w:r>
                <w:rPr>
                  <w:rFonts w:ascii="Calibri" w:cs="Calibri" w:eastAsia="Calibri" w:hAnsi="Calibri"/>
                  <w:sz w:val="18"/>
                  <w:szCs w:val="18"/>
                  <w:color w:val="0000FF"/>
                  <w:w w:val="96"/>
                </w:rPr>
                <w:t>Mezzanine Partners VI, L.P., Crescent Mezzanine</w:t>
              </w:r>
            </w:hyperlink>
          </w:p>
        </w:tc>
        <w:tc>
          <w:tcPr>
            <w:tcW w:w="300" w:type="dxa"/>
            <w:vAlign w:val="bottom"/>
            <w:gridSpan w:val="11"/>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40" w:type="dxa"/>
            <w:vAlign w:val="bottom"/>
            <w:gridSpan w:val="28"/>
          </w:tcPr>
          <w:p>
            <w:pPr>
              <w:spacing w:after="0" w:line="169" w:lineRule="exact"/>
              <w:rPr>
                <w:rFonts w:ascii="Calibri" w:cs="Calibri" w:eastAsia="Calibri" w:hAnsi="Calibri"/>
                <w:sz w:val="18"/>
                <w:szCs w:val="18"/>
                <w:color w:val="0000FF"/>
              </w:rPr>
            </w:pPr>
            <w:hyperlink r:id="rId295">
              <w:r>
                <w:rPr>
                  <w:rFonts w:ascii="Calibri" w:cs="Calibri" w:eastAsia="Calibri" w:hAnsi="Calibri"/>
                  <w:sz w:val="18"/>
                  <w:szCs w:val="18"/>
                  <w:color w:val="0000FF"/>
                </w:rPr>
                <w:t>Partners VII, L.P., Crescent Mezzanine Partners VII</w:t>
              </w:r>
            </w:hyperlink>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80" w:type="dxa"/>
            <w:vAlign w:val="bottom"/>
            <w:tcBorders>
              <w:top w:val="single" w:sz="8" w:color="0000FF"/>
            </w:tcBorders>
            <w:gridSpan w:val="20"/>
          </w:tcPr>
          <w:p>
            <w:pPr>
              <w:spacing w:after="0" w:line="169" w:lineRule="exact"/>
              <w:rPr>
                <w:rFonts w:ascii="Calibri" w:cs="Calibri" w:eastAsia="Calibri" w:hAnsi="Calibri"/>
                <w:sz w:val="18"/>
                <w:szCs w:val="18"/>
                <w:color w:val="0000FF"/>
              </w:rPr>
            </w:pPr>
            <w:hyperlink r:id="rId295">
              <w:r>
                <w:rPr>
                  <w:rFonts w:ascii="Calibri" w:cs="Calibri" w:eastAsia="Calibri" w:hAnsi="Calibri"/>
                  <w:sz w:val="18"/>
                  <w:szCs w:val="18"/>
                  <w:color w:val="0000FF"/>
                </w:rPr>
                <w:t>(LTL), L.P., CBDC Universal Equity, Inc., Crescent</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60" w:type="dxa"/>
            <w:vAlign w:val="bottom"/>
            <w:tcBorders>
              <w:top w:val="single" w:sz="8" w:color="0000FF"/>
            </w:tcBorders>
            <w:gridSpan w:val="15"/>
          </w:tcPr>
          <w:p>
            <w:pPr>
              <w:spacing w:after="0" w:line="169" w:lineRule="exact"/>
              <w:rPr>
                <w:rFonts w:ascii="Calibri" w:cs="Calibri" w:eastAsia="Calibri" w:hAnsi="Calibri"/>
                <w:sz w:val="18"/>
                <w:szCs w:val="18"/>
                <w:color w:val="0000FF"/>
              </w:rPr>
            </w:pPr>
            <w:hyperlink r:id="rId295">
              <w:r>
                <w:rPr>
                  <w:rFonts w:ascii="Calibri" w:cs="Calibri" w:eastAsia="Calibri" w:hAnsi="Calibri"/>
                  <w:sz w:val="18"/>
                  <w:szCs w:val="18"/>
                  <w:color w:val="0000FF"/>
                </w:rPr>
                <w:t>Capital Group, LP and Horizon Acquisiton</w:t>
              </w:r>
            </w:hyperlink>
          </w:p>
        </w:tc>
        <w:tc>
          <w:tcPr>
            <w:tcW w:w="20" w:type="dxa"/>
            <w:vAlign w:val="bottom"/>
          </w:tcPr>
          <w:p>
            <w:pPr>
              <w:spacing w:after="0"/>
              <w:rPr>
                <w:sz w:val="14"/>
                <w:szCs w:val="14"/>
                <w:color w:val="auto"/>
              </w:rPr>
            </w:pPr>
          </w:p>
        </w:tc>
        <w:tc>
          <w:tcPr>
            <w:tcW w:w="2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80" w:type="dxa"/>
            <w:vAlign w:val="bottom"/>
            <w:tcBorders>
              <w:top w:val="single" w:sz="8" w:color="0000FF"/>
            </w:tcBorders>
            <w:gridSpan w:val="8"/>
          </w:tcPr>
          <w:p>
            <w:pPr>
              <w:spacing w:after="0" w:line="169" w:lineRule="exact"/>
              <w:rPr>
                <w:rFonts w:ascii="Calibri" w:cs="Calibri" w:eastAsia="Calibri" w:hAnsi="Calibri"/>
                <w:sz w:val="18"/>
                <w:szCs w:val="18"/>
                <w:color w:val="0000FF"/>
              </w:rPr>
            </w:pPr>
            <w:hyperlink r:id="rId295">
              <w:r>
                <w:rPr>
                  <w:rFonts w:ascii="Calibri" w:cs="Calibri" w:eastAsia="Calibri" w:hAnsi="Calibri"/>
                  <w:sz w:val="18"/>
                  <w:szCs w:val="18"/>
                  <w:color w:val="0000FF"/>
                </w:rPr>
                <w:t>Corporaton</w:t>
              </w:r>
            </w:hyperlink>
          </w:p>
        </w:tc>
        <w:tc>
          <w:tcPr>
            <w:tcW w:w="220" w:type="dxa"/>
            <w:vAlign w:val="bottom"/>
            <w:gridSpan w:val="4"/>
          </w:tcPr>
          <w:p>
            <w:pPr>
              <w:spacing w:after="0"/>
              <w:rPr>
                <w:sz w:val="14"/>
                <w:szCs w:val="14"/>
                <w:color w:val="auto"/>
              </w:rPr>
            </w:pPr>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2.3</w:t>
            </w:r>
          </w:p>
        </w:tc>
        <w:tc>
          <w:tcPr>
            <w:tcW w:w="3340" w:type="dxa"/>
            <w:vAlign w:val="bottom"/>
            <w:tcBorders>
              <w:bottom w:val="single" w:sz="8" w:color="0000FF"/>
            </w:tcBorders>
            <w:gridSpan w:val="14"/>
          </w:tcPr>
          <w:p>
            <w:pPr>
              <w:spacing w:after="0" w:line="183" w:lineRule="exact"/>
              <w:rPr>
                <w:rFonts w:ascii="Calibri" w:cs="Calibri" w:eastAsia="Calibri" w:hAnsi="Calibri"/>
                <w:sz w:val="18"/>
                <w:szCs w:val="18"/>
                <w:color w:val="0000FF"/>
                <w:w w:val="97"/>
              </w:rPr>
            </w:pPr>
            <w:hyperlink r:id="rId296">
              <w:r>
                <w:rPr>
                  <w:rFonts w:ascii="Calibri" w:cs="Calibri" w:eastAsia="Calibri" w:hAnsi="Calibri"/>
                  <w:sz w:val="18"/>
                  <w:szCs w:val="18"/>
                  <w:color w:val="0000FF"/>
                  <w:w w:val="97"/>
                </w:rPr>
                <w:t>Plan of Merger dated October 18, 2021 among</w:t>
              </w:r>
            </w:hyperlink>
          </w:p>
        </w:tc>
        <w:tc>
          <w:tcPr>
            <w:tcW w:w="400" w:type="dxa"/>
            <w:vAlign w:val="bottom"/>
            <w:gridSpan w:val="14"/>
          </w:tcPr>
          <w:p>
            <w:pPr>
              <w:spacing w:after="0"/>
              <w:rPr>
                <w:sz w:val="15"/>
                <w:szCs w:val="15"/>
                <w:color w:val="auto"/>
              </w:rPr>
            </w:pPr>
          </w:p>
        </w:tc>
        <w:tc>
          <w:tcPr>
            <w:tcW w:w="900" w:type="dxa"/>
            <w:vAlign w:val="bottom"/>
          </w:tcPr>
          <w:p>
            <w:pPr>
              <w:spacing w:after="0" w:line="183" w:lineRule="exact"/>
              <w:rPr>
                <w:sz w:val="20"/>
                <w:szCs w:val="20"/>
                <w:color w:val="auto"/>
              </w:rPr>
            </w:pPr>
            <w:r>
              <w:rPr>
                <w:rFonts w:ascii="Calibri" w:cs="Calibri" w:eastAsia="Calibri" w:hAnsi="Calibri"/>
                <w:sz w:val="18"/>
                <w:szCs w:val="18"/>
                <w:color w:val="auto"/>
              </w:rPr>
              <w:t>10-Q</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2.3</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11/15/2021</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40" w:type="dxa"/>
            <w:vAlign w:val="bottom"/>
            <w:gridSpan w:val="28"/>
          </w:tcPr>
          <w:p>
            <w:pPr>
              <w:spacing w:after="0" w:line="169" w:lineRule="exact"/>
              <w:rPr>
                <w:rFonts w:ascii="Calibri" w:cs="Calibri" w:eastAsia="Calibri" w:hAnsi="Calibri"/>
                <w:sz w:val="18"/>
                <w:szCs w:val="18"/>
                <w:color w:val="0000FF"/>
              </w:rPr>
            </w:pPr>
            <w:hyperlink r:id="rId296">
              <w:r>
                <w:rPr>
                  <w:rFonts w:ascii="Calibri" w:cs="Calibri" w:eastAsia="Calibri" w:hAnsi="Calibri"/>
                  <w:sz w:val="18"/>
                  <w:szCs w:val="18"/>
                  <w:color w:val="0000FF"/>
                </w:rPr>
                <w:t>Horizon Acquisiton Corporaton, Horizon Sponsor,</w:t>
              </w:r>
            </w:hyperlink>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20" w:type="dxa"/>
            <w:vAlign w:val="bottom"/>
            <w:tcBorders>
              <w:top w:val="single" w:sz="8" w:color="0000FF"/>
            </w:tcBorders>
            <w:gridSpan w:val="22"/>
          </w:tcPr>
          <w:p>
            <w:pPr>
              <w:spacing w:after="0" w:line="169" w:lineRule="exact"/>
              <w:rPr>
                <w:rFonts w:ascii="Calibri" w:cs="Calibri" w:eastAsia="Calibri" w:hAnsi="Calibri"/>
                <w:sz w:val="18"/>
                <w:szCs w:val="18"/>
                <w:color w:val="0000FF"/>
                <w:w w:val="98"/>
              </w:rPr>
            </w:pPr>
            <w:hyperlink r:id="rId296">
              <w:r>
                <w:rPr>
                  <w:rFonts w:ascii="Calibri" w:cs="Calibri" w:eastAsia="Calibri" w:hAnsi="Calibri"/>
                  <w:sz w:val="18"/>
                  <w:szCs w:val="18"/>
                  <w:color w:val="0000FF"/>
                  <w:w w:val="98"/>
                </w:rPr>
                <w:t>LLC, Hoya Topco, LLC, Hoya Intermediate, LLC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Borders>
              <w:top w:val="single" w:sz="8" w:color="0000FF"/>
              <w:bottom w:val="single" w:sz="8" w:color="0000FF"/>
            </w:tcBorders>
            <w:gridSpan w:val="3"/>
          </w:tcPr>
          <w:p>
            <w:pPr>
              <w:spacing w:after="0" w:line="169" w:lineRule="exact"/>
              <w:rPr>
                <w:rFonts w:ascii="Calibri" w:cs="Calibri" w:eastAsia="Calibri" w:hAnsi="Calibri"/>
                <w:sz w:val="18"/>
                <w:szCs w:val="18"/>
                <w:color w:val="0000FF"/>
                <w:w w:val="95"/>
              </w:rPr>
            </w:pPr>
            <w:hyperlink r:id="rId296">
              <w:r>
                <w:rPr>
                  <w:rFonts w:ascii="Calibri" w:cs="Calibri" w:eastAsia="Calibri" w:hAnsi="Calibri"/>
                  <w:sz w:val="18"/>
                  <w:szCs w:val="18"/>
                  <w:color w:val="0000FF"/>
                  <w:w w:val="95"/>
                </w:rPr>
                <w:t>Vivid Seats Inc.</w:t>
              </w:r>
            </w:hyperlink>
          </w:p>
        </w:tc>
        <w:tc>
          <w:tcPr>
            <w:tcW w:w="20" w:type="dxa"/>
            <w:vAlign w:val="bottom"/>
            <w:tcBorders>
              <w:top w:val="single" w:sz="8" w:color="0000FF"/>
              <w:bottom w:val="single" w:sz="8" w:color="0000EE"/>
            </w:tcBorders>
          </w:tcPr>
          <w:p>
            <w:pPr>
              <w:spacing w:after="0"/>
              <w:rPr>
                <w:sz w:val="14"/>
                <w:szCs w:val="14"/>
                <w:color w:val="auto"/>
              </w:rPr>
            </w:pPr>
          </w:p>
        </w:tc>
        <w:tc>
          <w:tcPr>
            <w:tcW w:w="2460" w:type="dxa"/>
            <w:vAlign w:val="bottom"/>
            <w:tcBorders>
              <w:top w:val="single" w:sz="8" w:color="0000FF"/>
            </w:tcBorders>
            <w:gridSpan w:val="14"/>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3.1</w:t>
            </w:r>
          </w:p>
        </w:tc>
        <w:tc>
          <w:tcPr>
            <w:tcW w:w="3640" w:type="dxa"/>
            <w:vAlign w:val="bottom"/>
            <w:tcBorders>
              <w:bottom w:val="single" w:sz="8" w:color="0000FF"/>
            </w:tcBorders>
            <w:gridSpan w:val="23"/>
          </w:tcPr>
          <w:p>
            <w:pPr>
              <w:spacing w:after="0" w:line="183" w:lineRule="exact"/>
              <w:rPr>
                <w:rFonts w:ascii="Calibri" w:cs="Calibri" w:eastAsia="Calibri" w:hAnsi="Calibri"/>
                <w:sz w:val="18"/>
                <w:szCs w:val="18"/>
                <w:color w:val="0000FF"/>
                <w:w w:val="99"/>
              </w:rPr>
            </w:pPr>
            <w:hyperlink r:id="rId297">
              <w:r>
                <w:rPr>
                  <w:rFonts w:ascii="Calibri" w:cs="Calibri" w:eastAsia="Calibri" w:hAnsi="Calibri"/>
                  <w:sz w:val="18"/>
                  <w:szCs w:val="18"/>
                  <w:color w:val="0000FF"/>
                  <w:w w:val="99"/>
                </w:rPr>
                <w:t>Amended and Restated Certfcate of Incorporaton</w:t>
              </w:r>
            </w:hyperlink>
          </w:p>
        </w:tc>
        <w:tc>
          <w:tcPr>
            <w:tcW w:w="40" w:type="dxa"/>
            <w:vAlign w:val="bottom"/>
            <w:tcBorders>
              <w:bottom w:val="single" w:sz="8" w:color="0000EE"/>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900" w:type="dxa"/>
            <w:vAlign w:val="bottom"/>
          </w:tcPr>
          <w:p>
            <w:pPr>
              <w:spacing w:after="0" w:line="183" w:lineRule="exact"/>
              <w:rPr>
                <w:sz w:val="20"/>
                <w:szCs w:val="20"/>
                <w:color w:val="auto"/>
              </w:rPr>
            </w:pPr>
            <w:r>
              <w:rPr>
                <w:rFonts w:ascii="Calibri" w:cs="Calibri" w:eastAsia="Calibri" w:hAnsi="Calibri"/>
                <w:sz w:val="18"/>
                <w:szCs w:val="18"/>
                <w:color w:val="auto"/>
              </w:rPr>
              <w:t>8-K</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3.1</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10/22/2021</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3.2</w:t>
            </w:r>
          </w:p>
        </w:tc>
        <w:tc>
          <w:tcPr>
            <w:tcW w:w="3680" w:type="dxa"/>
            <w:vAlign w:val="bottom"/>
            <w:tcBorders>
              <w:bottom w:val="single" w:sz="8" w:color="0000FF"/>
            </w:tcBorders>
            <w:gridSpan w:val="25"/>
          </w:tcPr>
          <w:p>
            <w:pPr>
              <w:spacing w:after="0" w:line="183" w:lineRule="exact"/>
              <w:rPr>
                <w:rFonts w:ascii="Calibri" w:cs="Calibri" w:eastAsia="Calibri" w:hAnsi="Calibri"/>
                <w:sz w:val="18"/>
                <w:szCs w:val="18"/>
                <w:color w:val="0000FF"/>
                <w:w w:val="97"/>
              </w:rPr>
            </w:pPr>
            <w:hyperlink r:id="rId298">
              <w:r>
                <w:rPr>
                  <w:rFonts w:ascii="Calibri" w:cs="Calibri" w:eastAsia="Calibri" w:hAnsi="Calibri"/>
                  <w:sz w:val="18"/>
                  <w:szCs w:val="18"/>
                  <w:color w:val="0000FF"/>
                  <w:w w:val="97"/>
                </w:rPr>
                <w:t>First Amendment to Amended and Restated Bylaws</w:t>
              </w:r>
            </w:hyperlink>
          </w:p>
        </w:tc>
        <w:tc>
          <w:tcPr>
            <w:tcW w:w="60" w:type="dxa"/>
            <w:vAlign w:val="bottom"/>
            <w:gridSpan w:val="3"/>
          </w:tcPr>
          <w:p>
            <w:pPr>
              <w:spacing w:after="0"/>
              <w:rPr>
                <w:sz w:val="15"/>
                <w:szCs w:val="15"/>
                <w:color w:val="auto"/>
              </w:rPr>
            </w:pPr>
          </w:p>
        </w:tc>
        <w:tc>
          <w:tcPr>
            <w:tcW w:w="900" w:type="dxa"/>
            <w:vAlign w:val="bottom"/>
          </w:tcPr>
          <w:p>
            <w:pPr>
              <w:spacing w:after="0" w:line="183" w:lineRule="exact"/>
              <w:rPr>
                <w:sz w:val="20"/>
                <w:szCs w:val="20"/>
                <w:color w:val="auto"/>
              </w:rPr>
            </w:pPr>
            <w:r>
              <w:rPr>
                <w:rFonts w:ascii="Calibri" w:cs="Calibri" w:eastAsia="Calibri" w:hAnsi="Calibri"/>
                <w:sz w:val="18"/>
                <w:szCs w:val="18"/>
                <w:color w:val="auto"/>
              </w:rPr>
              <w:t>10-Q</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3.2</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5/10/2022</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3.3</w:t>
            </w:r>
          </w:p>
        </w:tc>
        <w:tc>
          <w:tcPr>
            <w:tcW w:w="3740" w:type="dxa"/>
            <w:vAlign w:val="bottom"/>
            <w:gridSpan w:val="28"/>
          </w:tcPr>
          <w:p>
            <w:pPr>
              <w:spacing w:after="0" w:line="183" w:lineRule="exact"/>
              <w:rPr>
                <w:rFonts w:ascii="Calibri" w:cs="Calibri" w:eastAsia="Calibri" w:hAnsi="Calibri"/>
                <w:sz w:val="18"/>
                <w:szCs w:val="18"/>
                <w:color w:val="0000FF"/>
              </w:rPr>
            </w:pPr>
            <w:hyperlink r:id="rId299">
              <w:r>
                <w:rPr>
                  <w:rFonts w:ascii="Calibri" w:cs="Calibri" w:eastAsia="Calibri" w:hAnsi="Calibri"/>
                  <w:sz w:val="18"/>
                  <w:szCs w:val="18"/>
                  <w:color w:val="0000FF"/>
                </w:rPr>
                <w:t>Amended and Restated Bylaws</w:t>
              </w:r>
            </w:hyperlink>
          </w:p>
        </w:tc>
        <w:tc>
          <w:tcPr>
            <w:tcW w:w="900" w:type="dxa"/>
            <w:vAlign w:val="bottom"/>
          </w:tcPr>
          <w:p>
            <w:pPr>
              <w:spacing w:after="0" w:line="183" w:lineRule="exact"/>
              <w:rPr>
                <w:sz w:val="20"/>
                <w:szCs w:val="20"/>
                <w:color w:val="auto"/>
              </w:rPr>
            </w:pPr>
            <w:r>
              <w:rPr>
                <w:rFonts w:ascii="Calibri" w:cs="Calibri" w:eastAsia="Calibri" w:hAnsi="Calibri"/>
                <w:sz w:val="18"/>
                <w:szCs w:val="18"/>
                <w:color w:val="auto"/>
              </w:rPr>
              <w:t>8-K</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3.2</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10/22/2021</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EE"/>
            </w:tcBorders>
            <w:gridSpan w:val="5"/>
            <w:shd w:val="clear" w:color="auto" w:fill="0000FF"/>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4.1</w:t>
            </w:r>
          </w:p>
        </w:tc>
        <w:tc>
          <w:tcPr>
            <w:tcW w:w="3740" w:type="dxa"/>
            <w:vAlign w:val="bottom"/>
            <w:gridSpan w:val="28"/>
          </w:tcPr>
          <w:p>
            <w:pPr>
              <w:spacing w:after="0" w:line="183" w:lineRule="exact"/>
              <w:rPr>
                <w:rFonts w:ascii="Calibri" w:cs="Calibri" w:eastAsia="Calibri" w:hAnsi="Calibri"/>
                <w:sz w:val="18"/>
                <w:szCs w:val="18"/>
                <w:color w:val="0000FF"/>
              </w:rPr>
            </w:pPr>
            <w:hyperlink r:id="rId300">
              <w:r>
                <w:rPr>
                  <w:rFonts w:ascii="Calibri" w:cs="Calibri" w:eastAsia="Calibri" w:hAnsi="Calibri"/>
                  <w:sz w:val="18"/>
                  <w:szCs w:val="18"/>
                  <w:color w:val="0000FF"/>
                </w:rPr>
                <w:t>Amended and Restated Warrant Agreement dated</w:t>
              </w:r>
            </w:hyperlink>
          </w:p>
        </w:tc>
        <w:tc>
          <w:tcPr>
            <w:tcW w:w="900" w:type="dxa"/>
            <w:vAlign w:val="bottom"/>
          </w:tcPr>
          <w:p>
            <w:pPr>
              <w:spacing w:after="0" w:line="183" w:lineRule="exact"/>
              <w:rPr>
                <w:sz w:val="20"/>
                <w:szCs w:val="20"/>
                <w:color w:val="auto"/>
              </w:rPr>
            </w:pPr>
            <w:r>
              <w:rPr>
                <w:rFonts w:ascii="Calibri" w:cs="Calibri" w:eastAsia="Calibri" w:hAnsi="Calibri"/>
                <w:sz w:val="18"/>
                <w:szCs w:val="18"/>
                <w:color w:val="auto"/>
              </w:rPr>
              <w:t>8-K</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10.7</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10/22/2021</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80" w:type="dxa"/>
            <w:vAlign w:val="bottom"/>
            <w:tcBorders>
              <w:top w:val="single" w:sz="8" w:color="0000FF"/>
              <w:bottom w:val="single" w:sz="8" w:color="0000FF"/>
            </w:tcBorders>
            <w:gridSpan w:val="16"/>
          </w:tcPr>
          <w:p>
            <w:pPr>
              <w:spacing w:after="0" w:line="169" w:lineRule="exact"/>
              <w:rPr>
                <w:rFonts w:ascii="Calibri" w:cs="Calibri" w:eastAsia="Calibri" w:hAnsi="Calibri"/>
                <w:sz w:val="18"/>
                <w:szCs w:val="18"/>
                <w:color w:val="0000FF"/>
                <w:w w:val="99"/>
              </w:rPr>
            </w:pPr>
            <w:hyperlink r:id="rId300">
              <w:r>
                <w:rPr>
                  <w:rFonts w:ascii="Calibri" w:cs="Calibri" w:eastAsia="Calibri" w:hAnsi="Calibri"/>
                  <w:sz w:val="18"/>
                  <w:szCs w:val="18"/>
                  <w:color w:val="0000FF"/>
                  <w:w w:val="99"/>
                </w:rPr>
                <w:t>October 14, 2021 between Horizon Acquisiton</w:t>
              </w:r>
            </w:hyperlink>
          </w:p>
        </w:tc>
        <w:tc>
          <w:tcPr>
            <w:tcW w:w="26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40" w:type="dxa"/>
            <w:vAlign w:val="bottom"/>
            <w:gridSpan w:val="28"/>
          </w:tcPr>
          <w:p>
            <w:pPr>
              <w:spacing w:after="0" w:line="169" w:lineRule="exact"/>
              <w:rPr>
                <w:rFonts w:ascii="Calibri" w:cs="Calibri" w:eastAsia="Calibri" w:hAnsi="Calibri"/>
                <w:sz w:val="18"/>
                <w:szCs w:val="18"/>
                <w:color w:val="0000FF"/>
              </w:rPr>
            </w:pPr>
            <w:hyperlink r:id="rId300">
              <w:r>
                <w:rPr>
                  <w:rFonts w:ascii="Calibri" w:cs="Calibri" w:eastAsia="Calibri" w:hAnsi="Calibri"/>
                  <w:sz w:val="18"/>
                  <w:szCs w:val="18"/>
                  <w:color w:val="0000FF"/>
                </w:rPr>
                <w:t>Corporaton and Contnental Stock Transfer &amp; Trust</w:t>
              </w:r>
            </w:hyperlink>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80" w:type="dxa"/>
            <w:vAlign w:val="bottom"/>
            <w:tcBorders>
              <w:top w:val="single" w:sz="8" w:color="0000FF"/>
            </w:tcBorders>
            <w:gridSpan w:val="25"/>
          </w:tcPr>
          <w:p>
            <w:pPr>
              <w:spacing w:after="0" w:line="169" w:lineRule="exact"/>
              <w:rPr>
                <w:rFonts w:ascii="Calibri" w:cs="Calibri" w:eastAsia="Calibri" w:hAnsi="Calibri"/>
                <w:sz w:val="18"/>
                <w:szCs w:val="18"/>
                <w:color w:val="0000FF"/>
              </w:rPr>
            </w:pPr>
            <w:hyperlink r:id="rId300">
              <w:r>
                <w:rPr>
                  <w:rFonts w:ascii="Calibri" w:cs="Calibri" w:eastAsia="Calibri" w:hAnsi="Calibri"/>
                  <w:sz w:val="18"/>
                  <w:szCs w:val="18"/>
                  <w:color w:val="0000FF"/>
                </w:rPr>
                <w:t>Company</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500" w:type="dxa"/>
            <w:vAlign w:val="bottom"/>
            <w:gridSpan w:val="11"/>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4.2</w:t>
            </w:r>
          </w:p>
        </w:tc>
        <w:tc>
          <w:tcPr>
            <w:tcW w:w="3740" w:type="dxa"/>
            <w:vAlign w:val="bottom"/>
            <w:gridSpan w:val="28"/>
          </w:tcPr>
          <w:p>
            <w:pPr>
              <w:spacing w:after="0" w:line="183" w:lineRule="exact"/>
              <w:rPr>
                <w:rFonts w:ascii="Calibri" w:cs="Calibri" w:eastAsia="Calibri" w:hAnsi="Calibri"/>
                <w:sz w:val="18"/>
                <w:szCs w:val="18"/>
                <w:color w:val="0000FF"/>
              </w:rPr>
            </w:pPr>
            <w:hyperlink r:id="rId301">
              <w:r>
                <w:rPr>
                  <w:rFonts w:ascii="Calibri" w:cs="Calibri" w:eastAsia="Calibri" w:hAnsi="Calibri"/>
                  <w:sz w:val="18"/>
                  <w:szCs w:val="18"/>
                  <w:color w:val="0000FF"/>
                </w:rPr>
                <w:t>Specimen Class A Common Stock Certfcate of Vivid</w:t>
              </w:r>
            </w:hyperlink>
          </w:p>
        </w:tc>
        <w:tc>
          <w:tcPr>
            <w:tcW w:w="900" w:type="dxa"/>
            <w:vAlign w:val="bottom"/>
          </w:tcPr>
          <w:p>
            <w:pPr>
              <w:spacing w:after="0" w:line="183" w:lineRule="exact"/>
              <w:rPr>
                <w:sz w:val="20"/>
                <w:szCs w:val="20"/>
                <w:color w:val="auto"/>
              </w:rPr>
            </w:pPr>
            <w:r>
              <w:rPr>
                <w:rFonts w:ascii="Calibri" w:cs="Calibri" w:eastAsia="Calibri" w:hAnsi="Calibri"/>
                <w:sz w:val="18"/>
                <w:szCs w:val="18"/>
                <w:color w:val="auto"/>
              </w:rPr>
              <w:t>10-K</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4.2</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3/15/2022</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rFonts w:ascii="Calibri" w:cs="Calibri" w:eastAsia="Calibri" w:hAnsi="Calibri"/>
                <w:sz w:val="18"/>
                <w:szCs w:val="18"/>
                <w:color w:val="0000FF"/>
                <w:w w:val="95"/>
              </w:rPr>
            </w:pPr>
            <w:hyperlink r:id="rId301">
              <w:r>
                <w:rPr>
                  <w:rFonts w:ascii="Calibri" w:cs="Calibri" w:eastAsia="Calibri" w:hAnsi="Calibri"/>
                  <w:sz w:val="18"/>
                  <w:szCs w:val="18"/>
                  <w:color w:val="0000FF"/>
                  <w:w w:val="95"/>
                </w:rPr>
                <w:t>Seats Inc.</w:t>
              </w:r>
            </w:hyperlink>
          </w:p>
        </w:tc>
        <w:tc>
          <w:tcPr>
            <w:tcW w:w="3020" w:type="dxa"/>
            <w:vAlign w:val="bottom"/>
            <w:tcBorders>
              <w:top w:val="single" w:sz="8" w:color="0000FF"/>
            </w:tcBorders>
            <w:gridSpan w:val="2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4.3</w:t>
            </w:r>
          </w:p>
        </w:tc>
        <w:tc>
          <w:tcPr>
            <w:tcW w:w="3380" w:type="dxa"/>
            <w:vAlign w:val="bottom"/>
            <w:tcBorders>
              <w:bottom w:val="single" w:sz="8" w:color="0000FF"/>
            </w:tcBorders>
            <w:gridSpan w:val="16"/>
          </w:tcPr>
          <w:p>
            <w:pPr>
              <w:spacing w:after="0" w:line="183" w:lineRule="exact"/>
              <w:rPr>
                <w:rFonts w:ascii="Calibri" w:cs="Calibri" w:eastAsia="Calibri" w:hAnsi="Calibri"/>
                <w:sz w:val="18"/>
                <w:szCs w:val="18"/>
                <w:color w:val="0000FF"/>
                <w:w w:val="98"/>
              </w:rPr>
            </w:pPr>
            <w:hyperlink r:id="rId302">
              <w:r>
                <w:rPr>
                  <w:rFonts w:ascii="Calibri" w:cs="Calibri" w:eastAsia="Calibri" w:hAnsi="Calibri"/>
                  <w:sz w:val="18"/>
                  <w:szCs w:val="18"/>
                  <w:color w:val="0000FF"/>
                  <w:w w:val="98"/>
                </w:rPr>
                <w:t>Specimen Warrant Certfcate of Vivid Seats Inc.</w:t>
              </w:r>
            </w:hyperlink>
          </w:p>
        </w:tc>
        <w:tc>
          <w:tcPr>
            <w:tcW w:w="360" w:type="dxa"/>
            <w:vAlign w:val="bottom"/>
            <w:gridSpan w:val="12"/>
          </w:tcPr>
          <w:p>
            <w:pPr>
              <w:spacing w:after="0"/>
              <w:rPr>
                <w:sz w:val="15"/>
                <w:szCs w:val="15"/>
                <w:color w:val="auto"/>
              </w:rPr>
            </w:pPr>
          </w:p>
        </w:tc>
        <w:tc>
          <w:tcPr>
            <w:tcW w:w="900" w:type="dxa"/>
            <w:vAlign w:val="bottom"/>
          </w:tcPr>
          <w:p>
            <w:pPr>
              <w:spacing w:after="0" w:line="183" w:lineRule="exact"/>
              <w:rPr>
                <w:sz w:val="20"/>
                <w:szCs w:val="20"/>
                <w:color w:val="auto"/>
              </w:rPr>
            </w:pPr>
            <w:r>
              <w:rPr>
                <w:rFonts w:ascii="Calibri" w:cs="Calibri" w:eastAsia="Calibri" w:hAnsi="Calibri"/>
                <w:sz w:val="18"/>
                <w:szCs w:val="18"/>
                <w:color w:val="auto"/>
              </w:rPr>
              <w:t>10-K</w:t>
            </w:r>
          </w:p>
        </w:tc>
        <w:tc>
          <w:tcPr>
            <w:tcW w:w="1040" w:type="dxa"/>
            <w:vAlign w:val="bottom"/>
          </w:tcPr>
          <w:p>
            <w:pPr>
              <w:ind w:left="180"/>
              <w:spacing w:after="0" w:line="183" w:lineRule="exact"/>
              <w:rPr>
                <w:sz w:val="20"/>
                <w:szCs w:val="20"/>
                <w:color w:val="auto"/>
              </w:rPr>
            </w:pPr>
            <w:r>
              <w:rPr>
                <w:rFonts w:ascii="Calibri" w:cs="Calibri" w:eastAsia="Calibri" w:hAnsi="Calibri"/>
                <w:sz w:val="18"/>
                <w:szCs w:val="18"/>
                <w:color w:val="auto"/>
              </w:rPr>
              <w:t>4.3</w:t>
            </w:r>
          </w:p>
        </w:tc>
        <w:tc>
          <w:tcPr>
            <w:tcW w:w="1420" w:type="dxa"/>
            <w:vAlign w:val="bottom"/>
          </w:tcPr>
          <w:p>
            <w:pPr>
              <w:ind w:left="120"/>
              <w:spacing w:after="0" w:line="183" w:lineRule="exact"/>
              <w:rPr>
                <w:sz w:val="20"/>
                <w:szCs w:val="20"/>
                <w:color w:val="auto"/>
              </w:rPr>
            </w:pPr>
            <w:r>
              <w:rPr>
                <w:rFonts w:ascii="Calibri" w:cs="Calibri" w:eastAsia="Calibri" w:hAnsi="Calibri"/>
                <w:sz w:val="18"/>
                <w:szCs w:val="18"/>
                <w:color w:val="auto"/>
              </w:rPr>
              <w:t>3/15/2022</w:t>
            </w: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920" w:type="dxa"/>
            <w:vAlign w:val="bottom"/>
          </w:tcPr>
          <w:p>
            <w:pPr>
              <w:ind w:left="20"/>
              <w:spacing w:after="0" w:line="183" w:lineRule="exact"/>
              <w:rPr>
                <w:sz w:val="20"/>
                <w:szCs w:val="20"/>
                <w:color w:val="auto"/>
              </w:rPr>
            </w:pPr>
            <w:r>
              <w:rPr>
                <w:rFonts w:ascii="Calibri" w:cs="Calibri" w:eastAsia="Calibri" w:hAnsi="Calibri"/>
                <w:sz w:val="18"/>
                <w:szCs w:val="18"/>
                <w:color w:val="auto"/>
              </w:rPr>
              <w:t>10.1</w:t>
            </w:r>
          </w:p>
        </w:tc>
        <w:tc>
          <w:tcPr>
            <w:tcW w:w="3200" w:type="dxa"/>
            <w:vAlign w:val="bottom"/>
            <w:tcBorders>
              <w:bottom w:val="single" w:sz="8" w:color="0000FF"/>
            </w:tcBorders>
            <w:gridSpan w:val="12"/>
          </w:tcPr>
          <w:p>
            <w:pPr>
              <w:spacing w:after="0" w:line="183" w:lineRule="exact"/>
              <w:rPr>
                <w:sz w:val="20"/>
                <w:szCs w:val="20"/>
                <w:color w:val="auto"/>
              </w:rPr>
            </w:pPr>
            <w:r>
              <w:rPr>
                <w:rFonts w:ascii="Calibri" w:cs="Calibri" w:eastAsia="Calibri" w:hAnsi="Calibri"/>
                <w:sz w:val="18"/>
                <w:szCs w:val="18"/>
                <w:color w:val="0000FF"/>
                <w:w w:val="97"/>
              </w:rPr>
              <w:t>Non-Employee Director Compensaton Policy</w:t>
            </w:r>
          </w:p>
        </w:tc>
        <w:tc>
          <w:tcPr>
            <w:tcW w:w="540" w:type="dxa"/>
            <w:vAlign w:val="bottom"/>
            <w:gridSpan w:val="16"/>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jc w:val="center"/>
              <w:spacing w:after="0" w:line="183" w:lineRule="exact"/>
              <w:rPr>
                <w:sz w:val="20"/>
                <w:szCs w:val="20"/>
                <w:color w:val="auto"/>
              </w:rPr>
            </w:pPr>
            <w:r>
              <w:rPr>
                <w:rFonts w:ascii="Calibri" w:cs="Calibri" w:eastAsia="Calibri" w:hAnsi="Calibri"/>
                <w:sz w:val="18"/>
                <w:szCs w:val="18"/>
                <w:color w:val="auto"/>
                <w:w w:val="88"/>
              </w:rPr>
              <w:t>*</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9"/>
        </w:trPr>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40" w:type="dxa"/>
            <w:vAlign w:val="bottom"/>
            <w:gridSpan w:val="29"/>
          </w:tcPr>
          <w:p>
            <w:pPr>
              <w:ind w:left="3660"/>
              <w:spacing w:after="0"/>
              <w:rPr>
                <w:sz w:val="20"/>
                <w:szCs w:val="20"/>
                <w:color w:val="auto"/>
              </w:rPr>
            </w:pPr>
            <w:r>
              <w:rPr>
                <w:rFonts w:ascii="Calibri" w:cs="Calibri" w:eastAsia="Calibri" w:hAnsi="Calibri"/>
                <w:sz w:val="18"/>
                <w:szCs w:val="18"/>
                <w:color w:val="auto"/>
              </w:rPr>
              <w:t>38</w:t>
            </w: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0" w:name="page41"/>
    <w:bookmarkEnd w:id="40"/>
    <w:tbl>
      <w:tblPr>
        <w:tblLayout w:type="fixed"/>
        <w:tblInd w:w="980" w:type="dxa"/>
        <w:tblCellMar>
          <w:top w:w="0" w:type="dxa"/>
          <w:left w:w="0" w:type="dxa"/>
          <w:bottom w:w="0" w:type="dxa"/>
          <w:right w:w="0" w:type="dxa"/>
        </w:tblCellMar>
      </w:tblPr>
      <w:tr>
        <w:trPr>
          <w:trHeight w:val="220"/>
        </w:trPr>
        <w:tc>
          <w:tcPr>
            <w:tcW w:w="900" w:type="dxa"/>
            <w:vAlign w:val="bottom"/>
          </w:tcPr>
          <w:p>
            <w:pPr>
              <w:spacing w:after="0"/>
              <w:rPr>
                <w:sz w:val="20"/>
                <w:szCs w:val="20"/>
                <w:color w:val="auto"/>
              </w:rPr>
            </w:pPr>
            <w:r>
              <w:rPr>
                <w:rFonts w:ascii="Calibri" w:cs="Calibri" w:eastAsia="Calibri" w:hAnsi="Calibri"/>
                <w:sz w:val="18"/>
                <w:szCs w:val="18"/>
                <w:color w:val="auto"/>
              </w:rPr>
              <w:t>31.1</w:t>
            </w:r>
          </w:p>
        </w:tc>
        <w:tc>
          <w:tcPr>
            <w:tcW w:w="5680" w:type="dxa"/>
            <w:vAlign w:val="bottom"/>
            <w:gridSpan w:val="7"/>
          </w:tcPr>
          <w:p>
            <w:pPr>
              <w:spacing w:after="0"/>
              <w:rPr>
                <w:sz w:val="20"/>
                <w:szCs w:val="20"/>
                <w:color w:val="auto"/>
              </w:rPr>
            </w:pPr>
            <w:r>
              <w:rPr>
                <w:rFonts w:ascii="Calibri" w:cs="Calibri" w:eastAsia="Calibri" w:hAnsi="Calibri"/>
                <w:sz w:val="18"/>
                <w:szCs w:val="18"/>
                <w:color w:val="0000FF"/>
              </w:rPr>
              <w:t>Certfcaton of Principal Executve Ofcer Pursuant</w:t>
            </w:r>
          </w:p>
        </w:tc>
        <w:tc>
          <w:tcPr>
            <w:tcW w:w="2160" w:type="dxa"/>
            <w:vAlign w:val="bottom"/>
          </w:tcPr>
          <w:p>
            <w:pPr>
              <w:jc w:val="center"/>
              <w:ind w:left="1910"/>
              <w:spacing w:after="0"/>
              <w:rPr>
                <w:sz w:val="20"/>
                <w:szCs w:val="20"/>
                <w:color w:val="auto"/>
              </w:rPr>
            </w:pPr>
            <w:r>
              <w:rPr>
                <w:rFonts w:ascii="Calibri" w:cs="Calibri" w:eastAsia="Calibri" w:hAnsi="Calibri"/>
                <w:sz w:val="18"/>
                <w:szCs w:val="18"/>
                <w:color w:val="auto"/>
                <w:w w:val="88"/>
              </w:rPr>
              <w:t>*</w:t>
            </w:r>
          </w:p>
        </w:tc>
      </w:tr>
      <w:tr>
        <w:trPr>
          <w:trHeight w:val="169"/>
        </w:trPr>
        <w:tc>
          <w:tcPr>
            <w:tcW w:w="90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3"/>
          </w:tcPr>
          <w:p>
            <w:pPr>
              <w:spacing w:after="0" w:line="169" w:lineRule="exact"/>
              <w:rPr>
                <w:sz w:val="20"/>
                <w:szCs w:val="20"/>
                <w:color w:val="auto"/>
              </w:rPr>
            </w:pPr>
            <w:r>
              <w:rPr>
                <w:rFonts w:ascii="Calibri" w:cs="Calibri" w:eastAsia="Calibri" w:hAnsi="Calibri"/>
                <w:sz w:val="18"/>
                <w:szCs w:val="18"/>
                <w:color w:val="0000FF"/>
                <w:w w:val="96"/>
              </w:rPr>
              <w:t>to Rules 13a-14(a) and 15d-14(a).</w:t>
            </w:r>
          </w:p>
        </w:tc>
        <w:tc>
          <w:tcPr>
            <w:tcW w:w="1260" w:type="dxa"/>
            <w:vAlign w:val="bottom"/>
            <w:tcBorders>
              <w:top w:val="single" w:sz="8" w:color="0000FF"/>
            </w:tcBorders>
            <w:gridSpan w:val="3"/>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83"/>
        </w:trPr>
        <w:tc>
          <w:tcPr>
            <w:tcW w:w="900" w:type="dxa"/>
            <w:vAlign w:val="bottom"/>
          </w:tcPr>
          <w:p>
            <w:pPr>
              <w:spacing w:after="0" w:line="183" w:lineRule="exact"/>
              <w:rPr>
                <w:sz w:val="20"/>
                <w:szCs w:val="20"/>
                <w:color w:val="auto"/>
              </w:rPr>
            </w:pPr>
            <w:r>
              <w:rPr>
                <w:rFonts w:ascii="Calibri" w:cs="Calibri" w:eastAsia="Calibri" w:hAnsi="Calibri"/>
                <w:sz w:val="18"/>
                <w:szCs w:val="18"/>
                <w:color w:val="auto"/>
              </w:rPr>
              <w:t>31.2</w:t>
            </w:r>
          </w:p>
        </w:tc>
        <w:tc>
          <w:tcPr>
            <w:tcW w:w="5680" w:type="dxa"/>
            <w:vAlign w:val="bottom"/>
            <w:gridSpan w:val="7"/>
          </w:tcPr>
          <w:p>
            <w:pPr>
              <w:spacing w:after="0" w:line="183" w:lineRule="exact"/>
              <w:rPr>
                <w:sz w:val="20"/>
                <w:szCs w:val="20"/>
                <w:color w:val="auto"/>
              </w:rPr>
            </w:pPr>
            <w:r>
              <w:rPr>
                <w:rFonts w:ascii="Calibri" w:cs="Calibri" w:eastAsia="Calibri" w:hAnsi="Calibri"/>
                <w:sz w:val="18"/>
                <w:szCs w:val="18"/>
                <w:color w:val="0000FF"/>
              </w:rPr>
              <w:t>Certfcaton of Principal Financial Ofcer Pursuant</w:t>
            </w:r>
          </w:p>
        </w:tc>
        <w:tc>
          <w:tcPr>
            <w:tcW w:w="2160" w:type="dxa"/>
            <w:vAlign w:val="bottom"/>
          </w:tcPr>
          <w:p>
            <w:pPr>
              <w:jc w:val="center"/>
              <w:ind w:left="1910"/>
              <w:spacing w:after="0" w:line="183" w:lineRule="exact"/>
              <w:rPr>
                <w:sz w:val="20"/>
                <w:szCs w:val="20"/>
                <w:color w:val="auto"/>
              </w:rPr>
            </w:pPr>
            <w:r>
              <w:rPr>
                <w:rFonts w:ascii="Calibri" w:cs="Calibri" w:eastAsia="Calibri" w:hAnsi="Calibri"/>
                <w:sz w:val="18"/>
                <w:szCs w:val="18"/>
                <w:color w:val="auto"/>
                <w:w w:val="88"/>
              </w:rPr>
              <w:t>*</w:t>
            </w:r>
          </w:p>
        </w:tc>
      </w:tr>
      <w:tr>
        <w:trPr>
          <w:trHeight w:val="169"/>
        </w:trPr>
        <w:tc>
          <w:tcPr>
            <w:tcW w:w="90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3"/>
          </w:tcPr>
          <w:p>
            <w:pPr>
              <w:spacing w:after="0" w:line="169" w:lineRule="exact"/>
              <w:rPr>
                <w:sz w:val="20"/>
                <w:szCs w:val="20"/>
                <w:color w:val="auto"/>
              </w:rPr>
            </w:pPr>
            <w:r>
              <w:rPr>
                <w:rFonts w:ascii="Calibri" w:cs="Calibri" w:eastAsia="Calibri" w:hAnsi="Calibri"/>
                <w:sz w:val="18"/>
                <w:szCs w:val="18"/>
                <w:color w:val="0000FF"/>
                <w:w w:val="96"/>
              </w:rPr>
              <w:t>to Rules 13a-14(a) and 15d-14(a).</w:t>
            </w:r>
          </w:p>
        </w:tc>
        <w:tc>
          <w:tcPr>
            <w:tcW w:w="20" w:type="dxa"/>
            <w:vAlign w:val="bottom"/>
            <w:tcBorders>
              <w:top w:val="single" w:sz="8" w:color="0000FF"/>
              <w:bottom w:val="single" w:sz="8" w:color="0000EE"/>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2080" w:type="dxa"/>
            <w:vAlign w:val="bottom"/>
            <w:gridSpan w:val="2"/>
          </w:tcPr>
          <w:p>
            <w:pPr>
              <w:spacing w:after="0"/>
              <w:rPr>
                <w:sz w:val="14"/>
                <w:szCs w:val="14"/>
                <w:color w:val="auto"/>
              </w:rPr>
            </w:pPr>
          </w:p>
        </w:tc>
        <w:tc>
          <w:tcPr>
            <w:tcW w:w="2160" w:type="dxa"/>
            <w:vAlign w:val="bottom"/>
          </w:tcPr>
          <w:p>
            <w:pPr>
              <w:spacing w:after="0"/>
              <w:rPr>
                <w:sz w:val="14"/>
                <w:szCs w:val="14"/>
                <w:color w:val="auto"/>
              </w:rPr>
            </w:pPr>
          </w:p>
        </w:tc>
      </w:tr>
      <w:tr>
        <w:trPr>
          <w:trHeight w:val="183"/>
        </w:trPr>
        <w:tc>
          <w:tcPr>
            <w:tcW w:w="900" w:type="dxa"/>
            <w:vAlign w:val="bottom"/>
          </w:tcPr>
          <w:p>
            <w:pPr>
              <w:spacing w:after="0" w:line="183" w:lineRule="exact"/>
              <w:rPr>
                <w:sz w:val="20"/>
                <w:szCs w:val="20"/>
                <w:color w:val="auto"/>
              </w:rPr>
            </w:pPr>
            <w:r>
              <w:rPr>
                <w:rFonts w:ascii="Calibri" w:cs="Calibri" w:eastAsia="Calibri" w:hAnsi="Calibri"/>
                <w:sz w:val="18"/>
                <w:szCs w:val="18"/>
                <w:color w:val="auto"/>
              </w:rPr>
              <w:t>32.1</w:t>
            </w:r>
          </w:p>
        </w:tc>
        <w:tc>
          <w:tcPr>
            <w:tcW w:w="5680" w:type="dxa"/>
            <w:vAlign w:val="bottom"/>
            <w:gridSpan w:val="7"/>
          </w:tcPr>
          <w:p>
            <w:pPr>
              <w:spacing w:after="0" w:line="183" w:lineRule="exact"/>
              <w:rPr>
                <w:sz w:val="20"/>
                <w:szCs w:val="20"/>
                <w:color w:val="auto"/>
              </w:rPr>
            </w:pPr>
            <w:r>
              <w:rPr>
                <w:rFonts w:ascii="Calibri" w:cs="Calibri" w:eastAsia="Calibri" w:hAnsi="Calibri"/>
                <w:sz w:val="18"/>
                <w:szCs w:val="18"/>
                <w:color w:val="0000FF"/>
              </w:rPr>
              <w:t>Certfcaton of Principal Executve Ofcer Pursuant</w:t>
            </w:r>
          </w:p>
        </w:tc>
        <w:tc>
          <w:tcPr>
            <w:tcW w:w="2160" w:type="dxa"/>
            <w:vAlign w:val="bottom"/>
          </w:tcPr>
          <w:p>
            <w:pPr>
              <w:jc w:val="center"/>
              <w:ind w:left="1890"/>
              <w:spacing w:after="0" w:line="183" w:lineRule="exact"/>
              <w:rPr>
                <w:sz w:val="20"/>
                <w:szCs w:val="20"/>
                <w:color w:val="auto"/>
              </w:rPr>
            </w:pPr>
            <w:r>
              <w:rPr>
                <w:rFonts w:ascii="Calibri" w:cs="Calibri" w:eastAsia="Calibri" w:hAnsi="Calibri"/>
                <w:sz w:val="18"/>
                <w:szCs w:val="18"/>
                <w:color w:val="auto"/>
              </w:rPr>
              <w:t>**</w:t>
            </w:r>
          </w:p>
        </w:tc>
      </w:tr>
      <w:tr>
        <w:trPr>
          <w:trHeight w:val="169"/>
        </w:trPr>
        <w:tc>
          <w:tcPr>
            <w:tcW w:w="900" w:type="dxa"/>
            <w:vAlign w:val="bottom"/>
          </w:tcPr>
          <w:p>
            <w:pPr>
              <w:spacing w:after="0"/>
              <w:rPr>
                <w:sz w:val="14"/>
                <w:szCs w:val="14"/>
                <w:color w:val="auto"/>
              </w:rPr>
            </w:pPr>
          </w:p>
        </w:tc>
        <w:tc>
          <w:tcPr>
            <w:tcW w:w="1820" w:type="dxa"/>
            <w:vAlign w:val="bottom"/>
            <w:tcBorders>
              <w:top w:val="single" w:sz="8" w:color="0000FF"/>
              <w:bottom w:val="single" w:sz="8" w:color="0000FF"/>
            </w:tcBorders>
          </w:tcPr>
          <w:p>
            <w:pPr>
              <w:spacing w:after="0" w:line="169" w:lineRule="exact"/>
              <w:rPr>
                <w:sz w:val="20"/>
                <w:szCs w:val="20"/>
                <w:color w:val="auto"/>
              </w:rPr>
            </w:pPr>
            <w:r>
              <w:rPr>
                <w:rFonts w:ascii="Calibri" w:cs="Calibri" w:eastAsia="Calibri" w:hAnsi="Calibri"/>
                <w:sz w:val="18"/>
                <w:szCs w:val="18"/>
                <w:color w:val="0000FF"/>
                <w:w w:val="97"/>
              </w:rPr>
              <w:t>to 18 U.S.C. Secton 1350.</w:t>
            </w:r>
          </w:p>
        </w:tc>
        <w:tc>
          <w:tcPr>
            <w:tcW w:w="20" w:type="dxa"/>
            <w:vAlign w:val="bottom"/>
            <w:tcBorders>
              <w:top w:val="single" w:sz="8" w:color="0000FF"/>
              <w:bottom w:val="single" w:sz="8" w:color="0000EE"/>
            </w:tcBorders>
          </w:tcPr>
          <w:p>
            <w:pPr>
              <w:spacing w:after="0"/>
              <w:rPr>
                <w:sz w:val="14"/>
                <w:szCs w:val="14"/>
                <w:color w:val="auto"/>
              </w:rPr>
            </w:pPr>
          </w:p>
        </w:tc>
        <w:tc>
          <w:tcPr>
            <w:tcW w:w="1800" w:type="dxa"/>
            <w:vAlign w:val="bottom"/>
            <w:tcBorders>
              <w:top w:val="single" w:sz="8" w:color="0000FF"/>
            </w:tcBorders>
            <w:gridSpan w:val="4"/>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83"/>
        </w:trPr>
        <w:tc>
          <w:tcPr>
            <w:tcW w:w="900" w:type="dxa"/>
            <w:vAlign w:val="bottom"/>
          </w:tcPr>
          <w:p>
            <w:pPr>
              <w:spacing w:after="0" w:line="183" w:lineRule="exact"/>
              <w:rPr>
                <w:sz w:val="20"/>
                <w:szCs w:val="20"/>
                <w:color w:val="auto"/>
              </w:rPr>
            </w:pPr>
            <w:r>
              <w:rPr>
                <w:rFonts w:ascii="Calibri" w:cs="Calibri" w:eastAsia="Calibri" w:hAnsi="Calibri"/>
                <w:sz w:val="18"/>
                <w:szCs w:val="18"/>
                <w:color w:val="auto"/>
              </w:rPr>
              <w:t>32.2</w:t>
            </w:r>
          </w:p>
        </w:tc>
        <w:tc>
          <w:tcPr>
            <w:tcW w:w="5680" w:type="dxa"/>
            <w:vAlign w:val="bottom"/>
            <w:gridSpan w:val="7"/>
          </w:tcPr>
          <w:p>
            <w:pPr>
              <w:spacing w:after="0" w:line="183" w:lineRule="exact"/>
              <w:rPr>
                <w:sz w:val="20"/>
                <w:szCs w:val="20"/>
                <w:color w:val="auto"/>
              </w:rPr>
            </w:pPr>
            <w:r>
              <w:rPr>
                <w:rFonts w:ascii="Calibri" w:cs="Calibri" w:eastAsia="Calibri" w:hAnsi="Calibri"/>
                <w:sz w:val="18"/>
                <w:szCs w:val="18"/>
                <w:color w:val="0000FF"/>
              </w:rPr>
              <w:t>Certfcaton of Principal Financial Ofcer Pursuant</w:t>
            </w:r>
          </w:p>
        </w:tc>
        <w:tc>
          <w:tcPr>
            <w:tcW w:w="2160" w:type="dxa"/>
            <w:vAlign w:val="bottom"/>
          </w:tcPr>
          <w:p>
            <w:pPr>
              <w:jc w:val="center"/>
              <w:ind w:left="1890"/>
              <w:spacing w:after="0" w:line="183" w:lineRule="exact"/>
              <w:rPr>
                <w:sz w:val="20"/>
                <w:szCs w:val="20"/>
                <w:color w:val="auto"/>
              </w:rPr>
            </w:pPr>
            <w:r>
              <w:rPr>
                <w:rFonts w:ascii="Calibri" w:cs="Calibri" w:eastAsia="Calibri" w:hAnsi="Calibri"/>
                <w:sz w:val="18"/>
                <w:szCs w:val="18"/>
                <w:color w:val="auto"/>
              </w:rPr>
              <w:t>**</w:t>
            </w:r>
          </w:p>
        </w:tc>
      </w:tr>
      <w:tr>
        <w:trPr>
          <w:trHeight w:val="169"/>
        </w:trPr>
        <w:tc>
          <w:tcPr>
            <w:tcW w:w="900" w:type="dxa"/>
            <w:vAlign w:val="bottom"/>
          </w:tcPr>
          <w:p>
            <w:pPr>
              <w:spacing w:after="0"/>
              <w:rPr>
                <w:sz w:val="14"/>
                <w:szCs w:val="14"/>
                <w:color w:val="auto"/>
              </w:rPr>
            </w:pPr>
          </w:p>
        </w:tc>
        <w:tc>
          <w:tcPr>
            <w:tcW w:w="1820" w:type="dxa"/>
            <w:vAlign w:val="bottom"/>
            <w:tcBorders>
              <w:top w:val="single" w:sz="8" w:color="0000FF"/>
              <w:bottom w:val="single" w:sz="8" w:color="0000FF"/>
            </w:tcBorders>
          </w:tcPr>
          <w:p>
            <w:pPr>
              <w:spacing w:after="0" w:line="169" w:lineRule="exact"/>
              <w:rPr>
                <w:sz w:val="20"/>
                <w:szCs w:val="20"/>
                <w:color w:val="auto"/>
              </w:rPr>
            </w:pPr>
            <w:r>
              <w:rPr>
                <w:rFonts w:ascii="Calibri" w:cs="Calibri" w:eastAsia="Calibri" w:hAnsi="Calibri"/>
                <w:sz w:val="18"/>
                <w:szCs w:val="18"/>
                <w:color w:val="0000FF"/>
                <w:w w:val="97"/>
              </w:rPr>
              <w:t>to 18 U.S.C. Secton 1350.</w:t>
            </w:r>
          </w:p>
        </w:tc>
        <w:tc>
          <w:tcPr>
            <w:tcW w:w="20" w:type="dxa"/>
            <w:vAlign w:val="bottom"/>
            <w:tcBorders>
              <w:top w:val="single" w:sz="8" w:color="0000FF"/>
              <w:bottom w:val="single" w:sz="8" w:color="0000EE"/>
            </w:tcBorders>
          </w:tcPr>
          <w:p>
            <w:pPr>
              <w:spacing w:after="0"/>
              <w:rPr>
                <w:sz w:val="14"/>
                <w:szCs w:val="14"/>
                <w:color w:val="auto"/>
              </w:rPr>
            </w:pPr>
          </w:p>
        </w:tc>
        <w:tc>
          <w:tcPr>
            <w:tcW w:w="1760" w:type="dxa"/>
            <w:vAlign w:val="bottom"/>
            <w:tcBorders>
              <w:top w:val="single" w:sz="8" w:color="0000FF"/>
            </w:tcBorders>
            <w:gridSpan w:val="3"/>
          </w:tcPr>
          <w:p>
            <w:pPr>
              <w:spacing w:after="0"/>
              <w:rPr>
                <w:sz w:val="14"/>
                <w:szCs w:val="14"/>
                <w:color w:val="auto"/>
              </w:rPr>
            </w:pPr>
          </w:p>
        </w:tc>
        <w:tc>
          <w:tcPr>
            <w:tcW w:w="2080" w:type="dxa"/>
            <w:vAlign w:val="bottom"/>
            <w:gridSpan w:val="2"/>
          </w:tcPr>
          <w:p>
            <w:pPr>
              <w:spacing w:after="0"/>
              <w:rPr>
                <w:sz w:val="14"/>
                <w:szCs w:val="14"/>
                <w:color w:val="auto"/>
              </w:rPr>
            </w:pPr>
          </w:p>
        </w:tc>
        <w:tc>
          <w:tcPr>
            <w:tcW w:w="2160" w:type="dxa"/>
            <w:vAlign w:val="bottom"/>
          </w:tcPr>
          <w:p>
            <w:pPr>
              <w:spacing w:after="0"/>
              <w:rPr>
                <w:sz w:val="14"/>
                <w:szCs w:val="14"/>
                <w:color w:val="auto"/>
              </w:rPr>
            </w:pPr>
          </w:p>
        </w:tc>
      </w:tr>
      <w:tr>
        <w:trPr>
          <w:trHeight w:val="187"/>
        </w:trPr>
        <w:tc>
          <w:tcPr>
            <w:tcW w:w="900" w:type="dxa"/>
            <w:vAlign w:val="bottom"/>
          </w:tcPr>
          <w:p>
            <w:pPr>
              <w:spacing w:after="0" w:line="187" w:lineRule="exact"/>
              <w:rPr>
                <w:sz w:val="20"/>
                <w:szCs w:val="20"/>
                <w:color w:val="auto"/>
              </w:rPr>
            </w:pPr>
            <w:r>
              <w:rPr>
                <w:rFonts w:ascii="Calibri" w:cs="Calibri" w:eastAsia="Calibri" w:hAnsi="Calibri"/>
                <w:sz w:val="18"/>
                <w:szCs w:val="18"/>
                <w:color w:val="auto"/>
              </w:rPr>
              <w:t>101.INS</w:t>
            </w:r>
          </w:p>
        </w:tc>
        <w:tc>
          <w:tcPr>
            <w:tcW w:w="5680" w:type="dxa"/>
            <w:vAlign w:val="bottom"/>
            <w:gridSpan w:val="7"/>
          </w:tcPr>
          <w:p>
            <w:pPr>
              <w:spacing w:after="0" w:line="187" w:lineRule="exact"/>
              <w:rPr>
                <w:sz w:val="20"/>
                <w:szCs w:val="20"/>
                <w:color w:val="auto"/>
              </w:rPr>
            </w:pPr>
            <w:r>
              <w:rPr>
                <w:rFonts w:ascii="Calibri" w:cs="Calibri" w:eastAsia="Calibri" w:hAnsi="Calibri"/>
                <w:sz w:val="18"/>
                <w:szCs w:val="18"/>
                <w:color w:val="auto"/>
              </w:rPr>
              <w:t>Inline XBRL Instance Document – the instance</w:t>
            </w:r>
          </w:p>
        </w:tc>
        <w:tc>
          <w:tcPr>
            <w:tcW w:w="2160" w:type="dxa"/>
            <w:vAlign w:val="bottom"/>
          </w:tcPr>
          <w:p>
            <w:pPr>
              <w:jc w:val="center"/>
              <w:ind w:left="1910"/>
              <w:spacing w:after="0" w:line="187" w:lineRule="exact"/>
              <w:rPr>
                <w:sz w:val="20"/>
                <w:szCs w:val="20"/>
                <w:color w:val="auto"/>
              </w:rPr>
            </w:pPr>
            <w:r>
              <w:rPr>
                <w:rFonts w:ascii="Calibri" w:cs="Calibri" w:eastAsia="Calibri" w:hAnsi="Calibri"/>
                <w:sz w:val="18"/>
                <w:szCs w:val="18"/>
                <w:color w:val="auto"/>
                <w:w w:val="88"/>
              </w:rPr>
              <w:t>*</w:t>
            </w:r>
          </w:p>
        </w:tc>
      </w:tr>
      <w:tr>
        <w:trPr>
          <w:trHeight w:val="189"/>
        </w:trPr>
        <w:tc>
          <w:tcPr>
            <w:tcW w:w="900" w:type="dxa"/>
            <w:vAlign w:val="bottom"/>
          </w:tcPr>
          <w:p>
            <w:pPr>
              <w:spacing w:after="0"/>
              <w:rPr>
                <w:sz w:val="16"/>
                <w:szCs w:val="16"/>
                <w:color w:val="auto"/>
              </w:rPr>
            </w:pPr>
          </w:p>
        </w:tc>
        <w:tc>
          <w:tcPr>
            <w:tcW w:w="5680" w:type="dxa"/>
            <w:vAlign w:val="bottom"/>
            <w:gridSpan w:val="7"/>
          </w:tcPr>
          <w:p>
            <w:pPr>
              <w:spacing w:after="0" w:line="189" w:lineRule="exact"/>
              <w:rPr>
                <w:sz w:val="20"/>
                <w:szCs w:val="20"/>
                <w:color w:val="auto"/>
              </w:rPr>
            </w:pPr>
            <w:r>
              <w:rPr>
                <w:rFonts w:ascii="Calibri" w:cs="Calibri" w:eastAsia="Calibri" w:hAnsi="Calibri"/>
                <w:sz w:val="18"/>
                <w:szCs w:val="18"/>
                <w:color w:val="auto"/>
              </w:rPr>
              <w:t>document does not appear in the Interactve Data</w:t>
            </w:r>
          </w:p>
        </w:tc>
        <w:tc>
          <w:tcPr>
            <w:tcW w:w="2160" w:type="dxa"/>
            <w:vAlign w:val="bottom"/>
          </w:tcPr>
          <w:p>
            <w:pPr>
              <w:spacing w:after="0"/>
              <w:rPr>
                <w:sz w:val="16"/>
                <w:szCs w:val="16"/>
                <w:color w:val="auto"/>
              </w:rPr>
            </w:pPr>
          </w:p>
        </w:tc>
      </w:tr>
      <w:tr>
        <w:trPr>
          <w:trHeight w:val="189"/>
        </w:trPr>
        <w:tc>
          <w:tcPr>
            <w:tcW w:w="900" w:type="dxa"/>
            <w:vAlign w:val="bottom"/>
          </w:tcPr>
          <w:p>
            <w:pPr>
              <w:spacing w:after="0"/>
              <w:rPr>
                <w:sz w:val="16"/>
                <w:szCs w:val="16"/>
                <w:color w:val="auto"/>
              </w:rPr>
            </w:pPr>
          </w:p>
        </w:tc>
        <w:tc>
          <w:tcPr>
            <w:tcW w:w="5680" w:type="dxa"/>
            <w:vAlign w:val="bottom"/>
            <w:gridSpan w:val="7"/>
          </w:tcPr>
          <w:p>
            <w:pPr>
              <w:spacing w:after="0" w:line="189" w:lineRule="exact"/>
              <w:rPr>
                <w:sz w:val="20"/>
                <w:szCs w:val="20"/>
                <w:color w:val="auto"/>
              </w:rPr>
            </w:pPr>
            <w:r>
              <w:rPr>
                <w:rFonts w:ascii="Calibri" w:cs="Calibri" w:eastAsia="Calibri" w:hAnsi="Calibri"/>
                <w:sz w:val="18"/>
                <w:szCs w:val="18"/>
                <w:color w:val="auto"/>
              </w:rPr>
              <w:t>File because XBRL tags are embedded within the</w:t>
            </w:r>
          </w:p>
        </w:tc>
        <w:tc>
          <w:tcPr>
            <w:tcW w:w="2160" w:type="dxa"/>
            <w:vAlign w:val="bottom"/>
          </w:tcPr>
          <w:p>
            <w:pPr>
              <w:spacing w:after="0"/>
              <w:rPr>
                <w:sz w:val="16"/>
                <w:szCs w:val="16"/>
                <w:color w:val="auto"/>
              </w:rPr>
            </w:pPr>
          </w:p>
        </w:tc>
      </w:tr>
      <w:tr>
        <w:trPr>
          <w:trHeight w:val="203"/>
        </w:trPr>
        <w:tc>
          <w:tcPr>
            <w:tcW w:w="900" w:type="dxa"/>
            <w:vAlign w:val="bottom"/>
          </w:tcPr>
          <w:p>
            <w:pPr>
              <w:spacing w:after="0"/>
              <w:rPr>
                <w:sz w:val="17"/>
                <w:szCs w:val="17"/>
                <w:color w:val="auto"/>
              </w:rPr>
            </w:pPr>
          </w:p>
        </w:tc>
        <w:tc>
          <w:tcPr>
            <w:tcW w:w="5680" w:type="dxa"/>
            <w:vAlign w:val="bottom"/>
            <w:gridSpan w:val="7"/>
          </w:tcPr>
          <w:p>
            <w:pPr>
              <w:spacing w:after="0" w:line="203" w:lineRule="exact"/>
              <w:rPr>
                <w:sz w:val="20"/>
                <w:szCs w:val="20"/>
                <w:color w:val="auto"/>
              </w:rPr>
            </w:pPr>
            <w:r>
              <w:rPr>
                <w:rFonts w:ascii="Calibri" w:cs="Calibri" w:eastAsia="Calibri" w:hAnsi="Calibri"/>
                <w:sz w:val="18"/>
                <w:szCs w:val="18"/>
                <w:color w:val="auto"/>
              </w:rPr>
              <w:t>Inline XBRL document.</w:t>
            </w:r>
          </w:p>
        </w:tc>
        <w:tc>
          <w:tcPr>
            <w:tcW w:w="216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alibri" w:cs="Calibri" w:eastAsia="Calibri" w:hAnsi="Calibri"/>
                <w:sz w:val="18"/>
                <w:szCs w:val="18"/>
                <w:color w:val="auto"/>
              </w:rPr>
              <w:t>101.SCH</w:t>
            </w:r>
          </w:p>
        </w:tc>
        <w:tc>
          <w:tcPr>
            <w:tcW w:w="5680" w:type="dxa"/>
            <w:vAlign w:val="bottom"/>
            <w:gridSpan w:val="7"/>
          </w:tcPr>
          <w:p>
            <w:pPr>
              <w:spacing w:after="0" w:line="203" w:lineRule="exact"/>
              <w:rPr>
                <w:sz w:val="20"/>
                <w:szCs w:val="20"/>
                <w:color w:val="auto"/>
              </w:rPr>
            </w:pPr>
            <w:r>
              <w:rPr>
                <w:rFonts w:ascii="Calibri" w:cs="Calibri" w:eastAsia="Calibri" w:hAnsi="Calibri"/>
                <w:sz w:val="18"/>
                <w:szCs w:val="18"/>
                <w:color w:val="auto"/>
              </w:rPr>
              <w:t>Inline XBRL Taxonomy Extension Schema Document</w:t>
            </w:r>
          </w:p>
        </w:tc>
        <w:tc>
          <w:tcPr>
            <w:tcW w:w="2160" w:type="dxa"/>
            <w:vAlign w:val="bottom"/>
          </w:tcPr>
          <w:p>
            <w:pPr>
              <w:jc w:val="center"/>
              <w:ind w:left="1910"/>
              <w:spacing w:after="0" w:line="203" w:lineRule="exact"/>
              <w:rPr>
                <w:sz w:val="20"/>
                <w:szCs w:val="20"/>
                <w:color w:val="auto"/>
              </w:rPr>
            </w:pPr>
            <w:r>
              <w:rPr>
                <w:rFonts w:ascii="Calibri" w:cs="Calibri" w:eastAsia="Calibri" w:hAnsi="Calibri"/>
                <w:sz w:val="18"/>
                <w:szCs w:val="18"/>
                <w:color w:val="auto"/>
                <w:w w:val="88"/>
              </w:rPr>
              <w:t>*</w:t>
            </w:r>
          </w:p>
        </w:tc>
      </w:tr>
      <w:tr>
        <w:trPr>
          <w:trHeight w:val="189"/>
        </w:trPr>
        <w:tc>
          <w:tcPr>
            <w:tcW w:w="900" w:type="dxa"/>
            <w:vAlign w:val="bottom"/>
          </w:tcPr>
          <w:p>
            <w:pPr>
              <w:spacing w:after="0" w:line="189" w:lineRule="exact"/>
              <w:rPr>
                <w:sz w:val="20"/>
                <w:szCs w:val="20"/>
                <w:color w:val="auto"/>
              </w:rPr>
            </w:pPr>
            <w:r>
              <w:rPr>
                <w:rFonts w:ascii="Calibri" w:cs="Calibri" w:eastAsia="Calibri" w:hAnsi="Calibri"/>
                <w:sz w:val="18"/>
                <w:szCs w:val="18"/>
                <w:color w:val="auto"/>
              </w:rPr>
              <w:t>101.CAL</w:t>
            </w:r>
          </w:p>
        </w:tc>
        <w:tc>
          <w:tcPr>
            <w:tcW w:w="5680" w:type="dxa"/>
            <w:vAlign w:val="bottom"/>
            <w:gridSpan w:val="7"/>
          </w:tcPr>
          <w:p>
            <w:pPr>
              <w:spacing w:after="0" w:line="189" w:lineRule="exact"/>
              <w:rPr>
                <w:sz w:val="20"/>
                <w:szCs w:val="20"/>
                <w:color w:val="auto"/>
              </w:rPr>
            </w:pPr>
            <w:r>
              <w:rPr>
                <w:rFonts w:ascii="Calibri" w:cs="Calibri" w:eastAsia="Calibri" w:hAnsi="Calibri"/>
                <w:sz w:val="18"/>
                <w:szCs w:val="18"/>
                <w:color w:val="auto"/>
              </w:rPr>
              <w:t>Inline XBRL Taxonomy Extension Calculaton</w:t>
            </w:r>
          </w:p>
        </w:tc>
        <w:tc>
          <w:tcPr>
            <w:tcW w:w="2160" w:type="dxa"/>
            <w:vAlign w:val="bottom"/>
          </w:tcPr>
          <w:p>
            <w:pPr>
              <w:jc w:val="center"/>
              <w:ind w:left="1910"/>
              <w:spacing w:after="0" w:line="189" w:lineRule="exact"/>
              <w:rPr>
                <w:sz w:val="20"/>
                <w:szCs w:val="20"/>
                <w:color w:val="auto"/>
              </w:rPr>
            </w:pPr>
            <w:r>
              <w:rPr>
                <w:rFonts w:ascii="Calibri" w:cs="Calibri" w:eastAsia="Calibri" w:hAnsi="Calibri"/>
                <w:sz w:val="18"/>
                <w:szCs w:val="18"/>
                <w:color w:val="auto"/>
                <w:w w:val="88"/>
              </w:rPr>
              <w:t>*</w:t>
            </w:r>
          </w:p>
        </w:tc>
      </w:tr>
      <w:tr>
        <w:trPr>
          <w:trHeight w:val="203"/>
        </w:trPr>
        <w:tc>
          <w:tcPr>
            <w:tcW w:w="900" w:type="dxa"/>
            <w:vAlign w:val="bottom"/>
          </w:tcPr>
          <w:p>
            <w:pPr>
              <w:spacing w:after="0"/>
              <w:rPr>
                <w:sz w:val="17"/>
                <w:szCs w:val="17"/>
                <w:color w:val="auto"/>
              </w:rPr>
            </w:pPr>
          </w:p>
        </w:tc>
        <w:tc>
          <w:tcPr>
            <w:tcW w:w="5680" w:type="dxa"/>
            <w:vAlign w:val="bottom"/>
            <w:gridSpan w:val="7"/>
          </w:tcPr>
          <w:p>
            <w:pPr>
              <w:spacing w:after="0" w:line="203" w:lineRule="exact"/>
              <w:rPr>
                <w:sz w:val="20"/>
                <w:szCs w:val="20"/>
                <w:color w:val="auto"/>
              </w:rPr>
            </w:pPr>
            <w:r>
              <w:rPr>
                <w:rFonts w:ascii="Calibri" w:cs="Calibri" w:eastAsia="Calibri" w:hAnsi="Calibri"/>
                <w:sz w:val="18"/>
                <w:szCs w:val="18"/>
                <w:color w:val="auto"/>
              </w:rPr>
              <w:t>Linkbase Document</w:t>
            </w:r>
          </w:p>
        </w:tc>
        <w:tc>
          <w:tcPr>
            <w:tcW w:w="2160" w:type="dxa"/>
            <w:vAlign w:val="bottom"/>
          </w:tcPr>
          <w:p>
            <w:pPr>
              <w:spacing w:after="0"/>
              <w:rPr>
                <w:sz w:val="17"/>
                <w:szCs w:val="17"/>
                <w:color w:val="auto"/>
              </w:rPr>
            </w:pPr>
          </w:p>
        </w:tc>
      </w:tr>
      <w:tr>
        <w:trPr>
          <w:trHeight w:val="189"/>
        </w:trPr>
        <w:tc>
          <w:tcPr>
            <w:tcW w:w="900" w:type="dxa"/>
            <w:vAlign w:val="bottom"/>
          </w:tcPr>
          <w:p>
            <w:pPr>
              <w:spacing w:after="0" w:line="189" w:lineRule="exact"/>
              <w:rPr>
                <w:sz w:val="20"/>
                <w:szCs w:val="20"/>
                <w:color w:val="auto"/>
              </w:rPr>
            </w:pPr>
            <w:r>
              <w:rPr>
                <w:rFonts w:ascii="Calibri" w:cs="Calibri" w:eastAsia="Calibri" w:hAnsi="Calibri"/>
                <w:sz w:val="18"/>
                <w:szCs w:val="18"/>
                <w:color w:val="auto"/>
              </w:rPr>
              <w:t>101.DEF</w:t>
            </w:r>
          </w:p>
        </w:tc>
        <w:tc>
          <w:tcPr>
            <w:tcW w:w="5680" w:type="dxa"/>
            <w:vAlign w:val="bottom"/>
            <w:gridSpan w:val="7"/>
          </w:tcPr>
          <w:p>
            <w:pPr>
              <w:spacing w:after="0" w:line="189" w:lineRule="exact"/>
              <w:rPr>
                <w:sz w:val="20"/>
                <w:szCs w:val="20"/>
                <w:color w:val="auto"/>
              </w:rPr>
            </w:pPr>
            <w:r>
              <w:rPr>
                <w:rFonts w:ascii="Calibri" w:cs="Calibri" w:eastAsia="Calibri" w:hAnsi="Calibri"/>
                <w:sz w:val="18"/>
                <w:szCs w:val="18"/>
                <w:color w:val="auto"/>
              </w:rPr>
              <w:t>Inline XBRL Taxonomy Extension Defniton Linkbase</w:t>
            </w:r>
          </w:p>
        </w:tc>
        <w:tc>
          <w:tcPr>
            <w:tcW w:w="2160" w:type="dxa"/>
            <w:vAlign w:val="bottom"/>
          </w:tcPr>
          <w:p>
            <w:pPr>
              <w:jc w:val="center"/>
              <w:ind w:left="1910"/>
              <w:spacing w:after="0" w:line="189" w:lineRule="exact"/>
              <w:rPr>
                <w:sz w:val="20"/>
                <w:szCs w:val="20"/>
                <w:color w:val="auto"/>
              </w:rPr>
            </w:pPr>
            <w:r>
              <w:rPr>
                <w:rFonts w:ascii="Calibri" w:cs="Calibri" w:eastAsia="Calibri" w:hAnsi="Calibri"/>
                <w:sz w:val="18"/>
                <w:szCs w:val="18"/>
                <w:color w:val="auto"/>
                <w:w w:val="88"/>
              </w:rPr>
              <w:t>*</w:t>
            </w:r>
          </w:p>
        </w:tc>
      </w:tr>
      <w:tr>
        <w:trPr>
          <w:trHeight w:val="203"/>
        </w:trPr>
        <w:tc>
          <w:tcPr>
            <w:tcW w:w="900" w:type="dxa"/>
            <w:vAlign w:val="bottom"/>
          </w:tcPr>
          <w:p>
            <w:pPr>
              <w:spacing w:after="0"/>
              <w:rPr>
                <w:sz w:val="17"/>
                <w:szCs w:val="17"/>
                <w:color w:val="auto"/>
              </w:rPr>
            </w:pPr>
          </w:p>
        </w:tc>
        <w:tc>
          <w:tcPr>
            <w:tcW w:w="5680" w:type="dxa"/>
            <w:vAlign w:val="bottom"/>
            <w:gridSpan w:val="7"/>
          </w:tcPr>
          <w:p>
            <w:pPr>
              <w:spacing w:after="0" w:line="203" w:lineRule="exact"/>
              <w:rPr>
                <w:sz w:val="20"/>
                <w:szCs w:val="20"/>
                <w:color w:val="auto"/>
              </w:rPr>
            </w:pPr>
            <w:r>
              <w:rPr>
                <w:rFonts w:ascii="Calibri" w:cs="Calibri" w:eastAsia="Calibri" w:hAnsi="Calibri"/>
                <w:sz w:val="18"/>
                <w:szCs w:val="18"/>
                <w:color w:val="auto"/>
              </w:rPr>
              <w:t>Document</w:t>
            </w:r>
          </w:p>
        </w:tc>
        <w:tc>
          <w:tcPr>
            <w:tcW w:w="2160" w:type="dxa"/>
            <w:vAlign w:val="bottom"/>
          </w:tcPr>
          <w:p>
            <w:pPr>
              <w:spacing w:after="0"/>
              <w:rPr>
                <w:sz w:val="17"/>
                <w:szCs w:val="17"/>
                <w:color w:val="auto"/>
              </w:rPr>
            </w:pPr>
          </w:p>
        </w:tc>
      </w:tr>
      <w:tr>
        <w:trPr>
          <w:trHeight w:val="189"/>
        </w:trPr>
        <w:tc>
          <w:tcPr>
            <w:tcW w:w="900" w:type="dxa"/>
            <w:vAlign w:val="bottom"/>
          </w:tcPr>
          <w:p>
            <w:pPr>
              <w:spacing w:after="0" w:line="189" w:lineRule="exact"/>
              <w:rPr>
                <w:sz w:val="20"/>
                <w:szCs w:val="20"/>
                <w:color w:val="auto"/>
              </w:rPr>
            </w:pPr>
            <w:r>
              <w:rPr>
                <w:rFonts w:ascii="Calibri" w:cs="Calibri" w:eastAsia="Calibri" w:hAnsi="Calibri"/>
                <w:sz w:val="18"/>
                <w:szCs w:val="18"/>
                <w:color w:val="auto"/>
              </w:rPr>
              <w:t>101.LAB</w:t>
            </w:r>
          </w:p>
        </w:tc>
        <w:tc>
          <w:tcPr>
            <w:tcW w:w="5680" w:type="dxa"/>
            <w:vAlign w:val="bottom"/>
            <w:gridSpan w:val="7"/>
          </w:tcPr>
          <w:p>
            <w:pPr>
              <w:spacing w:after="0" w:line="189" w:lineRule="exact"/>
              <w:rPr>
                <w:sz w:val="20"/>
                <w:szCs w:val="20"/>
                <w:color w:val="auto"/>
              </w:rPr>
            </w:pPr>
            <w:r>
              <w:rPr>
                <w:rFonts w:ascii="Calibri" w:cs="Calibri" w:eastAsia="Calibri" w:hAnsi="Calibri"/>
                <w:sz w:val="18"/>
                <w:szCs w:val="18"/>
                <w:color w:val="auto"/>
              </w:rPr>
              <w:t>Inline XBRL Taxonomy Extension Label Linkbase</w:t>
            </w:r>
          </w:p>
        </w:tc>
        <w:tc>
          <w:tcPr>
            <w:tcW w:w="2160" w:type="dxa"/>
            <w:vAlign w:val="bottom"/>
          </w:tcPr>
          <w:p>
            <w:pPr>
              <w:jc w:val="center"/>
              <w:ind w:left="1910"/>
              <w:spacing w:after="0" w:line="189" w:lineRule="exact"/>
              <w:rPr>
                <w:sz w:val="20"/>
                <w:szCs w:val="20"/>
                <w:color w:val="auto"/>
              </w:rPr>
            </w:pPr>
            <w:r>
              <w:rPr>
                <w:rFonts w:ascii="Calibri" w:cs="Calibri" w:eastAsia="Calibri" w:hAnsi="Calibri"/>
                <w:sz w:val="18"/>
                <w:szCs w:val="18"/>
                <w:color w:val="auto"/>
                <w:w w:val="88"/>
              </w:rPr>
              <w:t>*</w:t>
            </w:r>
          </w:p>
        </w:tc>
      </w:tr>
      <w:tr>
        <w:trPr>
          <w:trHeight w:val="203"/>
        </w:trPr>
        <w:tc>
          <w:tcPr>
            <w:tcW w:w="900" w:type="dxa"/>
            <w:vAlign w:val="bottom"/>
          </w:tcPr>
          <w:p>
            <w:pPr>
              <w:spacing w:after="0"/>
              <w:rPr>
                <w:sz w:val="17"/>
                <w:szCs w:val="17"/>
                <w:color w:val="auto"/>
              </w:rPr>
            </w:pPr>
          </w:p>
        </w:tc>
        <w:tc>
          <w:tcPr>
            <w:tcW w:w="5680" w:type="dxa"/>
            <w:vAlign w:val="bottom"/>
            <w:gridSpan w:val="7"/>
          </w:tcPr>
          <w:p>
            <w:pPr>
              <w:spacing w:after="0" w:line="203" w:lineRule="exact"/>
              <w:rPr>
                <w:sz w:val="20"/>
                <w:szCs w:val="20"/>
                <w:color w:val="auto"/>
              </w:rPr>
            </w:pPr>
            <w:r>
              <w:rPr>
                <w:rFonts w:ascii="Calibri" w:cs="Calibri" w:eastAsia="Calibri" w:hAnsi="Calibri"/>
                <w:sz w:val="18"/>
                <w:szCs w:val="18"/>
                <w:color w:val="auto"/>
              </w:rPr>
              <w:t>Document</w:t>
            </w:r>
          </w:p>
        </w:tc>
        <w:tc>
          <w:tcPr>
            <w:tcW w:w="2160" w:type="dxa"/>
            <w:vAlign w:val="bottom"/>
          </w:tcPr>
          <w:p>
            <w:pPr>
              <w:spacing w:after="0"/>
              <w:rPr>
                <w:sz w:val="17"/>
                <w:szCs w:val="17"/>
                <w:color w:val="auto"/>
              </w:rPr>
            </w:pPr>
          </w:p>
        </w:tc>
      </w:tr>
      <w:tr>
        <w:trPr>
          <w:trHeight w:val="189"/>
        </w:trPr>
        <w:tc>
          <w:tcPr>
            <w:tcW w:w="900" w:type="dxa"/>
            <w:vAlign w:val="bottom"/>
          </w:tcPr>
          <w:p>
            <w:pPr>
              <w:spacing w:after="0" w:line="189" w:lineRule="exact"/>
              <w:rPr>
                <w:sz w:val="20"/>
                <w:szCs w:val="20"/>
                <w:color w:val="auto"/>
              </w:rPr>
            </w:pPr>
            <w:r>
              <w:rPr>
                <w:rFonts w:ascii="Calibri" w:cs="Calibri" w:eastAsia="Calibri" w:hAnsi="Calibri"/>
                <w:sz w:val="18"/>
                <w:szCs w:val="18"/>
                <w:color w:val="auto"/>
              </w:rPr>
              <w:t>101.PRE</w:t>
            </w:r>
          </w:p>
        </w:tc>
        <w:tc>
          <w:tcPr>
            <w:tcW w:w="5680" w:type="dxa"/>
            <w:vAlign w:val="bottom"/>
            <w:gridSpan w:val="7"/>
          </w:tcPr>
          <w:p>
            <w:pPr>
              <w:spacing w:after="0" w:line="189" w:lineRule="exact"/>
              <w:rPr>
                <w:sz w:val="20"/>
                <w:szCs w:val="20"/>
                <w:color w:val="auto"/>
              </w:rPr>
            </w:pPr>
            <w:r>
              <w:rPr>
                <w:rFonts w:ascii="Calibri" w:cs="Calibri" w:eastAsia="Calibri" w:hAnsi="Calibri"/>
                <w:sz w:val="18"/>
                <w:szCs w:val="18"/>
                <w:color w:val="auto"/>
              </w:rPr>
              <w:t>Inline XBRL Taxonomy Extension Presentaton</w:t>
            </w:r>
          </w:p>
        </w:tc>
        <w:tc>
          <w:tcPr>
            <w:tcW w:w="2160" w:type="dxa"/>
            <w:vAlign w:val="bottom"/>
          </w:tcPr>
          <w:p>
            <w:pPr>
              <w:jc w:val="center"/>
              <w:ind w:left="1910"/>
              <w:spacing w:after="0" w:line="189" w:lineRule="exact"/>
              <w:rPr>
                <w:sz w:val="20"/>
                <w:szCs w:val="20"/>
                <w:color w:val="auto"/>
              </w:rPr>
            </w:pPr>
            <w:r>
              <w:rPr>
                <w:rFonts w:ascii="Calibri" w:cs="Calibri" w:eastAsia="Calibri" w:hAnsi="Calibri"/>
                <w:sz w:val="18"/>
                <w:szCs w:val="18"/>
                <w:color w:val="auto"/>
                <w:w w:val="88"/>
              </w:rPr>
              <w:t>*</w:t>
            </w:r>
          </w:p>
        </w:tc>
      </w:tr>
      <w:tr>
        <w:trPr>
          <w:trHeight w:val="203"/>
        </w:trPr>
        <w:tc>
          <w:tcPr>
            <w:tcW w:w="900" w:type="dxa"/>
            <w:vAlign w:val="bottom"/>
          </w:tcPr>
          <w:p>
            <w:pPr>
              <w:spacing w:after="0"/>
              <w:rPr>
                <w:sz w:val="17"/>
                <w:szCs w:val="17"/>
                <w:color w:val="auto"/>
              </w:rPr>
            </w:pPr>
          </w:p>
        </w:tc>
        <w:tc>
          <w:tcPr>
            <w:tcW w:w="5680" w:type="dxa"/>
            <w:vAlign w:val="bottom"/>
            <w:gridSpan w:val="7"/>
          </w:tcPr>
          <w:p>
            <w:pPr>
              <w:spacing w:after="0" w:line="203" w:lineRule="exact"/>
              <w:rPr>
                <w:sz w:val="20"/>
                <w:szCs w:val="20"/>
                <w:color w:val="auto"/>
              </w:rPr>
            </w:pPr>
            <w:r>
              <w:rPr>
                <w:rFonts w:ascii="Calibri" w:cs="Calibri" w:eastAsia="Calibri" w:hAnsi="Calibri"/>
                <w:sz w:val="18"/>
                <w:szCs w:val="18"/>
                <w:color w:val="auto"/>
              </w:rPr>
              <w:t>Linkbase Document</w:t>
            </w:r>
          </w:p>
        </w:tc>
        <w:tc>
          <w:tcPr>
            <w:tcW w:w="2160" w:type="dxa"/>
            <w:vAlign w:val="bottom"/>
          </w:tcPr>
          <w:p>
            <w:pPr>
              <w:spacing w:after="0"/>
              <w:rPr>
                <w:sz w:val="17"/>
                <w:szCs w:val="17"/>
                <w:color w:val="auto"/>
              </w:rPr>
            </w:pPr>
          </w:p>
        </w:tc>
      </w:tr>
      <w:tr>
        <w:trPr>
          <w:trHeight w:val="189"/>
        </w:trPr>
        <w:tc>
          <w:tcPr>
            <w:tcW w:w="900" w:type="dxa"/>
            <w:vAlign w:val="bottom"/>
          </w:tcPr>
          <w:p>
            <w:pPr>
              <w:spacing w:after="0" w:line="189" w:lineRule="exact"/>
              <w:rPr>
                <w:sz w:val="20"/>
                <w:szCs w:val="20"/>
                <w:color w:val="auto"/>
              </w:rPr>
            </w:pPr>
            <w:r>
              <w:rPr>
                <w:rFonts w:ascii="Calibri" w:cs="Calibri" w:eastAsia="Calibri" w:hAnsi="Calibri"/>
                <w:sz w:val="18"/>
                <w:szCs w:val="18"/>
                <w:color w:val="auto"/>
              </w:rPr>
              <w:t>104</w:t>
            </w:r>
          </w:p>
        </w:tc>
        <w:tc>
          <w:tcPr>
            <w:tcW w:w="5680" w:type="dxa"/>
            <w:vAlign w:val="bottom"/>
            <w:gridSpan w:val="7"/>
          </w:tcPr>
          <w:p>
            <w:pPr>
              <w:spacing w:after="0" w:line="189" w:lineRule="exact"/>
              <w:rPr>
                <w:sz w:val="20"/>
                <w:szCs w:val="20"/>
                <w:color w:val="auto"/>
              </w:rPr>
            </w:pPr>
            <w:r>
              <w:rPr>
                <w:rFonts w:ascii="Calibri" w:cs="Calibri" w:eastAsia="Calibri" w:hAnsi="Calibri"/>
                <w:sz w:val="18"/>
                <w:szCs w:val="18"/>
                <w:color w:val="auto"/>
              </w:rPr>
              <w:t>Cover Page Interactve Data File (embedded within</w:t>
            </w:r>
          </w:p>
        </w:tc>
        <w:tc>
          <w:tcPr>
            <w:tcW w:w="2160" w:type="dxa"/>
            <w:vAlign w:val="bottom"/>
          </w:tcPr>
          <w:p>
            <w:pPr>
              <w:jc w:val="center"/>
              <w:ind w:left="1910"/>
              <w:spacing w:after="0" w:line="189" w:lineRule="exact"/>
              <w:rPr>
                <w:sz w:val="20"/>
                <w:szCs w:val="20"/>
                <w:color w:val="auto"/>
              </w:rPr>
            </w:pPr>
            <w:r>
              <w:rPr>
                <w:rFonts w:ascii="Calibri" w:cs="Calibri" w:eastAsia="Calibri" w:hAnsi="Calibri"/>
                <w:sz w:val="18"/>
                <w:szCs w:val="18"/>
                <w:color w:val="auto"/>
                <w:w w:val="88"/>
              </w:rPr>
              <w:t>*</w:t>
            </w:r>
          </w:p>
        </w:tc>
      </w:tr>
      <w:tr>
        <w:trPr>
          <w:trHeight w:val="215"/>
        </w:trPr>
        <w:tc>
          <w:tcPr>
            <w:tcW w:w="900" w:type="dxa"/>
            <w:vAlign w:val="bottom"/>
          </w:tcPr>
          <w:p>
            <w:pPr>
              <w:spacing w:after="0"/>
              <w:rPr>
                <w:sz w:val="18"/>
                <w:szCs w:val="18"/>
                <w:color w:val="auto"/>
              </w:rPr>
            </w:pPr>
          </w:p>
        </w:tc>
        <w:tc>
          <w:tcPr>
            <w:tcW w:w="5680" w:type="dxa"/>
            <w:vAlign w:val="bottom"/>
            <w:gridSpan w:val="7"/>
          </w:tcPr>
          <w:p>
            <w:pPr>
              <w:spacing w:after="0" w:line="215" w:lineRule="exact"/>
              <w:rPr>
                <w:sz w:val="20"/>
                <w:szCs w:val="20"/>
                <w:color w:val="auto"/>
              </w:rPr>
            </w:pPr>
            <w:r>
              <w:rPr>
                <w:rFonts w:ascii="Calibri" w:cs="Calibri" w:eastAsia="Calibri" w:hAnsi="Calibri"/>
                <w:sz w:val="18"/>
                <w:szCs w:val="18"/>
                <w:color w:val="auto"/>
              </w:rPr>
              <w:t>the Inline XBRL document)</w:t>
            </w:r>
          </w:p>
        </w:tc>
        <w:tc>
          <w:tcPr>
            <w:tcW w:w="2160" w:type="dxa"/>
            <w:vAlign w:val="bottom"/>
          </w:tcPr>
          <w:p>
            <w:pPr>
              <w:spacing w:after="0"/>
              <w:rPr>
                <w:sz w:val="18"/>
                <w:szCs w:val="18"/>
                <w:color w:val="auto"/>
              </w:rPr>
            </w:pPr>
          </w:p>
        </w:tc>
      </w:tr>
    </w:tbl>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 Filed herewith.</w:t>
      </w:r>
    </w:p>
    <w:p>
      <w:pPr>
        <w:spacing w:after="0" w:line="221" w:lineRule="auto"/>
        <w:rPr>
          <w:sz w:val="20"/>
          <w:szCs w:val="20"/>
          <w:color w:val="auto"/>
        </w:rPr>
      </w:pPr>
      <w:r>
        <w:rPr>
          <w:rFonts w:ascii="Calibri" w:cs="Calibri" w:eastAsia="Calibri" w:hAnsi="Calibri"/>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40"/>
        <w:spacing w:after="0"/>
        <w:rPr>
          <w:sz w:val="20"/>
          <w:szCs w:val="20"/>
          <w:color w:val="auto"/>
        </w:rPr>
      </w:pPr>
      <w:r>
        <w:rPr>
          <w:rFonts w:ascii="Calibri" w:cs="Calibri" w:eastAsia="Calibri" w:hAnsi="Calibri"/>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1" w:right="1440" w:bottom="1440" w:gutter="0" w:footer="0" w:header="0"/>
        </w:sectPr>
      </w:pPr>
    </w:p>
    <w:bookmarkStart w:id="41" w:name="page42"/>
    <w:bookmarkEnd w:id="41"/>
    <w:p>
      <w:pPr>
        <w:jc w:val="center"/>
        <w:spacing w:after="0"/>
        <w:rPr>
          <w:sz w:val="20"/>
          <w:szCs w:val="20"/>
          <w:color w:val="auto"/>
        </w:rPr>
      </w:pPr>
      <w:r>
        <w:rPr>
          <w:rFonts w:ascii="Calibri" w:cs="Calibri" w:eastAsia="Calibri" w:hAnsi="Calibri"/>
          <w:sz w:val="18"/>
          <w:szCs w:val="18"/>
          <w:b w:val="1"/>
          <w:bCs w:val="1"/>
          <w:color w:val="auto"/>
        </w:rPr>
        <w:t>Signatures</w:t>
      </w:r>
    </w:p>
    <w:p>
      <w:pPr>
        <w:spacing w:after="0" w:line="204" w:lineRule="exact"/>
        <w:rPr>
          <w:sz w:val="20"/>
          <w:szCs w:val="20"/>
          <w:color w:val="auto"/>
        </w:rPr>
      </w:pPr>
    </w:p>
    <w:p>
      <w:pPr>
        <w:spacing w:after="0" w:line="227"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187" w:lineRule="exact"/>
        <w:rPr>
          <w:sz w:val="20"/>
          <w:szCs w:val="20"/>
          <w:color w:val="auto"/>
        </w:rPr>
      </w:pPr>
    </w:p>
    <w:p>
      <w:pPr>
        <w:ind w:left="5680"/>
        <w:spacing w:after="0"/>
        <w:rPr>
          <w:sz w:val="20"/>
          <w:szCs w:val="20"/>
          <w:color w:val="auto"/>
        </w:rPr>
      </w:pPr>
      <w:r>
        <w:rPr>
          <w:rFonts w:ascii="Calibri" w:cs="Calibri" w:eastAsia="Calibri" w:hAnsi="Calibri"/>
          <w:sz w:val="18"/>
          <w:szCs w:val="18"/>
          <w:color w:val="auto"/>
        </w:rPr>
        <w:t>Vivid Seats Inc.</w:t>
      </w:r>
    </w:p>
    <w:p>
      <w:pPr>
        <w:spacing w:after="0" w:line="212" w:lineRule="exact"/>
        <w:rPr>
          <w:sz w:val="20"/>
          <w:szCs w:val="20"/>
          <w:color w:val="auto"/>
        </w:rPr>
      </w:pPr>
    </w:p>
    <w:p>
      <w:pPr>
        <w:ind w:left="5680"/>
        <w:spacing w:after="0"/>
        <w:tabs>
          <w:tab w:leader="none" w:pos="6100" w:val="left"/>
        </w:tabs>
        <w:rPr>
          <w:sz w:val="20"/>
          <w:szCs w:val="20"/>
          <w:color w:val="auto"/>
        </w:rPr>
      </w:pPr>
      <w:r>
        <w:rPr>
          <w:rFonts w:ascii="Calibri" w:cs="Calibri" w:eastAsia="Calibri" w:hAnsi="Calibri"/>
          <w:sz w:val="18"/>
          <w:szCs w:val="18"/>
          <w:color w:val="auto"/>
        </w:rPr>
        <w:t>By:</w:t>
        <w:tab/>
        <w:t>/s/ Stanley Chia</w:t>
      </w:r>
    </w:p>
    <w:p>
      <w:pPr>
        <w:ind w:left="6120"/>
        <w:spacing w:after="0" w:line="235" w:lineRule="auto"/>
        <w:rPr>
          <w:sz w:val="20"/>
          <w:szCs w:val="20"/>
          <w:color w:val="auto"/>
        </w:rPr>
      </w:pPr>
      <w:r>
        <w:rPr>
          <w:rFonts w:ascii="Calibri" w:cs="Calibri" w:eastAsia="Calibri" w:hAnsi="Calibri"/>
          <w:sz w:val="18"/>
          <w:szCs w:val="18"/>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-121285</wp:posOffset>
            </wp:positionV>
            <wp:extent cx="325755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ind w:left="6120"/>
        <w:spacing w:after="0" w:line="236" w:lineRule="auto"/>
        <w:rPr>
          <w:sz w:val="20"/>
          <w:szCs w:val="20"/>
          <w:color w:val="auto"/>
        </w:rPr>
      </w:pPr>
      <w:r>
        <w:rPr>
          <w:rFonts w:ascii="Calibri" w:cs="Calibri" w:eastAsia="Calibri" w:hAnsi="Calibri"/>
          <w:sz w:val="18"/>
          <w:szCs w:val="18"/>
          <w:color w:val="auto"/>
        </w:rPr>
        <w:t>Chief Executve Ofcer</w:t>
      </w:r>
    </w:p>
    <w:p>
      <w:pPr>
        <w:ind w:left="6120"/>
        <w:spacing w:after="0" w:line="236" w:lineRule="auto"/>
        <w:rPr>
          <w:sz w:val="20"/>
          <w:szCs w:val="20"/>
          <w:color w:val="auto"/>
        </w:rPr>
      </w:pPr>
      <w:r>
        <w:rPr>
          <w:rFonts w:ascii="Calibri" w:cs="Calibri" w:eastAsia="Calibri" w:hAnsi="Calibri"/>
          <w:sz w:val="18"/>
          <w:szCs w:val="18"/>
          <w:color w:val="auto"/>
        </w:rPr>
        <w:t>August 9, 2022</w:t>
      </w:r>
    </w:p>
    <w:p>
      <w:pPr>
        <w:spacing w:after="0" w:line="186" w:lineRule="exact"/>
        <w:rPr>
          <w:sz w:val="20"/>
          <w:szCs w:val="20"/>
          <w:color w:val="auto"/>
        </w:rPr>
      </w:pPr>
    </w:p>
    <w:p>
      <w:pPr>
        <w:ind w:left="5680"/>
        <w:spacing w:after="0"/>
        <w:tabs>
          <w:tab w:leader="none" w:pos="6100" w:val="left"/>
        </w:tabs>
        <w:rPr>
          <w:sz w:val="20"/>
          <w:szCs w:val="20"/>
          <w:color w:val="auto"/>
        </w:rPr>
      </w:pPr>
      <w:r>
        <w:rPr>
          <w:rFonts w:ascii="Calibri" w:cs="Calibri" w:eastAsia="Calibri" w:hAnsi="Calibri"/>
          <w:sz w:val="18"/>
          <w:szCs w:val="18"/>
          <w:color w:val="auto"/>
        </w:rPr>
        <w:t>By:</w:t>
        <w:tab/>
        <w:t>/s/ Lawrence Fey</w:t>
      </w:r>
    </w:p>
    <w:p>
      <w:pPr>
        <w:ind w:left="6120"/>
        <w:spacing w:after="0" w:line="235" w:lineRule="auto"/>
        <w:rPr>
          <w:sz w:val="20"/>
          <w:szCs w:val="20"/>
          <w:color w:val="auto"/>
        </w:rPr>
      </w:pPr>
      <w:r>
        <w:rPr>
          <w:rFonts w:ascii="Calibri" w:cs="Calibri" w:eastAsia="Calibri" w:hAnsi="Calibri"/>
          <w:sz w:val="18"/>
          <w:szCs w:val="18"/>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-121285</wp:posOffset>
            </wp:positionV>
            <wp:extent cx="32575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ind w:left="6120"/>
        <w:spacing w:after="0" w:line="222" w:lineRule="auto"/>
        <w:rPr>
          <w:sz w:val="20"/>
          <w:szCs w:val="20"/>
          <w:color w:val="auto"/>
        </w:rPr>
      </w:pPr>
      <w:r>
        <w:rPr>
          <w:rFonts w:ascii="Calibri" w:cs="Calibri" w:eastAsia="Calibri" w:hAnsi="Calibri"/>
          <w:sz w:val="18"/>
          <w:szCs w:val="18"/>
          <w:color w:val="auto"/>
        </w:rPr>
        <w:t>Chief Financial Ofcer</w:t>
      </w:r>
    </w:p>
    <w:p>
      <w:pPr>
        <w:ind w:left="6120"/>
        <w:spacing w:after="0" w:line="221" w:lineRule="auto"/>
        <w:rPr>
          <w:sz w:val="20"/>
          <w:szCs w:val="20"/>
          <w:color w:val="auto"/>
        </w:rPr>
      </w:pPr>
      <w:r>
        <w:rPr>
          <w:rFonts w:ascii="Calibri" w:cs="Calibri" w:eastAsia="Calibri" w:hAnsi="Calibri"/>
          <w:sz w:val="18"/>
          <w:szCs w:val="18"/>
          <w:color w:val="auto"/>
        </w:rPr>
        <w:t>August 9, 2022</w:t>
      </w:r>
    </w:p>
    <w:p>
      <w:pPr>
        <w:spacing w:after="0" w:line="19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2" w:name="page43"/>
    <w:bookmarkEnd w:id="42"/>
    <w:p>
      <w:pPr>
        <w:jc w:val="right"/>
        <w:spacing w:after="0"/>
        <w:rPr>
          <w:sz w:val="20"/>
          <w:szCs w:val="20"/>
          <w:color w:val="auto"/>
        </w:rPr>
      </w:pPr>
      <w:r>
        <w:rPr>
          <w:rFonts w:ascii="Calibri" w:cs="Calibri" w:eastAsia="Calibri" w:hAnsi="Calibri"/>
          <w:sz w:val="18"/>
          <w:szCs w:val="18"/>
          <w:b w:val="1"/>
          <w:bCs w:val="1"/>
          <w:color w:val="auto"/>
        </w:rPr>
        <w:t>Exhibit 10.1</w:t>
      </w:r>
    </w:p>
    <w:p>
      <w:pPr>
        <w:spacing w:after="0" w:line="13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Vivid Seats Inc.</w:t>
      </w:r>
    </w:p>
    <w:p>
      <w:pPr>
        <w:jc w:val="center"/>
        <w:spacing w:after="0" w:line="221" w:lineRule="auto"/>
        <w:rPr>
          <w:sz w:val="20"/>
          <w:szCs w:val="20"/>
          <w:color w:val="auto"/>
        </w:rPr>
      </w:pPr>
      <w:r>
        <w:rPr>
          <w:rFonts w:ascii="Calibri" w:cs="Calibri" w:eastAsia="Calibri" w:hAnsi="Calibri"/>
          <w:sz w:val="18"/>
          <w:szCs w:val="18"/>
          <w:b w:val="1"/>
          <w:bCs w:val="1"/>
          <w:color w:val="auto"/>
        </w:rPr>
        <w:t>Non-Employee Director Compensaton Policy</w:t>
      </w:r>
    </w:p>
    <w:p>
      <w:pPr>
        <w:spacing w:after="0" w:line="131"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color w:val="auto"/>
        </w:rPr>
        <w:t>(as amended and restated, efectve June 7, 2022)</w:t>
      </w:r>
    </w:p>
    <w:p>
      <w:pPr>
        <w:spacing w:after="0" w:line="136"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Non-employee members of the board of directors (the “</w:t>
      </w:r>
      <w:r>
        <w:rPr>
          <w:rFonts w:ascii="Calibri" w:cs="Calibri" w:eastAsia="Calibri" w:hAnsi="Calibri"/>
          <w:sz w:val="18"/>
          <w:szCs w:val="18"/>
          <w:b w:val="1"/>
          <w:bCs w:val="1"/>
          <w:i w:val="1"/>
          <w:iCs w:val="1"/>
          <w:color w:val="auto"/>
        </w:rPr>
        <w:t>Board</w:t>
      </w:r>
      <w:r>
        <w:rPr>
          <w:rFonts w:ascii="Calibri" w:cs="Calibri" w:eastAsia="Calibri" w:hAnsi="Calibri"/>
          <w:sz w:val="18"/>
          <w:szCs w:val="18"/>
          <w:color w:val="auto"/>
        </w:rPr>
        <w:t>”) of Vivid Seats Inc. (the “</w:t>
      </w:r>
      <w:r>
        <w:rPr>
          <w:rFonts w:ascii="Calibri" w:cs="Calibri" w:eastAsia="Calibri" w:hAnsi="Calibri"/>
          <w:sz w:val="18"/>
          <w:szCs w:val="18"/>
          <w:b w:val="1"/>
          <w:bCs w:val="1"/>
          <w:i w:val="1"/>
          <w:iCs w:val="1"/>
          <w:color w:val="auto"/>
        </w:rPr>
        <w:t>Company</w:t>
      </w:r>
      <w:r>
        <w:rPr>
          <w:rFonts w:ascii="Calibri" w:cs="Calibri" w:eastAsia="Calibri" w:hAnsi="Calibri"/>
          <w:sz w:val="18"/>
          <w:szCs w:val="18"/>
          <w:color w:val="auto"/>
        </w:rPr>
        <w:t>”) shall be eligible to receive cash and equity compensaton as set forth in this Non-Employee Director Compensaton Policy (this “</w:t>
      </w:r>
      <w:r>
        <w:rPr>
          <w:rFonts w:ascii="Calibri" w:cs="Calibri" w:eastAsia="Calibri" w:hAnsi="Calibri"/>
          <w:sz w:val="18"/>
          <w:szCs w:val="18"/>
          <w:b w:val="1"/>
          <w:bCs w:val="1"/>
          <w:i w:val="1"/>
          <w:iCs w:val="1"/>
          <w:color w:val="auto"/>
        </w:rPr>
        <w:t>Policy</w:t>
      </w:r>
      <w:r>
        <w:rPr>
          <w:rFonts w:ascii="Calibri" w:cs="Calibri" w:eastAsia="Calibri" w:hAnsi="Calibri"/>
          <w:sz w:val="18"/>
          <w:szCs w:val="18"/>
          <w:color w:val="auto"/>
        </w:rPr>
        <w:t>”). The cash and equity compensaton described in this Policy shall be paid or be made, as applicable, automatcally and without further acton of the Board, to each member of the Board who is not an employee of the Company or any parent or subsidiary of the Company (each, a “</w:t>
      </w:r>
      <w:r>
        <w:rPr>
          <w:rFonts w:ascii="Calibri" w:cs="Calibri" w:eastAsia="Calibri" w:hAnsi="Calibri"/>
          <w:sz w:val="18"/>
          <w:szCs w:val="18"/>
          <w:b w:val="1"/>
          <w:bCs w:val="1"/>
          <w:i w:val="1"/>
          <w:iCs w:val="1"/>
          <w:color w:val="auto"/>
        </w:rPr>
        <w:t>Non-Employee Director</w:t>
      </w:r>
      <w:r>
        <w:rPr>
          <w:rFonts w:ascii="Calibri" w:cs="Calibri" w:eastAsia="Calibri" w:hAnsi="Calibri"/>
          <w:sz w:val="18"/>
          <w:szCs w:val="18"/>
          <w:color w:val="auto"/>
        </w:rPr>
        <w:t>”) who may be eligible to receive such cash or equity compensaton, unless such Non-Employee Director declines the receipt of such cash or equity compensaton by writen notce to the Company. This Policy became efectve afer the efectveness of the Company’s Form S-4 Registraton on September 23, 2021 (the “</w:t>
      </w:r>
      <w:r>
        <w:rPr>
          <w:rFonts w:ascii="Calibri" w:cs="Calibri" w:eastAsia="Calibri" w:hAnsi="Calibri"/>
          <w:sz w:val="18"/>
          <w:szCs w:val="18"/>
          <w:b w:val="1"/>
          <w:bCs w:val="1"/>
          <w:i w:val="1"/>
          <w:iCs w:val="1"/>
          <w:color w:val="auto"/>
        </w:rPr>
        <w:t>Efectve Date</w:t>
      </w:r>
      <w:r>
        <w:rPr>
          <w:rFonts w:ascii="Calibri" w:cs="Calibri" w:eastAsia="Calibri" w:hAnsi="Calibri"/>
          <w:sz w:val="18"/>
          <w:szCs w:val="18"/>
          <w:color w:val="auto"/>
        </w:rPr>
        <w:t>”), was amended and restated efectve as of and with efect from and afer the Company’s 2022 Annual Meetng on June 7, 2022, and shall remain in efect untl it is revised or rescinded by further acton of the Board. This Policy may be amended, modifed or terminated by the Board at any tme in its sole discreton. The terms and conditons of this Policy shall supersede any prior cash and/or equity compensaton arrangements for service as a member of the Board between the Company and any of its Non-Employee Directors and between any subsidiary of the Company and any of its non-employee directors.</w:t>
      </w:r>
    </w:p>
    <w:p>
      <w:pPr>
        <w:spacing w:after="0" w:line="140" w:lineRule="exact"/>
        <w:rPr>
          <w:sz w:val="20"/>
          <w:szCs w:val="20"/>
          <w:color w:val="auto"/>
        </w:rPr>
      </w:pPr>
    </w:p>
    <w:p>
      <w:pPr>
        <w:ind w:left="1020" w:hanging="503"/>
        <w:spacing w:after="0"/>
        <w:tabs>
          <w:tab w:leader="none" w:pos="1020" w:val="left"/>
        </w:tabs>
        <w:numPr>
          <w:ilvl w:val="0"/>
          <w:numId w:val="9"/>
        </w:numPr>
        <w:rPr>
          <w:rFonts w:ascii="Calibri" w:cs="Calibri" w:eastAsia="Calibri" w:hAnsi="Calibri"/>
          <w:sz w:val="18"/>
          <w:szCs w:val="18"/>
          <w:color w:val="auto"/>
        </w:rPr>
      </w:pPr>
      <w:r>
        <w:rPr>
          <w:rFonts w:ascii="Calibri" w:cs="Calibri" w:eastAsia="Calibri" w:hAnsi="Calibri"/>
          <w:sz w:val="18"/>
          <w:szCs w:val="18"/>
          <w:color w:val="auto"/>
        </w:rPr>
        <w:t>Cash Compensaton.</w:t>
      </w:r>
    </w:p>
    <w:p>
      <w:pPr>
        <w:spacing w:after="0" w:line="131" w:lineRule="exact"/>
        <w:rPr>
          <w:rFonts w:ascii="Calibri" w:cs="Calibri" w:eastAsia="Calibri" w:hAnsi="Calibri"/>
          <w:sz w:val="18"/>
          <w:szCs w:val="18"/>
          <w:color w:val="auto"/>
        </w:rPr>
      </w:pPr>
    </w:p>
    <w:p>
      <w:pPr>
        <w:ind w:left="1540" w:hanging="514"/>
        <w:spacing w:after="0"/>
        <w:tabs>
          <w:tab w:leader="none" w:pos="1540" w:val="left"/>
        </w:tabs>
        <w:numPr>
          <w:ilvl w:val="1"/>
          <w:numId w:val="9"/>
        </w:numPr>
        <w:rPr>
          <w:rFonts w:ascii="Calibri" w:cs="Calibri" w:eastAsia="Calibri" w:hAnsi="Calibri"/>
          <w:sz w:val="18"/>
          <w:szCs w:val="18"/>
          <w:color w:val="auto"/>
        </w:rPr>
      </w:pPr>
      <w:r>
        <w:rPr>
          <w:rFonts w:ascii="Calibri" w:cs="Calibri" w:eastAsia="Calibri" w:hAnsi="Calibri"/>
          <w:sz w:val="18"/>
          <w:szCs w:val="18"/>
          <w:u w:val="single" w:color="auto"/>
          <w:color w:val="auto"/>
        </w:rPr>
        <w:t>Annual Retainers</w:t>
      </w:r>
      <w:r>
        <w:rPr>
          <w:rFonts w:ascii="Calibri" w:cs="Calibri" w:eastAsia="Calibri" w:hAnsi="Calibri"/>
          <w:sz w:val="18"/>
          <w:szCs w:val="18"/>
          <w:color w:val="auto"/>
        </w:rPr>
        <w:t>. Each Non-Employee Director shall receive an annual retainer of $40,000 for service on the Board.</w:t>
      </w:r>
    </w:p>
    <w:p>
      <w:pPr>
        <w:spacing w:after="0" w:line="131" w:lineRule="exact"/>
        <w:rPr>
          <w:rFonts w:ascii="Calibri" w:cs="Calibri" w:eastAsia="Calibri" w:hAnsi="Calibri"/>
          <w:sz w:val="18"/>
          <w:szCs w:val="18"/>
          <w:color w:val="auto"/>
        </w:rPr>
      </w:pPr>
    </w:p>
    <w:p>
      <w:pPr>
        <w:ind w:left="1540" w:hanging="514"/>
        <w:spacing w:after="0"/>
        <w:tabs>
          <w:tab w:leader="none" w:pos="1540" w:val="left"/>
        </w:tabs>
        <w:numPr>
          <w:ilvl w:val="1"/>
          <w:numId w:val="9"/>
        </w:numPr>
        <w:rPr>
          <w:rFonts w:ascii="Calibri" w:cs="Calibri" w:eastAsia="Calibri" w:hAnsi="Calibri"/>
          <w:sz w:val="18"/>
          <w:szCs w:val="18"/>
          <w:color w:val="auto"/>
        </w:rPr>
      </w:pPr>
      <w:r>
        <w:rPr>
          <w:rFonts w:ascii="Calibri" w:cs="Calibri" w:eastAsia="Calibri" w:hAnsi="Calibri"/>
          <w:sz w:val="18"/>
          <w:szCs w:val="18"/>
          <w:u w:val="single" w:color="auto"/>
          <w:color w:val="auto"/>
        </w:rPr>
        <w:t>Additonal Annual Retainers</w:t>
      </w:r>
      <w:r>
        <w:rPr>
          <w:rFonts w:ascii="Calibri" w:cs="Calibri" w:eastAsia="Calibri" w:hAnsi="Calibri"/>
          <w:sz w:val="18"/>
          <w:szCs w:val="18"/>
          <w:color w:val="auto"/>
        </w:rPr>
        <w:t>. In additon, a Non-Employee Director shall receive the following annual retainers:</w:t>
      </w:r>
    </w:p>
    <w:p>
      <w:pPr>
        <w:spacing w:after="0" w:line="136" w:lineRule="exact"/>
        <w:rPr>
          <w:rFonts w:ascii="Calibri" w:cs="Calibri" w:eastAsia="Calibri" w:hAnsi="Calibri"/>
          <w:sz w:val="18"/>
          <w:szCs w:val="18"/>
          <w:color w:val="auto"/>
        </w:rPr>
      </w:pPr>
    </w:p>
    <w:p>
      <w:pPr>
        <w:jc w:val="both"/>
        <w:ind w:left="2040" w:hanging="505"/>
        <w:spacing w:after="0" w:line="230" w:lineRule="auto"/>
        <w:tabs>
          <w:tab w:leader="none" w:pos="2040" w:val="left"/>
        </w:tabs>
        <w:numPr>
          <w:ilvl w:val="2"/>
          <w:numId w:val="9"/>
        </w:numPr>
        <w:rPr>
          <w:rFonts w:ascii="Calibri" w:cs="Calibri" w:eastAsia="Calibri" w:hAnsi="Calibri"/>
          <w:sz w:val="18"/>
          <w:szCs w:val="18"/>
          <w:color w:val="auto"/>
        </w:rPr>
      </w:pPr>
      <w:r>
        <w:rPr>
          <w:rFonts w:ascii="Calibri" w:cs="Calibri" w:eastAsia="Calibri" w:hAnsi="Calibri"/>
          <w:sz w:val="18"/>
          <w:szCs w:val="18"/>
          <w:u w:val="single" w:color="auto"/>
          <w:color w:val="auto"/>
        </w:rPr>
        <w:t>Audit Commitee</w:t>
      </w:r>
      <w:r>
        <w:rPr>
          <w:rFonts w:ascii="Calibri" w:cs="Calibri" w:eastAsia="Calibri" w:hAnsi="Calibri"/>
          <w:sz w:val="18"/>
          <w:szCs w:val="18"/>
          <w:color w:val="auto"/>
        </w:rPr>
        <w:t>. A Non-Employee Director serving as a member of the Audit Commitee shall receive an additonal annual retainer for such service as follows: (x) $20,000 for a member who is the chairperson of the Audit Commitee; and (y) $10,000 for any other member.</w:t>
      </w:r>
    </w:p>
    <w:p>
      <w:pPr>
        <w:spacing w:after="0" w:line="137" w:lineRule="exact"/>
        <w:rPr>
          <w:rFonts w:ascii="Calibri" w:cs="Calibri" w:eastAsia="Calibri" w:hAnsi="Calibri"/>
          <w:sz w:val="18"/>
          <w:szCs w:val="18"/>
          <w:color w:val="auto"/>
        </w:rPr>
      </w:pPr>
    </w:p>
    <w:p>
      <w:pPr>
        <w:jc w:val="both"/>
        <w:ind w:left="2040" w:hanging="505"/>
        <w:spacing w:after="0" w:line="225" w:lineRule="auto"/>
        <w:tabs>
          <w:tab w:leader="none" w:pos="2040" w:val="left"/>
        </w:tabs>
        <w:numPr>
          <w:ilvl w:val="2"/>
          <w:numId w:val="9"/>
        </w:numPr>
        <w:rPr>
          <w:rFonts w:ascii="Calibri" w:cs="Calibri" w:eastAsia="Calibri" w:hAnsi="Calibri"/>
          <w:sz w:val="18"/>
          <w:szCs w:val="18"/>
          <w:color w:val="auto"/>
        </w:rPr>
      </w:pPr>
      <w:r>
        <w:rPr>
          <w:rFonts w:ascii="Calibri" w:cs="Calibri" w:eastAsia="Calibri" w:hAnsi="Calibri"/>
          <w:sz w:val="18"/>
          <w:szCs w:val="18"/>
          <w:u w:val="single" w:color="auto"/>
          <w:color w:val="auto"/>
        </w:rPr>
        <w:t>Compensaton Commitee</w:t>
      </w:r>
      <w:r>
        <w:rPr>
          <w:rFonts w:ascii="Calibri" w:cs="Calibri" w:eastAsia="Calibri" w:hAnsi="Calibri"/>
          <w:sz w:val="18"/>
          <w:szCs w:val="18"/>
          <w:color w:val="auto"/>
        </w:rPr>
        <w:t>. A Non-Employee Director serving as a member of the Compensaton Commitee shall receive an additonal annual retainer for such service as follows: (x) $15,000 for a member who is the chairperson of the Compensaton Commitee; and (y) $7,500 for any other member.</w:t>
      </w:r>
    </w:p>
    <w:p>
      <w:pPr>
        <w:spacing w:after="0" w:line="138" w:lineRule="exact"/>
        <w:rPr>
          <w:rFonts w:ascii="Calibri" w:cs="Calibri" w:eastAsia="Calibri" w:hAnsi="Calibri"/>
          <w:sz w:val="18"/>
          <w:szCs w:val="18"/>
          <w:color w:val="auto"/>
        </w:rPr>
      </w:pPr>
    </w:p>
    <w:p>
      <w:pPr>
        <w:jc w:val="both"/>
        <w:ind w:left="2040" w:hanging="505"/>
        <w:spacing w:after="0" w:line="230" w:lineRule="auto"/>
        <w:tabs>
          <w:tab w:leader="none" w:pos="2040" w:val="left"/>
        </w:tabs>
        <w:numPr>
          <w:ilvl w:val="2"/>
          <w:numId w:val="9"/>
        </w:numPr>
        <w:rPr>
          <w:rFonts w:ascii="Calibri" w:cs="Calibri" w:eastAsia="Calibri" w:hAnsi="Calibri"/>
          <w:sz w:val="18"/>
          <w:szCs w:val="18"/>
          <w:color w:val="auto"/>
        </w:rPr>
      </w:pPr>
      <w:r>
        <w:rPr>
          <w:rFonts w:ascii="Calibri" w:cs="Calibri" w:eastAsia="Calibri" w:hAnsi="Calibri"/>
          <w:sz w:val="18"/>
          <w:szCs w:val="18"/>
          <w:u w:val="single" w:color="auto"/>
          <w:color w:val="auto"/>
        </w:rPr>
        <w:t>Nominatng and Corporate Governance Commitee</w:t>
      </w:r>
      <w:r>
        <w:rPr>
          <w:rFonts w:ascii="Calibri" w:cs="Calibri" w:eastAsia="Calibri" w:hAnsi="Calibri"/>
          <w:sz w:val="18"/>
          <w:szCs w:val="18"/>
          <w:color w:val="auto"/>
        </w:rPr>
        <w:t>. A Non-Employee Director serving as a member of the Nominatng and Corporate Governance Commitee shall receive an additonal annual retainer for such service as follows: (x) $15,000 for a member who is the chairperson of the Nominatng and Governance Commitee; and (y) $7,500 for any other member.</w:t>
      </w:r>
    </w:p>
    <w:p>
      <w:pPr>
        <w:spacing w:after="0" w:line="137" w:lineRule="exact"/>
        <w:rPr>
          <w:rFonts w:ascii="Calibri" w:cs="Calibri" w:eastAsia="Calibri" w:hAnsi="Calibri"/>
          <w:sz w:val="18"/>
          <w:szCs w:val="18"/>
          <w:color w:val="auto"/>
        </w:rPr>
      </w:pPr>
    </w:p>
    <w:p>
      <w:pPr>
        <w:jc w:val="both"/>
        <w:ind w:left="1540" w:hanging="514"/>
        <w:spacing w:after="0" w:line="226" w:lineRule="auto"/>
        <w:tabs>
          <w:tab w:leader="none" w:pos="1540" w:val="left"/>
        </w:tabs>
        <w:numPr>
          <w:ilvl w:val="1"/>
          <w:numId w:val="9"/>
        </w:numPr>
        <w:rPr>
          <w:rFonts w:ascii="Calibri" w:cs="Calibri" w:eastAsia="Calibri" w:hAnsi="Calibri"/>
          <w:sz w:val="18"/>
          <w:szCs w:val="18"/>
          <w:color w:val="auto"/>
        </w:rPr>
      </w:pPr>
      <w:r>
        <w:rPr>
          <w:rFonts w:ascii="Calibri" w:cs="Calibri" w:eastAsia="Calibri" w:hAnsi="Calibri"/>
          <w:sz w:val="18"/>
          <w:szCs w:val="18"/>
          <w:u w:val="single" w:color="auto"/>
          <w:color w:val="auto"/>
        </w:rPr>
        <w:t>Payment of Retainers</w:t>
      </w:r>
      <w:r>
        <w:rPr>
          <w:rFonts w:ascii="Calibri" w:cs="Calibri" w:eastAsia="Calibri" w:hAnsi="Calibri"/>
          <w:sz w:val="18"/>
          <w:szCs w:val="18"/>
          <w:color w:val="auto"/>
        </w:rPr>
        <w:t>. The annual retainers described in Sectons 1(a)and 1(b)shall be earned on a quarterly basis based on a calendar quarter and shall be paid by the Company in arrears not later than the ffeenth day following the end of each calendar quarter. In the event a Non-Employee Director does not serve as a Non-Employee Director, or in the applicable positons described in Secton 1(b), for an entre calendar quarter, such Non-Employee Director shall receive a prorated porton of the retainer(s) otherwise payable to such Non-Employee Director for such calendar quarter pursuant to Sectons 1(a)and 1(b), with such prorated porton determined by multplying such otherwise payable retainer(s) by a fracton, the numerator of which is the number of days during which the Non-Employee Director serves as a Non-Employee Director or in the applicable positons described in Secton 1(b)during the applicable calendar quarter and the denominator of which is the number of days in the applicable calendar quarter.</w:t>
      </w:r>
    </w:p>
    <w:p>
      <w:pPr>
        <w:spacing w:after="0" w:line="140" w:lineRule="exact"/>
        <w:rPr>
          <w:rFonts w:ascii="Calibri" w:cs="Calibri" w:eastAsia="Calibri" w:hAnsi="Calibri"/>
          <w:sz w:val="18"/>
          <w:szCs w:val="18"/>
          <w:color w:val="auto"/>
        </w:rPr>
      </w:pPr>
    </w:p>
    <w:p>
      <w:pPr>
        <w:jc w:val="both"/>
        <w:ind w:left="1540" w:hanging="514"/>
        <w:spacing w:after="0" w:line="226" w:lineRule="auto"/>
        <w:tabs>
          <w:tab w:leader="none" w:pos="1540" w:val="left"/>
        </w:tabs>
        <w:numPr>
          <w:ilvl w:val="1"/>
          <w:numId w:val="9"/>
        </w:numPr>
        <w:rPr>
          <w:rFonts w:ascii="Calibri" w:cs="Calibri" w:eastAsia="Calibri" w:hAnsi="Calibri"/>
          <w:sz w:val="18"/>
          <w:szCs w:val="18"/>
          <w:color w:val="auto"/>
        </w:rPr>
      </w:pPr>
      <w:r>
        <w:rPr>
          <w:rFonts w:ascii="Calibri" w:cs="Calibri" w:eastAsia="Calibri" w:hAnsi="Calibri"/>
          <w:sz w:val="18"/>
          <w:szCs w:val="18"/>
          <w:u w:val="single" w:color="auto"/>
          <w:color w:val="auto"/>
        </w:rPr>
        <w:t>Stock Electon</w:t>
      </w:r>
      <w:r>
        <w:rPr>
          <w:rFonts w:ascii="Calibri" w:cs="Calibri" w:eastAsia="Calibri" w:hAnsi="Calibri"/>
          <w:sz w:val="18"/>
          <w:szCs w:val="18"/>
          <w:color w:val="auto"/>
        </w:rPr>
        <w:t>. Non-Employee Directors may elect to have all or a porton of the annual retainers described in this Secton 1(the “</w:t>
      </w:r>
      <w:r>
        <w:rPr>
          <w:rFonts w:ascii="Calibri" w:cs="Calibri" w:eastAsia="Calibri" w:hAnsi="Calibri"/>
          <w:sz w:val="18"/>
          <w:szCs w:val="18"/>
          <w:b w:val="1"/>
          <w:bCs w:val="1"/>
          <w:i w:val="1"/>
          <w:iCs w:val="1"/>
          <w:color w:val="auto"/>
        </w:rPr>
        <w:t>Cash</w:t>
      </w:r>
      <w:r>
        <w:rPr>
          <w:rFonts w:ascii="Calibri" w:cs="Calibri" w:eastAsia="Calibri" w:hAnsi="Calibri"/>
          <w:sz w:val="18"/>
          <w:szCs w:val="18"/>
          <w:color w:val="auto"/>
        </w:rPr>
        <w:t xml:space="preserve"> </w:t>
      </w:r>
      <w:r>
        <w:rPr>
          <w:rFonts w:ascii="Calibri" w:cs="Calibri" w:eastAsia="Calibri" w:hAnsi="Calibri"/>
          <w:sz w:val="18"/>
          <w:szCs w:val="18"/>
          <w:b w:val="1"/>
          <w:bCs w:val="1"/>
          <w:i w:val="1"/>
          <w:iCs w:val="1"/>
          <w:color w:val="auto"/>
        </w:rPr>
        <w:t>Retainers</w:t>
      </w:r>
      <w:r>
        <w:rPr>
          <w:rFonts w:ascii="Calibri" w:cs="Calibri" w:eastAsia="Calibri" w:hAnsi="Calibri"/>
          <w:sz w:val="18"/>
          <w:szCs w:val="18"/>
          <w:color w:val="auto"/>
        </w:rPr>
        <w:t>”) to which they become enttled paid in fully vested shares of Class A Common Stock (“</w:t>
      </w:r>
      <w:r>
        <w:rPr>
          <w:rFonts w:ascii="Calibri" w:cs="Calibri" w:eastAsia="Calibri" w:hAnsi="Calibri"/>
          <w:sz w:val="18"/>
          <w:szCs w:val="18"/>
          <w:b w:val="1"/>
          <w:bCs w:val="1"/>
          <w:i w:val="1"/>
          <w:iCs w:val="1"/>
          <w:color w:val="auto"/>
        </w:rPr>
        <w:t>Common Stock</w:t>
      </w:r>
      <w:r>
        <w:rPr>
          <w:rFonts w:ascii="Calibri" w:cs="Calibri" w:eastAsia="Calibri" w:hAnsi="Calibri"/>
          <w:sz w:val="18"/>
          <w:szCs w:val="18"/>
          <w:color w:val="auto"/>
        </w:rPr>
        <w:t>”) in lieu of cash (a</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Stock Electon</w:t>
      </w:r>
      <w:r>
        <w:rPr>
          <w:rFonts w:ascii="Calibri" w:cs="Calibri" w:eastAsia="Calibri" w:hAnsi="Calibri"/>
          <w:sz w:val="18"/>
          <w:szCs w:val="18"/>
          <w:color w:val="auto"/>
        </w:rPr>
        <w:t>”). Any Stock Electon must be made on or prior to the last trading day of the calendar quarter with respect to which the applicable Cash Retainers will be paid. A Stock Electon shall not be efectve with respect to Cash Retainers to be paid for any calendar quarter where a Non-Employee Director ceases to be a Non-Employee Director prior to the end of such calendar quarter. If a Non-Employee Director is subject to tax withholding as a non-U.S. person with regard to Cash Retainers, a Stock Electon will apply only with respect to the porton of the Cash Retainers to which the Non-Employee Director is enttled afer such tax withholding. The number of shares of Common Stock granted will be determined by dividing the amount of the applicable Cash Retainers by the closing price of the Common Stock on the last trading day of the calendar quarter with respect to which such Cash Retainers will be paid (rounded down to nearest whole share). Notwithstanding the foregoing, (i) once a Stock Electon is made, such electon shall remain in efect untl revoked in writng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jc w:val="both"/>
        <w:ind w:left="1023"/>
        <w:spacing w:after="0" w:line="225" w:lineRule="auto"/>
        <w:rPr>
          <w:sz w:val="20"/>
          <w:szCs w:val="20"/>
          <w:color w:val="auto"/>
        </w:rPr>
      </w:pPr>
      <w:r>
        <w:rPr>
          <w:rFonts w:ascii="Calibri" w:cs="Calibri" w:eastAsia="Calibri" w:hAnsi="Calibri"/>
          <w:sz w:val="18"/>
          <w:szCs w:val="18"/>
          <w:color w:val="auto"/>
        </w:rPr>
        <w:t>accordance with this Policy, and (ii) a Non-Employee Director may not make a Stock Electon or revoke a previously made Stock Electon during a Company trading blackout period or when the director is otherwise in possession of material non-public informaton (i.e., a Company designated “closed window”).</w:t>
      </w:r>
    </w:p>
    <w:p>
      <w:pPr>
        <w:spacing w:after="0" w:line="138" w:lineRule="exact"/>
        <w:rPr>
          <w:sz w:val="20"/>
          <w:szCs w:val="20"/>
          <w:color w:val="auto"/>
        </w:rPr>
      </w:pPr>
    </w:p>
    <w:p>
      <w:pPr>
        <w:jc w:val="both"/>
        <w:ind w:left="503" w:hanging="503"/>
        <w:spacing w:after="0" w:line="228" w:lineRule="auto"/>
        <w:tabs>
          <w:tab w:leader="none" w:pos="503" w:val="left"/>
        </w:tabs>
        <w:numPr>
          <w:ilvl w:val="0"/>
          <w:numId w:val="10"/>
        </w:numPr>
        <w:rPr>
          <w:rFonts w:ascii="Calibri" w:cs="Calibri" w:eastAsia="Calibri" w:hAnsi="Calibri"/>
          <w:sz w:val="18"/>
          <w:szCs w:val="18"/>
          <w:color w:val="auto"/>
        </w:rPr>
      </w:pPr>
      <w:r>
        <w:rPr>
          <w:rFonts w:ascii="Calibri" w:cs="Calibri" w:eastAsia="Calibri" w:hAnsi="Calibri"/>
          <w:sz w:val="18"/>
          <w:szCs w:val="18"/>
          <w:u w:val="single" w:color="auto"/>
          <w:color w:val="auto"/>
        </w:rPr>
        <w:t>Equity Compensaton.</w:t>
      </w:r>
      <w:r>
        <w:rPr>
          <w:rFonts w:ascii="Calibri" w:cs="Calibri" w:eastAsia="Calibri" w:hAnsi="Calibri"/>
          <w:sz w:val="18"/>
          <w:szCs w:val="18"/>
          <w:color w:val="auto"/>
        </w:rPr>
        <w:t xml:space="preserve"> Non-Employee Directors shall be granted the equity awards described below. The awards described below shall be granted under and shall be subject to the terms and provisions of the Company’s 2021 Incentve Award Plan or any other applicable Company equity incentve plan then-maintained by the Company (such plan, as may be amended from tme to tme, the “</w:t>
      </w:r>
      <w:r>
        <w:rPr>
          <w:rFonts w:ascii="Calibri" w:cs="Calibri" w:eastAsia="Calibri" w:hAnsi="Calibri"/>
          <w:sz w:val="18"/>
          <w:szCs w:val="18"/>
          <w:b w:val="1"/>
          <w:bCs w:val="1"/>
          <w:i w:val="1"/>
          <w:iCs w:val="1"/>
          <w:color w:val="auto"/>
        </w:rPr>
        <w:t>Equity Plan</w:t>
      </w:r>
      <w:r>
        <w:rPr>
          <w:rFonts w:ascii="Calibri" w:cs="Calibri" w:eastAsia="Calibri" w:hAnsi="Calibri"/>
          <w:sz w:val="18"/>
          <w:szCs w:val="18"/>
          <w:color w:val="auto"/>
        </w:rPr>
        <w:t>”) and shall be granted subject to the executon and delivery of award agreements, including atached exhibits, in substantally the forms previously approved by the Board. All applicable terms of the Equity Plan apply to this Policy as if fully set forth herein, and all equity grants hereunder are subject in all respects to the terms of the Equity Plan.</w:t>
      </w:r>
    </w:p>
    <w:p>
      <w:pPr>
        <w:spacing w:after="0" w:line="138" w:lineRule="exact"/>
        <w:rPr>
          <w:rFonts w:ascii="Calibri" w:cs="Calibri" w:eastAsia="Calibri" w:hAnsi="Calibri"/>
          <w:sz w:val="18"/>
          <w:szCs w:val="18"/>
          <w:color w:val="auto"/>
        </w:rPr>
      </w:pPr>
    </w:p>
    <w:p>
      <w:pPr>
        <w:jc w:val="both"/>
        <w:ind w:left="1023" w:hanging="514"/>
        <w:spacing w:after="0" w:line="226" w:lineRule="auto"/>
        <w:tabs>
          <w:tab w:leader="none" w:pos="1023" w:val="left"/>
        </w:tabs>
        <w:numPr>
          <w:ilvl w:val="1"/>
          <w:numId w:val="10"/>
        </w:numPr>
        <w:rPr>
          <w:rFonts w:ascii="Calibri" w:cs="Calibri" w:eastAsia="Calibri" w:hAnsi="Calibri"/>
          <w:sz w:val="18"/>
          <w:szCs w:val="18"/>
          <w:color w:val="auto"/>
        </w:rPr>
      </w:pPr>
      <w:r>
        <w:rPr>
          <w:rFonts w:ascii="Calibri" w:cs="Calibri" w:eastAsia="Calibri" w:hAnsi="Calibri"/>
          <w:sz w:val="18"/>
          <w:szCs w:val="18"/>
          <w:u w:val="single" w:color="auto"/>
          <w:color w:val="auto"/>
        </w:rPr>
        <w:t>Annual Awards</w:t>
      </w:r>
      <w:r>
        <w:rPr>
          <w:rFonts w:ascii="Calibri" w:cs="Calibri" w:eastAsia="Calibri" w:hAnsi="Calibri"/>
          <w:sz w:val="18"/>
          <w:szCs w:val="18"/>
          <w:color w:val="auto"/>
        </w:rPr>
        <w:t>. Each Non-Employee Director who (i) serves on the Board as of the date of any annual meetng of the Company’s stockholders (an “</w:t>
      </w:r>
      <w:r>
        <w:rPr>
          <w:rFonts w:ascii="Calibri" w:cs="Calibri" w:eastAsia="Calibri" w:hAnsi="Calibri"/>
          <w:sz w:val="18"/>
          <w:szCs w:val="18"/>
          <w:b w:val="1"/>
          <w:bCs w:val="1"/>
          <w:i w:val="1"/>
          <w:iCs w:val="1"/>
          <w:color w:val="auto"/>
        </w:rPr>
        <w:t>Annual Meetng</w:t>
      </w:r>
      <w:r>
        <w:rPr>
          <w:rFonts w:ascii="Calibri" w:cs="Calibri" w:eastAsia="Calibri" w:hAnsi="Calibri"/>
          <w:sz w:val="18"/>
          <w:szCs w:val="18"/>
          <w:color w:val="auto"/>
        </w:rPr>
        <w:t>”) afer the Efectve Date and (ii) will contnue to serve as a Non-Employee Director immediately following such Annual Meetng, shall be automatcally granted, on the date of such Annual Meetng, an award of restricted stock units (unless otherwise determined by the Board), that has an aggregate fair value on the date of grant of $160,000 (as determined in accordance with FASB Accountng Codifcaton Topic 718 (“</w:t>
      </w:r>
      <w:r>
        <w:rPr>
          <w:rFonts w:ascii="Calibri" w:cs="Calibri" w:eastAsia="Calibri" w:hAnsi="Calibri"/>
          <w:sz w:val="18"/>
          <w:szCs w:val="18"/>
          <w:b w:val="1"/>
          <w:bCs w:val="1"/>
          <w:i w:val="1"/>
          <w:iCs w:val="1"/>
          <w:color w:val="auto"/>
        </w:rPr>
        <w:t>ASC 718</w:t>
      </w:r>
      <w:r>
        <w:rPr>
          <w:rFonts w:ascii="Calibri" w:cs="Calibri" w:eastAsia="Calibri" w:hAnsi="Calibri"/>
          <w:sz w:val="18"/>
          <w:szCs w:val="18"/>
          <w:color w:val="auto"/>
        </w:rPr>
        <w:t>”) and subject to adjustment as provided in the Equity Plan), provided, that, on each Non-Employee Director’s frst Annual Meetng following the date on which he or she is initally elected or appointed to the Board (the “First Annual Meetng”), the Non-Employee Director shall be automatcally granted, on the date of such First Annual Meetng, an award of restricted stock units (unless otherwise determined by the Board) that has an aggregate fair value equal to the product of (i) $160,000 (as determined in accordance with ASC 718) and (ii) a fracton, the numerator of which is the number of days in the period beginning on the Non-Employee Director’s Start Date and ending on the date of such Non-Employee Director’s First Annual Meetng and the denominator of which is 365 (with the number of shares of common stock underlying each such award subject to adjustment as provided in the Equity Plan). The awards described in this Secton 2(a) shall be referred to as the “</w:t>
      </w:r>
      <w:r>
        <w:rPr>
          <w:rFonts w:ascii="Calibri" w:cs="Calibri" w:eastAsia="Calibri" w:hAnsi="Calibri"/>
          <w:sz w:val="18"/>
          <w:szCs w:val="18"/>
          <w:b w:val="1"/>
          <w:bCs w:val="1"/>
          <w:i w:val="1"/>
          <w:iCs w:val="1"/>
          <w:color w:val="auto"/>
        </w:rPr>
        <w:t>Annual Awards</w:t>
      </w:r>
      <w:r>
        <w:rPr>
          <w:rFonts w:ascii="Calibri" w:cs="Calibri" w:eastAsia="Calibri" w:hAnsi="Calibri"/>
          <w:sz w:val="18"/>
          <w:szCs w:val="18"/>
          <w:color w:val="auto"/>
        </w:rPr>
        <w:t>.”</w:t>
      </w:r>
    </w:p>
    <w:p>
      <w:pPr>
        <w:spacing w:after="0" w:line="145" w:lineRule="exact"/>
        <w:rPr>
          <w:rFonts w:ascii="Calibri" w:cs="Calibri" w:eastAsia="Calibri" w:hAnsi="Calibri"/>
          <w:sz w:val="18"/>
          <w:szCs w:val="18"/>
          <w:color w:val="auto"/>
        </w:rPr>
      </w:pPr>
    </w:p>
    <w:p>
      <w:pPr>
        <w:jc w:val="both"/>
        <w:ind w:left="1023" w:hanging="514"/>
        <w:spacing w:after="0" w:line="239" w:lineRule="auto"/>
        <w:tabs>
          <w:tab w:leader="none" w:pos="1023" w:val="left"/>
        </w:tabs>
        <w:numPr>
          <w:ilvl w:val="1"/>
          <w:numId w:val="10"/>
        </w:numPr>
        <w:rPr>
          <w:rFonts w:ascii="Calibri" w:cs="Calibri" w:eastAsia="Calibri" w:hAnsi="Calibri"/>
          <w:sz w:val="17"/>
          <w:szCs w:val="17"/>
          <w:color w:val="auto"/>
        </w:rPr>
      </w:pPr>
      <w:r>
        <w:rPr>
          <w:rFonts w:ascii="Calibri" w:cs="Calibri" w:eastAsia="Calibri" w:hAnsi="Calibri"/>
          <w:sz w:val="17"/>
          <w:szCs w:val="17"/>
          <w:u w:val="single" w:color="auto"/>
          <w:color w:val="auto"/>
        </w:rPr>
        <w:t>Inital Awards</w:t>
      </w:r>
      <w:r>
        <w:rPr>
          <w:rFonts w:ascii="Calibri" w:cs="Calibri" w:eastAsia="Calibri" w:hAnsi="Calibri"/>
          <w:sz w:val="17"/>
          <w:szCs w:val="17"/>
          <w:color w:val="auto"/>
        </w:rPr>
        <w:t>. Except as otherwise determined by the Board, each Non-Employee Director who is a Non-Employee Director as of the Efectve Date or who is initally elected or appointed to the Board afer the Efectve Date on any date other than the date of an Annual Meetng shall be automatcally granted, on the date that a Form S-8 Registraton Statement is fled to register the shares of common stock of the Company to be issued under the Equity Plan, or, if later, the date of such Non-Employee Director’s inital electon or appointment (such Non-Employee Director’s “</w:t>
      </w:r>
      <w:r>
        <w:rPr>
          <w:rFonts w:ascii="Calibri" w:cs="Calibri" w:eastAsia="Calibri" w:hAnsi="Calibri"/>
          <w:sz w:val="17"/>
          <w:szCs w:val="17"/>
          <w:b w:val="1"/>
          <w:bCs w:val="1"/>
          <w:i w:val="1"/>
          <w:iCs w:val="1"/>
          <w:color w:val="auto"/>
        </w:rPr>
        <w:t>Start Date</w:t>
      </w:r>
      <w:r>
        <w:rPr>
          <w:rFonts w:ascii="Calibri" w:cs="Calibri" w:eastAsia="Calibri" w:hAnsi="Calibri"/>
          <w:sz w:val="17"/>
          <w:szCs w:val="17"/>
          <w:color w:val="auto"/>
        </w:rPr>
        <w:t>”), an award of restricted stock units that has an aggregate fair value on such Non-Employee Director’s Start Date (or if later, the Efectve Date) of $320,000 (as determined in accordance with ASC 718); provided that if the date of such Non-Employee Director’s inital electon or appointment occurs prior to the Efectve Date, such Non-Employee Director shall receive his or her Inital Award on or promptly following the Efectve Date. The awards described in this Secton 2(b) shall be referred to as “</w:t>
      </w:r>
      <w:r>
        <w:rPr>
          <w:rFonts w:ascii="Calibri" w:cs="Calibri" w:eastAsia="Calibri" w:hAnsi="Calibri"/>
          <w:sz w:val="17"/>
          <w:szCs w:val="17"/>
          <w:b w:val="1"/>
          <w:bCs w:val="1"/>
          <w:i w:val="1"/>
          <w:iCs w:val="1"/>
          <w:color w:val="auto"/>
        </w:rPr>
        <w:t>Inital Awards</w:t>
      </w:r>
      <w:r>
        <w:rPr>
          <w:rFonts w:ascii="Calibri" w:cs="Calibri" w:eastAsia="Calibri" w:hAnsi="Calibri"/>
          <w:sz w:val="17"/>
          <w:szCs w:val="17"/>
          <w:i w:val="1"/>
          <w:iCs w:val="1"/>
          <w:color w:val="auto"/>
        </w:rPr>
        <w:t>.</w:t>
      </w:r>
      <w:r>
        <w:rPr>
          <w:rFonts w:ascii="Calibri" w:cs="Calibri" w:eastAsia="Calibri" w:hAnsi="Calibri"/>
          <w:sz w:val="17"/>
          <w:szCs w:val="17"/>
          <w:color w:val="auto"/>
        </w:rPr>
        <w:t>” For the avoidance of doubt, no Non-Employee Director shall be granted more than one Inital Award.</w:t>
      </w:r>
    </w:p>
    <w:p>
      <w:pPr>
        <w:spacing w:after="0" w:line="138" w:lineRule="exact"/>
        <w:rPr>
          <w:rFonts w:ascii="Calibri" w:cs="Calibri" w:eastAsia="Calibri" w:hAnsi="Calibri"/>
          <w:sz w:val="17"/>
          <w:szCs w:val="17"/>
          <w:color w:val="auto"/>
        </w:rPr>
      </w:pPr>
    </w:p>
    <w:p>
      <w:pPr>
        <w:jc w:val="both"/>
        <w:ind w:left="1023" w:hanging="514"/>
        <w:spacing w:after="0" w:line="226" w:lineRule="auto"/>
        <w:tabs>
          <w:tab w:leader="none" w:pos="1023" w:val="left"/>
        </w:tabs>
        <w:numPr>
          <w:ilvl w:val="1"/>
          <w:numId w:val="10"/>
        </w:numPr>
        <w:rPr>
          <w:rFonts w:ascii="Calibri" w:cs="Calibri" w:eastAsia="Calibri" w:hAnsi="Calibri"/>
          <w:sz w:val="18"/>
          <w:szCs w:val="18"/>
          <w:color w:val="auto"/>
        </w:rPr>
      </w:pPr>
      <w:r>
        <w:rPr>
          <w:rFonts w:ascii="Calibri" w:cs="Calibri" w:eastAsia="Calibri" w:hAnsi="Calibri"/>
          <w:sz w:val="18"/>
          <w:szCs w:val="18"/>
          <w:u w:val="single" w:color="auto"/>
          <w:color w:val="auto"/>
        </w:rPr>
        <w:t>Terminaton of Employment of Employee Directors</w:t>
      </w:r>
      <w:r>
        <w:rPr>
          <w:rFonts w:ascii="Calibri" w:cs="Calibri" w:eastAsia="Calibri" w:hAnsi="Calibri"/>
          <w:sz w:val="18"/>
          <w:szCs w:val="18"/>
          <w:color w:val="auto"/>
        </w:rPr>
        <w:t>. Members of the Board who are employees of the Company or any parent or subsidiary of the Company who subsequently terminate their employment with the Company and any parent or subsidiary of the Company and remain on the Board will not receive an Inital Award pursuant to Secton 2(b)above, but to the extent that they are otherwise eligible, will be eligible to receive, afer terminaton from employment with the Company and any parent or subsidiary of the Company, Annual Awards as described in Secton 2(a)above.</w:t>
      </w:r>
    </w:p>
    <w:p>
      <w:pPr>
        <w:spacing w:after="0" w:line="139" w:lineRule="exact"/>
        <w:rPr>
          <w:rFonts w:ascii="Calibri" w:cs="Calibri" w:eastAsia="Calibri" w:hAnsi="Calibri"/>
          <w:sz w:val="18"/>
          <w:szCs w:val="18"/>
          <w:color w:val="auto"/>
        </w:rPr>
      </w:pPr>
    </w:p>
    <w:p>
      <w:pPr>
        <w:jc w:val="both"/>
        <w:ind w:left="1023" w:hanging="514"/>
        <w:spacing w:after="0" w:line="226" w:lineRule="auto"/>
        <w:tabs>
          <w:tab w:leader="none" w:pos="1023" w:val="left"/>
        </w:tabs>
        <w:numPr>
          <w:ilvl w:val="1"/>
          <w:numId w:val="10"/>
        </w:numPr>
        <w:rPr>
          <w:rFonts w:ascii="Calibri" w:cs="Calibri" w:eastAsia="Calibri" w:hAnsi="Calibri"/>
          <w:sz w:val="18"/>
          <w:szCs w:val="18"/>
          <w:color w:val="auto"/>
        </w:rPr>
      </w:pPr>
      <w:r>
        <w:rPr>
          <w:rFonts w:ascii="Calibri" w:cs="Calibri" w:eastAsia="Calibri" w:hAnsi="Calibri"/>
          <w:sz w:val="18"/>
          <w:szCs w:val="18"/>
          <w:u w:val="single" w:color="auto"/>
          <w:color w:val="auto"/>
        </w:rPr>
        <w:t>Vestng of Awards Granted to Non-Employee Directors</w:t>
      </w:r>
      <w:r>
        <w:rPr>
          <w:rFonts w:ascii="Calibri" w:cs="Calibri" w:eastAsia="Calibri" w:hAnsi="Calibri"/>
          <w:sz w:val="18"/>
          <w:szCs w:val="18"/>
          <w:color w:val="auto"/>
        </w:rPr>
        <w:t>. Each Annual Award shall vest on the earlier of (i) the day immediately preceding the date of the frst Annual Meetng following the date of grant and (ii) the frst anniversary of the date of grant, subject to the Non-Employee Director contnuing in service on the Board through the applicable vestng date. Each Inital Award shall vest in fve equal installments on the frst fve anniversaries of the date of grant, subject to the Non-Employee Director contnuing in service on the Board through the applicable vestng date. No porton of an Annual Award or Inital Award that is unvested at the tme of a Non-Employee Director’s terminaton of service on the Board shall become vested thereafer. All of a Non-Employee Director’s Annual Awards and Inital Awards shall vest in full immediately prior to the occurrence of a Change in Control (as defned in the Equity Plan), to the extent outstanding at such 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73660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66" w:right="339" w:bottom="1440" w:gutter="0" w:footer="0" w:header="0"/>
        </w:sectPr>
      </w:pPr>
    </w:p>
    <w:bookmarkStart w:id="44" w:name="page45"/>
    <w:bookmarkEnd w:id="44"/>
    <w:p>
      <w:pPr>
        <w:jc w:val="right"/>
        <w:spacing w:after="0"/>
        <w:rPr>
          <w:sz w:val="20"/>
          <w:szCs w:val="20"/>
          <w:color w:val="auto"/>
        </w:rPr>
      </w:pPr>
      <w:r>
        <w:rPr>
          <w:rFonts w:ascii="Calibri" w:cs="Calibri" w:eastAsia="Calibri" w:hAnsi="Calibri"/>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21" w:lineRule="auto"/>
        <w:rPr>
          <w:sz w:val="20"/>
          <w:szCs w:val="20"/>
          <w:color w:val="auto"/>
        </w:rPr>
      </w:pPr>
      <w:r>
        <w:rPr>
          <w:rFonts w:ascii="Calibri" w:cs="Calibri" w:eastAsia="Calibri" w:hAnsi="Calibri"/>
          <w:sz w:val="18"/>
          <w:szCs w:val="18"/>
          <w:b w:val="1"/>
          <w:bCs w:val="1"/>
          <w:color w:val="auto"/>
        </w:rPr>
        <w:t>RULES 13a-14(a) AND 15d-14(a) UNDER THE SECURITIES EXCHANGE ACT OF 1934,</w:t>
      </w:r>
    </w:p>
    <w:p>
      <w:pPr>
        <w:jc w:val="center"/>
        <w:spacing w:after="0" w:line="221"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Stanley Chia, certfy that:</w:t>
      </w:r>
    </w:p>
    <w:p>
      <w:pPr>
        <w:spacing w:after="0" w:line="212"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reviewed this Quarterly Report on Form 10-Q for the quarterly period ended June 30, 2022 of Vivid Seats Inc;</w:t>
      </w:r>
    </w:p>
    <w:p>
      <w:pPr>
        <w:spacing w:after="0" w:line="217" w:lineRule="exact"/>
        <w:rPr>
          <w:rFonts w:ascii="Times New Roman" w:cs="Times New Roman" w:eastAsia="Times New Roman" w:hAnsi="Times New Roman"/>
          <w:sz w:val="18"/>
          <w:szCs w:val="18"/>
          <w:color w:val="auto"/>
        </w:rPr>
      </w:pPr>
    </w:p>
    <w:p>
      <w:pPr>
        <w:jc w:val="both"/>
        <w:ind w:left="520" w:hanging="512"/>
        <w:spacing w:after="0" w:line="230" w:lineRule="auto"/>
        <w:tabs>
          <w:tab w:leader="none" w:pos="5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Times New Roman" w:cs="Times New Roman" w:eastAsia="Times New Roman" w:hAnsi="Times New Roman"/>
          <w:sz w:val="18"/>
          <w:szCs w:val="18"/>
          <w:color w:val="auto"/>
        </w:rPr>
      </w:pPr>
    </w:p>
    <w:p>
      <w:pPr>
        <w:ind w:left="520" w:hanging="512"/>
        <w:spacing w:after="0" w:line="227" w:lineRule="auto"/>
        <w:tabs>
          <w:tab w:leader="none" w:pos="5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32" w:lineRule="exact"/>
        <w:rPr>
          <w:rFonts w:ascii="Times New Roman" w:cs="Times New Roman" w:eastAsia="Times New Roman" w:hAnsi="Times New Roman"/>
          <w:sz w:val="18"/>
          <w:szCs w:val="18"/>
          <w:color w:val="auto"/>
        </w:rPr>
      </w:pPr>
    </w:p>
    <w:p>
      <w:pPr>
        <w:ind w:left="520" w:hanging="512"/>
        <w:spacing w:after="0" w:line="227" w:lineRule="auto"/>
        <w:tabs>
          <w:tab w:leader="none" w:pos="5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for the registrant and have:</w:t>
      </w:r>
    </w:p>
    <w:p>
      <w:pPr>
        <w:spacing w:after="0" w:line="218" w:lineRule="exact"/>
        <w:rPr>
          <w:rFonts w:ascii="Times New Roman" w:cs="Times New Roman" w:eastAsia="Times New Roman" w:hAnsi="Times New Roman"/>
          <w:sz w:val="18"/>
          <w:szCs w:val="18"/>
          <w:color w:val="auto"/>
        </w:rPr>
      </w:pPr>
    </w:p>
    <w:p>
      <w:pPr>
        <w:jc w:val="both"/>
        <w:ind w:left="1020" w:hanging="503"/>
        <w:spacing w:after="0" w:line="230" w:lineRule="auto"/>
        <w:tabs>
          <w:tab w:leader="none" w:pos="1020" w:val="left"/>
        </w:tabs>
        <w:numPr>
          <w:ilvl w:val="1"/>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[omited];</w:t>
      </w:r>
    </w:p>
    <w:p>
      <w:pPr>
        <w:spacing w:after="0" w:line="230"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1"/>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8" w:lineRule="exact"/>
        <w:rPr>
          <w:rFonts w:ascii="Times New Roman" w:cs="Times New Roman" w:eastAsia="Times New Roman" w:hAnsi="Times New Roman"/>
          <w:sz w:val="18"/>
          <w:szCs w:val="18"/>
          <w:color w:val="auto"/>
        </w:rPr>
      </w:pPr>
    </w:p>
    <w:p>
      <w:pPr>
        <w:jc w:val="both"/>
        <w:ind w:left="1020" w:hanging="503"/>
        <w:spacing w:after="0" w:line="230" w:lineRule="auto"/>
        <w:tabs>
          <w:tab w:leader="none" w:pos="1020" w:val="left"/>
        </w:tabs>
        <w:numPr>
          <w:ilvl w:val="1"/>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Times New Roman" w:cs="Times New Roman" w:eastAsia="Times New Roman" w:hAnsi="Times New Roman"/>
          <w:sz w:val="18"/>
          <w:szCs w:val="18"/>
          <w:color w:val="auto"/>
        </w:rPr>
      </w:pPr>
    </w:p>
    <w:p>
      <w:pPr>
        <w:ind w:left="520" w:hanging="512"/>
        <w:spacing w:after="0" w:line="235" w:lineRule="auto"/>
        <w:tabs>
          <w:tab w:leader="none" w:pos="52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1"/>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8"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1"/>
          <w:numId w:val="1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72"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August 9, 2022</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5" w:name="page46"/>
    <w:bookmarkEnd w:id="45"/>
    <w:p>
      <w:pPr>
        <w:jc w:val="right"/>
        <w:spacing w:after="0"/>
        <w:rPr>
          <w:sz w:val="20"/>
          <w:szCs w:val="20"/>
          <w:color w:val="auto"/>
        </w:rPr>
      </w:pPr>
      <w:r>
        <w:rPr>
          <w:rFonts w:ascii="Calibri" w:cs="Calibri" w:eastAsia="Calibri" w:hAnsi="Calibri"/>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jc w:val="center"/>
        <w:spacing w:after="0" w:line="221" w:lineRule="auto"/>
        <w:rPr>
          <w:sz w:val="20"/>
          <w:szCs w:val="20"/>
          <w:color w:val="auto"/>
        </w:rPr>
      </w:pPr>
      <w:r>
        <w:rPr>
          <w:rFonts w:ascii="Calibri" w:cs="Calibri" w:eastAsia="Calibri" w:hAnsi="Calibri"/>
          <w:sz w:val="18"/>
          <w:szCs w:val="18"/>
          <w:b w:val="1"/>
          <w:bCs w:val="1"/>
          <w:color w:val="auto"/>
        </w:rPr>
        <w:t>RULES 13a-14(a) AND 15d-14(a) UNDER THE SECURITIES EXCHANGE ACT OF 1934,</w:t>
      </w:r>
    </w:p>
    <w:p>
      <w:pPr>
        <w:jc w:val="center"/>
        <w:spacing w:after="0" w:line="221" w:lineRule="auto"/>
        <w:rPr>
          <w:sz w:val="20"/>
          <w:szCs w:val="20"/>
          <w:color w:val="auto"/>
        </w:rPr>
      </w:pPr>
      <w:r>
        <w:rPr>
          <w:rFonts w:ascii="Calibri" w:cs="Calibri" w:eastAsia="Calibri" w:hAnsi="Calibri"/>
          <w:sz w:val="18"/>
          <w:szCs w:val="18"/>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 Lawrence Fey, certfy that:</w:t>
      </w:r>
    </w:p>
    <w:p>
      <w:pPr>
        <w:spacing w:after="0" w:line="212"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I have reviewed this Quarterly Report on Form 10-Q for the quarterly period ended June 30, 2022 of Vivid Seats Inc;</w:t>
      </w:r>
    </w:p>
    <w:p>
      <w:pPr>
        <w:spacing w:after="0" w:line="217" w:lineRule="exact"/>
        <w:rPr>
          <w:rFonts w:ascii="Times New Roman" w:cs="Times New Roman" w:eastAsia="Times New Roman" w:hAnsi="Times New Roman"/>
          <w:sz w:val="18"/>
          <w:szCs w:val="18"/>
          <w:color w:val="auto"/>
        </w:rPr>
      </w:pPr>
    </w:p>
    <w:p>
      <w:pPr>
        <w:jc w:val="both"/>
        <w:ind w:left="520" w:hanging="512"/>
        <w:spacing w:after="0" w:line="230" w:lineRule="auto"/>
        <w:tabs>
          <w:tab w:leader="none" w:pos="5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8" w:lineRule="exact"/>
        <w:rPr>
          <w:rFonts w:ascii="Times New Roman" w:cs="Times New Roman" w:eastAsia="Times New Roman" w:hAnsi="Times New Roman"/>
          <w:sz w:val="18"/>
          <w:szCs w:val="18"/>
          <w:color w:val="auto"/>
        </w:rPr>
      </w:pPr>
    </w:p>
    <w:p>
      <w:pPr>
        <w:ind w:left="520" w:hanging="512"/>
        <w:spacing w:after="0" w:line="227" w:lineRule="auto"/>
        <w:tabs>
          <w:tab w:leader="none" w:pos="5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32" w:lineRule="exact"/>
        <w:rPr>
          <w:rFonts w:ascii="Times New Roman" w:cs="Times New Roman" w:eastAsia="Times New Roman" w:hAnsi="Times New Roman"/>
          <w:sz w:val="18"/>
          <w:szCs w:val="18"/>
          <w:color w:val="auto"/>
        </w:rPr>
      </w:pPr>
    </w:p>
    <w:p>
      <w:pPr>
        <w:ind w:left="520" w:hanging="512"/>
        <w:spacing w:after="0" w:line="227" w:lineRule="auto"/>
        <w:tabs>
          <w:tab w:leader="none" w:pos="5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are responsible for establishing and maintaining disclosure controls and procedures (as defned in Exchange Act Rules 13a-15(e) and 15d-15(e)) for the registrant and have:</w:t>
      </w:r>
    </w:p>
    <w:p>
      <w:pPr>
        <w:spacing w:after="0" w:line="218" w:lineRule="exact"/>
        <w:rPr>
          <w:rFonts w:ascii="Times New Roman" w:cs="Times New Roman" w:eastAsia="Times New Roman" w:hAnsi="Times New Roman"/>
          <w:sz w:val="18"/>
          <w:szCs w:val="18"/>
          <w:color w:val="auto"/>
        </w:rPr>
      </w:pPr>
    </w:p>
    <w:p>
      <w:pPr>
        <w:jc w:val="both"/>
        <w:ind w:left="1020" w:hanging="503"/>
        <w:spacing w:after="0" w:line="230" w:lineRule="auto"/>
        <w:tabs>
          <w:tab w:leader="none" w:pos="1020" w:val="left"/>
        </w:tabs>
        <w:numPr>
          <w:ilvl w:val="1"/>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21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[omited];</w:t>
      </w:r>
    </w:p>
    <w:p>
      <w:pPr>
        <w:spacing w:after="0" w:line="230"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1"/>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218" w:lineRule="exact"/>
        <w:rPr>
          <w:rFonts w:ascii="Times New Roman" w:cs="Times New Roman" w:eastAsia="Times New Roman" w:hAnsi="Times New Roman"/>
          <w:sz w:val="18"/>
          <w:szCs w:val="18"/>
          <w:color w:val="auto"/>
        </w:rPr>
      </w:pPr>
    </w:p>
    <w:p>
      <w:pPr>
        <w:jc w:val="both"/>
        <w:ind w:left="1020" w:hanging="503"/>
        <w:spacing w:after="0" w:line="230" w:lineRule="auto"/>
        <w:tabs>
          <w:tab w:leader="none" w:pos="1020" w:val="left"/>
        </w:tabs>
        <w:numPr>
          <w:ilvl w:val="1"/>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18" w:lineRule="exact"/>
        <w:rPr>
          <w:rFonts w:ascii="Times New Roman" w:cs="Times New Roman" w:eastAsia="Times New Roman" w:hAnsi="Times New Roman"/>
          <w:sz w:val="18"/>
          <w:szCs w:val="18"/>
          <w:color w:val="auto"/>
        </w:rPr>
      </w:pPr>
    </w:p>
    <w:p>
      <w:pPr>
        <w:ind w:left="520" w:hanging="512"/>
        <w:spacing w:after="0" w:line="235" w:lineRule="auto"/>
        <w:tabs>
          <w:tab w:leader="none" w:pos="52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217"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1"/>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218" w:lineRule="exact"/>
        <w:rPr>
          <w:rFonts w:ascii="Times New Roman" w:cs="Times New Roman" w:eastAsia="Times New Roman" w:hAnsi="Times New Roman"/>
          <w:sz w:val="18"/>
          <w:szCs w:val="18"/>
          <w:color w:val="auto"/>
        </w:rPr>
      </w:pPr>
    </w:p>
    <w:p>
      <w:pPr>
        <w:ind w:left="1020" w:hanging="503"/>
        <w:spacing w:after="0" w:line="235" w:lineRule="auto"/>
        <w:tabs>
          <w:tab w:leader="none" w:pos="1020" w:val="left"/>
        </w:tabs>
        <w:numPr>
          <w:ilvl w:val="1"/>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fraud, whether or not material, that involves management or other employees who have a signifcant role in the registrant's internal control over fnancial reportng.</w:t>
      </w:r>
    </w:p>
    <w:p>
      <w:pPr>
        <w:spacing w:after="0" w:line="172"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August 9, 2022</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6" w:name="page47"/>
    <w:bookmarkEnd w:id="46"/>
    <w:p>
      <w:pPr>
        <w:jc w:val="right"/>
        <w:spacing w:after="0"/>
        <w:rPr>
          <w:sz w:val="20"/>
          <w:szCs w:val="20"/>
          <w:color w:val="auto"/>
        </w:rPr>
      </w:pPr>
      <w:r>
        <w:rPr>
          <w:rFonts w:ascii="Calibri" w:cs="Calibri" w:eastAsia="Calibri" w:hAnsi="Calibri"/>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20"/>
        <w:spacing w:after="0" w:line="221"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40"/>
        <w:spacing w:after="0" w:line="221"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17" w:lineRule="exact"/>
        <w:rPr>
          <w:sz w:val="20"/>
          <w:szCs w:val="20"/>
          <w:color w:val="auto"/>
        </w:rPr>
      </w:pPr>
    </w:p>
    <w:p>
      <w:pPr>
        <w:jc w:val="both"/>
        <w:ind w:firstLine="509"/>
        <w:spacing w:after="0" w:line="225" w:lineRule="auto"/>
        <w:rPr>
          <w:sz w:val="20"/>
          <w:szCs w:val="20"/>
          <w:color w:val="auto"/>
        </w:rPr>
      </w:pPr>
      <w:r>
        <w:rPr>
          <w:rFonts w:ascii="Calibri" w:cs="Calibri" w:eastAsia="Calibri" w:hAnsi="Calibri"/>
          <w:sz w:val="18"/>
          <w:szCs w:val="18"/>
          <w:color w:val="auto"/>
        </w:rPr>
        <w:t>In connecton with the Quarterly Report of Vivid Seats Inc. (the “Company”) on Form 10-Q for the period ending June 30, 2022 as fled with the Securites and Exchange Commission on the date hereof (the “Report”), I, Stanley Chia, Chief Executve Ofcer, certfy, pursuant to 18 U.S.C. § 1350, as adopted pursuant to § 906 of the Sarbanes-Oxley Act of 2002, that:</w:t>
      </w:r>
    </w:p>
    <w:p>
      <w:pPr>
        <w:spacing w:after="0" w:line="22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17"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 of operatons of the Company.</w:t>
      </w:r>
    </w:p>
    <w:p>
      <w:pPr>
        <w:spacing w:after="0" w:line="187" w:lineRule="exact"/>
        <w:rPr>
          <w:sz w:val="20"/>
          <w:szCs w:val="20"/>
          <w:color w:val="auto"/>
        </w:rPr>
      </w:pPr>
    </w:p>
    <w:p>
      <w:pPr>
        <w:ind w:left="20"/>
        <w:spacing w:after="0"/>
        <w:tabs>
          <w:tab w:leader="none" w:pos="5660" w:val="left"/>
          <w:tab w:leader="none" w:pos="8040" w:val="left"/>
        </w:tabs>
        <w:rPr>
          <w:sz w:val="20"/>
          <w:szCs w:val="20"/>
          <w:color w:val="auto"/>
        </w:rPr>
      </w:pPr>
      <w:r>
        <w:rPr>
          <w:rFonts w:ascii="Calibri" w:cs="Calibri" w:eastAsia="Calibri" w:hAnsi="Calibri"/>
          <w:sz w:val="18"/>
          <w:szCs w:val="18"/>
          <w:color w:val="auto"/>
        </w:rPr>
        <w:t>Date: August 9, 2022</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Stanley Chia</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Stanley 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Executve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7" w:name="page48"/>
    <w:bookmarkEnd w:id="47"/>
    <w:p>
      <w:pPr>
        <w:jc w:val="right"/>
        <w:spacing w:after="0"/>
        <w:rPr>
          <w:sz w:val="20"/>
          <w:szCs w:val="20"/>
          <w:color w:val="auto"/>
        </w:rPr>
      </w:pPr>
      <w:r>
        <w:rPr>
          <w:rFonts w:ascii="Calibri" w:cs="Calibri" w:eastAsia="Calibri" w:hAnsi="Calibri"/>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CERTIFICATION PURSUANT TO</w:t>
      </w:r>
    </w:p>
    <w:p>
      <w:pPr>
        <w:ind w:left="3720"/>
        <w:spacing w:after="0" w:line="221" w:lineRule="auto"/>
        <w:rPr>
          <w:sz w:val="20"/>
          <w:szCs w:val="20"/>
          <w:color w:val="auto"/>
        </w:rPr>
      </w:pPr>
      <w:r>
        <w:rPr>
          <w:rFonts w:ascii="Calibri" w:cs="Calibri" w:eastAsia="Calibri" w:hAnsi="Calibri"/>
          <w:sz w:val="18"/>
          <w:szCs w:val="18"/>
          <w:b w:val="1"/>
          <w:bCs w:val="1"/>
          <w:color w:val="auto"/>
        </w:rPr>
        <w:t>18 U.S.C. SECTION 1350, AS ADOPTED PURSUANT TO</w:t>
      </w:r>
    </w:p>
    <w:p>
      <w:pPr>
        <w:ind w:left="3740"/>
        <w:spacing w:after="0" w:line="221" w:lineRule="auto"/>
        <w:rPr>
          <w:sz w:val="20"/>
          <w:szCs w:val="20"/>
          <w:color w:val="auto"/>
        </w:rPr>
      </w:pPr>
      <w:r>
        <w:rPr>
          <w:rFonts w:ascii="Calibri" w:cs="Calibri" w:eastAsia="Calibri" w:hAnsi="Calibri"/>
          <w:sz w:val="18"/>
          <w:szCs w:val="18"/>
          <w:b w:val="1"/>
          <w:bCs w:val="1"/>
          <w:color w:val="auto"/>
        </w:rPr>
        <w:t>SECTION 906 OF THE SARBANES-OXLEY ACT OF 2002</w:t>
      </w:r>
    </w:p>
    <w:p>
      <w:pPr>
        <w:spacing w:after="0" w:line="217" w:lineRule="exact"/>
        <w:rPr>
          <w:sz w:val="20"/>
          <w:szCs w:val="20"/>
          <w:color w:val="auto"/>
        </w:rPr>
      </w:pPr>
    </w:p>
    <w:p>
      <w:pPr>
        <w:jc w:val="both"/>
        <w:ind w:firstLine="509"/>
        <w:spacing w:after="0" w:line="225" w:lineRule="auto"/>
        <w:rPr>
          <w:sz w:val="20"/>
          <w:szCs w:val="20"/>
          <w:color w:val="auto"/>
        </w:rPr>
      </w:pPr>
      <w:r>
        <w:rPr>
          <w:rFonts w:ascii="Calibri" w:cs="Calibri" w:eastAsia="Calibri" w:hAnsi="Calibri"/>
          <w:sz w:val="18"/>
          <w:szCs w:val="18"/>
          <w:color w:val="auto"/>
        </w:rPr>
        <w:t>In connecton with the Quarterly Report of Vivid Seats Inc. (the “Company”) on Form 10-Q for the period ending June 30, 2022 as fled with the Securites and Exchange Commission on the date hereof (the “Report”), I, Lawrence Fey, Chief Financial Ofcer, certfy, pursuant to 18 U.S.C. § 1350, as adopted pursuant to § 906 of the Sarbanes-Oxley Act of 2002, that:</w:t>
      </w:r>
    </w:p>
    <w:p>
      <w:pPr>
        <w:spacing w:after="0" w:line="228"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Report fully complies with the requirements of secton 13(a) or 15(d) of the Securites Exchange Act of 1934; and</w:t>
      </w:r>
    </w:p>
    <w:p>
      <w:pPr>
        <w:spacing w:after="0" w:line="217" w:lineRule="exact"/>
        <w:rPr>
          <w:rFonts w:ascii="Times New Roman" w:cs="Times New Roman" w:eastAsia="Times New Roman" w:hAnsi="Times New Roman"/>
          <w:sz w:val="18"/>
          <w:szCs w:val="18"/>
          <w:color w:val="auto"/>
        </w:rPr>
      </w:pPr>
    </w:p>
    <w:p>
      <w:pPr>
        <w:ind w:left="1020" w:hanging="503"/>
        <w:spacing w:after="0" w:line="227" w:lineRule="auto"/>
        <w:tabs>
          <w:tab w:leader="none" w:pos="102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informaton contained in the Report fairly presents, in all material respects, the fnancial conditon and result of operatons of the Company.</w:t>
      </w:r>
    </w:p>
    <w:p>
      <w:pPr>
        <w:spacing w:after="0" w:line="187" w:lineRule="exact"/>
        <w:rPr>
          <w:sz w:val="20"/>
          <w:szCs w:val="20"/>
          <w:color w:val="auto"/>
        </w:rPr>
      </w:pPr>
    </w:p>
    <w:p>
      <w:pPr>
        <w:ind w:left="20"/>
        <w:spacing w:after="0"/>
        <w:tabs>
          <w:tab w:leader="none" w:pos="5660" w:val="left"/>
          <w:tab w:leader="none" w:pos="8000" w:val="left"/>
        </w:tabs>
        <w:rPr>
          <w:sz w:val="20"/>
          <w:szCs w:val="20"/>
          <w:color w:val="auto"/>
        </w:rPr>
      </w:pPr>
      <w:r>
        <w:rPr>
          <w:rFonts w:ascii="Calibri" w:cs="Calibri" w:eastAsia="Calibri" w:hAnsi="Calibri"/>
          <w:sz w:val="18"/>
          <w:szCs w:val="18"/>
          <w:color w:val="auto"/>
        </w:rPr>
        <w:t>Date: August 9, 2022</w:t>
      </w:r>
      <w:r>
        <w:rPr>
          <w:sz w:val="20"/>
          <w:szCs w:val="20"/>
          <w:color w:val="auto"/>
        </w:rPr>
        <w:tab/>
      </w:r>
      <w:r>
        <w:rPr>
          <w:rFonts w:ascii="Calibri" w:cs="Calibri" w:eastAsia="Calibri" w:hAnsi="Calibri"/>
          <w:sz w:val="18"/>
          <w:szCs w:val="18"/>
          <w:color w:val="auto"/>
        </w:rPr>
        <w:t>By:</w:t>
      </w:r>
      <w:r>
        <w:rPr>
          <w:sz w:val="20"/>
          <w:szCs w:val="20"/>
          <w:color w:val="auto"/>
        </w:rPr>
        <w:tab/>
      </w:r>
      <w:r>
        <w:rPr>
          <w:rFonts w:ascii="Calibri" w:cs="Calibri" w:eastAsia="Calibri" w:hAnsi="Calibri"/>
          <w:sz w:val="17"/>
          <w:szCs w:val="17"/>
          <w:color w:val="auto"/>
        </w:rPr>
        <w:t>/s/ Lawrence Fey</w:t>
      </w:r>
    </w:p>
    <w:p>
      <w:pPr>
        <w:spacing w:after="0" w:line="10" w:lineRule="exact"/>
        <w:rPr>
          <w:sz w:val="20"/>
          <w:szCs w:val="20"/>
          <w:color w:val="auto"/>
        </w:rPr>
      </w:pPr>
    </w:p>
    <w:p>
      <w:pPr>
        <w:jc w:val="center"/>
        <w:ind w:left="5980"/>
        <w:spacing w:after="0"/>
        <w:rPr>
          <w:sz w:val="20"/>
          <w:szCs w:val="20"/>
          <w:color w:val="auto"/>
        </w:rPr>
      </w:pPr>
      <w:r>
        <w:rPr>
          <w:rFonts w:ascii="Calibri" w:cs="Calibri" w:eastAsia="Calibri" w:hAnsi="Calibri"/>
          <w:sz w:val="18"/>
          <w:szCs w:val="18"/>
          <w:b w:val="1"/>
          <w:bCs w:val="1"/>
          <w:color w:val="auto"/>
        </w:rPr>
        <w:t>Lawrence Fey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-130175</wp:posOffset>
            </wp:positionV>
            <wp:extent cx="332613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jc w:val="center"/>
        <w:ind w:left="5980"/>
        <w:spacing w:after="0" w:line="235" w:lineRule="auto"/>
        <w:rPr>
          <w:sz w:val="20"/>
          <w:szCs w:val="20"/>
          <w:color w:val="auto"/>
        </w:rPr>
      </w:pPr>
      <w:r>
        <w:rPr>
          <w:rFonts w:ascii="Calibri" w:cs="Calibri" w:eastAsia="Calibri" w:hAnsi="Calibri"/>
          <w:sz w:val="18"/>
          <w:szCs w:val="18"/>
          <w:b w:val="1"/>
          <w:bCs w:val="1"/>
          <w:color w:val="auto"/>
        </w:rPr>
        <w:t>Chief Financial Ofcer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o"/>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2"/>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3"/>
    </w:lvl>
  </w:abstractNum>
  <w:abstractNum w:abstractNumId="8">
    <w:nsid w:val="1190CDE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
    <w:nsid w:val="66EF438D"/>
    <w:multiLevelType w:val="hybridMultilevel"/>
    <w:lvl w:ilvl="0">
      <w:lvlJc w:val="left"/>
      <w:lvlText w:val="%1."/>
      <w:numFmt w:val="decimal"/>
      <w:start w:val="2"/>
    </w:lvl>
    <w:lvl w:ilvl="1">
      <w:lvlJc w:val="left"/>
      <w:lvlText w:val="%2."/>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303" Type="http://schemas.openxmlformats.org/officeDocument/2006/relationships/image" Target="media/image287.png"/><Relationship Id="rId304" Type="http://schemas.openxmlformats.org/officeDocument/2006/relationships/image" Target="media/image288.png"/><Relationship Id="rId305" Type="http://schemas.openxmlformats.org/officeDocument/2006/relationships/image" Target="media/image289.png"/><Relationship Id="rId306" Type="http://schemas.openxmlformats.org/officeDocument/2006/relationships/image" Target="media/image290.png"/><Relationship Id="rId307" Type="http://schemas.openxmlformats.org/officeDocument/2006/relationships/image" Target="media/image291.png"/><Relationship Id="rId308" Type="http://schemas.openxmlformats.org/officeDocument/2006/relationships/image" Target="media/image292.png"/><Relationship Id="rId309" Type="http://schemas.openxmlformats.org/officeDocument/2006/relationships/image" Target="media/image293.png"/><Relationship Id="rId310" Type="http://schemas.openxmlformats.org/officeDocument/2006/relationships/image" Target="media/image294.png"/><Relationship Id="rId311" Type="http://schemas.openxmlformats.org/officeDocument/2006/relationships/image" Target="media/image295.png"/><Relationship Id="rId312" Type="http://schemas.openxmlformats.org/officeDocument/2006/relationships/image" Target="media/image296.png"/><Relationship Id="rId313" Type="http://schemas.openxmlformats.org/officeDocument/2006/relationships/image" Target="media/image297.png"/><Relationship Id="rId314" Type="http://schemas.openxmlformats.org/officeDocument/2006/relationships/image" Target="media/image298.png"/><Relationship Id="rId315" Type="http://schemas.openxmlformats.org/officeDocument/2006/relationships/image" Target="media/image299.png"/><Relationship Id="rId316" Type="http://schemas.openxmlformats.org/officeDocument/2006/relationships/image" Target="media/image300.png"/><Relationship Id="rId317" Type="http://schemas.openxmlformats.org/officeDocument/2006/relationships/image" Target="media/image301.png"/><Relationship Id="rId318" Type="http://schemas.openxmlformats.org/officeDocument/2006/relationships/image" Target="media/image302.png"/><Relationship Id="rId294" Type="http://schemas.openxmlformats.org/officeDocument/2006/relationships/hyperlink" Target="https://www.sec.gov/Archives/edgar/data/0001856031/000119312521175583/d447259ds4.htm#ii447259_10" TargetMode="External"/><Relationship Id="rId295" Type="http://schemas.openxmlformats.org/officeDocument/2006/relationships/hyperlink" Target="https://www.sec.gov/Archives/edgar/data/1856031/000119312521175583/d447259dex22.htm" TargetMode="External"/><Relationship Id="rId296" Type="http://schemas.openxmlformats.org/officeDocument/2006/relationships/hyperlink" Target="https://www.sec.gov/Archives/edgar/data/0001856031/000095017021004585/seat-ex2_3.htm" TargetMode="External"/><Relationship Id="rId297" Type="http://schemas.openxmlformats.org/officeDocument/2006/relationships/hyperlink" Target="https://www.sec.gov/Archives/edgar/data/0001856031/000119312521305506/d216055dex31.htm" TargetMode="External"/><Relationship Id="rId298" Type="http://schemas.openxmlformats.org/officeDocument/2006/relationships/hyperlink" Target="https://www.sec.gov/Archives/edgar/data/1856031/000095017022008705/seat-ex3_2.htm" TargetMode="External"/><Relationship Id="rId299" Type="http://schemas.openxmlformats.org/officeDocument/2006/relationships/hyperlink" Target="https://www.sec.gov/Archives/edgar/data/0001856031/000119312521305506/d216055dex32.htm" TargetMode="External"/><Relationship Id="rId300" Type="http://schemas.openxmlformats.org/officeDocument/2006/relationships/hyperlink" Target="https://www.sec.gov/Archives/edgar/data/0001856031/000119312521305506/d216055dex107.htm" TargetMode="External"/><Relationship Id="rId301" Type="http://schemas.openxmlformats.org/officeDocument/2006/relationships/hyperlink" Target="https://www.sec.gov/Archives/edgar/data/1856031/000095017022003749/seat-ex4_2.htm" TargetMode="External"/><Relationship Id="rId302" Type="http://schemas.openxmlformats.org/officeDocument/2006/relationships/hyperlink" Target="https://www.sec.gov/Archives/edgar/data/1856031/000095017022003749/seat-ex4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2022-08-09T06:33:12Z</dcterms:created>
  <dcterms:modified xsi:type="dcterms:W3CDTF">2022-08-09T06:33:12Z</dcterms:modified>
</cp:coreProperties>
</file>