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5"/>
          <w:szCs w:val="25"/>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SECURITIES AND EXCHANGE COMMISSION</w:t>
      </w:r>
    </w:p>
    <w:p>
      <w:pPr>
        <w:jc w:val="center"/>
        <w:spacing w:after="0" w:line="238" w:lineRule="auto"/>
        <w:rPr>
          <w:sz w:val="20"/>
          <w:szCs w:val="20"/>
          <w:color w:val="auto"/>
        </w:rPr>
      </w:pPr>
      <w:r>
        <w:rPr>
          <w:rFonts w:ascii="Calibri" w:cs="Calibri" w:eastAsia="Calibri" w:hAnsi="Calibri"/>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Calibri" w:cs="Calibri" w:eastAsia="Calibri" w:hAnsi="Calibri"/>
          <w:sz w:val="14"/>
          <w:szCs w:val="14"/>
          <w:color w:val="auto"/>
        </w:rPr>
        <w:t>(Mark One)</w:t>
      </w:r>
    </w:p>
    <w:p>
      <w:pPr>
        <w:spacing w:after="0" w:line="5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For the fscal year ended December 31, 2024</w:t>
      </w:r>
    </w:p>
    <w:p>
      <w:pPr>
        <w:spacing w:after="0" w:line="59"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or</w:t>
      </w:r>
    </w:p>
    <w:p>
      <w:pPr>
        <w:spacing w:after="0" w:line="32" w:lineRule="exact"/>
        <w:rPr>
          <w:sz w:val="24"/>
          <w:szCs w:val="24"/>
          <w:color w:val="auto"/>
        </w:rPr>
      </w:pPr>
    </w:p>
    <w:p>
      <w:pPr>
        <w:ind w:left="20"/>
        <w:spacing w:after="0"/>
        <w:tabs>
          <w:tab w:leader="none" w:pos="46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Calibri" w:cs="Calibri" w:eastAsia="Calibri" w:hAnsi="Calibri"/>
          <w:sz w:val="14"/>
          <w:szCs w:val="14"/>
          <w:b w:val="1"/>
          <w:bCs w:val="1"/>
          <w:color w:val="auto"/>
        </w:rPr>
        <w:t>TRANSITION REPORT PURSUANT TO SECTION 13 OR 15(d) OF THE SECURITIES EXCHANGE ACT OF 1934</w:t>
      </w:r>
    </w:p>
    <w:p>
      <w:pPr>
        <w:spacing w:after="0" w:line="98" w:lineRule="exact"/>
        <w:rPr>
          <w:sz w:val="24"/>
          <w:szCs w:val="24"/>
          <w:color w:val="auto"/>
        </w:rPr>
      </w:pPr>
    </w:p>
    <w:p>
      <w:pPr>
        <w:ind w:left="3920"/>
        <w:spacing w:after="0"/>
        <w:rPr>
          <w:sz w:val="20"/>
          <w:szCs w:val="20"/>
          <w:color w:val="auto"/>
        </w:rPr>
      </w:pPr>
      <w:r>
        <w:rPr>
          <w:rFonts w:ascii="Calibri" w:cs="Calibri" w:eastAsia="Calibri" w:hAnsi="Calibri"/>
          <w:sz w:val="14"/>
          <w:szCs w:val="14"/>
          <w:color w:val="auto"/>
        </w:rPr>
        <w:t>For the transiton period from __________ to __________</w:t>
      </w:r>
    </w:p>
    <w:p>
      <w:pPr>
        <w:spacing w:after="0" w:line="59"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 xml:space="preserve">Commission fle number: </w:t>
      </w:r>
      <w:r>
        <w:rPr>
          <w:rFonts w:ascii="Calibri" w:cs="Calibri" w:eastAsia="Calibri" w:hAnsi="Calibri"/>
          <w:sz w:val="14"/>
          <w:szCs w:val="14"/>
          <w:b w:val="1"/>
          <w:bCs w:val="1"/>
          <w:color w:val="auto"/>
        </w:rPr>
        <w:t>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440"/>
              <w:spacing w:after="0"/>
              <w:rPr>
                <w:sz w:val="20"/>
                <w:szCs w:val="20"/>
                <w:color w:val="auto"/>
              </w:rPr>
            </w:pPr>
            <w:r>
              <w:rPr>
                <w:rFonts w:ascii="Calibri" w:cs="Calibri" w:eastAsia="Calibri" w:hAnsi="Calibri"/>
                <w:sz w:val="32"/>
                <w:szCs w:val="32"/>
                <w:b w:val="1"/>
                <w:bCs w:val="1"/>
                <w:color w:val="auto"/>
              </w:rPr>
              <w:t>Vivid Seats Inc.</w:t>
            </w:r>
          </w:p>
        </w:tc>
        <w:tc>
          <w:tcPr>
            <w:tcW w:w="3940" w:type="dxa"/>
            <w:vAlign w:val="bottom"/>
          </w:tcPr>
          <w:p>
            <w:pPr>
              <w:spacing w:after="0"/>
              <w:rPr>
                <w:sz w:val="24"/>
                <w:szCs w:val="24"/>
                <w:color w:val="auto"/>
              </w:rPr>
            </w:pPr>
          </w:p>
        </w:tc>
      </w:tr>
      <w:tr>
        <w:trPr>
          <w:trHeight w:val="197"/>
        </w:trPr>
        <w:tc>
          <w:tcPr>
            <w:tcW w:w="4000" w:type="dxa"/>
            <w:vAlign w:val="bottom"/>
          </w:tcPr>
          <w:p>
            <w:pPr>
              <w:spacing w:after="0"/>
              <w:rPr>
                <w:sz w:val="17"/>
                <w:szCs w:val="17"/>
                <w:color w:val="auto"/>
              </w:rPr>
            </w:pPr>
          </w:p>
        </w:tc>
        <w:tc>
          <w:tcPr>
            <w:tcW w:w="3300" w:type="dxa"/>
            <w:vAlign w:val="bottom"/>
            <w:gridSpan w:val="5"/>
          </w:tcPr>
          <w:p>
            <w:pPr>
              <w:jc w:val="center"/>
              <w:ind w:right="60"/>
              <w:spacing w:after="0"/>
              <w:rPr>
                <w:sz w:val="20"/>
                <w:szCs w:val="20"/>
                <w:color w:val="auto"/>
              </w:rPr>
            </w:pPr>
            <w:r>
              <w:rPr>
                <w:rFonts w:ascii="Calibri" w:cs="Calibri" w:eastAsia="Calibri" w:hAnsi="Calibri"/>
                <w:sz w:val="14"/>
                <w:szCs w:val="14"/>
                <w:color w:val="auto"/>
              </w:rPr>
              <w:t>(Exact name of registrant as specifed in its charter)</w:t>
            </w:r>
          </w:p>
        </w:tc>
        <w:tc>
          <w:tcPr>
            <w:tcW w:w="3940" w:type="dxa"/>
            <w:vAlign w:val="bottom"/>
          </w:tcPr>
          <w:p>
            <w:pPr>
              <w:spacing w:after="0"/>
              <w:rPr>
                <w:sz w:val="17"/>
                <w:szCs w:val="17"/>
                <w:color w:val="auto"/>
              </w:rPr>
            </w:pPr>
          </w:p>
        </w:tc>
      </w:tr>
      <w:tr>
        <w:trPr>
          <w:trHeight w:val="87"/>
        </w:trPr>
        <w:tc>
          <w:tcPr>
            <w:tcW w:w="4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r>
      <w:tr>
        <w:trPr>
          <w:trHeight w:val="217"/>
        </w:trPr>
        <w:tc>
          <w:tcPr>
            <w:tcW w:w="4000" w:type="dxa"/>
            <w:vAlign w:val="bottom"/>
          </w:tcPr>
          <w:p>
            <w:pPr>
              <w:jc w:val="center"/>
              <w:ind w:left="1568"/>
              <w:spacing w:after="0"/>
              <w:rPr>
                <w:sz w:val="20"/>
                <w:szCs w:val="20"/>
                <w:color w:val="auto"/>
              </w:rPr>
            </w:pPr>
            <w:r>
              <w:rPr>
                <w:rFonts w:ascii="Calibri" w:cs="Calibri" w:eastAsia="Calibri" w:hAnsi="Calibri"/>
                <w:sz w:val="14"/>
                <w:szCs w:val="14"/>
                <w:b w:val="1"/>
                <w:bCs w:val="1"/>
                <w:color w:val="auto"/>
              </w:rPr>
              <w:t>Delaware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4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r>
      <w:tr>
        <w:trPr>
          <w:trHeight w:val="176"/>
        </w:trPr>
        <w:tc>
          <w:tcPr>
            <w:tcW w:w="4000" w:type="dxa"/>
            <w:vAlign w:val="bottom"/>
          </w:tcPr>
          <w:p>
            <w:pPr>
              <w:jc w:val="center"/>
              <w:ind w:left="1548"/>
              <w:spacing w:after="0"/>
              <w:rPr>
                <w:sz w:val="20"/>
                <w:szCs w:val="20"/>
                <w:color w:val="auto"/>
              </w:rPr>
            </w:pPr>
            <w:r>
              <w:rPr>
                <w:rFonts w:ascii="Calibri" w:cs="Calibri" w:eastAsia="Calibri" w:hAnsi="Calibri"/>
                <w:sz w:val="14"/>
                <w:szCs w:val="14"/>
                <w:color w:val="auto"/>
              </w:rPr>
              <w:t>(State or other jurisdicton of</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588"/>
              <w:spacing w:after="0"/>
              <w:rPr>
                <w:sz w:val="20"/>
                <w:szCs w:val="20"/>
                <w:color w:val="auto"/>
              </w:rPr>
            </w:pPr>
            <w:r>
              <w:rPr>
                <w:rFonts w:ascii="Calibri" w:cs="Calibri" w:eastAsia="Calibri" w:hAnsi="Calibri"/>
                <w:sz w:val="14"/>
                <w:szCs w:val="14"/>
                <w:color w:val="auto"/>
              </w:rPr>
              <w:t>(I.R.S. Employer</w:t>
            </w:r>
          </w:p>
        </w:tc>
      </w:tr>
      <w:tr>
        <w:trPr>
          <w:trHeight w:val="176"/>
        </w:trPr>
        <w:tc>
          <w:tcPr>
            <w:tcW w:w="4000" w:type="dxa"/>
            <w:vAlign w:val="bottom"/>
          </w:tcPr>
          <w:p>
            <w:pPr>
              <w:jc w:val="center"/>
              <w:ind w:left="1568"/>
              <w:spacing w:after="0"/>
              <w:rPr>
                <w:sz w:val="20"/>
                <w:szCs w:val="20"/>
                <w:color w:val="auto"/>
              </w:rPr>
            </w:pPr>
            <w:r>
              <w:rPr>
                <w:rFonts w:ascii="Calibri" w:cs="Calibri" w:eastAsia="Calibri" w:hAnsi="Calibri"/>
                <w:sz w:val="14"/>
                <w:szCs w:val="14"/>
                <w:color w:val="auto"/>
              </w:rPr>
              <w:t>incorporaton or organizaton)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608"/>
              <w:spacing w:after="0"/>
              <w:rPr>
                <w:sz w:val="20"/>
                <w:szCs w:val="20"/>
                <w:color w:val="auto"/>
              </w:rPr>
            </w:pPr>
            <w:r>
              <w:rPr>
                <w:rFonts w:ascii="Calibri" w:cs="Calibri" w:eastAsia="Calibri" w:hAnsi="Calibri"/>
                <w:sz w:val="14"/>
                <w:szCs w:val="14"/>
                <w:color w:val="auto"/>
              </w:rPr>
              <w:t>Identfcaton No.)</w:t>
            </w:r>
          </w:p>
        </w:tc>
      </w:tr>
      <w:tr>
        <w:trPr>
          <w:trHeight w:val="229"/>
        </w:trPr>
        <w:tc>
          <w:tcPr>
            <w:tcW w:w="400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24 E. Washington Street, Suite 900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176"/>
        </w:trPr>
        <w:tc>
          <w:tcPr>
            <w:tcW w:w="4000" w:type="dxa"/>
            <w:vAlign w:val="bottom"/>
          </w:tcPr>
          <w:p>
            <w:pPr>
              <w:jc w:val="center"/>
              <w:ind w:left="1568"/>
              <w:spacing w:after="0"/>
              <w:rPr>
                <w:sz w:val="20"/>
                <w:szCs w:val="20"/>
                <w:color w:val="auto"/>
              </w:rPr>
            </w:pPr>
            <w:r>
              <w:rPr>
                <w:rFonts w:ascii="Calibri" w:cs="Calibri" w:eastAsia="Calibri" w:hAnsi="Calibri"/>
                <w:sz w:val="14"/>
                <w:szCs w:val="14"/>
                <w:b w:val="1"/>
                <w:bCs w:val="1"/>
                <w:color w:val="auto"/>
              </w:rPr>
              <w:t>Chicago, Illinois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60602</w:t>
            </w:r>
          </w:p>
        </w:tc>
      </w:tr>
      <w:tr>
        <w:trPr>
          <w:trHeight w:val="175"/>
        </w:trPr>
        <w:tc>
          <w:tcPr>
            <w:tcW w:w="4000" w:type="dxa"/>
            <w:vAlign w:val="bottom"/>
          </w:tcPr>
          <w:p>
            <w:pPr>
              <w:jc w:val="center"/>
              <w:ind w:left="1568"/>
              <w:spacing w:after="0"/>
              <w:rPr>
                <w:sz w:val="20"/>
                <w:szCs w:val="20"/>
                <w:color w:val="auto"/>
              </w:rPr>
            </w:pPr>
            <w:r>
              <w:rPr>
                <w:rFonts w:ascii="Calibri" w:cs="Calibri" w:eastAsia="Calibri" w:hAnsi="Calibri"/>
                <w:sz w:val="14"/>
                <w:szCs w:val="14"/>
                <w:color w:val="auto"/>
              </w:rPr>
              <w:t>(Address of principal executve ofces)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588"/>
              <w:spacing w:after="0"/>
              <w:rPr>
                <w:sz w:val="20"/>
                <w:szCs w:val="20"/>
                <w:color w:val="auto"/>
              </w:rPr>
            </w:pPr>
            <w:r>
              <w:rPr>
                <w:rFonts w:ascii="Calibri" w:cs="Calibri" w:eastAsia="Calibri" w:hAnsi="Calibri"/>
                <w:sz w:val="14"/>
                <w:szCs w:val="14"/>
                <w:color w:val="auto"/>
              </w:rPr>
              <w:t>(Zip Code)</w:t>
            </w:r>
          </w:p>
        </w:tc>
      </w:tr>
      <w:tr>
        <w:trPr>
          <w:trHeight w:val="229"/>
        </w:trPr>
        <w:tc>
          <w:tcPr>
            <w:tcW w:w="4000" w:type="dxa"/>
            <w:vAlign w:val="bottom"/>
          </w:tcPr>
          <w:p>
            <w:pPr>
              <w:spacing w:after="0"/>
              <w:rPr>
                <w:sz w:val="19"/>
                <w:szCs w:val="19"/>
                <w:color w:val="auto"/>
              </w:rPr>
            </w:pPr>
          </w:p>
        </w:tc>
        <w:tc>
          <w:tcPr>
            <w:tcW w:w="2080" w:type="dxa"/>
            <w:vAlign w:val="bottom"/>
            <w:gridSpan w:val="3"/>
          </w:tcPr>
          <w:p>
            <w:pPr>
              <w:jc w:val="center"/>
              <w:ind w:left="1108"/>
              <w:spacing w:after="0"/>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176"/>
        </w:trPr>
        <w:tc>
          <w:tcPr>
            <w:tcW w:w="4000" w:type="dxa"/>
            <w:vAlign w:val="bottom"/>
          </w:tcPr>
          <w:p>
            <w:pPr>
              <w:spacing w:after="0"/>
              <w:rPr>
                <w:sz w:val="15"/>
                <w:szCs w:val="15"/>
                <w:color w:val="auto"/>
              </w:rPr>
            </w:pPr>
          </w:p>
        </w:tc>
        <w:tc>
          <w:tcPr>
            <w:tcW w:w="3300" w:type="dxa"/>
            <w:vAlign w:val="bottom"/>
            <w:gridSpan w:val="5"/>
          </w:tcPr>
          <w:p>
            <w:pPr>
              <w:jc w:val="center"/>
              <w:ind w:right="60"/>
              <w:spacing w:after="0"/>
              <w:rPr>
                <w:sz w:val="20"/>
                <w:szCs w:val="20"/>
                <w:color w:val="auto"/>
              </w:rPr>
            </w:pPr>
            <w:r>
              <w:rPr>
                <w:rFonts w:ascii="Calibri" w:cs="Calibri" w:eastAsia="Calibri" w:hAnsi="Calibri"/>
                <w:sz w:val="14"/>
                <w:szCs w:val="14"/>
                <w:color w:val="auto"/>
              </w:rPr>
              <w:t>(Registrant’s telephone number, including area code)</w:t>
            </w:r>
          </w:p>
        </w:tc>
        <w:tc>
          <w:tcPr>
            <w:tcW w:w="3940" w:type="dxa"/>
            <w:vAlign w:val="bottom"/>
          </w:tcPr>
          <w:p>
            <w:pPr>
              <w:spacing w:after="0"/>
              <w:rPr>
                <w:sz w:val="15"/>
                <w:szCs w:val="15"/>
                <w:color w:val="auto"/>
              </w:rPr>
            </w:pPr>
          </w:p>
        </w:tc>
      </w:tr>
      <w:tr>
        <w:trPr>
          <w:trHeight w:val="101"/>
        </w:trPr>
        <w:tc>
          <w:tcPr>
            <w:tcW w:w="40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r>
      <w:tr>
        <w:trPr>
          <w:trHeight w:val="217"/>
        </w:trPr>
        <w:tc>
          <w:tcPr>
            <w:tcW w:w="4000" w:type="dxa"/>
            <w:vAlign w:val="bottom"/>
          </w:tcPr>
          <w:p>
            <w:pPr>
              <w:spacing w:after="0"/>
              <w:rPr>
                <w:sz w:val="20"/>
                <w:szCs w:val="20"/>
                <w:color w:val="auto"/>
              </w:rPr>
            </w:pPr>
            <w:r>
              <w:rPr>
                <w:rFonts w:ascii="Calibri" w:cs="Calibri" w:eastAsia="Calibri" w:hAnsi="Calibri"/>
                <w:sz w:val="14"/>
                <w:szCs w:val="14"/>
                <w:color w:val="auto"/>
              </w:rPr>
              <w:t>Securites registered pursuant to Secton 12(b) of the Act: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43"/>
        </w:trPr>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color w:val="auto"/>
              </w:rPr>
              <w:t>Trading</w:t>
            </w:r>
          </w:p>
        </w:tc>
        <w:tc>
          <w:tcPr>
            <w:tcW w:w="3940" w:type="dxa"/>
            <w:vAlign w:val="bottom"/>
          </w:tcPr>
          <w:p>
            <w:pPr>
              <w:spacing w:after="0"/>
              <w:rPr>
                <w:sz w:val="21"/>
                <w:szCs w:val="21"/>
                <w:color w:val="auto"/>
              </w:rPr>
            </w:pPr>
          </w:p>
        </w:tc>
      </w:tr>
      <w:tr>
        <w:trPr>
          <w:trHeight w:val="189"/>
        </w:trPr>
        <w:tc>
          <w:tcPr>
            <w:tcW w:w="4000" w:type="dxa"/>
            <w:vAlign w:val="bottom"/>
          </w:tcPr>
          <w:p>
            <w:pPr>
              <w:jc w:val="center"/>
              <w:ind w:left="228"/>
              <w:spacing w:after="0"/>
              <w:rPr>
                <w:sz w:val="20"/>
                <w:szCs w:val="20"/>
                <w:color w:val="auto"/>
              </w:rPr>
            </w:pPr>
            <w:r>
              <w:rPr>
                <w:rFonts w:ascii="Calibri" w:cs="Calibri" w:eastAsia="Calibri" w:hAnsi="Calibri"/>
                <w:sz w:val="14"/>
                <w:szCs w:val="14"/>
                <w:color w:val="auto"/>
              </w:rPr>
              <w:t>Title of each class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color w:val="auto"/>
              </w:rPr>
              <w:t>Symbol(s)</w:t>
            </w:r>
          </w:p>
        </w:tc>
        <w:tc>
          <w:tcPr>
            <w:tcW w:w="3940" w:type="dxa"/>
            <w:vAlign w:val="bottom"/>
          </w:tcPr>
          <w:p>
            <w:pPr>
              <w:jc w:val="center"/>
              <w:ind w:right="1028"/>
              <w:spacing w:after="0"/>
              <w:rPr>
                <w:sz w:val="20"/>
                <w:szCs w:val="20"/>
                <w:color w:val="auto"/>
              </w:rPr>
            </w:pPr>
            <w:r>
              <w:rPr>
                <w:rFonts w:ascii="Calibri" w:cs="Calibri" w:eastAsia="Calibri" w:hAnsi="Calibri"/>
                <w:sz w:val="14"/>
                <w:szCs w:val="14"/>
                <w:color w:val="auto"/>
              </w:rPr>
              <w:t>Name of each exchange on which registered</w:t>
            </w:r>
          </w:p>
        </w:tc>
      </w:tr>
      <w:tr>
        <w:trPr>
          <w:trHeight w:val="161"/>
        </w:trPr>
        <w:tc>
          <w:tcPr>
            <w:tcW w:w="4000" w:type="dxa"/>
            <w:vAlign w:val="bottom"/>
            <w:tcBorders>
              <w:top w:val="single" w:sz="8" w:color="auto"/>
            </w:tcBorders>
          </w:tcPr>
          <w:p>
            <w:pPr>
              <w:jc w:val="center"/>
              <w:ind w:left="228"/>
              <w:spacing w:after="0" w:line="161" w:lineRule="exact"/>
              <w:rPr>
                <w:sz w:val="20"/>
                <w:szCs w:val="20"/>
                <w:color w:val="auto"/>
              </w:rPr>
            </w:pPr>
            <w:r>
              <w:rPr>
                <w:rFonts w:ascii="Calibri" w:cs="Calibri" w:eastAsia="Calibri" w:hAnsi="Calibri"/>
                <w:sz w:val="14"/>
                <w:szCs w:val="14"/>
                <w:b w:val="1"/>
                <w:bCs w:val="1"/>
                <w:color w:val="auto"/>
              </w:rPr>
              <w:t>Class A common stock, par value $0.0001 per share</w:t>
            </w: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1" w:lineRule="exact"/>
              <w:rPr>
                <w:sz w:val="20"/>
                <w:szCs w:val="20"/>
                <w:color w:val="auto"/>
              </w:rPr>
            </w:pPr>
            <w:r>
              <w:rPr>
                <w:rFonts w:ascii="Calibri" w:cs="Calibri" w:eastAsia="Calibri" w:hAnsi="Calibri"/>
                <w:sz w:val="14"/>
                <w:szCs w:val="14"/>
                <w:b w:val="1"/>
                <w:bCs w:val="1"/>
                <w:color w:val="auto"/>
              </w:rPr>
              <w:t>SEAT</w:t>
            </w: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940" w:type="dxa"/>
            <w:vAlign w:val="bottom"/>
            <w:tcBorders>
              <w:top w:val="single" w:sz="8" w:color="auto"/>
            </w:tcBorders>
          </w:tcPr>
          <w:p>
            <w:pPr>
              <w:jc w:val="center"/>
              <w:ind w:right="1028"/>
              <w:spacing w:after="0" w:line="161" w:lineRule="exact"/>
              <w:rPr>
                <w:sz w:val="20"/>
                <w:szCs w:val="20"/>
                <w:color w:val="auto"/>
              </w:rPr>
            </w:pPr>
            <w:r>
              <w:rPr>
                <w:rFonts w:ascii="Calibri" w:cs="Calibri" w:eastAsia="Calibri" w:hAnsi="Calibri"/>
                <w:sz w:val="14"/>
                <w:szCs w:val="14"/>
                <w:b w:val="1"/>
                <w:bCs w:val="1"/>
                <w:color w:val="auto"/>
              </w:rPr>
              <w:t>The Nasdaq Stock Market LLC</w:t>
            </w:r>
          </w:p>
        </w:tc>
      </w:tr>
      <w:tr>
        <w:trPr>
          <w:trHeight w:val="170"/>
        </w:trPr>
        <w:tc>
          <w:tcPr>
            <w:tcW w:w="4000" w:type="dxa"/>
            <w:vAlign w:val="bottom"/>
          </w:tcPr>
          <w:p>
            <w:pPr>
              <w:jc w:val="center"/>
              <w:ind w:left="228"/>
              <w:spacing w:after="0"/>
              <w:rPr>
                <w:sz w:val="20"/>
                <w:szCs w:val="20"/>
                <w:color w:val="auto"/>
              </w:rPr>
            </w:pPr>
            <w:r>
              <w:rPr>
                <w:rFonts w:ascii="Calibri" w:cs="Calibri" w:eastAsia="Calibri" w:hAnsi="Calibri"/>
                <w:sz w:val="14"/>
                <w:szCs w:val="14"/>
                <w:b w:val="1"/>
                <w:bCs w:val="1"/>
                <w:color w:val="auto"/>
              </w:rPr>
              <w:t>Warrants to purchase one share of Class A 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b w:val="1"/>
                <w:bCs w:val="1"/>
                <w:color w:val="auto"/>
              </w:rPr>
              <w:t>SEATW</w:t>
            </w:r>
          </w:p>
        </w:tc>
        <w:tc>
          <w:tcPr>
            <w:tcW w:w="3940" w:type="dxa"/>
            <w:vAlign w:val="bottom"/>
          </w:tcPr>
          <w:p>
            <w:pPr>
              <w:jc w:val="center"/>
              <w:ind w:right="1028"/>
              <w:spacing w:after="0"/>
              <w:rPr>
                <w:sz w:val="20"/>
                <w:szCs w:val="20"/>
                <w:color w:val="auto"/>
              </w:rPr>
            </w:pPr>
            <w:r>
              <w:rPr>
                <w:rFonts w:ascii="Calibri" w:cs="Calibri" w:eastAsia="Calibri" w:hAnsi="Calibri"/>
                <w:sz w:val="14"/>
                <w:szCs w:val="14"/>
                <w:b w:val="1"/>
                <w:bCs w:val="1"/>
                <w:color w:val="auto"/>
              </w:rPr>
              <w:t>The Nasdaq Stock Market LLC</w:t>
            </w:r>
          </w:p>
        </w:tc>
      </w:tr>
    </w:tbl>
    <w:p>
      <w:pPr>
        <w:spacing w:after="0" w:line="41" w:lineRule="exact"/>
        <w:rPr>
          <w:sz w:val="24"/>
          <w:szCs w:val="24"/>
          <w:color w:val="auto"/>
        </w:rPr>
      </w:pPr>
    </w:p>
    <w:p>
      <w:pPr>
        <w:ind w:right="4620"/>
        <w:spacing w:after="0" w:line="215" w:lineRule="exact"/>
        <w:rPr>
          <w:sz w:val="20"/>
          <w:szCs w:val="20"/>
          <w:color w:val="auto"/>
        </w:rPr>
      </w:pPr>
      <w:r>
        <w:rPr>
          <w:rFonts w:ascii="Calibri" w:cs="Calibri" w:eastAsia="Calibri" w:hAnsi="Calibri"/>
          <w:sz w:val="12"/>
          <w:szCs w:val="12"/>
          <w:color w:val="auto"/>
        </w:rPr>
        <w:t xml:space="preserve">Indicate by check mark if the registrant is a well-known seasoned issuer, as defned in Rule 405 of the Securites Act.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Indicate by check mark if the registrant is not required to fle reports pursuant to Secton 13 or 15(d) of the Act.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p>
    <w:p>
      <w:pPr>
        <w:spacing w:after="0" w:line="26" w:lineRule="exact"/>
        <w:rPr>
          <w:sz w:val="24"/>
          <w:szCs w:val="24"/>
          <w:color w:val="auto"/>
        </w:rPr>
      </w:pPr>
    </w:p>
    <w:p>
      <w:pPr>
        <w:ind w:right="20"/>
        <w:spacing w:after="0" w:line="169" w:lineRule="exact"/>
        <w:rPr>
          <w:sz w:val="20"/>
          <w:szCs w:val="20"/>
          <w:color w:val="auto"/>
        </w:rPr>
      </w:pPr>
      <w:r>
        <w:rPr>
          <w:rFonts w:ascii="Calibri" w:cs="Calibri" w:eastAsia="Calibri" w:hAnsi="Calibri"/>
          <w:sz w:val="13"/>
          <w:szCs w:val="13"/>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3"/>
          <w:szCs w:val="13"/>
          <w:color w:val="auto"/>
        </w:rPr>
        <w:t>☒</w:t>
      </w:r>
      <w:r>
        <w:rPr>
          <w:rFonts w:ascii="Calibri" w:cs="Calibri" w:eastAsia="Calibri" w:hAnsi="Calibri"/>
          <w:sz w:val="13"/>
          <w:szCs w:val="13"/>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spacing w:after="0" w:line="169" w:lineRule="exact"/>
        <w:rPr>
          <w:sz w:val="20"/>
          <w:szCs w:val="20"/>
          <w:color w:val="auto"/>
        </w:rPr>
      </w:pPr>
      <w:r>
        <w:rPr>
          <w:rFonts w:ascii="Calibri" w:cs="Calibri" w:eastAsia="Calibri" w:hAnsi="Calibri"/>
          <w:sz w:val="13"/>
          <w:szCs w:val="13"/>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3"/>
          <w:szCs w:val="13"/>
          <w:color w:val="auto"/>
        </w:rPr>
        <w:t>☒</w:t>
      </w:r>
      <w:r>
        <w:rPr>
          <w:rFonts w:ascii="Calibri" w:cs="Calibri" w:eastAsia="Calibri" w:hAnsi="Calibri"/>
          <w:sz w:val="13"/>
          <w:szCs w:val="13"/>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spacing w:after="0" w:line="224" w:lineRule="auto"/>
        <w:rPr>
          <w:sz w:val="20"/>
          <w:szCs w:val="20"/>
          <w:color w:val="auto"/>
        </w:rPr>
      </w:pPr>
      <w:r>
        <w:rPr>
          <w:rFonts w:ascii="Calibri" w:cs="Calibri" w:eastAsia="Calibri" w:hAnsi="Calibri"/>
          <w:sz w:val="13"/>
          <w:szCs w:val="13"/>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ectPr>
          <w:pgSz w:w="11900" w:h="16838" w:orient="portrait"/>
          <w:cols w:equalWidth="0" w:num="1">
            <w:col w:w="11240"/>
          </w:cols>
          <w:pgMar w:left="320" w:top="1152" w:right="339" w:bottom="1440" w:gutter="0" w:footer="0" w:header="0"/>
        </w:sectPr>
      </w:pPr>
    </w:p>
    <w:p>
      <w:pPr>
        <w:spacing w:after="0" w:line="14" w:lineRule="exact"/>
        <w:rPr>
          <w:sz w:val="24"/>
          <w:szCs w:val="24"/>
          <w:color w:val="auto"/>
        </w:rPr>
      </w:pPr>
    </w:p>
    <w:p>
      <w:pPr>
        <w:ind w:left="20"/>
        <w:spacing w:after="0" w:line="159" w:lineRule="exact"/>
        <w:tabs>
          <w:tab w:leader="none" w:pos="2640" w:val="left"/>
          <w:tab w:leader="none" w:pos="7980" w:val="left"/>
        </w:tabs>
        <w:rPr>
          <w:sz w:val="20"/>
          <w:szCs w:val="20"/>
          <w:color w:val="auto"/>
        </w:rPr>
      </w:pPr>
      <w:r>
        <w:rPr>
          <w:rFonts w:ascii="Calibri" w:cs="Calibri" w:eastAsia="Calibri" w:hAnsi="Calibri"/>
          <w:sz w:val="13"/>
          <w:szCs w:val="13"/>
          <w:color w:val="auto"/>
        </w:rPr>
        <w:t>Large accelerated fler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3"/>
          <w:szCs w:val="13"/>
          <w:color w:val="auto"/>
        </w:rPr>
        <w:t>Accelerated fler</w:t>
      </w:r>
    </w:p>
    <w:p>
      <w:pPr>
        <w:spacing w:after="0" w:line="60" w:lineRule="exact"/>
        <w:rPr>
          <w:sz w:val="24"/>
          <w:szCs w:val="24"/>
          <w:color w:val="auto"/>
        </w:rPr>
      </w:pPr>
    </w:p>
    <w:p>
      <w:pPr>
        <w:ind w:left="20"/>
        <w:spacing w:after="0" w:line="163" w:lineRule="exact"/>
        <w:tabs>
          <w:tab w:leader="none" w:pos="2640" w:val="left"/>
          <w:tab w:leader="none" w:pos="7980" w:val="left"/>
        </w:tabs>
        <w:rPr>
          <w:sz w:val="20"/>
          <w:szCs w:val="20"/>
          <w:color w:val="auto"/>
        </w:rPr>
      </w:pPr>
      <w:r>
        <w:rPr>
          <w:rFonts w:ascii="Calibri" w:cs="Calibri" w:eastAsia="Calibri" w:hAnsi="Calibri"/>
          <w:sz w:val="13"/>
          <w:szCs w:val="13"/>
          <w:color w:val="auto"/>
        </w:rPr>
        <w:t>Non-accelerated fler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2"/>
          <w:szCs w:val="12"/>
          <w:color w:val="auto"/>
        </w:rPr>
        <w:t>Smaller reportng company</w:t>
      </w:r>
    </w:p>
    <w:p>
      <w:pPr>
        <w:spacing w:after="0" w:line="39" w:lineRule="exact"/>
        <w:rPr>
          <w:sz w:val="24"/>
          <w:szCs w:val="24"/>
          <w:color w:val="auto"/>
        </w:rPr>
      </w:pPr>
    </w:p>
    <w:p>
      <w:pPr>
        <w:ind w:left="8000"/>
        <w:spacing w:after="0"/>
        <w:rPr>
          <w:sz w:val="20"/>
          <w:szCs w:val="20"/>
          <w:color w:val="auto"/>
        </w:rPr>
      </w:pPr>
      <w:r>
        <w:rPr>
          <w:rFonts w:ascii="Calibri" w:cs="Calibri" w:eastAsia="Calibri" w:hAnsi="Calibri"/>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1" w:lineRule="exact"/>
        <w:rPr>
          <w:sz w:val="24"/>
          <w:szCs w:val="24"/>
          <w:color w:val="auto"/>
        </w:rPr>
      </w:pPr>
    </w:p>
    <w:p>
      <w:pPr>
        <w:sectPr>
          <w:pgSz w:w="11900" w:h="16838" w:orient="portrait"/>
          <w:cols w:equalWidth="0" w:num="2">
            <w:col w:w="10300" w:space="720"/>
            <w:col w:w="220"/>
          </w:cols>
          <w:pgMar w:left="320" w:top="1152" w:right="339" w:bottom="1440" w:gutter="0" w:footer="0" w:header="0"/>
          <w:type w:val="continuous"/>
        </w:sectPr>
      </w:pPr>
    </w:p>
    <w:p>
      <w:pPr>
        <w:ind w:right="120"/>
        <w:spacing w:after="0" w:line="169" w:lineRule="exact"/>
        <w:rPr>
          <w:sz w:val="20"/>
          <w:szCs w:val="20"/>
          <w:color w:val="auto"/>
        </w:rPr>
      </w:pPr>
      <w:r>
        <w:rPr>
          <w:rFonts w:ascii="Calibri" w:cs="Calibri" w:eastAsia="Calibri" w:hAnsi="Calibri"/>
          <w:sz w:val="13"/>
          <w:szCs w:val="13"/>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185" w:lineRule="exact"/>
        <w:rPr>
          <w:sz w:val="20"/>
          <w:szCs w:val="20"/>
          <w:color w:val="auto"/>
        </w:rPr>
      </w:pPr>
      <w:r>
        <w:rPr>
          <w:rFonts w:ascii="Calibri" w:cs="Calibri" w:eastAsia="Calibri" w:hAnsi="Calibri"/>
          <w:sz w:val="13"/>
          <w:szCs w:val="13"/>
          <w:color w:val="auto"/>
        </w:rPr>
        <w:t>Indicate by check mark whether the registrant has fled a report on and atestaton to its management</w:t>
      </w:r>
      <w:r>
        <w:rPr>
          <w:rFonts w:ascii="Calibri" w:cs="Calibri" w:eastAsia="Calibri" w:hAnsi="Calibri"/>
          <w:sz w:val="14"/>
          <w:szCs w:val="14"/>
          <w:color w:val="auto"/>
        </w:rPr>
        <w:t>’</w:t>
      </w:r>
      <w:r>
        <w:rPr>
          <w:rFonts w:ascii="Calibri" w:cs="Calibri" w:eastAsia="Calibri" w:hAnsi="Calibri"/>
          <w:sz w:val="13"/>
          <w:szCs w:val="13"/>
          <w:color w:val="auto"/>
        </w:rPr>
        <w:t xml:space="preserve">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3"/>
          <w:szCs w:val="13"/>
          <w:color w:val="auto"/>
        </w:rPr>
        <w:t>☐</w:t>
      </w:r>
    </w:p>
    <w:p>
      <w:pPr>
        <w:spacing w:after="0" w:line="26" w:lineRule="exact"/>
        <w:rPr>
          <w:sz w:val="24"/>
          <w:szCs w:val="24"/>
          <w:color w:val="auto"/>
        </w:rPr>
      </w:pPr>
    </w:p>
    <w:p>
      <w:pPr>
        <w:spacing w:after="0" w:line="169" w:lineRule="exact"/>
        <w:rPr>
          <w:sz w:val="20"/>
          <w:szCs w:val="20"/>
          <w:color w:val="auto"/>
        </w:rPr>
      </w:pPr>
      <w:r>
        <w:rPr>
          <w:rFonts w:ascii="Calibri" w:cs="Calibri" w:eastAsia="Calibri" w:hAnsi="Calibri"/>
          <w:sz w:val="13"/>
          <w:szCs w:val="13"/>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185" w:lineRule="exact"/>
        <w:rPr>
          <w:sz w:val="20"/>
          <w:szCs w:val="20"/>
          <w:color w:val="auto"/>
        </w:rPr>
      </w:pPr>
      <w:r>
        <w:rPr>
          <w:rFonts w:ascii="Calibri" w:cs="Calibri" w:eastAsia="Calibri" w:hAnsi="Calibri"/>
          <w:sz w:val="13"/>
          <w:szCs w:val="13"/>
          <w:color w:val="auto"/>
        </w:rPr>
        <w:t>Indicate by check mark whether any of those error correctons are restatements that required a recovery analysis of incentve-based compensaton received by any of the registrant</w:t>
      </w:r>
      <w:r>
        <w:rPr>
          <w:rFonts w:ascii="Calibri" w:cs="Calibri" w:eastAsia="Calibri" w:hAnsi="Calibri"/>
          <w:sz w:val="14"/>
          <w:szCs w:val="14"/>
          <w:color w:val="auto"/>
        </w:rPr>
        <w:t>’</w:t>
      </w:r>
      <w:r>
        <w:rPr>
          <w:rFonts w:ascii="Calibri" w:cs="Calibri" w:eastAsia="Calibri" w:hAnsi="Calibri"/>
          <w:sz w:val="13"/>
          <w:szCs w:val="13"/>
          <w:color w:val="auto"/>
        </w:rPr>
        <w:t xml:space="preserve">s executve ofcers during the relevant recovery period pursuant to §240.10D-1(b). </w:t>
      </w:r>
      <w:r>
        <w:rPr>
          <w:rFonts w:ascii="MS PGothic" w:cs="MS PGothic" w:eastAsia="MS PGothic" w:hAnsi="MS PGothic"/>
          <w:sz w:val="13"/>
          <w:szCs w:val="13"/>
          <w:color w:val="auto"/>
        </w:rPr>
        <w:t>☐</w:t>
      </w:r>
    </w:p>
    <w:p>
      <w:pPr>
        <w:spacing w:after="0" w:line="3" w:lineRule="exact"/>
        <w:rPr>
          <w:sz w:val="24"/>
          <w:szCs w:val="24"/>
          <w:color w:val="auto"/>
        </w:rPr>
      </w:pPr>
    </w:p>
    <w:p>
      <w:pPr>
        <w:spacing w:after="0" w:line="159" w:lineRule="exact"/>
        <w:rPr>
          <w:sz w:val="20"/>
          <w:szCs w:val="20"/>
          <w:color w:val="auto"/>
        </w:rPr>
      </w:pPr>
      <w:r>
        <w:rPr>
          <w:rFonts w:ascii="Calibri" w:cs="Calibri" w:eastAsia="Calibri" w:hAnsi="Calibri"/>
          <w:sz w:val="13"/>
          <w:szCs w:val="13"/>
          <w:color w:val="auto"/>
        </w:rPr>
        <w:t>Indicate by check mark whether the registrant is a shell company (as defned in Rule 12b-2 of the Act). Yes </w:t>
      </w:r>
      <w:r>
        <w:rPr>
          <w:rFonts w:ascii="MS PGothic" w:cs="MS PGothic" w:eastAsia="MS PGothic" w:hAnsi="MS PGothic"/>
          <w:sz w:val="13"/>
          <w:szCs w:val="13"/>
          <w:color w:val="auto"/>
        </w:rPr>
        <w:t>☐</w:t>
      </w:r>
      <w:r>
        <w:rPr>
          <w:rFonts w:ascii="Calibri" w:cs="Calibri" w:eastAsia="Calibri" w:hAnsi="Calibri"/>
          <w:sz w:val="13"/>
          <w:szCs w:val="13"/>
          <w:color w:val="auto"/>
        </w:rPr>
        <w:t> No </w:t>
      </w:r>
      <w:r>
        <w:rPr>
          <w:rFonts w:ascii="MS PGothic" w:cs="MS PGothic" w:eastAsia="MS PGothic" w:hAnsi="MS PGothic"/>
          <w:sz w:val="13"/>
          <w:szCs w:val="13"/>
          <w:color w:val="auto"/>
        </w:rPr>
        <w:t>☒</w:t>
      </w:r>
    </w:p>
    <w:p>
      <w:pPr>
        <w:spacing w:after="0" w:line="76" w:lineRule="exact"/>
        <w:rPr>
          <w:sz w:val="24"/>
          <w:szCs w:val="24"/>
          <w:color w:val="auto"/>
        </w:rPr>
      </w:pPr>
    </w:p>
    <w:p>
      <w:pPr>
        <w:spacing w:after="0" w:line="238" w:lineRule="auto"/>
        <w:rPr>
          <w:sz w:val="20"/>
          <w:szCs w:val="20"/>
          <w:color w:val="auto"/>
        </w:rPr>
      </w:pPr>
      <w:r>
        <w:rPr>
          <w:rFonts w:ascii="Calibri" w:cs="Calibri" w:eastAsia="Calibri" w:hAnsi="Calibri"/>
          <w:sz w:val="13"/>
          <w:szCs w:val="13"/>
          <w:color w:val="auto"/>
        </w:rPr>
        <w:t>The aggregate market value of the votng and non-votng common equity held by non-afliates of the registrant as of June 28, 2024, the last business day of the registrant</w:t>
      </w:r>
      <w:r>
        <w:rPr>
          <w:rFonts w:ascii="Calibri" w:cs="Calibri" w:eastAsia="Calibri" w:hAnsi="Calibri"/>
          <w:sz w:val="14"/>
          <w:szCs w:val="14"/>
          <w:color w:val="auto"/>
        </w:rPr>
        <w:t>’</w:t>
      </w:r>
      <w:r>
        <w:rPr>
          <w:rFonts w:ascii="Calibri" w:cs="Calibri" w:eastAsia="Calibri" w:hAnsi="Calibri"/>
          <w:sz w:val="13"/>
          <w:szCs w:val="13"/>
          <w:color w:val="auto"/>
        </w:rPr>
        <w:t>s most recently completed second fscal quarter, was approximately $438.7 million.</w:t>
      </w:r>
    </w:p>
    <w:p>
      <w:pPr>
        <w:spacing w:after="0" w:line="55" w:lineRule="exact"/>
        <w:rPr>
          <w:sz w:val="24"/>
          <w:szCs w:val="24"/>
          <w:color w:val="auto"/>
        </w:rPr>
      </w:pPr>
    </w:p>
    <w:p>
      <w:pPr>
        <w:ind w:right="20"/>
        <w:spacing w:after="0" w:line="224" w:lineRule="auto"/>
        <w:rPr>
          <w:sz w:val="20"/>
          <w:szCs w:val="20"/>
          <w:color w:val="auto"/>
        </w:rPr>
      </w:pPr>
      <w:r>
        <w:rPr>
          <w:rFonts w:ascii="Calibri" w:cs="Calibri" w:eastAsia="Calibri" w:hAnsi="Calibri"/>
          <w:sz w:val="13"/>
          <w:szCs w:val="13"/>
          <w:color w:val="auto"/>
        </w:rPr>
        <w:t>As of February 28, 2025, the registrant had outstanding 132,697,220 shares of Class A common stock, $0.0001 par value per share, net of treasury shares, and 76,225,000 shares of Class B common stock, $0.0001 par value per share.</w:t>
      </w:r>
    </w:p>
    <w:p>
      <w:pPr>
        <w:spacing w:after="0" w:line="51" w:lineRule="exact"/>
        <w:rPr>
          <w:sz w:val="24"/>
          <w:szCs w:val="24"/>
          <w:color w:val="auto"/>
        </w:rPr>
      </w:pPr>
    </w:p>
    <w:p>
      <w:pPr>
        <w:spacing w:after="0" w:line="238" w:lineRule="auto"/>
        <w:rPr>
          <w:sz w:val="20"/>
          <w:szCs w:val="20"/>
          <w:color w:val="auto"/>
        </w:rPr>
      </w:pPr>
      <w:r>
        <w:rPr>
          <w:rFonts w:ascii="Calibri" w:cs="Calibri" w:eastAsia="Calibri" w:hAnsi="Calibri"/>
          <w:sz w:val="13"/>
          <w:szCs w:val="13"/>
          <w:color w:val="auto"/>
        </w:rPr>
        <w:t>Documents incorporated by reference: Portons of the defnitve proxy statement relatng to the registrant</w:t>
      </w:r>
      <w:r>
        <w:rPr>
          <w:rFonts w:ascii="Calibri" w:cs="Calibri" w:eastAsia="Calibri" w:hAnsi="Calibri"/>
          <w:sz w:val="14"/>
          <w:szCs w:val="14"/>
          <w:color w:val="auto"/>
        </w:rPr>
        <w:t>’</w:t>
      </w:r>
      <w:r>
        <w:rPr>
          <w:rFonts w:ascii="Calibri" w:cs="Calibri" w:eastAsia="Calibri" w:hAnsi="Calibri"/>
          <w:sz w:val="13"/>
          <w:szCs w:val="13"/>
          <w:color w:val="auto"/>
        </w:rPr>
        <w:t>s 2025 annual meetng of stockholders are incorporated by reference in Part III, Items 10-14 of this Annual Report on Form 10-K.</w:t>
      </w:r>
    </w:p>
    <w:p>
      <w:pPr>
        <w:spacing w:after="0" w:line="45" w:lineRule="exact"/>
        <w:rPr>
          <w:sz w:val="24"/>
          <w:szCs w:val="24"/>
          <w:color w:val="auto"/>
        </w:rPr>
      </w:pPr>
    </w:p>
    <w:p>
      <w:pPr>
        <w:ind w:left="20"/>
        <w:spacing w:after="0"/>
        <w:tabs>
          <w:tab w:leader="none" w:pos="4640" w:val="left"/>
          <w:tab w:leader="none" w:pos="9500" w:val="left"/>
        </w:tabs>
        <w:rPr>
          <w:sz w:val="20"/>
          <w:szCs w:val="20"/>
          <w:color w:val="auto"/>
        </w:rPr>
      </w:pPr>
      <w:r>
        <w:rPr>
          <w:rFonts w:ascii="Calibri" w:cs="Calibri" w:eastAsia="Calibri" w:hAnsi="Calibri"/>
          <w:sz w:val="13"/>
          <w:szCs w:val="13"/>
          <w:color w:val="auto"/>
        </w:rPr>
        <w:t>Auditor Firm PCAOB ID: 34</w:t>
      </w:r>
      <w:r>
        <w:rPr>
          <w:sz w:val="20"/>
          <w:szCs w:val="20"/>
          <w:color w:val="auto"/>
        </w:rPr>
        <w:tab/>
      </w:r>
      <w:r>
        <w:rPr>
          <w:rFonts w:ascii="Calibri" w:cs="Calibri" w:eastAsia="Calibri" w:hAnsi="Calibri"/>
          <w:sz w:val="13"/>
          <w:szCs w:val="13"/>
          <w:color w:val="auto"/>
        </w:rPr>
        <w:t>Auditor Name: Deloite &amp; Touche LLP</w:t>
      </w:r>
      <w:r>
        <w:rPr>
          <w:sz w:val="20"/>
          <w:szCs w:val="20"/>
          <w:color w:val="auto"/>
        </w:rPr>
        <w:tab/>
      </w:r>
      <w:r>
        <w:rPr>
          <w:rFonts w:ascii="Calibri" w:cs="Calibri" w:eastAsia="Calibri" w:hAnsi="Calibri"/>
          <w:sz w:val="12"/>
          <w:szCs w:val="12"/>
          <w:color w:val="auto"/>
        </w:rPr>
        <w:t>Auditor Locaton: Chicago, Illinois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20" w:type="dxa"/>
            <w:vAlign w:val="bottom"/>
            <w:gridSpan w:val="9"/>
          </w:tcPr>
          <w:p>
            <w:pPr>
              <w:ind w:left="380"/>
              <w:spacing w:after="0"/>
              <w:rPr>
                <w:sz w:val="20"/>
                <w:szCs w:val="20"/>
                <w:color w:val="auto"/>
              </w:rPr>
            </w:pPr>
            <w:r>
              <w:rPr>
                <w:rFonts w:ascii="Calibri" w:cs="Calibri" w:eastAsia="Calibri" w:hAnsi="Calibri"/>
                <w:sz w:val="18"/>
                <w:szCs w:val="18"/>
                <w:b w:val="1"/>
                <w:bCs w:val="1"/>
                <w:color w:val="auto"/>
              </w:rPr>
              <w:t>TABLE OF CONTENTS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74"/>
        </w:trPr>
        <w:tc>
          <w:tcPr>
            <w:tcW w:w="10800" w:type="dxa"/>
            <w:vAlign w:val="bottom"/>
            <w:gridSpan w:val="30"/>
            <w:vMerge w:val="restart"/>
          </w:tcPr>
          <w:p>
            <w:pPr>
              <w:ind w:left="20"/>
              <w:spacing w:after="0"/>
              <w:rPr>
                <w:sz w:val="20"/>
                <w:szCs w:val="20"/>
                <w:color w:val="auto"/>
              </w:rPr>
            </w:pPr>
            <w:r>
              <w:rPr>
                <w:rFonts w:ascii="Calibri" w:cs="Calibri" w:eastAsia="Calibri" w:hAnsi="Calibri"/>
                <w:sz w:val="18"/>
                <w:szCs w:val="18"/>
                <w:color w:val="0000FF"/>
              </w:rPr>
              <w:t>Forward-Looking Statements</w:t>
            </w:r>
          </w:p>
        </w:tc>
        <w:tc>
          <w:tcPr>
            <w:tcW w:w="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0800" w:type="dxa"/>
            <w:vAlign w:val="bottom"/>
            <w:gridSpan w:val="30"/>
            <w:vMerge w:val="continue"/>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50"/>
        </w:trPr>
        <w:tc>
          <w:tcPr>
            <w:tcW w:w="2080" w:type="dxa"/>
            <w:vAlign w:val="bottom"/>
            <w:tcBorders>
              <w:top w:val="single" w:sz="8" w:color="0000FF"/>
            </w:tcBorders>
            <w:gridSpan w:val="12"/>
          </w:tcPr>
          <w:p>
            <w:pPr>
              <w:ind w:left="20"/>
              <w:spacing w:after="0"/>
              <w:rPr>
                <w:sz w:val="20"/>
                <w:szCs w:val="20"/>
                <w:color w:val="auto"/>
              </w:rPr>
            </w:pPr>
            <w:r>
              <w:rPr>
                <w:rFonts w:ascii="Calibri" w:cs="Calibri" w:eastAsia="Calibri" w:hAnsi="Calibri"/>
                <w:sz w:val="18"/>
                <w:szCs w:val="18"/>
                <w:color w:val="0000FF"/>
              </w:rPr>
              <w:t>Risk Factors Summary</w:t>
            </w:r>
          </w:p>
        </w:tc>
        <w:tc>
          <w:tcPr>
            <w:tcW w:w="8720" w:type="dxa"/>
            <w:vAlign w:val="bottom"/>
            <w:gridSpan w:val="18"/>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50"/>
        </w:trPr>
        <w:tc>
          <w:tcPr>
            <w:tcW w:w="500" w:type="dxa"/>
            <w:vAlign w:val="bottom"/>
            <w:tcBorders>
              <w:top w:val="single" w:sz="8" w:color="0000FF"/>
              <w:bottom w:val="single" w:sz="8" w:color="0000FF"/>
            </w:tcBorders>
          </w:tcPr>
          <w:p>
            <w:pPr>
              <w:ind w:left="20"/>
              <w:spacing w:after="0"/>
              <w:rPr>
                <w:sz w:val="20"/>
                <w:szCs w:val="20"/>
                <w:color w:val="auto"/>
              </w:rPr>
            </w:pPr>
            <w:r>
              <w:rPr>
                <w:rFonts w:ascii="Calibri" w:cs="Calibri" w:eastAsia="Calibri" w:hAnsi="Calibri"/>
                <w:sz w:val="18"/>
                <w:szCs w:val="18"/>
                <w:b w:val="1"/>
                <w:bCs w:val="1"/>
                <w:color w:val="0000FF"/>
                <w:w w:val="94"/>
              </w:rPr>
              <w:t>PART I</w:t>
            </w:r>
          </w:p>
        </w:tc>
        <w:tc>
          <w:tcPr>
            <w:tcW w:w="20" w:type="dxa"/>
            <w:vAlign w:val="bottom"/>
            <w:tcBorders>
              <w:top w:val="single" w:sz="8" w:color="0000FF"/>
              <w:bottom w:val="single" w:sz="8" w:color="0000EE"/>
            </w:tcBorders>
          </w:tcPr>
          <w:p>
            <w:pPr>
              <w:spacing w:after="0"/>
              <w:rPr>
                <w:sz w:val="21"/>
                <w:szCs w:val="21"/>
                <w:color w:val="auto"/>
              </w:rPr>
            </w:pPr>
          </w:p>
        </w:tc>
        <w:tc>
          <w:tcPr>
            <w:tcW w:w="660" w:type="dxa"/>
            <w:vAlign w:val="bottom"/>
            <w:tcBorders>
              <w:top w:val="single" w:sz="8" w:color="0000FF"/>
            </w:tcBorders>
            <w:gridSpan w:val="5"/>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Business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1A.</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Risk Factors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1B.</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Unresolved Staf Comments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1C.</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Cybersecurity</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2.</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Propertes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3.</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Legal Proceedings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4.</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Mine Safety Disclosures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36</w:t>
            </w:r>
          </w:p>
        </w:tc>
        <w:tc>
          <w:tcPr>
            <w:tcW w:w="0" w:type="dxa"/>
            <w:vAlign w:val="bottom"/>
          </w:tcPr>
          <w:p>
            <w:pPr>
              <w:spacing w:after="0"/>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b w:val="1"/>
                <w:bCs w:val="1"/>
                <w:color w:val="0000FF"/>
              </w:rPr>
              <w:t>PART II</w:t>
            </w:r>
          </w:p>
        </w:tc>
        <w:tc>
          <w:tcPr>
            <w:tcW w:w="4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37</w:t>
            </w:r>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gridSpan w:val="3"/>
          </w:tcPr>
          <w:p>
            <w:pPr>
              <w:ind w:left="20"/>
              <w:spacing w:after="0"/>
              <w:rPr>
                <w:sz w:val="20"/>
                <w:szCs w:val="20"/>
                <w:color w:val="auto"/>
              </w:rPr>
            </w:pPr>
            <w:r>
              <w:rPr>
                <w:rFonts w:ascii="Calibri" w:cs="Calibri" w:eastAsia="Calibri" w:hAnsi="Calibri"/>
                <w:sz w:val="18"/>
                <w:szCs w:val="18"/>
                <w:color w:val="auto"/>
                <w:w w:val="96"/>
              </w:rPr>
              <w:t>Item 5.</w:t>
            </w:r>
          </w:p>
        </w:tc>
        <w:tc>
          <w:tcPr>
            <w:tcW w:w="640" w:type="dxa"/>
            <w:vAlign w:val="bottom"/>
            <w:gridSpan w:val="4"/>
          </w:tcPr>
          <w:p>
            <w:pPr>
              <w:spacing w:after="0"/>
              <w:rPr>
                <w:sz w:val="21"/>
                <w:szCs w:val="21"/>
                <w:color w:val="auto"/>
              </w:rPr>
            </w:pP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Market for Registrant’s Common Equity, Related Stockholder Maters and Issuer Purchases of Equity Securites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37</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6.</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[Reserved]</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38</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EE"/>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7.</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39</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7A.</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57</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8.</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Financial Statements and Supplementary Data</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9</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110</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9A.</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Controls and Procedures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110</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9B.</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Other Informaton</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111</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9C.</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Disclosure Regarding Foreign Jurisdictons that Prevent Inspectons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111</w:t>
            </w:r>
          </w:p>
        </w:tc>
        <w:tc>
          <w:tcPr>
            <w:tcW w:w="0" w:type="dxa"/>
            <w:vAlign w:val="bottom"/>
          </w:tcPr>
          <w:p>
            <w:pPr>
              <w:spacing w:after="0"/>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b w:val="1"/>
                <w:bCs w:val="1"/>
                <w:color w:val="0000FF"/>
              </w:rPr>
              <w:t>PART III</w:t>
            </w:r>
          </w:p>
        </w:tc>
        <w:tc>
          <w:tcPr>
            <w:tcW w:w="4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112</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10.</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Directors, Executve Ofcers and Corporate Governance</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112</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11.</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Executve Compensaton</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112</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12.</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Security Ownership of Certain Benefcial Owners and Management and Related Stockholder Maters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112</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13.</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Certain Relatonships and Related Transactons, and Director Independence</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112</w:t>
            </w: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14.</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Principal Accountant Fees and Services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112</w:t>
            </w: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gridSpan w:val="4"/>
          </w:tcPr>
          <w:p>
            <w:pPr>
              <w:ind w:left="20"/>
              <w:spacing w:after="0"/>
              <w:rPr>
                <w:sz w:val="20"/>
                <w:szCs w:val="20"/>
                <w:color w:val="auto"/>
              </w:rPr>
            </w:pPr>
            <w:r>
              <w:rPr>
                <w:rFonts w:ascii="Calibri" w:cs="Calibri" w:eastAsia="Calibri" w:hAnsi="Calibri"/>
                <w:sz w:val="18"/>
                <w:szCs w:val="18"/>
                <w:b w:val="1"/>
                <w:bCs w:val="1"/>
                <w:color w:val="0000FF"/>
                <w:w w:val="91"/>
              </w:rPr>
              <w:t>PART IV</w:t>
            </w:r>
          </w:p>
        </w:tc>
        <w:tc>
          <w:tcPr>
            <w:tcW w:w="20" w:type="dxa"/>
            <w:vAlign w:val="bottom"/>
            <w:tcBorders>
              <w:bottom w:val="single" w:sz="8" w:color="0000EE"/>
            </w:tcBorders>
          </w:tcPr>
          <w:p>
            <w:pPr>
              <w:spacing w:after="0"/>
              <w:rPr>
                <w:sz w:val="21"/>
                <w:szCs w:val="21"/>
                <w:color w:val="auto"/>
              </w:rPr>
            </w:pPr>
          </w:p>
        </w:tc>
        <w:tc>
          <w:tcPr>
            <w:tcW w:w="560" w:type="dxa"/>
            <w:vAlign w:val="bottom"/>
            <w:gridSpan w:val="2"/>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15.</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Exhibits and Financial Statement Schedules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20"/>
        </w:trPr>
        <w:tc>
          <w:tcPr>
            <w:tcW w:w="76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5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auto"/>
              </w:rPr>
              <w:t>Item 16.</w:t>
            </w:r>
          </w:p>
        </w:tc>
        <w:tc>
          <w:tcPr>
            <w:tcW w:w="9620" w:type="dxa"/>
            <w:vAlign w:val="bottom"/>
            <w:gridSpan w:val="23"/>
          </w:tcPr>
          <w:p>
            <w:pPr>
              <w:spacing w:after="0"/>
              <w:rPr>
                <w:sz w:val="20"/>
                <w:szCs w:val="20"/>
                <w:color w:val="auto"/>
              </w:rPr>
            </w:pPr>
            <w:r>
              <w:rPr>
                <w:rFonts w:ascii="Calibri" w:cs="Calibri" w:eastAsia="Calibri" w:hAnsi="Calibri"/>
                <w:sz w:val="18"/>
                <w:szCs w:val="18"/>
                <w:color w:val="0000FF"/>
              </w:rPr>
              <w:t>Form 10-K Summary</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116</w:t>
            </w:r>
          </w:p>
        </w:tc>
        <w:tc>
          <w:tcPr>
            <w:tcW w:w="0" w:type="dxa"/>
            <w:vAlign w:val="bottom"/>
          </w:tcPr>
          <w:p>
            <w:pPr>
              <w:spacing w:after="0"/>
              <w:rPr>
                <w:sz w:val="1"/>
                <w:szCs w:val="1"/>
                <w:color w:val="auto"/>
              </w:rPr>
            </w:pPr>
          </w:p>
        </w:tc>
      </w:tr>
      <w:tr>
        <w:trPr>
          <w:trHeight w:val="250"/>
        </w:trPr>
        <w:tc>
          <w:tcPr>
            <w:tcW w:w="1180" w:type="dxa"/>
            <w:vAlign w:val="bottom"/>
            <w:gridSpan w:val="7"/>
          </w:tcPr>
          <w:p>
            <w:pPr>
              <w:ind w:left="20"/>
              <w:spacing w:after="0"/>
              <w:rPr>
                <w:sz w:val="20"/>
                <w:szCs w:val="20"/>
                <w:color w:val="auto"/>
              </w:rPr>
            </w:pPr>
            <w:r>
              <w:rPr>
                <w:rFonts w:ascii="Calibri" w:cs="Calibri" w:eastAsia="Calibri" w:hAnsi="Calibri"/>
                <w:sz w:val="18"/>
                <w:szCs w:val="18"/>
                <w:color w:val="0000FF"/>
              </w:rPr>
              <w:t>Signatures</w:t>
            </w:r>
          </w:p>
        </w:tc>
        <w:tc>
          <w:tcPr>
            <w:tcW w:w="4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117</w:t>
            </w:r>
          </w:p>
        </w:tc>
        <w:tc>
          <w:tcPr>
            <w:tcW w:w="0" w:type="dxa"/>
            <w:vAlign w:val="bottom"/>
          </w:tcPr>
          <w:p>
            <w:pPr>
              <w:spacing w:after="0"/>
              <w:rPr>
                <w:sz w:val="1"/>
                <w:szCs w:val="1"/>
                <w:color w:val="auto"/>
              </w:rPr>
            </w:pPr>
          </w:p>
        </w:tc>
      </w:tr>
      <w:tr>
        <w:trPr>
          <w:trHeight w:val="1715"/>
        </w:trPr>
        <w:tc>
          <w:tcPr>
            <w:tcW w:w="5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FORWARD-LOOKING STATEMENTS</w:t>
      </w:r>
    </w:p>
    <w:p>
      <w:pPr>
        <w:spacing w:after="0" w:line="200" w:lineRule="exact"/>
        <w:rPr>
          <w:sz w:val="20"/>
          <w:szCs w:val="20"/>
          <w:color w:val="auto"/>
        </w:rPr>
      </w:pP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Annual Report on Form 10-K (this “Report”) contains “forward-looking statements” within the meaning of Secton 27A of the Securites Act of 1933, as amended (the “Securites Act”), and Secton 21E of the Securites Exchange Act of 1934, as amended (the “Exchange Act”), regarding future events and the future results of Vivid Seats Inc. and its subsidiaries, including Hoya Intermediate, LLC (“Hoya Intermediate”), Hoya Midco, LLC, and Vivid Seats LLC (collectvely, “we,” “us,” and “our”). Words such as “antcipate,” “believe,” “can,” “contnue,” “could,” “design,” “estmate,” “expect,” “forecast,” “future,” “goal,” “intend,” “likely,” “may,” “plan,” “project,” “propose,” “seek,” “should,” “target,” “will,” and “would,” as well as similar expressions which predict or indicate future events and trends or which do not relate to historical maters, are intended to identfy such forward-looking statements.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use forward-looking statements when addressing topics such as our future operatng results and fnancial performance, including our ability to generate sufcient cash fows and/or raise additonal capital when necessary or desirable, our success in atractng, hiring, motvatng, and retaining our senior management team, key technical employees, and other highly skilled personnel, any payment of dividends on our Class A common stock, and other topics relatng to our business, operatons, and fnancial performance, such as:</w:t>
      </w:r>
    </w:p>
    <w:p>
      <w:pPr>
        <w:spacing w:after="0" w:line="120"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supply and demand of live concert, sportng, and theater events;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adverse economic conditons and other factors afectng discretonary consumer and corporate spending;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maintain and develop our relatonships with tcket buyers, sellers, and partners;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compete in the tcketng industry;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contnue to maintain and improve our platorm and to successfully develop new and improved solutons and enhancements;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extraordinary events, including disease epidemics;</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identfy suitable acquisiton targets, to complete planned acquisitons, and to realize the expected benefts of completed acquisitons;</w:t>
      </w:r>
    </w:p>
    <w:p>
      <w:pPr>
        <w:spacing w:after="0" w:line="11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comply with applicable laws and regulatons;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impact of unfavorable outcomes in legislaton and legal proceedings; and</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2"/>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ability to maintain the integrity of our informaton systems and infrastructure, and to identfy, assess, and manage relevant cybersecurity risks.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based these forward-looking statements on our current expectatons, estmates, forecasts, and projectons about future events and fnancial trends that we believe may afect our business, fnancial conditon, and results of operatons.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Forward-looking statements are not guarantees of future performance, conditons, or results, and are subject to risks, uncertaintes, and assumptons that can be difcult to predict and/or are outside of our control. Therefore, actual results may difer materially from those contemplated by any forward-looking statements. Important factors that could cause or contribute to such diferences include, but are not limited to, those discussed in the “Risk Factors” and “Management’s Discussion and Analysis of Financial Conditon and Results of Operatons” sectons of this Report, as well as in our press releases and other flings with the Securites and Exchange Commission (the “SEC”).</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should not place undue reliance on forward-looking statements, which speak only as of the date of this Report (or, in the case of statements incorporated by reference herein, as of the date of the incorporated document). Except as required by applicable law, we undertake no obligaton to update or revise any forward-looking statements, whether as a result of new informaton, future events, or otherwise.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RISK FACTORS SUMMARY</w:t>
      </w:r>
    </w:p>
    <w:p>
      <w:pPr>
        <w:spacing w:after="0" w:line="200" w:lineRule="exact"/>
        <w:rPr>
          <w:sz w:val="20"/>
          <w:szCs w:val="20"/>
          <w:color w:val="auto"/>
        </w:rPr>
      </w:pPr>
    </w:p>
    <w:p>
      <w:pPr>
        <w:spacing w:after="0" w:line="23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231F20"/>
        </w:rPr>
        <w:t xml:space="preserve">You should carefully read this Report in its entrety, including the risks discussed in the </w:t>
      </w:r>
      <w:r>
        <w:rPr>
          <w:rFonts w:ascii="Calibri" w:cs="Calibri" w:eastAsia="Calibri" w:hAnsi="Calibri"/>
          <w:sz w:val="18"/>
          <w:szCs w:val="18"/>
          <w:color w:val="000000"/>
        </w:rPr>
        <w:t>“</w:t>
      </w:r>
      <w:r>
        <w:rPr>
          <w:rFonts w:ascii="Calibri" w:cs="Calibri" w:eastAsia="Calibri" w:hAnsi="Calibri"/>
          <w:sz w:val="18"/>
          <w:szCs w:val="18"/>
          <w:color w:val="231F20"/>
        </w:rPr>
        <w:t>Risk Factors</w:t>
      </w:r>
      <w:r>
        <w:rPr>
          <w:rFonts w:ascii="Calibri" w:cs="Calibri" w:eastAsia="Calibri" w:hAnsi="Calibri"/>
          <w:sz w:val="18"/>
          <w:szCs w:val="18"/>
          <w:color w:val="000000"/>
        </w:rPr>
        <w:t>”</w:t>
      </w:r>
      <w:r>
        <w:rPr>
          <w:rFonts w:ascii="Calibri" w:cs="Calibri" w:eastAsia="Calibri" w:hAnsi="Calibri"/>
          <w:sz w:val="18"/>
          <w:szCs w:val="18"/>
          <w:color w:val="231F20"/>
        </w:rPr>
        <w:t xml:space="preserve"> secton. Such risks include, but are not limited to, those set forth below.</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Risks Related to Our Business and the Live Events and Ticketng Industries</w:t>
      </w:r>
    </w:p>
    <w:p>
      <w:pPr>
        <w:spacing w:after="0" w:line="11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are adversely afected by decreases in the supply of and/or demand for live concert, sportng, and theater events.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by an adverse change in our relatonships with tcket buyers, sellers, and/or partners.</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if changes in internet search engine algorithms and dynamics, search engine disintermediaton, or mobile applicaton marketplace rules decrease trafc to our websites and mobile applicatons.</w:t>
      </w:r>
    </w:p>
    <w:p>
      <w:pPr>
        <w:spacing w:after="0" w:line="12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face intense competton in the tcketng industry, and we may be adversely afected if we are unable to maintain or increase tcket listngs and sales on our platorm.</w:t>
      </w:r>
    </w:p>
    <w:p>
      <w:pPr>
        <w:spacing w:after="0" w:line="123" w:lineRule="exact"/>
        <w:rPr>
          <w:rFonts w:ascii="Times New Roman" w:cs="Times New Roman" w:eastAsia="Times New Roman" w:hAnsi="Times New Roman"/>
          <w:sz w:val="18"/>
          <w:szCs w:val="18"/>
          <w:color w:val="231F20"/>
        </w:rPr>
      </w:pPr>
    </w:p>
    <w:p>
      <w:pPr>
        <w:ind w:left="1020" w:right="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if we do not contnue to maintain and improve our platorm, or to successfully develop new and improved solutons and enhancements.</w:t>
      </w:r>
    </w:p>
    <w:p>
      <w:pPr>
        <w:spacing w:after="0" w:line="11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if we are unable to maintain and enhance our reputaton and brand.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by extraordinary events, including disease epidemics, or the efects of infaton.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if any of the business acquisitons we have made, or may make in the future, are unsuccessful.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if we are unable to manage the risks associated with the growth of our internatonal operatons.</w:t>
      </w:r>
    </w:p>
    <w:p>
      <w:pPr>
        <w:spacing w:after="0" w:line="122"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fnancial performance in certain periods may not be indicatve of, or comparable to, our fnancial performance in other periods due to seasonality and other factors.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Risks Related to Government Regulaton and Litgaton</w:t>
      </w:r>
    </w:p>
    <w:p>
      <w:pPr>
        <w:spacing w:after="0" w:line="123" w:lineRule="exact"/>
        <w:rPr>
          <w:sz w:val="20"/>
          <w:szCs w:val="20"/>
          <w:color w:val="auto"/>
        </w:rPr>
      </w:pPr>
    </w:p>
    <w:p>
      <w:pPr>
        <w:ind w:left="1020" w:hanging="503"/>
        <w:spacing w:after="0" w:line="235" w:lineRule="auto"/>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processing of personal data and other sensitve informaton could give rise to liabilites as a result of governmental regulaton, litgaton, and confictng legal requirements, including those relatng to personal privacy rights.</w:t>
      </w:r>
    </w:p>
    <w:p>
      <w:pPr>
        <w:spacing w:after="0" w:line="12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4"/>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by unfavorable outcomes in legal proceedings in which we, tcket sellers, or our partners are or may in the future be involved.</w:t>
      </w:r>
    </w:p>
    <w:p>
      <w:pPr>
        <w:spacing w:after="0" w:line="11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business and industry may be adversely afected by unfavorable legislatve outcomes.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Risks Related to Informaton Technology, Cybersecurity, and Intellectual Property</w:t>
      </w:r>
    </w:p>
    <w:p>
      <w:pPr>
        <w:spacing w:after="0" w:line="123" w:lineRule="exact"/>
        <w:rPr>
          <w:sz w:val="20"/>
          <w:szCs w:val="20"/>
          <w:color w:val="auto"/>
        </w:rPr>
      </w:pPr>
    </w:p>
    <w:p>
      <w:pPr>
        <w:ind w:left="1020" w:hanging="503"/>
        <w:spacing w:after="0" w:line="235" w:lineRule="auto"/>
        <w:tabs>
          <w:tab w:leader="none" w:pos="1020" w:val="left"/>
        </w:tabs>
        <w:numPr>
          <w:ilvl w:val="0"/>
          <w:numId w:val="5"/>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by system interruptons and the lack of integraton and redundancy in our and third-party informaton systems and infrastructure.</w:t>
      </w:r>
    </w:p>
    <w:p>
      <w:pPr>
        <w:spacing w:after="0" w:line="12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5"/>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may be adversely afected if our informaton technology systems, or those of third partes with whom we conduct business, are compromised.</w:t>
      </w:r>
    </w:p>
    <w:p>
      <w:pPr>
        <w:spacing w:after="0" w:line="11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payment system depends on third-party providers and is subject to risks that may adversely afect our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Risks Related to Our Indebtedness</w:t>
      </w:r>
    </w:p>
    <w:p>
      <w:pPr>
        <w:spacing w:after="0" w:line="123" w:lineRule="exact"/>
        <w:rPr>
          <w:sz w:val="20"/>
          <w:szCs w:val="20"/>
          <w:color w:val="auto"/>
        </w:rPr>
      </w:pPr>
    </w:p>
    <w:p>
      <w:pPr>
        <w:ind w:left="1020" w:hanging="503"/>
        <w:spacing w:after="0" w:line="235" w:lineRule="auto"/>
        <w:tabs>
          <w:tab w:leader="none" w:pos="1020" w:val="left"/>
        </w:tabs>
        <w:numPr>
          <w:ilvl w:val="0"/>
          <w:numId w:val="6"/>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Our credit facility imposes restrictons on us that limit management</w:t>
      </w:r>
      <w:r>
        <w:rPr>
          <w:rFonts w:ascii="Calibri" w:cs="Calibri" w:eastAsia="Calibri" w:hAnsi="Calibri"/>
          <w:sz w:val="18"/>
          <w:szCs w:val="18"/>
          <w:color w:val="000000"/>
        </w:rPr>
        <w:t>’</w:t>
      </w:r>
      <w:r>
        <w:rPr>
          <w:rFonts w:ascii="Calibri" w:cs="Calibri" w:eastAsia="Calibri" w:hAnsi="Calibri"/>
          <w:sz w:val="18"/>
          <w:szCs w:val="18"/>
          <w:color w:val="231F20"/>
        </w:rPr>
        <w:t>s discreton in operatng our business and, in turn, could impair our ability to meet our debt obligatons.</w:t>
      </w:r>
    </w:p>
    <w:p>
      <w:pPr>
        <w:spacing w:after="0" w:line="118"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depend on our subsidiaries</w:t>
      </w:r>
      <w:r>
        <w:rPr>
          <w:rFonts w:ascii="Calibri" w:cs="Calibri" w:eastAsia="Calibri" w:hAnsi="Calibri"/>
          <w:sz w:val="18"/>
          <w:szCs w:val="18"/>
          <w:color w:val="000000"/>
        </w:rPr>
        <w:t>’</w:t>
      </w:r>
      <w:r>
        <w:rPr>
          <w:rFonts w:ascii="Calibri" w:cs="Calibri" w:eastAsia="Calibri" w:hAnsi="Calibri"/>
          <w:sz w:val="18"/>
          <w:szCs w:val="18"/>
          <w:color w:val="231F20"/>
        </w:rPr>
        <w:t xml:space="preserve"> cash fows in order to satsfy our obligatons.</w:t>
      </w:r>
    </w:p>
    <w:p>
      <w:pPr>
        <w:spacing w:after="0" w:line="122"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7"/>
          <w:szCs w:val="17"/>
          <w:color w:val="231F20"/>
        </w:rPr>
      </w:pPr>
      <w:r>
        <w:rPr>
          <w:rFonts w:ascii="Calibri" w:cs="Calibri" w:eastAsia="Calibri" w:hAnsi="Calibri"/>
          <w:sz w:val="17"/>
          <w:szCs w:val="17"/>
          <w:color w:val="231F20"/>
        </w:rPr>
        <w:t>We may face liquidity constraints if we are unable to generate sufcient cash fows and/or raise additonal capital when necessary or desirable.</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Risks Related to Our Organizatonal Structure and the Ownership of Our Securites</w:t>
      </w:r>
    </w:p>
    <w:p>
      <w:pPr>
        <w:spacing w:after="0" w:line="123" w:lineRule="exact"/>
        <w:rPr>
          <w:sz w:val="20"/>
          <w:szCs w:val="20"/>
          <w:color w:val="auto"/>
        </w:rPr>
      </w:pPr>
    </w:p>
    <w:p>
      <w:pPr>
        <w:ind w:left="1020" w:hanging="503"/>
        <w:spacing w:after="0" w:line="235" w:lineRule="auto"/>
        <w:tabs>
          <w:tab w:leader="none" w:pos="1020" w:val="left"/>
        </w:tabs>
        <w:numPr>
          <w:ilvl w:val="0"/>
          <w:numId w:val="7"/>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interests of Hoya Topco, LLC (</w:t>
      </w:r>
      <w:r>
        <w:rPr>
          <w:rFonts w:ascii="Calibri" w:cs="Calibri" w:eastAsia="Calibri" w:hAnsi="Calibri"/>
          <w:sz w:val="18"/>
          <w:szCs w:val="18"/>
          <w:color w:val="000000"/>
        </w:rPr>
        <w:t>“</w:t>
      </w:r>
      <w:r>
        <w:rPr>
          <w:rFonts w:ascii="Calibri" w:cs="Calibri" w:eastAsia="Calibri" w:hAnsi="Calibri"/>
          <w:sz w:val="18"/>
          <w:szCs w:val="18"/>
          <w:color w:val="231F20"/>
        </w:rPr>
        <w:t>Hoya Topco</w:t>
      </w:r>
      <w:r>
        <w:rPr>
          <w:rFonts w:ascii="Calibri" w:cs="Calibri" w:eastAsia="Calibri" w:hAnsi="Calibri"/>
          <w:sz w:val="18"/>
          <w:szCs w:val="18"/>
          <w:color w:val="000000"/>
        </w:rPr>
        <w:t>”</w:t>
      </w:r>
      <w:r>
        <w:rPr>
          <w:rFonts w:ascii="Calibri" w:cs="Calibri" w:eastAsia="Calibri" w:hAnsi="Calibri"/>
          <w:sz w:val="18"/>
          <w:szCs w:val="18"/>
          <w:color w:val="231F20"/>
        </w:rPr>
        <w:t>), which exerts signifcant infuence over us, may confict with those of us or our other stockholders.</w:t>
      </w:r>
    </w:p>
    <w:p>
      <w:pPr>
        <w:spacing w:after="0" w:line="123"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7"/>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are party to a Tax Receivable Agreement, dated October 18, 2021 (the “TRA</w:t>
      </w:r>
      <w:r>
        <w:rPr>
          <w:rFonts w:ascii="Calibri" w:cs="Calibri" w:eastAsia="Calibri" w:hAnsi="Calibri"/>
          <w:sz w:val="18"/>
          <w:szCs w:val="18"/>
          <w:color w:val="000000"/>
        </w:rPr>
        <w:t>”</w:t>
      </w:r>
      <w:r>
        <w:rPr>
          <w:rFonts w:ascii="Calibri" w:cs="Calibri" w:eastAsia="Calibri" w:hAnsi="Calibri"/>
          <w:sz w:val="18"/>
          <w:szCs w:val="18"/>
          <w:color w:val="231F20"/>
        </w:rPr>
        <w:t>), which requires us to make cash payments, which may be substantal, to Hoya Topco in respect of certain tax benefts.</w:t>
      </w:r>
    </w:p>
    <w:p>
      <w:pPr>
        <w:spacing w:after="0" w:line="123" w:lineRule="exact"/>
        <w:rPr>
          <w:rFonts w:ascii="Times New Roman" w:cs="Times New Roman" w:eastAsia="Times New Roman" w:hAnsi="Times New Roman"/>
          <w:sz w:val="18"/>
          <w:szCs w:val="18"/>
          <w:color w:val="231F20"/>
        </w:rPr>
      </w:pPr>
    </w:p>
    <w:p>
      <w:pPr>
        <w:ind w:left="1020" w:hanging="503"/>
        <w:spacing w:after="0" w:line="258" w:lineRule="auto"/>
        <w:tabs>
          <w:tab w:leader="none" w:pos="1020" w:val="left"/>
        </w:tabs>
        <w:numPr>
          <w:ilvl w:val="0"/>
          <w:numId w:val="7"/>
        </w:numPr>
        <w:rPr>
          <w:rFonts w:ascii="Times New Roman" w:cs="Times New Roman" w:eastAsia="Times New Roman" w:hAnsi="Times New Roman"/>
          <w:sz w:val="17"/>
          <w:szCs w:val="17"/>
          <w:color w:val="231F20"/>
        </w:rPr>
      </w:pPr>
      <w:r>
        <w:rPr>
          <w:rFonts w:ascii="Calibri" w:cs="Calibri" w:eastAsia="Calibri" w:hAnsi="Calibri"/>
          <w:sz w:val="17"/>
          <w:szCs w:val="17"/>
          <w:color w:val="231F20"/>
        </w:rPr>
        <w:t>As a holding company, our principal assets are our equity interests in Hoya Intermediate, and we are accordingly dependent upon distributons from Hoya Intermediate to pay dividends, taxes, and other expenses, including payments we are required to make under the TRA.</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Risks Related to Being a Public Company</w:t>
      </w:r>
    </w:p>
    <w:p>
      <w:pPr>
        <w:spacing w:after="0" w:line="11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We have identfed a material weakness in our internal control over fnancial reportng.</w:t>
      </w:r>
    </w:p>
    <w:p>
      <w:pPr>
        <w:spacing w:after="0" w:line="122" w:lineRule="exact"/>
        <w:rPr>
          <w:rFonts w:ascii="Times New Roman" w:cs="Times New Roman" w:eastAsia="Times New Roman" w:hAnsi="Times New Roman"/>
          <w:sz w:val="18"/>
          <w:szCs w:val="18"/>
          <w:color w:val="231F20"/>
        </w:rPr>
      </w:pPr>
    </w:p>
    <w:p>
      <w:pPr>
        <w:ind w:left="1020" w:hanging="503"/>
        <w:spacing w:after="0" w:line="258" w:lineRule="auto"/>
        <w:tabs>
          <w:tab w:leader="none" w:pos="1020" w:val="left"/>
        </w:tabs>
        <w:numPr>
          <w:ilvl w:val="0"/>
          <w:numId w:val="8"/>
        </w:numPr>
        <w:rPr>
          <w:rFonts w:ascii="Times New Roman" w:cs="Times New Roman" w:eastAsia="Times New Roman" w:hAnsi="Times New Roman"/>
          <w:sz w:val="17"/>
          <w:szCs w:val="17"/>
          <w:color w:val="231F20"/>
        </w:rPr>
      </w:pPr>
      <w:r>
        <w:rPr>
          <w:rFonts w:ascii="Calibri" w:cs="Calibri" w:eastAsia="Calibri" w:hAnsi="Calibri"/>
          <w:sz w:val="17"/>
          <w:szCs w:val="17"/>
          <w:color w:val="231F20"/>
        </w:rPr>
        <w:t>We are an “emerging growth company” (an “EGC”) under the Jumpstart Our Business Startups Act of 2012 (the “JOBS Act”), and our reliance on exemptons from certain reportng requirements that are applicable to non-EGCs could make our securites less atractve to investors.</w:t>
      </w:r>
    </w:p>
    <w:p>
      <w:pPr>
        <w:spacing w:after="0" w:line="107" w:lineRule="exact"/>
        <w:rPr>
          <w:rFonts w:ascii="Times New Roman" w:cs="Times New Roman" w:eastAsia="Times New Roman" w:hAnsi="Times New Roman"/>
          <w:sz w:val="17"/>
          <w:szCs w:val="17"/>
          <w:color w:val="231F20"/>
        </w:rPr>
      </w:pPr>
    </w:p>
    <w:p>
      <w:pPr>
        <w:ind w:left="1020" w:hanging="503"/>
        <w:spacing w:after="0" w:line="235" w:lineRule="auto"/>
        <w:tabs>
          <w:tab w:leader="none" w:pos="1020" w:val="left"/>
        </w:tabs>
        <w:numPr>
          <w:ilvl w:val="0"/>
          <w:numId w:val="8"/>
        </w:numPr>
        <w:rPr>
          <w:rFonts w:ascii="Times New Roman" w:cs="Times New Roman" w:eastAsia="Times New Roman" w:hAnsi="Times New Roman"/>
          <w:sz w:val="18"/>
          <w:szCs w:val="18"/>
          <w:color w:val="231F20"/>
        </w:rPr>
      </w:pPr>
      <w:r>
        <w:rPr>
          <w:rFonts w:ascii="Calibri" w:cs="Calibri" w:eastAsia="Calibri" w:hAnsi="Calibri"/>
          <w:sz w:val="18"/>
          <w:szCs w:val="18"/>
          <w:color w:val="231F20"/>
        </w:rPr>
        <w:t>The exercise or exchange of certain outstanding securites would increase the number of shares of our Class A common stock eligible for resale in the public market and/or dilute the ownership and votng power of our existng stockholders.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are an online tcket marketplace that utlizes our technology platorm to connect fans of live events seamlessly with tcket sellers. Our mission is to empower and enable fans to </w:t>
      </w:r>
      <w:r>
        <w:rPr>
          <w:rFonts w:ascii="Calibri" w:cs="Calibri" w:eastAsia="Calibri" w:hAnsi="Calibri"/>
          <w:sz w:val="18"/>
          <w:szCs w:val="18"/>
          <w:i w:val="1"/>
          <w:iCs w:val="1"/>
          <w:color w:val="auto"/>
        </w:rPr>
        <w:t>Experience It Live</w:t>
      </w:r>
      <w:r>
        <w:rPr>
          <w:rFonts w:ascii="Calibri" w:cs="Calibri" w:eastAsia="Calibri" w:hAnsi="Calibri"/>
          <w:sz w:val="18"/>
          <w:szCs w:val="18"/>
          <w:color w:val="auto"/>
        </w:rPr>
        <w: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in the power of shared experiences to connect people with live events that deliver some of life’s most excitng moments. We are relentless about fnding ways to make event discovery and tcket purchasing easy, excitng, and stress-free. Our platorm provides tcket buyers, sellers, and partners with an easy-to-use and trusted marketplace experience, ensuring fans can atend live events and create new memories.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operate a technology platorm and marketplace that enables tcket buyers to easily discover and purchase tckets to live events and book hotel rooms and packages while enabling tcket sellers and partners to seamlessly manage their operatons. To generate tcket sales, drive trafc to our websites and mobile applicatons, and build brand recogniton, we have mutually benefcial partnerships with media partners, product and service partners, distributon partners, content rights holders (</w:t>
      </w:r>
      <w:r>
        <w:rPr>
          <w:rFonts w:ascii="Calibri" w:cs="Calibri" w:eastAsia="Calibri" w:hAnsi="Calibri"/>
          <w:sz w:val="18"/>
          <w:szCs w:val="18"/>
          <w:i w:val="1"/>
          <w:iCs w:val="1"/>
          <w:color w:val="auto"/>
        </w:rPr>
        <w:t>e.g.</w:t>
      </w:r>
      <w:r>
        <w:rPr>
          <w:rFonts w:ascii="Calibri" w:cs="Calibri" w:eastAsia="Calibri" w:hAnsi="Calibri"/>
          <w:sz w:val="18"/>
          <w:szCs w:val="18"/>
          <w:color w:val="auto"/>
        </w:rPr>
        <w:t>, sports teams, sports leagues, and event venues), and supplier partners in Las Vegas. To atract and retain sellers and partners, we ofer a variety of products and services that allow their businesses to thrive.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platorm is built on years of transactonal and engagement data that provides us with deep insights into how to best connect tcket buyers with the experiences they seek. We understand the feeling of antcipaton as the start of an event approaches, and we work diligently to enable fans to experience as many of these moments as possible. We seek to provide enriching customer engagement opportunites with personalized recommendatons, engaging discovery optons, a streamlined shopping experience, and a diferentated value propositon through compettvely priced tckets and loyalty rewards. Our rewards loyalty program (the “Vivid Seats Rewards Program”) allows enrolled tcket buyers on Vivid Seats-branded propertes to earn reward credits to spend on future orders and experience even more of their favorite events. We drive in-app engagement through the Vivid Seats game center (“Game Center”), where users can enter contests to win free tckets or promotonal discounts.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color w:val="auto"/>
        </w:rPr>
        <w:t>As a marketplace, our customer base includes tcket buyers, sellers, and partners, as well as daily fantasy sports users.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Marketplace Segment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from processing tcket sales for live events and facilitatng the booking of hotel rooms and packages on our websites and mobile applicatons (our “Owned Propertes”), including:</w:t>
      </w:r>
    </w:p>
    <w:p>
      <w:pPr>
        <w:spacing w:after="0" w:line="11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Vivid Seats;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Vegas.com, LLC (“Vegas.com”), an online tcket marketplace for live event enthusiasts exploring shows, atractons, tours, fights, and hotels in Las Vegas, which we acquired in November 2023; and</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Wavedash Co., Ltd. (“Wavedash”), an online tcket marketplace headquartered in Tokyo, Japan, which we acquired in September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color w:val="auto"/>
        </w:rPr>
        <w:t>We also earn revenue processing tcket sales for numerous distributon partners (our “Private Label Ofering”).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Owned Propertes also include Vivid Picks, LLC (“Vivid Picks”), a real-money daily fantasy sports mobile applicaton with social and gamifcaton features, which we acquired in 2021. Vivid Picks leverages the natural overlap between sports fans who play daily fantasy and sports fans who buy tckets, enabling us to learn more about customer preferences and fostering engagement between tcketng transactons. Within the Vivid Picks mobile applicaton, users can place entries and engage socially, as well as browse, discover, and buy tckets to events. In 2023, we launched Game Center, which allows players to engage in free-to-play games and enter contests to win free event tckets and earn promotonal codes for tcket purchases directly in the Vivid Seats mobile applicaton. The revenue we earn from Vivid Picks is the diference between cash entry fees collected and cash amounts paid out to users for winning picks, less customer promotons and incentves.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Using our online platorm, we facilitate customer payments, deposits and withdrawals, coordinate tcket deliveries, and provide customer service. We do not hold tcket inventory in our Marketplace segment.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primarily earn Marketplace segment revenue from service and delivery fees charged to tcket buyers. We also earn referral fee revenue by ofering event insurance to tcket buyers via a third-party insurance provider.</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incur costs for developing and maintaining our platorm, providing back-ofce support and customer service, facilitatng payments and deposits, and shipping non-electronic tckets. We also incur substantal marketng costs, primarily related to online advertsing.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key component of our platorm is Skybox, a proprietary enterprise resource planning (“ERP”) tool that is used by the majority of tcket sellers. Skybox is a free-to-use system that helps tcket sellers manage tcket inventories, adjust pricing, and fulfll orders across multple tcket resale marketplaces. Professional tcket sellers use ERPs to manage their operatons, and Skybox is their most widely adopted ERP.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tckets we sell through our Marketplace segment are diversifed across three major event categories: concerts, sports, and theater. A diversifed mix across these categories broadens our opportunites, limits our exposure to any partcular category, and reduces seasonal variaton in order volumes. </w:t>
      </w:r>
      <w:r>
        <w:rPr>
          <w:rFonts w:ascii="Calibri" w:cs="Calibri" w:eastAsia="Calibri" w:hAnsi="Calibri"/>
          <w:sz w:val="18"/>
          <w:szCs w:val="18"/>
          <w:color w:val="231F20"/>
        </w:rPr>
        <w:t>Within</w:t>
      </w:r>
      <w:r>
        <w:rPr>
          <w:rFonts w:ascii="Calibri" w:cs="Calibri" w:eastAsia="Calibri" w:hAnsi="Calibri"/>
          <w:sz w:val="18"/>
          <w:szCs w:val="18"/>
          <w:color w:val="auto"/>
        </w:rPr>
        <w:t xml:space="preserve"> </w:t>
      </w:r>
      <w:r>
        <w:rPr>
          <w:rFonts w:ascii="Calibri" w:cs="Calibri" w:eastAsia="Calibri" w:hAnsi="Calibri"/>
          <w:sz w:val="18"/>
          <w:szCs w:val="18"/>
          <w:color w:val="231F20"/>
        </w:rPr>
        <w:t>each of these categories, there are a broad range of productons that provide further diversifcaton:</w:t>
      </w:r>
    </w:p>
    <w:p>
      <w:pPr>
        <w:spacing w:after="0" w:line="11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231F20"/>
        </w:rPr>
      </w:pPr>
      <w:r>
        <w:rPr>
          <w:rFonts w:ascii="Calibri" w:cs="Calibri" w:eastAsia="Calibri" w:hAnsi="Calibri"/>
          <w:sz w:val="18"/>
          <w:szCs w:val="18"/>
          <w:i w:val="1"/>
          <w:iCs w:val="1"/>
          <w:color w:val="231F20"/>
        </w:rPr>
        <w:t xml:space="preserve">Concerts. </w:t>
      </w:r>
      <w:r>
        <w:rPr>
          <w:rFonts w:ascii="Calibri" w:cs="Calibri" w:eastAsia="Calibri" w:hAnsi="Calibri"/>
          <w:sz w:val="18"/>
          <w:szCs w:val="18"/>
          <w:color w:val="231F20"/>
        </w:rPr>
        <w:t>Includes musical acts across a broad range of genres touring across major venues, small venues, and music festvals.</w:t>
      </w:r>
    </w:p>
    <w:p>
      <w:pPr>
        <w:spacing w:after="0" w:line="122" w:lineRule="exact"/>
        <w:rPr>
          <w:rFonts w:ascii="Times New Roman" w:cs="Times New Roman" w:eastAsia="Times New Roman" w:hAnsi="Times New Roman"/>
          <w:sz w:val="18"/>
          <w:szCs w:val="18"/>
          <w:color w:val="231F20"/>
        </w:rPr>
      </w:pPr>
    </w:p>
    <w:p>
      <w:pPr>
        <w:jc w:val="both"/>
        <w:ind w:left="1020" w:hanging="503"/>
        <w:spacing w:after="0" w:line="235" w:lineRule="auto"/>
        <w:tabs>
          <w:tab w:leader="none" w:pos="1020" w:val="left"/>
        </w:tabs>
        <w:numPr>
          <w:ilvl w:val="0"/>
          <w:numId w:val="10"/>
        </w:numPr>
        <w:rPr>
          <w:rFonts w:ascii="Times New Roman" w:cs="Times New Roman" w:eastAsia="Times New Roman" w:hAnsi="Times New Roman"/>
          <w:sz w:val="18"/>
          <w:szCs w:val="18"/>
          <w:color w:val="231F20"/>
        </w:rPr>
      </w:pPr>
      <w:r>
        <w:rPr>
          <w:rFonts w:ascii="Calibri" w:cs="Calibri" w:eastAsia="Calibri" w:hAnsi="Calibri"/>
          <w:sz w:val="18"/>
          <w:szCs w:val="18"/>
          <w:i w:val="1"/>
          <w:iCs w:val="1"/>
          <w:color w:val="231F20"/>
        </w:rPr>
        <w:t xml:space="preserve">Sports. </w:t>
      </w:r>
      <w:r>
        <w:rPr>
          <w:rFonts w:ascii="Calibri" w:cs="Calibri" w:eastAsia="Calibri" w:hAnsi="Calibri"/>
          <w:sz w:val="18"/>
          <w:szCs w:val="18"/>
          <w:color w:val="231F20"/>
        </w:rPr>
        <w:t>Includes the four major professional leagues, consistng of Major League Baseball (the</w:t>
      </w:r>
      <w:r>
        <w:rPr>
          <w:rFonts w:ascii="Calibri" w:cs="Calibri" w:eastAsia="Calibri" w:hAnsi="Calibri"/>
          <w:sz w:val="18"/>
          <w:szCs w:val="18"/>
          <w:i w:val="1"/>
          <w:iCs w:val="1"/>
          <w:color w:val="231F20"/>
        </w:rPr>
        <w:t xml:space="preserve"> </w:t>
      </w:r>
      <w:r>
        <w:rPr>
          <w:rFonts w:ascii="Calibri" w:cs="Calibri" w:eastAsia="Calibri" w:hAnsi="Calibri"/>
          <w:sz w:val="18"/>
          <w:szCs w:val="18"/>
          <w:color w:val="000000"/>
        </w:rPr>
        <w:t>“</w:t>
      </w:r>
      <w:r>
        <w:rPr>
          <w:rFonts w:ascii="Calibri" w:cs="Calibri" w:eastAsia="Calibri" w:hAnsi="Calibri"/>
          <w:sz w:val="18"/>
          <w:szCs w:val="18"/>
          <w:color w:val="231F20"/>
        </w:rPr>
        <w:t>MLB</w:t>
      </w:r>
      <w:r>
        <w:rPr>
          <w:rFonts w:ascii="Calibri" w:cs="Calibri" w:eastAsia="Calibri" w:hAnsi="Calibri"/>
          <w:sz w:val="18"/>
          <w:szCs w:val="18"/>
          <w:color w:val="000000"/>
        </w:rPr>
        <w:t>”</w:t>
      </w:r>
      <w:r>
        <w:rPr>
          <w:rFonts w:ascii="Calibri" w:cs="Calibri" w:eastAsia="Calibri" w:hAnsi="Calibri"/>
          <w:sz w:val="18"/>
          <w:szCs w:val="18"/>
          <w:color w:val="231F20"/>
        </w:rPr>
        <w:t>), the Natonal Basketball Associaton, the</w:t>
      </w:r>
      <w:r>
        <w:rPr>
          <w:rFonts w:ascii="Calibri" w:cs="Calibri" w:eastAsia="Calibri" w:hAnsi="Calibri"/>
          <w:sz w:val="18"/>
          <w:szCs w:val="18"/>
          <w:i w:val="1"/>
          <w:iCs w:val="1"/>
          <w:color w:val="231F20"/>
        </w:rPr>
        <w:t xml:space="preserve"> </w:t>
      </w:r>
      <w:r>
        <w:rPr>
          <w:rFonts w:ascii="Calibri" w:cs="Calibri" w:eastAsia="Calibri" w:hAnsi="Calibri"/>
          <w:sz w:val="18"/>
          <w:szCs w:val="18"/>
          <w:color w:val="231F20"/>
        </w:rPr>
        <w:t>Natonal Football League, and the Natonal Hockey League, college sports, women</w:t>
      </w:r>
      <w:r>
        <w:rPr>
          <w:rFonts w:ascii="Calibri" w:cs="Calibri" w:eastAsia="Calibri" w:hAnsi="Calibri"/>
          <w:sz w:val="18"/>
          <w:szCs w:val="18"/>
          <w:color w:val="000000"/>
        </w:rPr>
        <w:t>’</w:t>
      </w:r>
      <w:r>
        <w:rPr>
          <w:rFonts w:ascii="Calibri" w:cs="Calibri" w:eastAsia="Calibri" w:hAnsi="Calibri"/>
          <w:sz w:val="18"/>
          <w:szCs w:val="18"/>
          <w:color w:val="231F20"/>
        </w:rPr>
        <w:t>s sports leagues, including the Women</w:t>
      </w:r>
      <w:r>
        <w:rPr>
          <w:rFonts w:ascii="Calibri" w:cs="Calibri" w:eastAsia="Calibri" w:hAnsi="Calibri"/>
          <w:sz w:val="18"/>
          <w:szCs w:val="18"/>
          <w:color w:val="000000"/>
        </w:rPr>
        <w:t>’</w:t>
      </w:r>
      <w:r>
        <w:rPr>
          <w:rFonts w:ascii="Calibri" w:cs="Calibri" w:eastAsia="Calibri" w:hAnsi="Calibri"/>
          <w:sz w:val="18"/>
          <w:szCs w:val="18"/>
          <w:color w:val="231F20"/>
        </w:rPr>
        <w:t>s Natonal Basketball Associaton and the Natonal Women</w:t>
      </w:r>
      <w:r>
        <w:rPr>
          <w:rFonts w:ascii="Calibri" w:cs="Calibri" w:eastAsia="Calibri" w:hAnsi="Calibri"/>
          <w:sz w:val="18"/>
          <w:szCs w:val="18"/>
          <w:color w:val="000000"/>
        </w:rPr>
        <w:t>’</w:t>
      </w:r>
      <w:r>
        <w:rPr>
          <w:rFonts w:ascii="Calibri" w:cs="Calibri" w:eastAsia="Calibri" w:hAnsi="Calibri"/>
          <w:sz w:val="18"/>
          <w:szCs w:val="18"/>
          <w:color w:val="231F20"/>
        </w:rPr>
        <w:t>s Soccer League, and a wide variety of other sportng actvites such as soccer, racing, and minor league baseball.</w:t>
      </w:r>
    </w:p>
    <w:p>
      <w:pPr>
        <w:spacing w:after="0" w:line="124" w:lineRule="exact"/>
        <w:rPr>
          <w:rFonts w:ascii="Times New Roman" w:cs="Times New Roman" w:eastAsia="Times New Roman" w:hAnsi="Times New Roman"/>
          <w:sz w:val="18"/>
          <w:szCs w:val="18"/>
          <w:color w:val="231F20"/>
        </w:rPr>
      </w:pPr>
    </w:p>
    <w:p>
      <w:pPr>
        <w:ind w:left="1020" w:hanging="503"/>
        <w:spacing w:after="0" w:line="235" w:lineRule="auto"/>
        <w:tabs>
          <w:tab w:leader="none" w:pos="1020" w:val="left"/>
        </w:tabs>
        <w:numPr>
          <w:ilvl w:val="0"/>
          <w:numId w:val="10"/>
        </w:numPr>
        <w:rPr>
          <w:rFonts w:ascii="Times New Roman" w:cs="Times New Roman" w:eastAsia="Times New Roman" w:hAnsi="Times New Roman"/>
          <w:sz w:val="18"/>
          <w:szCs w:val="18"/>
          <w:color w:val="231F20"/>
        </w:rPr>
      </w:pPr>
      <w:r>
        <w:rPr>
          <w:rFonts w:ascii="Calibri" w:cs="Calibri" w:eastAsia="Calibri" w:hAnsi="Calibri"/>
          <w:sz w:val="18"/>
          <w:szCs w:val="18"/>
          <w:i w:val="1"/>
          <w:iCs w:val="1"/>
          <w:color w:val="231F20"/>
        </w:rPr>
        <w:t xml:space="preserve">Theater. </w:t>
      </w:r>
      <w:r>
        <w:rPr>
          <w:rFonts w:ascii="Calibri" w:cs="Calibri" w:eastAsia="Calibri" w:hAnsi="Calibri"/>
          <w:sz w:val="18"/>
          <w:szCs w:val="18"/>
          <w:color w:val="231F20"/>
        </w:rPr>
        <w:t>Includes Broadway and of-Broadway plays and musicals, family entertainment events, other stage shows, comedy acts, and speaker</w:t>
      </w:r>
      <w:r>
        <w:rPr>
          <w:rFonts w:ascii="Calibri" w:cs="Calibri" w:eastAsia="Calibri" w:hAnsi="Calibri"/>
          <w:sz w:val="18"/>
          <w:szCs w:val="18"/>
          <w:i w:val="1"/>
          <w:iCs w:val="1"/>
          <w:color w:val="231F20"/>
        </w:rPr>
        <w:t xml:space="preserve"> </w:t>
      </w:r>
      <w:r>
        <w:rPr>
          <w:rFonts w:ascii="Calibri" w:cs="Calibri" w:eastAsia="Calibri" w:hAnsi="Calibri"/>
          <w:sz w:val="18"/>
          <w:szCs w:val="18"/>
          <w:color w:val="231F20"/>
        </w:rPr>
        <w:t>series.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Resale Segment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 marketplaces, including our own. Our Resale segment also provides internal research and development support for Skybox and supplements our ongoing eforts to deliver industry-leading seller sofware and tools.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Growth Strategies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New Customer Acquisiton via Performance Marketng and Alternatve Channels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Fans interested in atending live events frequently utlize internet search engines to browse tckets. With our proprietary digital marketng technology and real-tme frst-party data, we have historically captured customer search trafc within reasonable customer acquisiton cost thresholds. We will contnue to hone our performance marketng algorithms, refne our strategies for other marketng channels, and invest to acquire new customers where we identfy positve lifetme value. Our Vegas.com subsidiary is one such alternatve whereby we convert proftable Vegas.com customers to Vivid Seats customers upon return to their home markets.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i w:val="1"/>
          <w:iCs w:val="1"/>
          <w:color w:val="auto"/>
        </w:rPr>
        <w:t>Increase Brand Awareness and Afnity</w:t>
      </w:r>
    </w:p>
    <w:p>
      <w:pPr>
        <w:spacing w:after="0" w:line="109" w:lineRule="exact"/>
        <w:rPr>
          <w:sz w:val="20"/>
          <w:szCs w:val="20"/>
          <w:color w:val="auto"/>
        </w:rPr>
      </w:pPr>
    </w:p>
    <w:p>
      <w:pPr>
        <w:jc w:val="both"/>
        <w:spacing w:after="0" w:line="237" w:lineRule="auto"/>
        <w:rPr>
          <w:sz w:val="20"/>
          <w:szCs w:val="20"/>
          <w:color w:val="auto"/>
        </w:rPr>
      </w:pPr>
      <w:r>
        <w:rPr>
          <w:rFonts w:ascii="Calibri" w:cs="Calibri" w:eastAsia="Calibri" w:hAnsi="Calibri"/>
          <w:sz w:val="18"/>
          <w:szCs w:val="18"/>
          <w:color w:val="auto"/>
        </w:rPr>
        <w:t>Across our brands, we want to be the go-to tcketng marketplace for buyers and sellers when searching for, purchasing, and selling event tckets. We seek to ofer the best value to tcket buyers and sellers in the secondary tcketng market, and we want to efciently amplify our message to maximize awareness of what diferentates our oferings. We diferentate ourselves from compettors by ofering an extensive breadth and depth of tcket listngs at a compettve value. The Vivid Seats Rewards Program allows enrolled Vivid Seats tcket buyers to earn reward credits to spend on future orders and surprises and delights these buyers with other perks and upgrades, further enhancing our value propositon. Our brand campaigns drive awareness of the key tenet of the Vivid Seats Rewards Program — the free 11</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tcket.</w:t>
      </w:r>
    </w:p>
    <w:p>
      <w:pPr>
        <w:spacing w:after="0" w:line="57"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We ofer a reliable and secure experience for our buyers by providing them with award-winning customer service and a 100% buyer guarantee that provides full-service customer care, safe and secure transactons, and valid tckets that are delivered before the event. Since live event tckets are ofen a signifcant purchase, our buyers receive compensaton for late tcket deliveries and/or cancelled events. The more that customers understand our value propositon, appreciate that we are a trusted marketplace, develop an afnity for our brand and interact with our platorm, the more transactons we expect to complete.</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Increase Customer Retenton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Once customers transact with us, many return to make additonal purchases. We seek to increase both the number and frequency of these repeat transactons by having buyers view us as their tcketng platorm of choice. The combinaton of the Vivid Seats Rewards Program, increasing brand awareness, and ongoing product improvements will drive a more personalized and engaging experience and result in greater afnity towards our marketplace. As buyers gain an appreciaton of our value propositon relatve to other tcketng marketplaces, we antcipate they will increasingly choose us over other marketplaces and make more frequent purchases. We typically incur lower marketng costs from repeat customers that go directly to our websites and mobile applicatons to browse and place orders.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Increase Customer Engagement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want to connect with our customers, and we want our customers to connect with us. Such engagement allows us to know our customers beter, fosters brand afnity, and, ultmately, drives higher repeat purchase actvity. We aim to close the awareness gap to ensure that our tcket buyers know when their favorite artsts or sports teams are performing or playing near them. Accordingly, we strive to improve the discovery process to help our tcket buyers atend more of their favorite events.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provide customized content to our customers to enhance their experience while driving contnued engagement. We provide a broad selecton of compettvely priced tckets and personalized recommendatons, blog content, and industry news. In 2023, we launched Game Center, where fans can engage in free-to-play games directly in the Vivid Seats mobile applicaton, earn tokens towards Game Center rewards, and earn entries for free tckets. Additonally, Vivid Picks provides an adjacent opportunity for sports fans to partake in a fun, interactve gamifcaton experience where they can play and win real money.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Develop Additonal Seller Tools and Services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enable tcket sellers to thrive by ofering products and services that support their business needs. Our proprietary Skybox platorm helps tcket sellers manage their inventory, set pricing, fulfll orders, and track sales. We have a proud history of innovatng to support tcket sellers, and we will contnue to develop additonal tools and service oferings that address existng problems and/or add efciency to the sales and fulfllment process. As we increase the quality and depth of our seller tools and service oferings, we will atract additonal sellers and listngs to our platorm, reinforce our existng seller relatonships, and help sellers improve the efciency of their business processes. We antcipate this will result in more transactons on our marketplace.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i w:val="1"/>
          <w:iCs w:val="1"/>
          <w:color w:val="auto"/>
        </w:rPr>
        <w:t>Expand Our Partnerships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Partnerships are an important and additve part of our ecosystem. They help generate tcket sales, drive trafc to our websites and mobile applicatons, and build brand recogniton. Our partner ecosystem includes:</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Media Partners</w:t>
      </w:r>
      <w:r>
        <w:rPr>
          <w:rFonts w:ascii="Calibri" w:cs="Calibri" w:eastAsia="Calibri" w:hAnsi="Calibri"/>
          <w:sz w:val="18"/>
          <w:szCs w:val="18"/>
          <w:color w:val="auto"/>
        </w:rPr>
        <w:t>. We partner with well-known media companies to integrate our branding, promotons, and links to allow their customers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access and purchase tckets on our marketplace. By working with media partners, we broaden our reach and cultvate brand awareness with high-value live event fans. We also enhance their customers’ experiences by providing a wide variety of tckets at compettve prices. For example, our partnership with the Entertainment and Sports Programming Network (“ESPN”) exposes our tcket sellers’ inventory to new audiences with a high interest in atending a variety of live sportng events.</w:t>
      </w:r>
    </w:p>
    <w:p>
      <w:pPr>
        <w:spacing w:after="0" w:line="125"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Product and Service Partners</w:t>
      </w:r>
      <w:r>
        <w:rPr>
          <w:rFonts w:ascii="Calibri" w:cs="Calibri" w:eastAsia="Calibri" w:hAnsi="Calibri"/>
          <w:sz w:val="18"/>
          <w:szCs w:val="18"/>
          <w:color w:val="auto"/>
        </w:rPr>
        <w:t>. We partner with providers of related products and services when they are additve to our customers’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experiences. For example, we ofer tcket buyers the opton to purchase third-party event tcket insurance and provide multple payment optons, including with buy-now-pay-later payment service providers.</w:t>
      </w:r>
    </w:p>
    <w:p>
      <w:pPr>
        <w:spacing w:after="0" w:line="124"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Distributon Partners</w:t>
      </w:r>
      <w:r>
        <w:rPr>
          <w:rFonts w:ascii="Calibri" w:cs="Calibri" w:eastAsia="Calibri" w:hAnsi="Calibri"/>
          <w:sz w:val="18"/>
          <w:szCs w:val="18"/>
          <w:color w:val="auto"/>
        </w:rPr>
        <w:t>. We allow our distributon partners to ofer event tckets to their existng customers by leveraging our technology,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fulfllment, and customer service capabilites.</w:t>
      </w:r>
    </w:p>
    <w:p>
      <w:pPr>
        <w:spacing w:after="0" w:line="12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Content Rights Holders</w:t>
      </w:r>
      <w:r>
        <w:rPr>
          <w:rFonts w:ascii="Calibri" w:cs="Calibri" w:eastAsia="Calibri" w:hAnsi="Calibri"/>
          <w:sz w:val="18"/>
          <w:szCs w:val="18"/>
          <w:color w:val="auto"/>
        </w:rPr>
        <w:t>. Partnerships with sports teams, sports leagues, and event venues provide us with certain marketng and advertsing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rights, which ofen include exclusive experiences (</w:t>
      </w:r>
      <w:r>
        <w:rPr>
          <w:rFonts w:ascii="Calibri" w:cs="Calibri" w:eastAsia="Calibri" w:hAnsi="Calibri"/>
          <w:sz w:val="18"/>
          <w:szCs w:val="18"/>
          <w:i w:val="1"/>
          <w:iCs w:val="1"/>
          <w:color w:val="auto"/>
        </w:rPr>
        <w:t>e.g.</w:t>
      </w:r>
      <w:r>
        <w:rPr>
          <w:rFonts w:ascii="Calibri" w:cs="Calibri" w:eastAsia="Calibri" w:hAnsi="Calibri"/>
          <w:sz w:val="18"/>
          <w:szCs w:val="18"/>
          <w:color w:val="auto"/>
        </w:rPr>
        <w:t>, guaranteed jumbotron tme) for our tcket buyers. We also typically receive tcket allotments, or the right to purchase tckets, from these partners to partally ofset related marketng expenses.</w:t>
      </w:r>
    </w:p>
    <w:p>
      <w:pPr>
        <w:spacing w:after="0" w:line="124"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Supplier Partners. </w:t>
      </w:r>
      <w:r>
        <w:rPr>
          <w:rFonts w:ascii="Calibri" w:cs="Calibri" w:eastAsia="Calibri" w:hAnsi="Calibri"/>
          <w:sz w:val="18"/>
          <w:szCs w:val="18"/>
          <w:color w:val="auto"/>
        </w:rPr>
        <w:t>Our Vegas.com subsidiary serves as a key distributon partner for leading entertainment and hospitality brands in Las Vegas,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including show producers, hotel and entertainment companies, and atracton and tour companies.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will contnue to seek out mutually benefcial partnerships in our existng ecosystem and related categories that improve our customers’ experience while leveraging our brand, trafc, and reputaton.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Platorm</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Modern Technology That Delivers a Seamless Experience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“built in the cloud” technology platorm supports all elements of the customer experience. Customers can search for an event, buy or sell a tcket, engage with curated content, and contact customer support. Our technology mission is to contnually innovate and deliver market-leading products and services that support the evolving needs and preferences of tcket buyers, sellers, and partners, as well as Vivid Picks users. Our scalable, reliable, and performant systems power a consumer-facing platorm that supports tcket buyers with tcket procurement while our dynamic tools power a partner-facing platorm that supports tcket sellers and partners with tcket fulfllment and inventory management.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Buyer Technology and Products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consumer systems are designed to respond to the dynamic, fast-paced landscape of the live events industry. Our marketplace, supported by proprietary digital marketng technology, is adept at capitalizing on-demand opportunites by bringing tcket buyers to our platorm for their desired event and seamlessly supportng their shopping and checkout experience. We contnually invest in optmizing our consumer-facing technology across our website and mobile applicatons. We seek opportunites to create engaging and delightul experiences through a wide range of event tcket listngs, relevant content, curated recommendatons, and a seamless checkout process. We power these experiences through a host of technology systems that consider historical transactonal and engagement behavior, proximity, and tcket buyer preferences. We leverage the latest technologies in search engine optmizaton, customer relatonship management, and data analytcs, all of which are incorporated into our advanced and fexible infrastructure.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i w:val="1"/>
          <w:iCs w:val="1"/>
          <w:color w:val="auto"/>
        </w:rPr>
        <w:t>Seller Technology and Products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Skybox ERP enables tcket sellers to manage, price, and fulfll their inventory. Utlizing a cloud-based technology infrastructure and a web-based applicaton interface, Skybox serves as an asset to the entre tcket seller ecosystem. We invest in building capabilites that serve the needs of small, medium, and large tcket sellers, including ofering free integratons to other inventory distributon channels and third-party tools. Skybox allows tcket sellers to more efectvely move their inventory, which in turn helps to increase the number of transactons on our marketplaces. In December 2024, we launched a powerful, subscripton-based add-on to Skybox (“Skybox Drive”), which enables tcket sellers to dynamically adjust their tcket prices based on demand via access to real-tme market data and other proprietary informaton.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Partner Technology and Products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platorm allows distributon and supplier partners to bring additonal tcket buyer demand into our ecosystem. Distributon partners can integrate our event feeds and tcket listngs into their online propertes through applicaton programming interfaces (“APIs”) and/or fully managed websites. We also provide turn-key checkout, customer service, and fulfllment services. This ofering increases the number of tcket buyers and sellers that can access our platorm, allowing us to leverage our scale to drive operatonal and marketplace efciencies while enabling our partners to ofer additonal products to their customers.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provide our Vegas.com supplier partners with a full suite of technology and services, including an efcient marketng channel for customer acquisiton, a proprietary real-tme inventory management platorm, enhanced customer service, and tools that provide informaton about demand and price elastcity.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Technology Infrastructure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platorm is extensible and fexible. We can integrate with new partners, target new customer channels, access new supply bases, and connect with complementary technologies. In 2024, we developed further capabilites to display currencies other than the U.S. dollar in order to serve customers located in new geographies.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scalable and reliable systems. We contnue to build and modernize our technology infrastructure to support the growth of our marketplace. We can handle increases from unpredictable surges in site trafc across our tcket buyer, seller, and partner platorm. We utlize a host of technology availability, monitoring, and scaling solutons to respond to rapid changes for a business that operates around the clock.</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technology architecture is service-oriented, cloud-based, and modular. Each individual component of our architecture is independent. We can innovate quickly, increase development velocity, and leverage new development technologies that are available in the market. We can also scale our platorm to meet changing levels of tcket buyer demand and evolving tcket seller and partner needs.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Third-Party Integratons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APIs allow a broad ecosystem of third-party tools and systems to integrate with our platorm. Third-party tools integrate with our marketplace tcket broker API and portal to streamline and automate the sales and fulfllment process. Skybox and Skybox Drive integrate with numerous third-party automaton and workfow management solutons, allowing tcket sellers to leverage other applicatons and functons to support their specifc business needs.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Values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Our passion and excitement for live events drives us to provide memorable experiences and services to our customers and partners.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alibri" w:cs="Calibri" w:eastAsia="Calibri" w:hAnsi="Calibri"/>
          <w:sz w:val="18"/>
          <w:szCs w:val="18"/>
          <w:color w:val="auto"/>
        </w:rPr>
        <w:t>Our values ground us in all that we do:</w:t>
      </w:r>
    </w:p>
    <w:p>
      <w:pPr>
        <w:spacing w:after="0" w:line="123" w:lineRule="exact"/>
        <w:rPr>
          <w:sz w:val="20"/>
          <w:szCs w:val="20"/>
          <w:color w:val="auto"/>
        </w:rPr>
      </w:pPr>
    </w:p>
    <w:p>
      <w:pPr>
        <w:ind w:left="1020" w:hanging="503"/>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Create Exceptonal Experiences. </w:t>
      </w:r>
      <w:r>
        <w:rPr>
          <w:rFonts w:ascii="Calibri" w:cs="Calibri" w:eastAsia="Calibri" w:hAnsi="Calibri"/>
          <w:sz w:val="18"/>
          <w:szCs w:val="18"/>
          <w:color w:val="auto"/>
        </w:rPr>
        <w:t>Whether we are engaging with a customer, partner, or teammate, we do not compromise when it comes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to their experience. We hold ourselves accountable and lean into every connecton to make the moment count.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Raise the Bar. </w:t>
      </w:r>
      <w:r>
        <w:rPr>
          <w:rFonts w:ascii="Calibri" w:cs="Calibri" w:eastAsia="Calibri" w:hAnsi="Calibri"/>
          <w:sz w:val="18"/>
          <w:szCs w:val="18"/>
          <w:color w:val="auto"/>
        </w:rPr>
        <w:t>We shape our industry. We are ambitous and disciplined teammates who make smart plays and get beter every day.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Commit as a Team. </w:t>
      </w:r>
      <w:r>
        <w:rPr>
          <w:rFonts w:ascii="Calibri" w:cs="Calibri" w:eastAsia="Calibri" w:hAnsi="Calibri"/>
          <w:sz w:val="18"/>
          <w:szCs w:val="18"/>
          <w:color w:val="auto"/>
        </w:rPr>
        <w:t>We are one team that trusts and supports each other, and we are ready to tackle the most difcult challenges.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Embrace Change. </w:t>
      </w:r>
      <w:r>
        <w:rPr>
          <w:rFonts w:ascii="Calibri" w:cs="Calibri" w:eastAsia="Calibri" w:hAnsi="Calibri"/>
          <w:sz w:val="18"/>
          <w:szCs w:val="18"/>
          <w:color w:val="auto"/>
        </w:rPr>
        <w:t>The only constant is change; we are ready for it. As a team, we are energized by working with speed and agility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antcipate both the known and unknown.</w:t>
      </w:r>
    </w:p>
    <w:p>
      <w:pPr>
        <w:spacing w:after="0" w:line="12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We Enhance Communites. </w:t>
      </w:r>
      <w:r>
        <w:rPr>
          <w:rFonts w:ascii="Calibri" w:cs="Calibri" w:eastAsia="Calibri" w:hAnsi="Calibri"/>
          <w:sz w:val="18"/>
          <w:szCs w:val="18"/>
          <w:color w:val="auto"/>
        </w:rPr>
        <w:t>Live events are all about showing up, and so is giving. We invest in our communites across Chicago, Dallas,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Toronto through providing donatons and performing volunteer work that supports healthcare, educaton, the arts and technology communites, and more. We are also proud to partner with natonal and local community organizatons, including Make-A-Wish, MusiCares, and Chicago’s Lurie Children’s Hospital. Through Vivid Cheers, our charitable foundaton, we have helped support and enrich the music community, satsfy life-changing wishes for children with critcal illnesses, and share once-in-a-lifetme experiences with those in need.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Employees and Human Capital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passionate about facilitatng amazing experiences for our customers, and we are similarly intent on providing compelling experiences for our employees. Ofering employees an engaging and positve work environment contributes to both their and our success. In 2024, for the third consecutve year, we were proud to be recognized by Built In’s Best Places to Work Awards for the culture that we have built and the benefts that we ofer, which included earning the following six placements:</w:t>
      </w:r>
    </w:p>
    <w:p>
      <w:pPr>
        <w:spacing w:after="0" w:line="12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United States Best Places to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United States Best Midsize Places to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Chicago, IL Best Places to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Chicago, IL Best Midsize Places to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Dallas, TX Best Places to Work;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Dallas, TX Best Midsize Places to Work.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were also included in Fast Company’s List of the World’s Most Innovatve Companies of 2024, a recogniton that shines a spotlight on businesses that are shaping industry and culture through their innovatons.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talented employees give us a compettve advantage. To support our workforce, we have built, and strive to maintain, a company culture that empowers our employees to embrace challenges, collaborate freely, and seek to constantly evolve. We are commited to fostering an environment that is inclusive and welcoming to a diversity of backgrounds, experiences, and thoughts as a means toward achieving employee engagement, empowerment, innovaton, and good decision-making. In additon, we seek to hire talented, dedicated, and diverse team members. As of December 31, 2024, we had 768 full-tme employees, most of whom were based at one of our fve ofce locatons in Chicago, Illinois; Coppell, Texas; Las Vegas, Nevada; Toronto, Canada; and Tokyo, Japan.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main objectves of our human capital resources are identfying, atractng, hiring, integratng, developing, motvatng, and retaining employees to create teams that are driven towards the common goal of achieving consistently strong results. Our talent management team identfes key positons based on current and future business strategies and creates robust programs for talent development, including evaluatng bench strength, building redundancy, and identfying potental successors. In additon to providing an engaging work environment, we provide a robust assortment of employee benefts, including healthcare and retrement programs, fexible paid tme of, paid parental leave, dependent care, wellness programs, in-ofce working perks, and tcket discounts.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color w:val="auto"/>
        </w:rPr>
        <w:t>Competton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business faces signifcant competton from other primary and secondary tcketng service providers for the acquisiton and retenton of tcket buyers, sellers, and partners. Our main compettve factors include:</w:t>
      </w:r>
    </w:p>
    <w:p>
      <w:pPr>
        <w:spacing w:after="0" w:line="11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availability and variety of tcket oferings;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Pricing, including in the primary tcket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Acquiring customer trafc by way of internet search engines, which impacts customer acquisiton and marketng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Brand recogniton and loyalty;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Technology, including functonality and ease of use to search for oferings and complete a purchase.</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have several compettve advantages that enable us to maintain and grow our positon as a leading tcket provider. Our main compettve advantages include:</w:t>
      </w:r>
    </w:p>
    <w:p>
      <w:pPr>
        <w:spacing w:after="0" w:line="11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wide selecton of listngs and tcketng optons;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Compettve pricing;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Vivid Seats Rewards Program, which is the most comprehensive loyalty program among our key compettors;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full-service marketplace with excellent customer service;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Proprietary performance marketng algorithms supported by real-tme frst-party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engaging in-app experience with Game Center;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Local market authority and key supplier partnerships for our Vegas.com subsidiary;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Scalability, proftable unit economics, and a strong balance sheet; and</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Close relatonships with, and excellent customer service and products provided to, professional tcket sellers including our free-to-use Skybox ERP, the most widely adopted ERP in the industry.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Our primary compettors are StubHub, Ticketmaster, SeatGeek, and TicketNetwork.</w:t>
      </w:r>
    </w:p>
    <w:p>
      <w:pPr>
        <w:spacing w:after="0" w:line="109"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Vivid Picks faces a highly compettve gaming market, including competton from other free-to-play and real-money online gaming and daily fantasy sports providers. We provide a diferentated product and experience to users via our easy-to-use mobile applicaton that allows users to predict how their selected athletes will perform compared to projectons. The mobile applicaton is enhanced by social and gamifcaton features, the opportunity to play and win real money, and the availability to purchase tckets directly in the app.</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face competton from other avenues for entertainment. Consumers have a wide array of entertainment optons, including restaurants, movies, and television, and we compete for the discretonary spend of our tcket buyers and daily fantasy sports users.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 Regulaton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Federal, state, local, and internatonal laws and regulatons govern several key areas of our business, including ant-bribery, ant-corrupton, ant-money laundering, competton, consumer protecton, data protecton, export taxaton, fantasy sports, intellectual property, payments, privacy, sports gaming, and tcketng. For example, privacy and the processing of personal data and other sensitve informaton is increasingly subject to legislaton and regulatons with which we must comply. These include, but are not limited to, the California Consumer Privacy Act (the “CCPA”), the Canadian Personal Informaton Protecton and Electronic Documents Act (“PIPEDA”), and the Japanese Act on the Protecton of Personal Informaton Act No. 57 of 2003 (the “APPI”). From tme to tme, governmental authorites and/or certain individuals commence investgatons, inquiries, litgaton, or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spacing w:after="0" w:line="235" w:lineRule="auto"/>
        <w:rPr>
          <w:sz w:val="20"/>
          <w:szCs w:val="20"/>
          <w:color w:val="auto"/>
        </w:rPr>
      </w:pPr>
      <w:r>
        <w:rPr>
          <w:rFonts w:ascii="Calibri" w:cs="Calibri" w:eastAsia="Calibri" w:hAnsi="Calibri"/>
          <w:sz w:val="18"/>
          <w:szCs w:val="18"/>
          <w:color w:val="auto"/>
        </w:rPr>
        <w:t>proceedings with respect to our compliance with applicable consumer protecton, advertsing, unfair business practce, anttrust, and other laws, partcularly as it relates to tcket resale services.</w:t>
      </w:r>
    </w:p>
    <w:p>
      <w:pPr>
        <w:spacing w:after="0" w:line="11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In additon, some jurisdictons prohibit the resale of event tckets at prices above their face value, or at all, or otherwise highly regulate tcket resale (</w:t>
      </w:r>
      <w:r>
        <w:rPr>
          <w:rFonts w:ascii="Calibri" w:cs="Calibri" w:eastAsia="Calibri" w:hAnsi="Calibri"/>
          <w:sz w:val="17"/>
          <w:szCs w:val="17"/>
          <w:i w:val="1"/>
          <w:iCs w:val="1"/>
          <w:color w:val="auto"/>
        </w:rPr>
        <w:t>e.g.</w:t>
      </w:r>
      <w:r>
        <w:rPr>
          <w:rFonts w:ascii="Calibri" w:cs="Calibri" w:eastAsia="Calibri" w:hAnsi="Calibri"/>
          <w:sz w:val="17"/>
          <w:szCs w:val="17"/>
          <w:color w:val="auto"/>
        </w:rPr>
        <w:t>, requiring certain disclosures). The promulgaton of new laws and regulatons and/or changes to existng laws and regulatons or their interpretaton, could restrict or inhibit our ability to operate and could restrict or inhibit the ability of tcket buyers, sellers, and partners to contnue to use our tcket marketplace.</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also subject to laws and regulatons that afect companies conductng business on the internet in many jurisdictons where we operate. With the contnued adopton of internet sales tax and marketplace facilitator laws by U.S. states, more U.S. buyers will encounter sales tax on our platorm in the future. The additonal responsibilites and costs associated with complex tax collecton, remitance, and audit requirements could create additonal burdens for tcket buyers, sellers, and partners.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of the laws and regulatons to which we are subject are stll evolving and being tested in courts and could be interpreted in ways that could harm our business. In additon, their applicaton and interpretaton are ofen uncertain, partcularly in the rapidly evolving industry in which we operate. Compliance with these laws, regulatons, and similar requirements may be complex, costly, and challenging, and variances and inconsistencies across jurisdictons may further increase the costs of compliance and doing business.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relies substantally on the creaton, use, and protecton of intellectual property related to our platorm and services. We seek to protect our intellectual property through a combinaton of trademarks, patents, domain names, copyrights, and trade secrets. We further seek to protect our intellectual property through contractual provisions with employees, customers, suppliers, partners, afliates, and others, including, but not limited to, employee confdentality agreements, intellectual property assignment agreements, and commercial contracts that protect our intellectual property and confdental informaton.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Our fnancial results can be impacted by seasonality. Typically, we experience slightly increased actvity in the fourth quarter when all major sports leagues are in season, concert on-sales begin for the following year, and theater event orders increase during the holiday season.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Corporate Informaton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Vivid Seats was founded in 2001. In 2004, we launched our website, </w:t>
      </w:r>
      <w:r>
        <w:rPr>
          <w:rFonts w:ascii="Calibri" w:cs="Calibri" w:eastAsia="Calibri" w:hAnsi="Calibri"/>
          <w:sz w:val="18"/>
          <w:szCs w:val="18"/>
          <w:i w:val="1"/>
          <w:iCs w:val="1"/>
          <w:color w:val="auto"/>
        </w:rPr>
        <w:t>www.vividseats.com</w:t>
      </w:r>
      <w:r>
        <w:rPr>
          <w:rFonts w:ascii="Calibri" w:cs="Calibri" w:eastAsia="Calibri" w:hAnsi="Calibri"/>
          <w:sz w:val="18"/>
          <w:szCs w:val="18"/>
          <w:color w:val="auto"/>
        </w:rPr>
        <w:t>. In 2010, we launched our marketplace platorm, which we scaled rapidly while developing and refning our proprietary systems to enable us to best serve our customers. In 2014, we launched our free-to-use, cloud-based Skybox ERP tool for tcket sellers to manage their businesses. In 2015, we deployed our mobile applicaton to capture the increasing volume of tckets purchased through mobile channels. In 2019, we launched the Vivid Seats Rewards Program, and have since focused on building long-term customer value through brand afnity and a diferentated value propositon. In December 2024, we launched Skybox Drive for tcket sellers to optmize their pricing strategies.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March 2021, Vivid Seats Inc. was incorporated in Delaware for the purpose of completng the transactons contemplated by the transacton agreement, dated April 21, 2021 (the “Transacton Agreement”), among Vivid Seats Inc., Horizon Acquisiton Corporaton, a publicly traded special purpose acquisiton company (“Horizon”), Hoya Intermediate, Horizon Sponsor, LLC (“Horizon Sponsor”), and Hoya Topco.</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October 2021, as contemplated by the Transacton Agreement, Horizon merged with and into Vivid Seats Inc. (the “Merger Transacton”) and we became a publicly traded company. Our Class A common stock and warrants are listed on the Nasdaq Global Select Market (the “Nasdaq”) under the trading symbols “SEAT” and “SEATW,” respectvely.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Available Informaton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Because we are subject to the requirements of the Exchange Act, we fle periodic reports, proxy statements, and other informaton with the SEC. This informaton is available on the SEC’s website, </w:t>
      </w:r>
      <w:r>
        <w:rPr>
          <w:rFonts w:ascii="Calibri" w:cs="Calibri" w:eastAsia="Calibri" w:hAnsi="Calibri"/>
          <w:sz w:val="18"/>
          <w:szCs w:val="18"/>
          <w:i w:val="1"/>
          <w:iCs w:val="1"/>
          <w:color w:val="auto"/>
        </w:rPr>
        <w:t>www.sec.gov</w:t>
      </w:r>
      <w:r>
        <w:rPr>
          <w:rFonts w:ascii="Calibri" w:cs="Calibri" w:eastAsia="Calibri" w:hAnsi="Calibri"/>
          <w:sz w:val="18"/>
          <w:szCs w:val="18"/>
          <w:color w:val="auto"/>
        </w:rPr>
        <w:t>. We also use our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jc w:val="both"/>
        <w:spacing w:after="0" w:line="235" w:lineRule="auto"/>
        <w:rPr>
          <w:sz w:val="20"/>
          <w:szCs w:val="20"/>
          <w:color w:val="auto"/>
        </w:rPr>
      </w:pPr>
      <w:r>
        <w:rPr>
          <w:rFonts w:ascii="Calibri" w:cs="Calibri" w:eastAsia="Calibri" w:hAnsi="Calibri"/>
          <w:sz w:val="18"/>
          <w:szCs w:val="18"/>
          <w:color w:val="auto"/>
        </w:rPr>
        <w:t xml:space="preserve">investor relatons website, </w:t>
      </w:r>
      <w:r>
        <w:rPr>
          <w:rFonts w:ascii="Calibri" w:cs="Calibri" w:eastAsia="Calibri" w:hAnsi="Calibri"/>
          <w:sz w:val="18"/>
          <w:szCs w:val="18"/>
          <w:i w:val="1"/>
          <w:iCs w:val="1"/>
          <w:color w:val="auto"/>
        </w:rPr>
        <w:t>investors.vividseats.com</w:t>
      </w:r>
      <w:r>
        <w:rPr>
          <w:rFonts w:ascii="Calibri" w:cs="Calibri" w:eastAsia="Calibri" w:hAnsi="Calibri"/>
          <w:sz w:val="18"/>
          <w:szCs w:val="18"/>
          <w:color w:val="auto"/>
        </w:rPr>
        <w:t>, as a means for disclosing informaton to investors, some of which may be material and previously non-public. We make available free of charge on our investor relatons website a variety of informaton for investors, including our Annual Reports on Form 10-K, Quarterly Reports on Form 10-Q, Current Reports on Form 8-K, and any amendments to those reports, as soon as reasonably practcable afer such informaton is fled with or furnished to the SEC.</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Website addresses included in this Report are for convenience only. Informaton contained on or accessible through such website addresses is not incorporated by reference in, and does not consttute part of, this Report.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Informaton About Our Directors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Informaton about each member of our Board of Directors (our “Board”) as of December 31, 2024 is set forth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gridSpan w:val="3"/>
          </w:tcPr>
          <w:p>
            <w:pPr>
              <w:ind w:left="840"/>
              <w:spacing w:after="0"/>
              <w:rPr>
                <w:sz w:val="20"/>
                <w:szCs w:val="20"/>
                <w:color w:val="auto"/>
              </w:rPr>
            </w:pPr>
            <w:r>
              <w:rPr>
                <w:rFonts w:ascii="Calibri" w:cs="Calibri" w:eastAsia="Calibri" w:hAnsi="Calibri"/>
                <w:sz w:val="18"/>
                <w:szCs w:val="18"/>
                <w:b w:val="1"/>
                <w:bCs w:val="1"/>
                <w:color w:val="auto"/>
              </w:rPr>
              <w:t>Board Commitees</w:t>
            </w:r>
          </w:p>
        </w:tc>
        <w:tc>
          <w:tcPr>
            <w:tcW w:w="2320" w:type="dxa"/>
            <w:vAlign w:val="bottom"/>
          </w:tcPr>
          <w:p>
            <w:pPr>
              <w:spacing w:after="0"/>
              <w:rPr>
                <w:sz w:val="19"/>
                <w:szCs w:val="19"/>
                <w:color w:val="auto"/>
              </w:rPr>
            </w:pPr>
          </w:p>
        </w:tc>
      </w:tr>
      <w:tr>
        <w:trPr>
          <w:trHeight w:val="23"/>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187"/>
        </w:trPr>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jc w:val="center"/>
              <w:ind w:right="90"/>
              <w:spacing w:after="0" w:line="187" w:lineRule="exact"/>
              <w:rPr>
                <w:sz w:val="20"/>
                <w:szCs w:val="20"/>
                <w:color w:val="auto"/>
              </w:rPr>
            </w:pPr>
            <w:r>
              <w:rPr>
                <w:rFonts w:ascii="Calibri" w:cs="Calibri" w:eastAsia="Calibri" w:hAnsi="Calibri"/>
                <w:sz w:val="18"/>
                <w:szCs w:val="18"/>
                <w:b w:val="1"/>
                <w:bCs w:val="1"/>
                <w:color w:val="auto"/>
                <w:w w:val="99"/>
              </w:rPr>
              <w:t>Nominatng and Corporate</w:t>
            </w:r>
          </w:p>
        </w:tc>
      </w:tr>
      <w:tr>
        <w:trPr>
          <w:trHeight w:val="215"/>
        </w:trPr>
        <w:tc>
          <w:tcPr>
            <w:tcW w:w="17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Name</w:t>
            </w:r>
          </w:p>
        </w:tc>
        <w:tc>
          <w:tcPr>
            <w:tcW w:w="340" w:type="dxa"/>
            <w:vAlign w:val="bottom"/>
          </w:tcPr>
          <w:p>
            <w:pPr>
              <w:spacing w:after="0"/>
              <w:rPr>
                <w:sz w:val="18"/>
                <w:szCs w:val="18"/>
                <w:color w:val="auto"/>
              </w:rPr>
            </w:pPr>
          </w:p>
        </w:tc>
        <w:tc>
          <w:tcPr>
            <w:tcW w:w="4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Age</w:t>
            </w:r>
          </w:p>
        </w:tc>
        <w:tc>
          <w:tcPr>
            <w:tcW w:w="320" w:type="dxa"/>
            <w:vAlign w:val="bottom"/>
          </w:tcPr>
          <w:p>
            <w:pPr>
              <w:spacing w:after="0"/>
              <w:rPr>
                <w:sz w:val="18"/>
                <w:szCs w:val="18"/>
                <w:color w:val="auto"/>
              </w:rPr>
            </w:pPr>
          </w:p>
        </w:tc>
        <w:tc>
          <w:tcPr>
            <w:tcW w:w="226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7"/>
              </w:rPr>
              <w:t>Director Since</w:t>
            </w:r>
          </w:p>
        </w:tc>
        <w:tc>
          <w:tcPr>
            <w:tcW w:w="12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Audit</w:t>
            </w:r>
          </w:p>
        </w:tc>
        <w:tc>
          <w:tcPr>
            <w:tcW w:w="320" w:type="dxa"/>
            <w:vAlign w:val="bottom"/>
          </w:tcPr>
          <w:p>
            <w:pPr>
              <w:spacing w:after="0"/>
              <w:rPr>
                <w:sz w:val="18"/>
                <w:szCs w:val="18"/>
                <w:color w:val="auto"/>
              </w:rPr>
            </w:pPr>
          </w:p>
        </w:tc>
        <w:tc>
          <w:tcPr>
            <w:tcW w:w="2280" w:type="dxa"/>
            <w:vAlign w:val="bottom"/>
            <w:gridSpan w:val="3"/>
          </w:tcPr>
          <w:p>
            <w:pPr>
              <w:jc w:val="center"/>
              <w:ind w:right="460"/>
              <w:spacing w:after="0" w:line="215" w:lineRule="exact"/>
              <w:rPr>
                <w:sz w:val="20"/>
                <w:szCs w:val="20"/>
                <w:color w:val="auto"/>
              </w:rPr>
            </w:pPr>
            <w:r>
              <w:rPr>
                <w:rFonts w:ascii="Calibri" w:cs="Calibri" w:eastAsia="Calibri" w:hAnsi="Calibri"/>
                <w:sz w:val="18"/>
                <w:szCs w:val="18"/>
                <w:b w:val="1"/>
                <w:bCs w:val="1"/>
                <w:color w:val="auto"/>
              </w:rPr>
              <w:t>Compensaton</w:t>
            </w:r>
          </w:p>
        </w:tc>
        <w:tc>
          <w:tcPr>
            <w:tcW w:w="2320" w:type="dxa"/>
            <w:vAlign w:val="bottom"/>
          </w:tcPr>
          <w:p>
            <w:pPr>
              <w:jc w:val="center"/>
              <w:ind w:right="70"/>
              <w:spacing w:after="0" w:line="215" w:lineRule="exact"/>
              <w:rPr>
                <w:sz w:val="20"/>
                <w:szCs w:val="20"/>
                <w:color w:val="auto"/>
              </w:rPr>
            </w:pPr>
            <w:r>
              <w:rPr>
                <w:rFonts w:ascii="Calibri" w:cs="Calibri" w:eastAsia="Calibri" w:hAnsi="Calibri"/>
                <w:sz w:val="18"/>
                <w:szCs w:val="18"/>
                <w:b w:val="1"/>
                <w:bCs w:val="1"/>
                <w:color w:val="auto"/>
                <w:w w:val="97"/>
              </w:rPr>
              <w:t>Governance</w:t>
            </w:r>
          </w:p>
        </w:tc>
      </w:tr>
      <w:tr>
        <w:trPr>
          <w:trHeight w:val="23"/>
        </w:trPr>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09"/>
        </w:trPr>
        <w:tc>
          <w:tcPr>
            <w:tcW w:w="170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8"/>
              </w:rPr>
              <w:t>Stanley Chia</w:t>
            </w:r>
          </w:p>
        </w:tc>
        <w:tc>
          <w:tcPr>
            <w:tcW w:w="800" w:type="dxa"/>
            <w:vAlign w:val="bottom"/>
            <w:gridSpan w:val="2"/>
            <w:shd w:val="clear" w:color="auto" w:fill="CFF0FC"/>
          </w:tcPr>
          <w:p>
            <w:pPr>
              <w:jc w:val="center"/>
              <w:ind w:left="250"/>
              <w:spacing w:after="0" w:line="209" w:lineRule="exact"/>
              <w:rPr>
                <w:sz w:val="20"/>
                <w:szCs w:val="20"/>
                <w:color w:val="auto"/>
              </w:rPr>
            </w:pPr>
            <w:r>
              <w:rPr>
                <w:rFonts w:ascii="Calibri" w:cs="Calibri" w:eastAsia="Calibri" w:hAnsi="Calibri"/>
                <w:sz w:val="18"/>
                <w:szCs w:val="18"/>
                <w:color w:val="auto"/>
                <w:w w:val="98"/>
              </w:rPr>
              <w:t>43</w:t>
            </w:r>
          </w:p>
        </w:tc>
        <w:tc>
          <w:tcPr>
            <w:tcW w:w="2240" w:type="dxa"/>
            <w:vAlign w:val="bottom"/>
            <w:gridSpan w:val="2"/>
            <w:shd w:val="clear" w:color="auto" w:fill="CFF0FC"/>
          </w:tcPr>
          <w:p>
            <w:pPr>
              <w:jc w:val="center"/>
              <w:ind w:left="250"/>
              <w:spacing w:after="0" w:line="209" w:lineRule="exact"/>
              <w:rPr>
                <w:sz w:val="20"/>
                <w:szCs w:val="20"/>
                <w:color w:val="auto"/>
              </w:rPr>
            </w:pPr>
            <w:r>
              <w:rPr>
                <w:rFonts w:ascii="Calibri" w:cs="Calibri" w:eastAsia="Calibri" w:hAnsi="Calibri"/>
                <w:sz w:val="18"/>
                <w:szCs w:val="18"/>
                <w:color w:val="auto"/>
                <w:w w:val="93"/>
              </w:rPr>
              <w:t>2021</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r>
      <w:tr>
        <w:trPr>
          <w:trHeight w:val="215"/>
        </w:trPr>
        <w:tc>
          <w:tcPr>
            <w:tcW w:w="17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Mark Anderson</w:t>
            </w:r>
          </w:p>
        </w:tc>
        <w:tc>
          <w:tcPr>
            <w:tcW w:w="8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49</w:t>
            </w:r>
          </w:p>
        </w:tc>
        <w:tc>
          <w:tcPr>
            <w:tcW w:w="224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3"/>
              </w:rPr>
              <w:t>2021</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7"/>
        </w:trPr>
        <w:tc>
          <w:tcPr>
            <w:tcW w:w="17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Todd Boehly</w:t>
            </w:r>
          </w:p>
        </w:tc>
        <w:tc>
          <w:tcPr>
            <w:tcW w:w="80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51</w:t>
            </w:r>
          </w:p>
        </w:tc>
        <w:tc>
          <w:tcPr>
            <w:tcW w:w="224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3"/>
              </w:rPr>
              <w:t>2021</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r>
      <w:tr>
        <w:trPr>
          <w:trHeight w:val="215"/>
        </w:trPr>
        <w:tc>
          <w:tcPr>
            <w:tcW w:w="17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Jane DeFlorio</w:t>
            </w:r>
          </w:p>
        </w:tc>
        <w:tc>
          <w:tcPr>
            <w:tcW w:w="8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54</w:t>
            </w:r>
          </w:p>
        </w:tc>
        <w:tc>
          <w:tcPr>
            <w:tcW w:w="224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3"/>
              </w:rPr>
              <w:t>2021</w:t>
            </w:r>
          </w:p>
        </w:tc>
        <w:tc>
          <w:tcPr>
            <w:tcW w:w="340" w:type="dxa"/>
            <w:vAlign w:val="bottom"/>
          </w:tcPr>
          <w:p>
            <w:pPr>
              <w:spacing w:after="0"/>
              <w:rPr>
                <w:sz w:val="18"/>
                <w:szCs w:val="18"/>
                <w:color w:val="auto"/>
              </w:rPr>
            </w:pPr>
          </w:p>
        </w:tc>
        <w:tc>
          <w:tcPr>
            <w:tcW w:w="12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Chair</w:t>
            </w:r>
          </w:p>
        </w:tc>
        <w:tc>
          <w:tcPr>
            <w:tcW w:w="320" w:type="dxa"/>
            <w:vAlign w:val="bottom"/>
          </w:tcPr>
          <w:p>
            <w:pPr>
              <w:spacing w:after="0"/>
              <w:rPr>
                <w:sz w:val="18"/>
                <w:szCs w:val="18"/>
                <w:color w:val="auto"/>
              </w:rPr>
            </w:pPr>
          </w:p>
        </w:tc>
        <w:tc>
          <w:tcPr>
            <w:tcW w:w="2280" w:type="dxa"/>
            <w:vAlign w:val="bottom"/>
            <w:gridSpan w:val="3"/>
          </w:tcPr>
          <w:p>
            <w:pPr>
              <w:jc w:val="center"/>
              <w:ind w:right="460"/>
              <w:spacing w:after="0" w:line="215" w:lineRule="exact"/>
              <w:rPr>
                <w:sz w:val="20"/>
                <w:szCs w:val="20"/>
                <w:color w:val="auto"/>
              </w:rPr>
            </w:pPr>
            <w:r>
              <w:rPr>
                <w:rFonts w:ascii="Calibri" w:cs="Calibri" w:eastAsia="Calibri" w:hAnsi="Calibri"/>
                <w:sz w:val="18"/>
                <w:szCs w:val="18"/>
                <w:color w:val="auto"/>
                <w:w w:val="97"/>
              </w:rPr>
              <w:t>Member</w:t>
            </w:r>
          </w:p>
        </w:tc>
        <w:tc>
          <w:tcPr>
            <w:tcW w:w="2320" w:type="dxa"/>
            <w:vAlign w:val="bottom"/>
          </w:tcPr>
          <w:p>
            <w:pPr>
              <w:jc w:val="center"/>
              <w:ind w:right="50"/>
              <w:spacing w:after="0" w:line="215" w:lineRule="exact"/>
              <w:rPr>
                <w:sz w:val="20"/>
                <w:szCs w:val="20"/>
                <w:color w:val="auto"/>
              </w:rPr>
            </w:pPr>
            <w:r>
              <w:rPr>
                <w:rFonts w:ascii="Calibri" w:cs="Calibri" w:eastAsia="Calibri" w:hAnsi="Calibri"/>
                <w:sz w:val="18"/>
                <w:szCs w:val="18"/>
                <w:color w:val="auto"/>
                <w:w w:val="97"/>
              </w:rPr>
              <w:t>Member</w:t>
            </w:r>
          </w:p>
        </w:tc>
      </w:tr>
      <w:tr>
        <w:trPr>
          <w:trHeight w:val="217"/>
        </w:trPr>
        <w:tc>
          <w:tcPr>
            <w:tcW w:w="17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Craig Dixon</w:t>
            </w:r>
          </w:p>
        </w:tc>
        <w:tc>
          <w:tcPr>
            <w:tcW w:w="80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49</w:t>
            </w:r>
          </w:p>
        </w:tc>
        <w:tc>
          <w:tcPr>
            <w:tcW w:w="224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3"/>
              </w:rPr>
              <w:t>2021</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Member</w:t>
            </w:r>
          </w:p>
        </w:tc>
        <w:tc>
          <w:tcPr>
            <w:tcW w:w="320" w:type="dxa"/>
            <w:vAlign w:val="bottom"/>
            <w:shd w:val="clear" w:color="auto" w:fill="CFF0FC"/>
          </w:tcPr>
          <w:p>
            <w:pPr>
              <w:spacing w:after="0"/>
              <w:rPr>
                <w:sz w:val="18"/>
                <w:szCs w:val="18"/>
                <w:color w:val="auto"/>
              </w:rPr>
            </w:pPr>
          </w:p>
        </w:tc>
        <w:tc>
          <w:tcPr>
            <w:tcW w:w="2280" w:type="dxa"/>
            <w:vAlign w:val="bottom"/>
            <w:gridSpan w:val="3"/>
            <w:shd w:val="clear" w:color="auto" w:fill="CFF0FC"/>
          </w:tcPr>
          <w:p>
            <w:pPr>
              <w:jc w:val="center"/>
              <w:ind w:right="460"/>
              <w:spacing w:after="0" w:line="216" w:lineRule="exact"/>
              <w:rPr>
                <w:sz w:val="20"/>
                <w:szCs w:val="20"/>
                <w:color w:val="auto"/>
              </w:rPr>
            </w:pPr>
            <w:r>
              <w:rPr>
                <w:rFonts w:ascii="Calibri" w:cs="Calibri" w:eastAsia="Calibri" w:hAnsi="Calibri"/>
                <w:sz w:val="18"/>
                <w:szCs w:val="18"/>
                <w:color w:val="auto"/>
                <w:w w:val="97"/>
              </w:rPr>
              <w:t>Member</w:t>
            </w:r>
          </w:p>
        </w:tc>
        <w:tc>
          <w:tcPr>
            <w:tcW w:w="2320" w:type="dxa"/>
            <w:vAlign w:val="bottom"/>
            <w:shd w:val="clear" w:color="auto" w:fill="CFF0FC"/>
          </w:tcPr>
          <w:p>
            <w:pPr>
              <w:jc w:val="center"/>
              <w:ind w:right="50"/>
              <w:spacing w:after="0" w:line="216" w:lineRule="exact"/>
              <w:rPr>
                <w:sz w:val="20"/>
                <w:szCs w:val="20"/>
                <w:color w:val="auto"/>
              </w:rPr>
            </w:pPr>
            <w:r>
              <w:rPr>
                <w:rFonts w:ascii="Calibri" w:cs="Calibri" w:eastAsia="Calibri" w:hAnsi="Calibri"/>
                <w:sz w:val="18"/>
                <w:szCs w:val="18"/>
                <w:color w:val="auto"/>
                <w:w w:val="99"/>
              </w:rPr>
              <w:t>Chair</w:t>
            </w:r>
          </w:p>
        </w:tc>
      </w:tr>
      <w:tr>
        <w:trPr>
          <w:trHeight w:val="215"/>
        </w:trPr>
        <w:tc>
          <w:tcPr>
            <w:tcW w:w="17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David Donnini</w:t>
            </w:r>
          </w:p>
        </w:tc>
        <w:tc>
          <w:tcPr>
            <w:tcW w:w="8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59</w:t>
            </w:r>
          </w:p>
        </w:tc>
        <w:tc>
          <w:tcPr>
            <w:tcW w:w="224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3"/>
              </w:rPr>
              <w:t>2021</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7"/>
        </w:trPr>
        <w:tc>
          <w:tcPr>
            <w:tcW w:w="17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Julie Masino</w:t>
            </w:r>
          </w:p>
        </w:tc>
        <w:tc>
          <w:tcPr>
            <w:tcW w:w="80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54</w:t>
            </w:r>
          </w:p>
        </w:tc>
        <w:tc>
          <w:tcPr>
            <w:tcW w:w="224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3"/>
              </w:rPr>
              <w:t>2021</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Member</w:t>
            </w:r>
          </w:p>
        </w:tc>
        <w:tc>
          <w:tcPr>
            <w:tcW w:w="320" w:type="dxa"/>
            <w:vAlign w:val="bottom"/>
            <w:shd w:val="clear" w:color="auto" w:fill="CFF0FC"/>
          </w:tcPr>
          <w:p>
            <w:pPr>
              <w:spacing w:after="0"/>
              <w:rPr>
                <w:sz w:val="18"/>
                <w:szCs w:val="18"/>
                <w:color w:val="auto"/>
              </w:rPr>
            </w:pPr>
          </w:p>
        </w:tc>
        <w:tc>
          <w:tcPr>
            <w:tcW w:w="2280" w:type="dxa"/>
            <w:vAlign w:val="bottom"/>
            <w:gridSpan w:val="3"/>
            <w:shd w:val="clear" w:color="auto" w:fill="CFF0FC"/>
          </w:tcPr>
          <w:p>
            <w:pPr>
              <w:jc w:val="center"/>
              <w:ind w:right="460"/>
              <w:spacing w:after="0" w:line="216" w:lineRule="exact"/>
              <w:rPr>
                <w:sz w:val="20"/>
                <w:szCs w:val="20"/>
                <w:color w:val="auto"/>
              </w:rPr>
            </w:pPr>
            <w:r>
              <w:rPr>
                <w:rFonts w:ascii="Calibri" w:cs="Calibri" w:eastAsia="Calibri" w:hAnsi="Calibri"/>
                <w:sz w:val="18"/>
                <w:szCs w:val="18"/>
                <w:color w:val="auto"/>
                <w:w w:val="99"/>
              </w:rPr>
              <w:t>Chair</w:t>
            </w:r>
          </w:p>
        </w:tc>
        <w:tc>
          <w:tcPr>
            <w:tcW w:w="2320" w:type="dxa"/>
            <w:vAlign w:val="bottom"/>
            <w:shd w:val="clear" w:color="auto" w:fill="CFF0FC"/>
          </w:tcPr>
          <w:p>
            <w:pPr>
              <w:spacing w:after="0"/>
              <w:rPr>
                <w:sz w:val="18"/>
                <w:szCs w:val="18"/>
                <w:color w:val="auto"/>
              </w:rPr>
            </w:pPr>
          </w:p>
        </w:tc>
      </w:tr>
      <w:tr>
        <w:trPr>
          <w:trHeight w:val="215"/>
        </w:trPr>
        <w:tc>
          <w:tcPr>
            <w:tcW w:w="17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Adam Stewart</w:t>
            </w:r>
          </w:p>
        </w:tc>
        <w:tc>
          <w:tcPr>
            <w:tcW w:w="8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56</w:t>
            </w:r>
          </w:p>
        </w:tc>
        <w:tc>
          <w:tcPr>
            <w:tcW w:w="224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3"/>
              </w:rPr>
              <w:t>2024</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jc w:val="center"/>
              <w:ind w:right="50"/>
              <w:spacing w:after="0" w:line="215" w:lineRule="exact"/>
              <w:rPr>
                <w:sz w:val="20"/>
                <w:szCs w:val="20"/>
                <w:color w:val="auto"/>
              </w:rPr>
            </w:pPr>
            <w:r>
              <w:rPr>
                <w:rFonts w:ascii="Calibri" w:cs="Calibri" w:eastAsia="Calibri" w:hAnsi="Calibri"/>
                <w:sz w:val="18"/>
                <w:szCs w:val="18"/>
                <w:color w:val="auto"/>
                <w:w w:val="97"/>
              </w:rPr>
              <w:t>Member</w:t>
            </w:r>
          </w:p>
        </w:tc>
      </w:tr>
      <w:tr>
        <w:trPr>
          <w:trHeight w:val="217"/>
        </w:trPr>
        <w:tc>
          <w:tcPr>
            <w:tcW w:w="17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Martn Taylor</w:t>
            </w:r>
          </w:p>
        </w:tc>
        <w:tc>
          <w:tcPr>
            <w:tcW w:w="80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55</w:t>
            </w:r>
          </w:p>
        </w:tc>
        <w:tc>
          <w:tcPr>
            <w:tcW w:w="224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3"/>
              </w:rPr>
              <w:t>2021</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r>
    </w:tbl>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Stanley Chia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Chia has served as our Chief Executve Ofcer (“CEO”) and as a member of our Board since joining Vivid Seats in 2018. From 2015 to 2018, he served as Chief Operatng Ofcer at Grubhub Inc., an online and mobile takeout marketplace for restaurant orders. Mr. Chia has also held senior roles at Amazon.com, Inc. (Nasdaq: AMZN), Cisco Systems, Inc. (Nasdaq: CSCO), and General Electric Company (NYSE: GE), where he led strategic businesses and organizatons. Mr. Chia also serves on the board of directors of 1871, where he is a member of the nominatng and governance commitee, and on the President’s Advisory Board of the Georgia Insttute of Technology. Mr. Chia is a graduate of the Georgia Insttute of Technology and Emory University’s Goizueta Business School. Mr. Chia also served as an Armored Infantry Platoon Commander in the Singapore Armed Forces.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 Anderson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Anderson joined GTCR LLC, a private equity frm (“GTCR”), in 2000 and is currently a Managing Director and Head of the Technology, Media, and Telecommunicatons group. Prior to that, he worked at Gracie Capital and Bowles Hollowell Conner &amp; Co. Mr. Anderson also serves on the boards of directors of several GTCR portolio companies, including Gogo Inc. (Nasdaq: GOGO), where he is a member of the nominatng and corporate governance commitee, Cloudbreak, Rithum, Jet Support Services, Inc., Lexipol, Once For All, and Point Broadband. Mr. Anderson is a graduate of the University of Virginia and Harvard Business School.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Todd Boehly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Boehly co-founded Eldridge Industries, LLC, which employs more than 5,000 people and together with its afliates has made investments in over 100 operatng businesses across fnance, technology, real estate, and entertainment, in 2015 and has since served as its Chairman and CEO. He is also the Chairman, owner, and director of Chelsea Football Club and an owner of the Los Angeles Dodgers, the Los Angeles Lakers, the Los Angeles Sparks, and Cloud9. From 2002 to 2015, Mr. Boehly served at Guggenheim Partners, most recently as President, and founded its credit business. He also previously served as CEO, Chief Financial Ofcer (“CFO”), and director at Horizon from June 2020 to October 2021, Horizon Acquisiton Corporaton II from August 2020 to May 2023, and Horizon Acquisiton Corporaton III from November 2020 to May 2023. Mr. Boehly also serves on the boards of directors of Kennedy-Wilson Holdings, Inc. (NYSE: KW), where he is a member of the capital markets commitee, the Los Angeles Lakers, Flexjet, PayActv, CAIS, and Cain Internatonal. He formerly served on the boards of directors of Truebill, Inc.,</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spacing w:after="0" w:line="235" w:lineRule="auto"/>
        <w:rPr>
          <w:sz w:val="20"/>
          <w:szCs w:val="20"/>
          <w:color w:val="auto"/>
        </w:rPr>
      </w:pPr>
      <w:r>
        <w:rPr>
          <w:rFonts w:ascii="Calibri" w:cs="Calibri" w:eastAsia="Calibri" w:hAnsi="Calibri"/>
          <w:sz w:val="18"/>
          <w:szCs w:val="18"/>
          <w:color w:val="auto"/>
        </w:rPr>
        <w:t>which was sold to Rocket Mortgage, LLC, and DrafKings Inc. Mr. Boehly is a graduate of The College of William &amp; Mary, where he later founded the Boehly Center for Excellence in Finance, and studied at the London School of Economics.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Jane DeFlorio</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Ms. DeFlorio served as Managing Director of Retail and Consumer Sector Investment Banking Coverage at Deutsche Bank AG (NYSE: DB) from 2007 to 2013.</w:t>
      </w:r>
    </w:p>
    <w:p>
      <w:pPr>
        <w:spacing w:after="0" w:line="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2002 to 2007, she was an Executve Director in the Investment Banking Consumer and Retail Group at UBS Group AG (NYSE: UBS). Ms. DeFlorio also serves on the boards of directors of Curbline Propertes Corp. (NYSE: CURB), where she is chair of the audit commitee and a member of the compensaton commitee, the Parsons School of Design, and the Museum at Fashion Insttute of Technology, as well as the board of trustees of The New School University in New York City, where she is chair of the audit and risk commitee and a member of the governance commitee. She also serves on the Advisory Council for the School of Engineering at the University of Notre Dame. Ms. DeFlorio previously served on the boards of directors of SITE Centers Corp. (NYSE: SITE) and Perry Ellis Internatonal. Ms. DeFlorio is a graduate of the University of Notre Dame and Harvard Business School.</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Craig Dixon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Dixon is the Co-Founder and Co-CEO of The St. James, a leading developer and operator of premium performance, wellness, and lifestyle brands, technology experiences, and destnatons. From 2006 to 2013, he served as Assistant Vice President, Senior Counsel, and Assistant Corporate Secretary at Smithfeld Foods, Inc. Mr. Dixon began his legal career at McGuireWoods LLP and Cooley LLP and served as a Law Clerk to the Honorable James R. Spencer of the U.S. District Court for the Eastern District of Virginia. He also serves on the board of trustees of Episcopal High School. Mr. Dixon is a graduate of the College of William &amp; Mary and William &amp; Mary School of Law.</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David Donnini</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Donnini joined GTCR in 1991 and is currently a Managing Director and Head of the Business and Consumer Services group. Prior to that, he worked at Bain &amp; Company. Mr. Donnini also serves on the boards of directors of several GTCR portolio companies, including Consumer Cellular, Inc., Everon, LLC, itel Laboratories, Inc., Park Place Technologies, PPC Flex Company Inc., and Senske, Inc. He previously served on the boards of directors of AssuredPartners and Sotera Health Company (Nasdaq: SHC). Mr. Donnini is a graduate of Yale University and the Stanford Graduate School of Business.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Julie Masino</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Ms. Masino has served as President, CEO, and director at Cracker Barrel Old Country Store, Inc. (Nasdaq: CBRL), a restaurant and retail concept with locatons throughout the United States, since November 2023 afer having served as CEO-Elect since August 2023. She served as President, Internatonal at Taco Bell, a subsidiary of Yum! Brands, Inc. (NYSE: YUM), from January 2020 to June 2023 and as President, North America at Taco Bell from 2018 to 2019. Ms. Masino previously held senior positons at Matel, Inc. (Nasdaq: MAT) from 2017 to 2018 and at Sprinkles Cupcakes from 2014 to 2017. Ms. Masino previously served on the boards of directors of PhysicianOne Urgent Care and Cole Haan. Ms. Masino is a graduate of Miami University.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Adam Stewart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Stewart joined Google LLC, a subsidiary of Alphabet Inc. (Nasdaq: GOOG), a multnatonal technology company, in 2006 and currently serves as Vice President — Consumer, Government, and Entertainment. Prior to that, he served in various management roles at Screenvision, LLC, Discovery Communicatons, LLC, and Univision Communicatons, Inc. Mr. Stewart is a graduate of the University of Southern California.</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Martn Taylor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Taylor joined Vista Equity Partners, a private equity frm, in 2006 and is currently a Senior Managing Director. Prior to that, he spent more than 13 years at Microsof Corporaton (Nasdaq: MSFT), including in roles managing corporate strategy, sales, product marketng, and segment-focused teams in North and Latn America. Mr. Taylor also serves on the boards of directors of Jamf Holding Corp. (Nasdaq: JAMF), where he is a member of the compensaton and nominatng commitee, and Integral Ad Science Holding Corp. (Nasdaq: IAS), where he is a member of the compensaton and nominatng and commitee. He previously served on the board of directors of Ping Identty Holding Corp. Mr. Taylor atended George Mason University.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color w:val="auto"/>
        </w:rPr>
        <w:t>Informaton About Our Executve Ofcers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Informaton about each of our executve ofcers as of December 31, 2024 is set forth below (informaton about Mr. Chia is set forth under “Informaton About Our Directors” above).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Pr>
          <w:p>
            <w:pPr>
              <w:jc w:val="center"/>
              <w:spacing w:after="0"/>
              <w:rPr>
                <w:sz w:val="20"/>
                <w:szCs w:val="20"/>
                <w:color w:val="auto"/>
              </w:rPr>
            </w:pPr>
            <w:r>
              <w:rPr>
                <w:rFonts w:ascii="Calibri" w:cs="Calibri" w:eastAsia="Calibri" w:hAnsi="Calibri"/>
                <w:sz w:val="18"/>
                <w:szCs w:val="18"/>
                <w:b w:val="1"/>
                <w:bCs w:val="1"/>
                <w:color w:val="auto"/>
                <w:w w:val="94"/>
              </w:rPr>
              <w:t>Name</w:t>
            </w:r>
          </w:p>
        </w:tc>
        <w:tc>
          <w:tcPr>
            <w:tcW w:w="3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Age</w:t>
            </w:r>
          </w:p>
        </w:tc>
        <w:tc>
          <w:tcPr>
            <w:tcW w:w="34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Calibri" w:cs="Calibri" w:eastAsia="Calibri" w:hAnsi="Calibri"/>
                <w:sz w:val="18"/>
                <w:szCs w:val="18"/>
                <w:b w:val="1"/>
                <w:bCs w:val="1"/>
                <w:color w:val="auto"/>
              </w:rPr>
              <w:t>Executve Ofcer Since</w:t>
            </w:r>
          </w:p>
        </w:tc>
        <w:tc>
          <w:tcPr>
            <w:tcW w:w="340" w:type="dxa"/>
            <w:vAlign w:val="bottom"/>
          </w:tcPr>
          <w:p>
            <w:pPr>
              <w:spacing w:after="0"/>
              <w:rPr>
                <w:sz w:val="19"/>
                <w:szCs w:val="19"/>
                <w:color w:val="auto"/>
              </w:rPr>
            </w:pPr>
          </w:p>
        </w:tc>
        <w:tc>
          <w:tcPr>
            <w:tcW w:w="4300" w:type="dxa"/>
            <w:vAlign w:val="bottom"/>
          </w:tcPr>
          <w:p>
            <w:pPr>
              <w:ind w:left="1860"/>
              <w:spacing w:after="0"/>
              <w:rPr>
                <w:sz w:val="20"/>
                <w:szCs w:val="20"/>
                <w:color w:val="auto"/>
              </w:rPr>
            </w:pPr>
            <w:r>
              <w:rPr>
                <w:rFonts w:ascii="Calibri" w:cs="Calibri" w:eastAsia="Calibri" w:hAnsi="Calibri"/>
                <w:sz w:val="18"/>
                <w:szCs w:val="18"/>
                <w:b w:val="1"/>
                <w:bCs w:val="1"/>
                <w:color w:val="auto"/>
              </w:rPr>
              <w:t>Positon</w:t>
            </w:r>
          </w:p>
        </w:tc>
      </w:tr>
      <w:tr>
        <w:trPr>
          <w:trHeight w:val="23"/>
        </w:trPr>
        <w:tc>
          <w:tcPr>
            <w:tcW w:w="2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09"/>
        </w:trPr>
        <w:tc>
          <w:tcPr>
            <w:tcW w:w="238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6"/>
              </w:rPr>
              <w:t>Stanley Chia</w:t>
            </w:r>
          </w:p>
        </w:tc>
        <w:tc>
          <w:tcPr>
            <w:tcW w:w="1120" w:type="dxa"/>
            <w:vAlign w:val="bottom"/>
            <w:gridSpan w:val="2"/>
            <w:shd w:val="clear" w:color="auto" w:fill="CFF0FC"/>
          </w:tcPr>
          <w:p>
            <w:pPr>
              <w:jc w:val="center"/>
              <w:ind w:left="250"/>
              <w:spacing w:after="0" w:line="209" w:lineRule="exact"/>
              <w:rPr>
                <w:sz w:val="20"/>
                <w:szCs w:val="20"/>
                <w:color w:val="auto"/>
              </w:rPr>
            </w:pPr>
            <w:r>
              <w:rPr>
                <w:rFonts w:ascii="Calibri" w:cs="Calibri" w:eastAsia="Calibri" w:hAnsi="Calibri"/>
                <w:sz w:val="18"/>
                <w:szCs w:val="18"/>
                <w:color w:val="auto"/>
                <w:w w:val="98"/>
              </w:rPr>
              <w:t>43</w:t>
            </w:r>
          </w:p>
        </w:tc>
        <w:tc>
          <w:tcPr>
            <w:tcW w:w="3100" w:type="dxa"/>
            <w:vAlign w:val="bottom"/>
            <w:gridSpan w:val="2"/>
            <w:shd w:val="clear" w:color="auto" w:fill="CFF0FC"/>
          </w:tcPr>
          <w:p>
            <w:pPr>
              <w:jc w:val="center"/>
              <w:ind w:left="250"/>
              <w:spacing w:after="0" w:line="209" w:lineRule="exact"/>
              <w:rPr>
                <w:sz w:val="20"/>
                <w:szCs w:val="20"/>
                <w:color w:val="auto"/>
              </w:rPr>
            </w:pPr>
            <w:r>
              <w:rPr>
                <w:rFonts w:ascii="Calibri" w:cs="Calibri" w:eastAsia="Calibri" w:hAnsi="Calibri"/>
                <w:sz w:val="18"/>
                <w:szCs w:val="18"/>
                <w:color w:val="auto"/>
                <w:w w:val="98"/>
              </w:rPr>
              <w:t>2018</w:t>
            </w:r>
          </w:p>
        </w:tc>
        <w:tc>
          <w:tcPr>
            <w:tcW w:w="340" w:type="dxa"/>
            <w:vAlign w:val="bottom"/>
            <w:shd w:val="clear" w:color="auto" w:fill="CFF0FC"/>
          </w:tcPr>
          <w:p>
            <w:pPr>
              <w:spacing w:after="0"/>
              <w:rPr>
                <w:sz w:val="18"/>
                <w:szCs w:val="18"/>
                <w:color w:val="auto"/>
              </w:rPr>
            </w:pPr>
          </w:p>
        </w:tc>
        <w:tc>
          <w:tcPr>
            <w:tcW w:w="430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rPr>
              <w:t>Chief Executve Ofcer and Director</w:t>
            </w:r>
          </w:p>
        </w:tc>
      </w:tr>
      <w:tr>
        <w:trPr>
          <w:trHeight w:val="215"/>
        </w:trPr>
        <w:tc>
          <w:tcPr>
            <w:tcW w:w="238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Lawrence Fey</w:t>
            </w:r>
          </w:p>
        </w:tc>
        <w:tc>
          <w:tcPr>
            <w:tcW w:w="112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44</w:t>
            </w:r>
          </w:p>
        </w:tc>
        <w:tc>
          <w:tcPr>
            <w:tcW w:w="31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2020</w:t>
            </w:r>
          </w:p>
        </w:tc>
        <w:tc>
          <w:tcPr>
            <w:tcW w:w="340" w:type="dxa"/>
            <w:vAlign w:val="bottom"/>
          </w:tcPr>
          <w:p>
            <w:pPr>
              <w:spacing w:after="0"/>
              <w:rPr>
                <w:sz w:val="18"/>
                <w:szCs w:val="18"/>
                <w:color w:val="auto"/>
              </w:rPr>
            </w:pPr>
          </w:p>
        </w:tc>
        <w:tc>
          <w:tcPr>
            <w:tcW w:w="4300" w:type="dxa"/>
            <w:vAlign w:val="bottom"/>
          </w:tcPr>
          <w:p>
            <w:pPr>
              <w:spacing w:after="0" w:line="215" w:lineRule="exact"/>
              <w:rPr>
                <w:sz w:val="20"/>
                <w:szCs w:val="20"/>
                <w:color w:val="auto"/>
              </w:rPr>
            </w:pPr>
            <w:r>
              <w:rPr>
                <w:rFonts w:ascii="Calibri" w:cs="Calibri" w:eastAsia="Calibri" w:hAnsi="Calibri"/>
                <w:sz w:val="18"/>
                <w:szCs w:val="18"/>
                <w:color w:val="auto"/>
              </w:rPr>
              <w:t>Chief Financial Ofcer</w:t>
            </w:r>
          </w:p>
        </w:tc>
      </w:tr>
      <w:tr>
        <w:trPr>
          <w:trHeight w:val="217"/>
        </w:trPr>
        <w:tc>
          <w:tcPr>
            <w:tcW w:w="23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Riva Bakal</w:t>
            </w:r>
          </w:p>
        </w:tc>
        <w:tc>
          <w:tcPr>
            <w:tcW w:w="112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40</w:t>
            </w:r>
          </w:p>
        </w:tc>
        <w:tc>
          <w:tcPr>
            <w:tcW w:w="310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2021</w:t>
            </w:r>
          </w:p>
        </w:tc>
        <w:tc>
          <w:tcPr>
            <w:tcW w:w="340" w:type="dxa"/>
            <w:vAlign w:val="bottom"/>
            <w:shd w:val="clear" w:color="auto" w:fill="CFF0FC"/>
          </w:tcPr>
          <w:p>
            <w:pPr>
              <w:spacing w:after="0"/>
              <w:rPr>
                <w:sz w:val="18"/>
                <w:szCs w:val="18"/>
                <w:color w:val="auto"/>
              </w:rPr>
            </w:pPr>
          </w:p>
        </w:tc>
        <w:tc>
          <w:tcPr>
            <w:tcW w:w="43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Chief Product and Strategy Ofcer</w:t>
            </w:r>
          </w:p>
        </w:tc>
      </w:tr>
      <w:tr>
        <w:trPr>
          <w:trHeight w:val="215"/>
        </w:trPr>
        <w:tc>
          <w:tcPr>
            <w:tcW w:w="238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Emily Epstein</w:t>
            </w:r>
          </w:p>
        </w:tc>
        <w:tc>
          <w:tcPr>
            <w:tcW w:w="112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46</w:t>
            </w:r>
          </w:p>
        </w:tc>
        <w:tc>
          <w:tcPr>
            <w:tcW w:w="310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8"/>
              </w:rPr>
              <w:t>2022</w:t>
            </w:r>
          </w:p>
        </w:tc>
        <w:tc>
          <w:tcPr>
            <w:tcW w:w="340" w:type="dxa"/>
            <w:vAlign w:val="bottom"/>
          </w:tcPr>
          <w:p>
            <w:pPr>
              <w:spacing w:after="0"/>
              <w:rPr>
                <w:sz w:val="18"/>
                <w:szCs w:val="18"/>
                <w:color w:val="auto"/>
              </w:rPr>
            </w:pPr>
          </w:p>
        </w:tc>
        <w:tc>
          <w:tcPr>
            <w:tcW w:w="4300" w:type="dxa"/>
            <w:vAlign w:val="bottom"/>
          </w:tcPr>
          <w:p>
            <w:pPr>
              <w:spacing w:after="0" w:line="215" w:lineRule="exact"/>
              <w:rPr>
                <w:sz w:val="20"/>
                <w:szCs w:val="20"/>
                <w:color w:val="auto"/>
              </w:rPr>
            </w:pPr>
            <w:r>
              <w:rPr>
                <w:rFonts w:ascii="Calibri" w:cs="Calibri" w:eastAsia="Calibri" w:hAnsi="Calibri"/>
                <w:sz w:val="18"/>
                <w:szCs w:val="18"/>
                <w:color w:val="auto"/>
              </w:rPr>
              <w:t>General Counsel</w:t>
            </w:r>
          </w:p>
        </w:tc>
      </w:tr>
      <w:tr>
        <w:trPr>
          <w:trHeight w:val="217"/>
        </w:trPr>
        <w:tc>
          <w:tcPr>
            <w:tcW w:w="23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6"/>
              </w:rPr>
              <w:t>Stefano Langenbacher</w:t>
            </w:r>
          </w:p>
        </w:tc>
        <w:tc>
          <w:tcPr>
            <w:tcW w:w="112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39</w:t>
            </w:r>
          </w:p>
        </w:tc>
        <w:tc>
          <w:tcPr>
            <w:tcW w:w="310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8"/>
              </w:rPr>
              <w:t>2024</w:t>
            </w:r>
          </w:p>
        </w:tc>
        <w:tc>
          <w:tcPr>
            <w:tcW w:w="340" w:type="dxa"/>
            <w:vAlign w:val="bottom"/>
            <w:shd w:val="clear" w:color="auto" w:fill="CFF0FC"/>
          </w:tcPr>
          <w:p>
            <w:pPr>
              <w:spacing w:after="0"/>
              <w:rPr>
                <w:sz w:val="18"/>
                <w:szCs w:val="18"/>
                <w:color w:val="auto"/>
              </w:rPr>
            </w:pPr>
          </w:p>
        </w:tc>
        <w:tc>
          <w:tcPr>
            <w:tcW w:w="43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Chief Technology Ofcer</w:t>
            </w:r>
          </w:p>
        </w:tc>
      </w:tr>
    </w:tbl>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Lawrence Fey</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Mr. Fey has served as our CFO since April 2020 and previously served as a member of our Board from 2017 to February 2020. From 2005 to March 2020, Mr. Fey worked at GTCR, most recently serving as a Managing Director. While at GTCR, he served on the boards of directors of many successful investments, including Six3 Systems, CAMP Systems, Zayo Group, Cision, Park Place Technologies, GreatCall, and Simpli.f. Mr. Fey is a graduate of Dartmouth College.</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Riva Bakal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Ms. Bakal has served as our Chief Product and Strategy Ofcer since March 2022 afer having served as our Vice President of Strategy and Corporate Development since joining Vivid Seats in 2019. From 2016 to 2018, she served in a variety of senior positons across functons at Grubhub Inc., an online and mobile takeout marketplace for restaurant orders, most recently as Vice President of Market Operatons. Ms. Bakal is a graduate of the Massachusets Insttute of Technology and Harvard Business School.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Emily Epstein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Ms. Epstein has served as our General Counsel since joining Vivid Seats in October 2022. From January to July 2022, she served as General Counsel at Dato, Inc., a security and cloud-based sofware solutons provider. From December 2020 to January 2022, Ms. Epstein served as Deputy General Counsel and Corporate Secretary at Coupang, Inc. (NYSE: CPNG). From 2016 to December 2020, she served in various leadership positons at Nielsen Holdings, Inc. (NYSE: NLSN), most recently as Deputy Chief Legal Ofcer. From 2014 to 2016, Ms. Epstein worked in the legal department at American Express Company (NYSE: AXP). Ms. Epstein began her legal career at Simpson Thacher &amp; Bartlet LLP. Ms. Epstein is a graduate of Harvard University and the University of Virginia School of Law.</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Stefano Langenbacher</w:t>
      </w:r>
    </w:p>
    <w:p>
      <w:pPr>
        <w:spacing w:after="0" w:line="10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Mr. Langenbacher has served as our Chief Technology Ofcer (“CTO”) since joining Vivid Seats in March 2024. From 2018 to March 2024, he served as CTO at Suitsupply B.V. From 2011 to 2018, Mr. Langenbacher served as CTO at hom24 SE. Mr. Langenbacher is a graduate of the Karlsruhe Insttute of Technology.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Item 1A. Risk Factors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Set forth below are certain risks that could cause actual results to difer materially from those contemplated by the forward-looking statements contained in this Report. These are not the only risks we face. Additonal risks that are currently unknown or believed not to be material may also impact actual results. These risks should be carefully considered together with the other informaton set forth in this Report and our other flings with the SEC.</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Business and the Live Events and Ticketng Industries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are adversely afected by decreases in the supply of and/or demand for live concert, sportng, and theater events.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supply of live concert, sportng, and theater events depends on several factors, many of which are outside of our control. We rely on artsts and sports teams to perform and play at live events, and scenarios such as artsts deciding to perform less frequently or at smaller venues, sports league lockouts, promoters or event venues failing to correctly antcipate demand for partcular events, or negatve trends in the entertainment and/or sportng industries that cause a reducton in the number or availability of live events adversely afect our business, fnancial conditon, and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also depends on demand for and atendance at live concert, sportng, and theater events, which is afected by, among other things, discretonary consumer and corporate spending. Many factors impact such spending, including economic conditons (</w:t>
      </w:r>
      <w:r>
        <w:rPr>
          <w:rFonts w:ascii="Calibri" w:cs="Calibri" w:eastAsia="Calibri" w:hAnsi="Calibri"/>
          <w:sz w:val="18"/>
          <w:szCs w:val="18"/>
          <w:i w:val="1"/>
          <w:iCs w:val="1"/>
          <w:color w:val="auto"/>
        </w:rPr>
        <w:t>e.g.</w:t>
      </w:r>
      <w:r>
        <w:rPr>
          <w:rFonts w:ascii="Calibri" w:cs="Calibri" w:eastAsia="Calibri" w:hAnsi="Calibri"/>
          <w:sz w:val="18"/>
          <w:szCs w:val="18"/>
          <w:color w:val="auto"/>
        </w:rPr>
        <w:t>, unemployment levels, interest rates, infaton, and fuel prices), changes in tax rates/laws, public safety concerns, and other extraordinary events. Reduced discretonary spending, as well as other negatve business or industry conditons or trends, can decrease demand for and atendance at live events, as well as reduce tcket sales, which adversely afect our revenue and operatng results.</w:t>
      </w:r>
    </w:p>
    <w:p>
      <w:pPr>
        <w:spacing w:after="0" w:line="112"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All of these risks may become more acute during periods of economic slowdown, recession, and uncertainty. For example, the COVID-19 pandemic and related economic slowdown materially and adversely impacted our business, including due to event restrictons and cancellatons. While live events are now generally held at pre-pandemic scope and scale, there can be no assurance that the supply of and/or demand for such events will not be negatvely impacted by any future economic slowdown, recession, or uncertainty, which would adversely afect our business, fnancial conditon, and results of operatons.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by an adverse change in our relatonships with tcket buyers, sellers, and/or partners.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depends on maintaining our deep and longstanding relatonships with the partes that use our platorm to buy and sell tckets, including tcket buyers, sellers, and partners. There can be no assurance that we will be able to maintain existng or develop new relatonships on acceptable terms, or at all, and the failure to do so could adversely afect our business, fnancial conditon, and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be adversely afected if changes in internet search engine algorithms and dynamics, search engine disintermediaton, or mobile applicaton marketplace rules decrease trafc to our websites and mobile applicatons.</w:t>
      </w:r>
    </w:p>
    <w:p>
      <w:pPr>
        <w:spacing w:after="0" w:line="11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rely heavily on internet search engines, such as Google, to generate trafc to our websites through a combinaton of organic and paid searches. Search engines frequently update and change the logic that determines the placement and display of a user’s search results such that the purchased or algorithmic placement of links to our websites can be negatvely afected. For example, a search engine could, for compettve or other purposes, alter its search algorithms or results in a manner that causes our websites to be placed lower in its organic search query results. If a major search engine changes its algorithms in a manner that negatvely impacts its ranking of our or our partners’ websites, our business, fnancial conditon, and results of operatons could be adversely afected. Further, our failure to successfully manage our search engine optmizaton could substantally decrease trafc to our websites, as well as increase costs if we were to replace free trafc with paid trafc, which could adversely afect our business, fnancial conditon, and results of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 w:name="page18"/>
    <w:bookmarkEnd w:id="17"/>
    <w:p>
      <w:pPr>
        <w:jc w:val="both"/>
        <w:spacing w:after="0" w:line="235" w:lineRule="auto"/>
        <w:rPr>
          <w:sz w:val="20"/>
          <w:szCs w:val="20"/>
          <w:color w:val="auto"/>
        </w:rPr>
      </w:pPr>
      <w:r>
        <w:rPr>
          <w:rFonts w:ascii="Calibri" w:cs="Calibri" w:eastAsia="Calibri" w:hAnsi="Calibri"/>
          <w:sz w:val="18"/>
          <w:szCs w:val="18"/>
          <w:color w:val="auto"/>
        </w:rPr>
        <w:t>We also rely on mobile applicaton marketplaces, such as Apple’s App Store and Google’s Play Store, to enable downloads of our mobile applicatons. Such marketplaces have in the past made, and may in the future make, changes (including to security and privacy policies and requirements) that impede access to our applicatons or limit the features we can ofer. For example, our applicatons may receive unfavorable promoton and/or placement treatment compared to those of competng applicatons, including the order in which they appear within these marketplaces. Further, our Apple iOS and Google Android applicatons are an important distributon channel for tcket sales. If either marketplace were to charge commissions or fees on our applicaton-based revenue, and we failed to negotate favorable terms, it could adversely afect our business, fnancial conditon, and results of operatons. Similarly, if problems arise in our relatonships with these or other such marketplaces, our user growth could be harmed.</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face intense competton in the tcketng industry, and we may be adversely afected if we are unable to maintain or increase tcket listngs and sales on our platorm.</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operate in a highly compettve industry and face signifcant and contnuous competton from other natonal, regional, local, and internatonal primary and secondary tcketng service providers to secure new and retain existng tcket buyers, sellers, and partners. We also face competton in the resale of tckets from other professional tcket resellers. This competton could cause the volume of our tcketng business to decline, which would adversely afect our business, fnancial conditon, and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Compettve variables that could lead to a decrease in tcket orders, prices, fees, and/or proft margins, certain of which have adversely afected our past fnancial performance, include: oferings from our compettors that include more favorable terms or pricing; increased marketng spending by our compettors; consolidaton among compettors resultng in their increased market share; technological changes and innovatons that we are unable to adopt or are late in adoptng; other entertainment optons or tcket inventory selectons and varietes that we do not ofer; increased pricing in the primary tcket marketplace, which could result in reduced profts for secondary tcket sellers; primary tcket marketplaces successfully restrictng secondary tcket sales; and increased search engine marketng costs as compettors increase bid prices.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Competton within the daily fantasy sports and gaming industry is also signifcant, and existng and potental Vivid Picks users may choose to use competng daily fantasy sports products for many of the same reasons discussed above.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be adversely afected if we do not contnue to maintain and improve our platorm, or to successfully develop new and improved solutons and enhancements.</w:t>
      </w:r>
    </w:p>
    <w:p>
      <w:pPr>
        <w:spacing w:after="0" w:line="110"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Our ability to atract and retain tcket buyers, sellers, and partners depends in large part on our ability to provide a user-friendly and efectve platorm, develop and improve our platorm, and introduce compelling new solutons and enhancements. Our industry is characterized by rapidly changing technology, service, and product introductons, and changing demands of tcket buyers, sellers, and partners. We spend substantal tme and resources understanding and responding to such partes’ needs. Developing new and improved solutons and enhancements is costly and complex, and the tmetable for commercial release is difcult to predict and may vary from our historical experience. In additon, afer development, tcket buyers, sellers, and partners may not be satsfed with, or may perceive that their needs are not adequately addressed by, our solutons and enhancements. The success of a new soluton or enhancement to our platorm can depend on several factors, including tmely completon and delivery, compettve pricing, adequate quality testng, platorm integraton, user awareness, and overall market acceptance and adopton. If we do not contnue to maintain and improve our platorm, or to successfully develop new and improved solutons and enhancements, our business, fnancial conditon, and results of operatons could be adversely afected.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if we are unable to maintain and enhance our reputaton and brand.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Maintaining and enhancing our reputaton and brand as a diferentated tcketng marketplace is critcal in our ability to retain existng, and atract new, tcket buyers, sellers, and partners. The successful promoton of our brand requires signifcant investments of tme, money, and efort, which may increase as our marketplace contnues to expand and become more compettve. To the extent these investments yield increased revenue, it may not ofset the increased expenses we incur. If we do not successfully maintain and enhance our brand and diferentate our marketplace from compettve products and services, our business may not grow, we may be unable to compete efectvely, and we could lose existng, or fail to atract new, tcket buyers, sellers, or partners, any of which could adversely afect our business, fnancial conditon, and results of operatons.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are also many factors outside of our control that could undermine and/or harm our reputaton and brand. A negatve percepton of our marketplace could adversely afect our business, including as a result of: complaints or negatve publicity and our responsiveness thereto; our inability to tmely comply with applicable laws, regulatons, and/or consumer protecton-related guidance; the use of our platorm to sell fraudulent or counterfeit tckets; the tming of refunds and/or payment reversals through our platorm; actual or perceived disruptons or defects in our platorm; cybersecurity incidents; a lack of awareness of our policies; or changes to our policies that third partes perceive as overly restrictve, unclear or inconsistent with our values.</w:t>
      </w:r>
    </w:p>
    <w:p>
      <w:pPr>
        <w:spacing w:after="0" w:line="11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If we are unable to maintain a reputable, user-friendly, and efectve platorm that provides tckets to desirable events, our ability to atract and retain tcket buyers, sellers, and partners could be impaired and our reputaton, brand, and business could be adversely afected.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be adversely afected by extraordinary events, including public safety concerns or disruptons, mass-casualty incidents, acts of civil unrest, terrorist atacks, military actons, disease epidemics or other public health concerns (including any resurgence of the COVID-19 pandemic), natural disasters, and severe weather events.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occurrence and threat of extraordinary events, including public safety concerns or disruptons, intentonal or unintentonal mass-casualty incidents, acts of civil unrest, terrorist atacks, military actons, disease epidemics or other public health concerns (and governmental responses thereto), natural disasters, and severe weather events, may deter or prevent artsts, sports teams, promoters, or event venues from performing, playing, or operatng and substantally decrease the demand for live events. Because Vegas.com is concentrated in Southern Nevada, which has recently experienced water and electricity shortages, it is partcularly exposed to certain of these risks. The occurrence of extraordinary events has in the past adversely afected, and may in the future adversely afect, our business, fnancial conditon, and results of operatons. Event cancellatons related to such events could also adversely afect our fnancial performance because we may be obligated to issue refunds or credits for previously purchased tckets.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global COVID-19 pandemic and related economic shutdown resulted in signifcant disrupton to our business, the entertainment and sportng industries, and the global economy in 2020 and 2021. The pandemic led governments and other authorites around the world to impose measures intended to control its spread, including travel bans, border closings and restrictons, business closures, quarantnes, and vaccine requirements. During the height of the pandemic, many artsts, sports teams, promoters, and event venues around the world ceased performances, games, and operatons. Because we depend on live events in order to generate revenue from tcket sales, the decreased supply of and demand for such events during the pandemic negatvely impacted our business and fnancial conditon. While live events are now generally held at pre-pandemic scope and scale, it is difcult to predict any future outbreaks of disease epidemics (including any resurgence of the COVID-19 pandemic) and whether restrictons could again be imposed. Any of these circumstances could again adversely afect the live events industry and our business and fnancial conditon.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i w:val="1"/>
          <w:iCs w:val="1"/>
          <w:color w:val="auto"/>
        </w:rPr>
        <w:t>We may be adversely afected if any of the business acquisitons we have made, or may make in the future, are unsuccessful.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strategy has involved, and our future growth may contnue to depend in part on, our selectve acquisiton of complementary businesses. For example, we acquired Fanxchange Ltd. in 2019, Vivid Picks in 2021, Wavedash in September 2023, and Vegas.com in November 2023. However, we may be unable to identfy suitable acquisiton targets or make acquisitons at favorable prices in the future. Even if we identfy a suitable acquisiton target, our ability to successfully complete an acquisiton depends on a variety of factors, which may include our ability to obtain fnancing on acceptable terms and requisite government approvals. Additonally, even if we complete an acquisiton, our ability to successfully integrate the acquired business </w:t>
      </w:r>
      <w:r>
        <w:rPr>
          <w:rFonts w:ascii="Calibri" w:cs="Calibri" w:eastAsia="Calibri" w:hAnsi="Calibri"/>
          <w:sz w:val="18"/>
          <w:szCs w:val="18"/>
          <w:color w:val="231F20"/>
        </w:rPr>
        <w:t>and realize the expected</w:t>
      </w:r>
      <w:r>
        <w:rPr>
          <w:rFonts w:ascii="Calibri" w:cs="Calibri" w:eastAsia="Calibri" w:hAnsi="Calibri"/>
          <w:sz w:val="18"/>
          <w:szCs w:val="18"/>
          <w:color w:val="auto"/>
        </w:rPr>
        <w:t xml:space="preserve"> </w:t>
      </w:r>
      <w:r>
        <w:rPr>
          <w:rFonts w:ascii="Calibri" w:cs="Calibri" w:eastAsia="Calibri" w:hAnsi="Calibri"/>
          <w:sz w:val="18"/>
          <w:szCs w:val="18"/>
          <w:color w:val="231F20"/>
        </w:rPr>
        <w:t xml:space="preserve">benefts of the acquisiton </w:t>
      </w:r>
      <w:r>
        <w:rPr>
          <w:rFonts w:ascii="Calibri" w:cs="Calibri" w:eastAsia="Calibri" w:hAnsi="Calibri"/>
          <w:sz w:val="18"/>
          <w:szCs w:val="18"/>
          <w:color w:val="000000"/>
        </w:rPr>
        <w:t>is subject to additonal risks and uncertaintes. Further, our credit facility restricts our ability to make certain acquisitons. In</w:t>
      </w:r>
      <w:r>
        <w:rPr>
          <w:rFonts w:ascii="Calibri" w:cs="Calibri" w:eastAsia="Calibri" w:hAnsi="Calibri"/>
          <w:sz w:val="18"/>
          <w:szCs w:val="18"/>
          <w:color w:val="231F20"/>
        </w:rPr>
        <w:t xml:space="preserve"> </w:t>
      </w:r>
      <w:r>
        <w:rPr>
          <w:rFonts w:ascii="Calibri" w:cs="Calibri" w:eastAsia="Calibri" w:hAnsi="Calibri"/>
          <w:sz w:val="18"/>
          <w:szCs w:val="18"/>
          <w:color w:val="000000"/>
        </w:rPr>
        <w:t xml:space="preserve">connecton with any future acquisiton, we may take actons that could adversely afect our business, including: using a signifcant porton of our available cash; issuing equity securites, which would </w:t>
      </w:r>
      <w:r>
        <w:rPr>
          <w:rFonts w:ascii="Calibri" w:cs="Calibri" w:eastAsia="Calibri" w:hAnsi="Calibri"/>
          <w:sz w:val="18"/>
          <w:szCs w:val="18"/>
          <w:color w:val="231F20"/>
        </w:rPr>
        <w:t>dilute the ownership and votng power of our existng stockholders</w:t>
      </w:r>
      <w:r>
        <w:rPr>
          <w:rFonts w:ascii="Calibri" w:cs="Calibri" w:eastAsia="Calibri" w:hAnsi="Calibri"/>
          <w:sz w:val="18"/>
          <w:szCs w:val="18"/>
          <w:color w:val="000000"/>
        </w:rPr>
        <w:t>; incurring substantal debt; incurring or assuming contngent liabilites, known or unknown; and incurring large accountng write-ofs, impairments, or amortzaton expenses.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acquisitons involve inherent risks that, if realized, could adversely afect our business, fnancial conditon, and results of operatons, including those associated with: integratng the operatons, fnancial reportng, technologies, and personnel of the acquired company; scaling of operatons, systems and infrastructure and achieving synergies to meet the needs of the combined or acquired company; managing geographically dispersed operatons; divertng management’s atenton from other business concerns; entering new markets or lines of business in which we have limited or no direct experience, including the impact of newly applicable laws and regulatons; and the potental loss of key employees, customers, and partners of the acquired company. Any of these risks could signifcantly afect our ability to complete acquisitons and expand our business. For example, each of our prior acquisitons involved certain of these risks, including, as applicable, those associated with integratng new lines of business, operatng in new markets, and adhering to new legal and regulatory regimes. The success of these and any future acquisitons is based, in part, on our ability to overcome these risks.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if we are unable to manage the risks associated with the growth of our internatonal operatons.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operatons in Canada and Japan, and we contnue to expand our internatonal operatons. Accordingly, we are subject to risks associated with doing business internatonally, including, but not limited to: complying with a variety of newly applicable, and ofen changing and/or confictng, laws and regulatons, including those relatng to ant-bribery, ant-corrupton, ant-money laundering, data protecton, and privacy; obtaining required governmental approvals, permits, and licenses; obtaining and enforcing our intellectual property rights; stafng and managing our foreign operatons; fnancial risks such as longer payment cycles, difculty collectng accounts receivable, the impact of local and regional fnancial crises, and exposure to foreign currency exchange rate fuctuatons; preferences by local consumers for local compettors; and politcal and economic instability.</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also have difculty expanding our business internatonally because of the difcultes associated with obtaining local tcket supply and/or limited brand recogniton, which could delay or limit the acceptance of our services by tcket buyers, sellers, and partners in new markets and increased marketng and other costs associated with establishing our brand. If we are unable to successfully expand internatonally or manage the risks associated therewith, our business, fnancial conditon, and results of operatons could be adversely afected.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fnancial performance in certain periods may not be indicatve of, or comparable to, our fnancial performance in other periods due to seasonality and other factors.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fnancial results and cash needs vary from period to period depending on, among other things: the number, locaton, venue type, and tming of certain live concert, sportng, and theater events; the popularity of and demand for certain artsts, sports teams, tours, and events; artsts’ decisions about when and where to perform; sports teams’ performances, and the length and team compositon of playof series and championship games; event cancellatons; weather, seasonal, and other fuctuatons in our operatng results; the tming of guaranteed payments, investments, acquisitons, and fnancing actvites; compettve dynamics; and the tming of disbursements of accounts payable to tcket sellers and partners.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our results may vary signifcantly from period to period, our fnancial performance in one period may not be indicatve of, or comparable to, our fnancial performance in other periods. Typically, we experience lower fnancial performance in the frst, second, and third quarters, with slightly increased actvity in the fourth quarter when all major sports leagues are in season, concert on-sales begin for the following year, and theater event orders increase during the holiday season. In additon, the tming of top-grossing tours and events, as well as the number of sports games and the teams involved in playof series and championship games, can impact the year-to-year comparability of quarterly results (and, in rare cases, annual results). The seasonality of our business could create cash fow management risks if we do not adequately antcipate and plan for periods of decreased actvity, which could adversely afect our business, fnancial conditon, and results of operatons by negatvely impactng our ability to execute on our strategy.</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rely on the experience and expertse of our senior management team, key technical employees, and other highly skilled personnel, and we may be adversely afected if we are unable to retain and motvate these individuals.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success depends upon the contnued service of our senior management team and key technical employees, as well as our ability to contnue to identfy, atract, hire, integrate, develop, motvate, and retain highly skilled personnel for all areas of our organizaton. Each of our executve ofcers, key technical employees, and other personnel could terminate their relatonship with us at any tme. The loss of any member of our senior management team or key personnel could signifcantly delay or prevent the achievement of our business objectves and/or negatvely impact our business and relatonships. As such, efectve succession planning and the executon of smooth personnel transitons is important to our long-term success. If we fail to efectvely manage our hiring needs and execute smooth personnel transitons, our business may be adversely afected.</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Competton in our industry for qualifed employees is intense. To atract top talent, we must ofer compettve compensaton arrangements and benefts packages, as well as periodically increase compensaton levels in response to competton and infaton. If we fail to successfully atract, hire, and integrate new personnel, our efciency and ability to meet forecasts, as well as employee morale, productvity, and retenton, could sufer, which may adversely afect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our goodwill has adversely afected, and may in the future adversely afect, our fnancial results and conditon.</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accordance with accountng principles generally accepted in the United States of America (“U.S. GAAP”), we test our goodwill and indefnite-lived intangible assets for impairment annually, or more frequently if an event occurs or circumstances change that indicate that the fair value of such assets might be impaired. If the carrying amount of our goodwill exceeds its implied fair value, an impairment loss is recorded equal to the amount of the excess. During the year ended December 31, 2020, we recognized a non-cash impairment charge of $573.8 million, which included a goodwill impairment of $377.1 million. As of December 31, 2024, we had a Goodwill – net balance of approximately $943.1 million (which represented approximately 57.6% of our total assets). Due to market volatlity, economic uncertainty, and infatonary concerns, there can be no assurance that our goodwill will not be impaired again in the future. Impairment may result from, among other things, a signifcant decline in our expected cash fows, an adverse change in general economic conditons, and slower growth rates in our industry. If we are required to impair our goodwill in the future, it could adversely afect our fnancial conditon.</w:t>
      </w:r>
    </w:p>
    <w:p>
      <w:pPr>
        <w:spacing w:after="0" w:line="9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by the efects of infaton.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Infaton can negatvely impact our business by increasing our overall costs, partcularly if we are unable to achieve commensurate increases to revenues. Infaton has resulted, and may contnue to result, in elevated interest rates and capital costs, increased costs of labor, weakened exchange rates, reduced discretonary spending, and other similar efects. As a result of infaton, we have experienced, and may contnue to experience, increased costs. Although we may take measures to mitgate the efects of infaton, such measures may not be efectve and, even if such measures are efectve, there could be a diference in tming between the efects of infaton and of such measures. As a result, our business, fnancial conditon (including liquidity), and results of operatons may be adversely afected.</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Government Regulaton and Litgaton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are subject to extensive governmental regulaton, and we may be adversely afected if we fail to comply with applicable laws and regulatons.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are subject to federal, state, local, and internatonal laws and regulatons governing key aspects of our business such as advertsing, ant-bribery, ant-corrupton, ant-money laundering, competton, consumer protecton, data protecton, export taxaton, fantasy sports, intellectual property, payments, privacy, sports gaming, tcketng, tcket resale, and unfair business practces. While we strive to conduct our business and operatons in compliance with all applicable laws and regulatons, there can be no assurance that a partcular law or regulaton will not be interpreted or enforced in a manner contrary to our understanding of it. The promulgaton of new and sometmes confictng laws and regulatons, as well as changes to existng laws and regulatons or their interpretaton, can make compliance more complex, costly, and challenging. Our failure to comply with any applicable laws or regulatons could result in investgatons, inquiries, litgaton, proceedings, and/or fnes against us by governmental authorites and/or private actons brought by individuals which, if material, could adversely afect our business, fnancial conditon, and results of operatons.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depend on the ability of sellers to sell tckets on the secondary market unencumbered.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depends on sellers’ ability to list event tckets for sale on the secondary tcket market. Some jurisdictons prohibit the resale of event tckets at prices above their face value, or at all, or otherwise highly regulate tcket resale. Such prohibitons, or similar laws and regulatons, could restrict or inhibit our ability to operate, or the ability of tcket buyers, sellers, and partners to contnue to use, our tcket marketplace. Actons taken by governments, rights holders, or primary tcketng companies, such as enactng resale restricton policies, requiring certain disclosures, using technology to limit where and how tckets can be sold on the secondary market, charging incremental fees for the ability to sell tckets on the secondary market, or partnering with other resale marketplaces on an exclusive basis, could result in reduced demand for our services, which would adversely afect our business, fnancial conditon, and results of operatons.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processing of personal data and other sensitve informaton could give rise to liabilites as a result of governmental regulaton, litgaton, and confictng legal requirements, including those relatng to personal privacy rights.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ordinary course of business, we collect, receive, store, protect, use, transmit, share, and dispose of (collectvely, “process”) personal data and other sensitve informaton. These actvites subject us to numerous federal, state, and internatonal laws and regulatons, industry standards, external and internal privacy and security policies, and contractual requirements addressing privacy, data protecton, and the processing of such data and informaton.</w:t>
      </w:r>
    </w:p>
    <w:p>
      <w:pPr>
        <w:spacing w:after="0" w:line="111"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Many U.S. states, and the federal and local governments, have adopted data protecton and security legislaton, including laws relatng to personal data privacy and data breach notfcaton. Many U.S. states have also enacted comprehensive privacy laws that impose certain obligatons on covered businesses, such as requiring certain privacy disclosures and giving residents certain rights with respect to their personal data (</w:t>
      </w:r>
      <w:r>
        <w:rPr>
          <w:rFonts w:ascii="Calibri" w:cs="Calibri" w:eastAsia="Calibri" w:hAnsi="Calibri"/>
          <w:sz w:val="17"/>
          <w:szCs w:val="17"/>
          <w:i w:val="1"/>
          <w:iCs w:val="1"/>
          <w:color w:val="auto"/>
        </w:rPr>
        <w:t>e.g.</w:t>
      </w:r>
      <w:r>
        <w:rPr>
          <w:rFonts w:ascii="Calibri" w:cs="Calibri" w:eastAsia="Calibri" w:hAnsi="Calibri"/>
          <w:sz w:val="17"/>
          <w:szCs w:val="17"/>
          <w:color w:val="auto"/>
        </w:rPr>
        <w:t>, the right to access, correct, or delete such data and to opt-out of certain data processing actvites). Certain U.S. states also impose strict requirements on the processing of personal data, such as conductng data privacy impact assessments, and provide statutory fnes for non-compliance. For example, the CCPA applies to personal data of consumers, business representatves, and employees who are California residents, and requires businesses to provide specifc disclosures in privacy notces and honor requests of such individuals to exercise certain privacy rights. The CCPA provides for statutory penaltes and a private right of acton for data breaches resultng from a failure to implement reasonable security procedures and practces. U.S. state and federal legislators contnue to consider and enact similar laws, refectng a trend toward more stringent privacy legislaton in the United States. These and any future similar laws are likely to increase our compliance costs and overall risk, partcularly when they have confictng requirements, and may require us to further modify our data processing practces and policies. In additon to new regulatons, courts around the country contnue to evolve their interpretaton of data privacy and protecton laws, including the CCPA.</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has also been a notceable uptck in class acton litgaton in the United States in which plaintfs have utlized a variety of laws, including the Video Privacy Protecton Act of 1988, state wiretapping laws, and other privacy laws and regulatons, in relaton to the use of tracking technologies such as cookies and pixels. This trend may lead legislatures to consider responsive regulaton. These practces are also subject to increased challenges by class acton plaintfs. Our inability or failure to obtain consent for these practces could result in adverse consequences, including class acton litgaton and mass arbitraton demands.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35" w:lineRule="auto"/>
        <w:rPr>
          <w:sz w:val="20"/>
          <w:szCs w:val="20"/>
          <w:color w:val="auto"/>
        </w:rPr>
      </w:pPr>
      <w:r>
        <w:rPr>
          <w:rFonts w:ascii="Calibri" w:cs="Calibri" w:eastAsia="Calibri" w:hAnsi="Calibri"/>
          <w:sz w:val="18"/>
          <w:szCs w:val="18"/>
          <w:color w:val="auto"/>
        </w:rPr>
        <w:t>Personal and other user data is also increasingly subject to legislaton and regulatons in foreign jurisdictons in which we operate. For example, PIPEDA is a comprehensive Canadian privacy and security law for organizatons collectng, using, or disclosing informaton about identfed individuals for commercial purposes, and may impose obligatons on covered organizatons that are greater than what is common in the United States. Certain Canadian provinces also have their own data protecton regulatons. Similarly, the United Kingdom, the European Union, and countries in the European Economic Area (the “EEA”) traditonally have taken broader views on, and imposed diferent legal obligatons on companies as to, the types of data that are subject to privacy and data protecton laws and regulatons. For example, the E.U. General Data Protecton Regulaton (the “GDPR”), which took efect in May 2018, applies to any company established in the EEA and to companies outside the EEA if they collect and use personal data in connecton with the ofering of goods or services to individuals in the EEA or the monitoring of their behavior. The United Kingdom has its own General Data Protecton Regulaton, which took efect in January 2021. Under the GDPR, companies may face temporary or defnitve bans on data processing and other correctve actons, signifcant monetary fnes, and/or private litgaton related to the processing of personal data. The APPI, a Japanese law governing the handling of personal informaton, may also impose obligatons on covered enttes that are in additon to, or difer from, those in other jurisdictons (for example, it difers from the GDPR with respect to its approach to notfcatons and the cross-border transfer of personal data). Compliance with these and any other foreign data privacy laws and regulatons may signifcantly increase our operatonal costs and our overall risk exposure.</w:t>
      </w:r>
    </w:p>
    <w:p>
      <w:pPr>
        <w:spacing w:after="0" w:line="1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ordinary course of business, we transfer personal data from one jurisdicton to another. Certain European jurisdictons, including the United Kingdom, have enacted laws requiring that personal data be localized or limitng the transfer thereof to other jurisdictons, including the United States. Other jurisdictons have adopted or may adopt similar data localizaton and/or cross-border data transfer restrictons. Although there are various mechanisms that may be used to transfer personal data from the United Kingdom and the EEA to the United States in compliance with these restrictons, they are subject to legal challenges and there can be no assurance that we can satsfy or rely on them. If there were no lawful manner for us to transfer personal data from the United Kingdom or the EEA to the United States, or if the requirements for doing so were too onerous, we could face adverse consequences, including the interrupton of our operatons, the need to relocate our data processing actvites, and penaltes such as fnes and injunctons. In additon, companies that transfer personal data out of the United Kingdom and the EEA have faced increased scrutny from regulators and litgants, and certain of such companies have been ordered by European regulators to suspend or cease certain such data transfers for allegedly violatng the GDPR’s cross-border data transfer restrictons.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must also comply with certain industry standards and contractual obligatons related to data privacy and security. For example, certain privacy laws, including the CCPA and the GDPR, require the impositon of specifc contractual restrictons on service providers. We also publish privacy policies, marketng materials, and other statements related to compliance with certain certfcatons or self-regulatory principles concerning data privacy and security. U.S. regulators are increasingly scrutnizing these materials, and if they are found to be defcient, unfair, misleading, or misrepresentatve of our practces, we could be subject to governmental enforcement actons or other adverse consequences.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our personnel use generatve artfcial intelligence (“AI”) technologies in the course of their work. We use also use generatve AI and machine learning technologies (“AI/ML”) in certain of our products. The disclosure and use of personal data in generatve AI technologies, and the development and use of AI/ML, present various privacy and data security risks and are subject to an increasing number of laws and regulatons. Several jurisdictons, including in the United States and Europe, have enacted laws governing the development and use of AI/ML, such as the EU’s AI Act, and we expect other jurisdictons will adopt similar laws. Certain consumer rights extended by privacy laws (</w:t>
      </w:r>
      <w:r>
        <w:rPr>
          <w:rFonts w:ascii="Calibri" w:cs="Calibri" w:eastAsia="Calibri" w:hAnsi="Calibri"/>
          <w:sz w:val="18"/>
          <w:szCs w:val="18"/>
          <w:i w:val="1"/>
          <w:iCs w:val="1"/>
          <w:color w:val="auto"/>
        </w:rPr>
        <w:t>e.g.</w:t>
      </w:r>
      <w:r>
        <w:rPr>
          <w:rFonts w:ascii="Calibri" w:cs="Calibri" w:eastAsia="Calibri" w:hAnsi="Calibri"/>
          <w:sz w:val="18"/>
          <w:szCs w:val="18"/>
          <w:color w:val="auto"/>
        </w:rPr>
        <w:t>, the right to delete certain personal data and regulate automated decision making) may also be incompatble with the use of AI/ML. As a result, our use of these technologies could result in additonal compliance costs, lawsuits, and regulatory actons. However, our inability to use these technologies, or limitatons on such use, could result in a compettve disadvantage.</w:t>
      </w:r>
    </w:p>
    <w:p>
      <w:pPr>
        <w:spacing w:after="0" w:line="200" w:lineRule="exact"/>
        <w:rPr>
          <w:sz w:val="20"/>
          <w:szCs w:val="20"/>
          <w:color w:val="auto"/>
        </w:rPr>
      </w:pPr>
    </w:p>
    <w:p>
      <w:pPr>
        <w:spacing w:after="0" w:line="23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interpretaton and applicaton of many privacy and data protecton laws are, and will likely remain, uncertain, and it is possible that these laws may be interpreted and applied in a manner that is inconsistent with each other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35" w:lineRule="auto"/>
        <w:rPr>
          <w:sz w:val="20"/>
          <w:szCs w:val="20"/>
          <w:color w:val="auto"/>
        </w:rPr>
      </w:pPr>
      <w:r>
        <w:rPr>
          <w:rFonts w:ascii="Calibri" w:cs="Calibri" w:eastAsia="Calibri" w:hAnsi="Calibri"/>
          <w:sz w:val="18"/>
          <w:szCs w:val="18"/>
          <w:color w:val="auto"/>
        </w:rPr>
        <w:t>and with our existng data management practces, policies, or product features. If so, in additon to the possibility of fnes, lawsuits (including class acton claims), additonal reportng requirements and/or oversight, bans or restrictons on processing personal data, orders to destroy or not use personal data, and other claims and penaltes, we could be required to change our business actvites and practces or to modify our practces, policies, or products, which could adversely afect our business. In additon to government regulaton, privacy advocacy and industry groups may propose new and diferent self-regulatory standards that legally or contractually apply to us. Any inability by us, or our service providers and partners, to adequately address privacy, data protecton, and data security concerns or comply with applicable privacy, data protecton, or data security laws, regulatons, policies, and other obligatons, could result in additonal costs and liability to us and adversely afect our reputaton, sales, and business.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any compromise of informaton security that results in the unauthorized access, acquisiton, or release of personal or other user data, or the percepton that such a compromise has occurred, could harm our brand and reputaton, discourage existng and potental tcket sellers, buyers, and partners from using our platorm, and result in fnes and proceedings by governmental agencies and users, any of which could adversely afect our business, fnancial conditon, and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laws in certain of the jurisdictons in which we operate require, and laws in other jurisdictons in which we may operate in the future may require, businesses in certain instances to notfy afected individuals, governmental enttes, and/or credit reportng agencies of cybersecurity incidents afectng personal informaton. Certain of our contractual obligatons contain similar requirements. Such requirements are inconsistent, and compliance in the event of a widespread cybersecurity incident may be complex, costly, and difcult to implement. These risks may increase not only as we expand our operatons in new jurisdictons, but also as our business contnues to involve greater numbers of tcket buyers, sellers, and partners.</w:t>
      </w:r>
    </w:p>
    <w:p>
      <w:pPr>
        <w:spacing w:after="0" w:line="112"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While we maintain general and cyber liability insurance policies, they may not cover, or may cover only a porton of, any response and remediaton costs and potental claims related to cybersecurity incidents to which we are exposed, or they may be inadequate to indemnify us for all or any porton of liabilites that may be imposed. There can be no assurance that our existng insurance coverage will contnue to be available on acceptable terms or in amounts sufcient to cover the potentally signifcant losses that may result from a cybersecurity incident or that the insurer will not deny coverage of any future claim.</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be adversely afected by unfavorable outcomes in legal proceedings in which we, tcket sellers, or our partners are or may in the future be involved.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results may be afected by the outcome of litgaton. Unfavorable rulings in legal proceedings in which we, tcket sellers, or our partners may be involved could have a negatve impact on us, including an impact that difers from expectatons. We are currently, and from tme to tme in the future, we, tcket sellers, and our partners may be subject to various claims, investgatons, legal and administratve cases, lawsuits, and similar proceedings (whether civil or criminal) by governmental agencies or private partes, the outcome of which can be difcult to predict. If we or they are unable to successfully defend against these proceedings, or if the results thereof are unfavorable, we or they may be required to pay signifcant monetary damages or be subject to fnes, penaltes, injunctons, or other censure that could directly or indirectly adversely afect our business, fnancial conditon, and results of operatons. Even if we adequately address the issues raised by such a proceeding, or successfully defend a third-party lawsuit or counterclaim involving us, such proceeding, regardless of the outcome or merit thereof, could result in substantal costs and the diversion of management resources, any of which could adversely afect our business, fnancial conditon, and results of operatons.</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and industry may be adversely afected by unfavorable legislatve outcomes.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secondary tcket market is regulated by all U.S. states to varying degrees, including by requiring certain disclosures, refunding practces, or other consumer afairs obligatons. Future laws, regulatons, or unfavorable legislatve outcomes could impose additonal restrictons, such as tcket resale price caps and transfer bans, which could adversely afect our industry, business, and operatng results.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Various jurisdictons have enacted, and other jurisdictons may in the future enact, rules and regulatons, including tax and license requirements, for daily fantasy sports operators that may make the entry process more cumbersome,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35" w:lineRule="auto"/>
        <w:rPr>
          <w:sz w:val="20"/>
          <w:szCs w:val="20"/>
          <w:color w:val="auto"/>
        </w:rPr>
      </w:pPr>
      <w:r>
        <w:rPr>
          <w:rFonts w:ascii="Calibri" w:cs="Calibri" w:eastAsia="Calibri" w:hAnsi="Calibri"/>
          <w:sz w:val="18"/>
          <w:szCs w:val="18"/>
          <w:color w:val="auto"/>
        </w:rPr>
        <w:t>expensive, and tme consuming. Vivid Picks’ growth depends on the contnued legal status of real-money daily fantasy sports in various jurisdictons and our contnued ability to obtain licenses to operate in jurisdictons where doing so is required. We currently ofer our daily fantasy sports contests in the District of Columbia and 21 states where either we have obtained the required license or a license is not required. Any change to the regulatory climate surrounding daily fantasy sports, or to existng daily fantasy sports laws and regulatons or their interpretaton as it relates to Vivid Picks, could adversely afect our ability to operate our business as currently conducted or as we seek to do so in the future.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may be subject to sales tax and other indirect taxes in various jurisdictons.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applicaton of indirect taxes such as sales and use, amusement, value-added, goods and services, business, and gross receipts to businesses like ours, and to tcket buyers and sellers on our marketplace, is a complex and evolving issue. Because signifcant judgment is required to evaluate applicable tax obligatons, amounts recorded are subject to adjustment. In many cases, the ultmate tax determinaton is uncertain because it is unclear how new and existng statutes might apply to our business. One or more jurisdictons may seek to impose additonal reportng, recordkeeping, or indirect tax collecton obligatons on businesses like ours that facilitate online marketplaces. Impositon of an informaton reportng or tax collecton requirement could decrease tcket seller actvity on our platorm, which would adversely afect our business. New legislaton could require us, or tcket sellers on our marketplace, to incur substantal compliance costs, including in connecton with tax calculaton, collecton, remitance, as well as audit requirements, which could adversely afect our business, fnancial conditon, and results of operatons.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could be subject to sales and use tax and value-added tax audits in the future and that federal, state, local, or internatonal tax authorites could assert that we are obligated to collect additonal amounts as taxes on behalf of tcket sellers and remit those taxes to the proper authorites. We could also be subject to audits and assessments with respect to jurisdictons for which we have not accrued tax liabilites. A successful asserton that we should be collectng additonal sales or other taxes in jurisdictons where we have not historically done so, and where we do not accrue for such taxes, could result in substantal tax liabilites for past sales and otherwise adversely afect our business, fnancial conditon, and results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Informaton Technology, Cybersecurity, and Intellectual Property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be adversely afected by system interruptons and the lack of integraton and redundancy in our and third-party informaton systems and infrastructure.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success of our operatons depends, in part, on the integrity of our informaton systems and infrastructure, as well as afliate and third-party computer systems, computer networks, and other communicaton systems. System interruptons and the lack of integraton and redundancy in such informaton systems and infrastructure, both of our own tcketng and other computer systems and of afliate and third-party sofware, computer networks, and other communicatons systems service providers on which we rely, may adversely afect our ability to operate our websites and mobile applicatons, process and fulfll transactons, respond to customer inquiries, and generally maintain cost-efcient operatons. Similarly, due to our reliance on a network of technology systems, many of which are outside of our control, changes to interfaces upon which we rely, or a reluctance of our counterpartes to contnue supportng our systems, could lead, and in the past has led, to technology interruptons. Such interruptons could occur by virtue of a natural disaster, malicious acton such as a cyberatack or intrusion, act of terrorism, military acton, human error, or the other threats discussed in these risk factors. In additon, the loss of certain key personnel could subject us to systems interruptons and require us to expend additonal resources to contnue to maintain our sofware and systems. The large infrastructure footprint that is required to operate our systems requires an ongoing investment of tme, money, and efort to maintain or refresh hardware and sofware to ensure it remains at a level capable of servicing the demand and volume of our business. Failure to do so may result in system instability, degradaton in performance, or unfxable security vulnerabilites that could adversely afect both our business and consumers.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have backup systems for certain aspects of our operatons, disaster recovery planning by its nature may not be sufcient for all eventualites. In additon, our insurance coverage may not adequately compensate for losses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spacing w:after="0" w:line="235" w:lineRule="auto"/>
        <w:rPr>
          <w:sz w:val="20"/>
          <w:szCs w:val="20"/>
          <w:color w:val="auto"/>
        </w:rPr>
      </w:pPr>
      <w:r>
        <w:rPr>
          <w:rFonts w:ascii="Calibri" w:cs="Calibri" w:eastAsia="Calibri" w:hAnsi="Calibri"/>
          <w:sz w:val="18"/>
          <w:szCs w:val="18"/>
          <w:color w:val="auto"/>
        </w:rPr>
        <w:t>stemming from an extended interrupton. If any of these events were to occur, it could adversely afect our business, fnancial conditon, and results of operatons.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if our informaton technology systems, or those of third partes with whom we conduct business, are compromised.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nature of our business, we process certain personal data and other sensitve informaton about tcket buyers and sellers and our employees. Penetraton of our informaton technology systems, or the misappropriaton or misuse of such data or informaton (including credit card informaton and other personally identfable informaton), could interrupt our operatons and subject us to adverse consequences, including increased costs, litgaton, and governmental enforcement actons. Cyberatacks, malicious internet-based actvity, fraud, and similar evolving threats (including phishing atacks, malicious code, sofware bugs, malware atacks, ransomware atacks, denial-of-service atacks, credental stufng atacks, and credental harvestng) threaten the confdentality, integrity, and availability of our informaton technology systems. Such threats come from a variety of sources and are increasingly prevalent and difcult to detect.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rely on third partes to process certain informaton in a variety of contexts (</w:t>
      </w:r>
      <w:r>
        <w:rPr>
          <w:rFonts w:ascii="Calibri" w:cs="Calibri" w:eastAsia="Calibri" w:hAnsi="Calibri"/>
          <w:sz w:val="18"/>
          <w:szCs w:val="18"/>
          <w:i w:val="1"/>
          <w:iCs w:val="1"/>
          <w:color w:val="auto"/>
        </w:rPr>
        <w:t>e.g.</w:t>
      </w:r>
      <w:r>
        <w:rPr>
          <w:rFonts w:ascii="Calibri" w:cs="Calibri" w:eastAsia="Calibri" w:hAnsi="Calibri"/>
          <w:sz w:val="18"/>
          <w:szCs w:val="18"/>
          <w:color w:val="auto"/>
        </w:rPr>
        <w:t>, cloud-based infrastructure, encrypton technology, and employee email) and to provide certain hardware, sofware, and applicatons. These third partes’ informaton technology systems are subject to similar threats, and our ability to monitor their security practces is limited. If any of these third partes were to sufer a security incident or other interrupton, we could experience adverse consequences. While we may be enttled to damages if a third party fails to satsfy its privacy- or security-related obligatons to us, any award, assuming we are able to recover it, may be insufcient to cover our damages. Our past and future business acquisitons could also increase our exposure to these threats if our systems were negatvely afected by vulnerabilites in an acquired entty’s systems.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devoted signifcant resources to the development of systems, practces, and policies designed to detect, mitgate, and remediate vulnerabilites in our informaton technology systems, protect against potental cybersecurity threats and their consequences, and protect sensitve informaton. However, such measures cannot provide absolute security or certainty. Advances in threat actor capabilites, methods, and tools, inadvertent violatons of our practces or policies, or other developments could result in a compromise or breach of our systems and processes that are used to protect sensitve informaton. We may also experience delays in developing and deploying remedial measures designed to address identfed vulnerabilites.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of these or similar threats could lead to a security incident or other interrupton that results in the unauthorized, unlawful, or accidental acquisiton, modifcaton, destructon, loss, or disclosure of, or access to, our informaton technology systems, or those of the third partes with whom we conduct business. If we or such a third party experience (or are perceived to have experienced) a signifcant incident or interrupton, it may have adverse consequences on us, including: governmental enforcement actons; lawsuits (including class acton claims); additonal reportng requirements and/or oversight; bans or restrictons on processing sensitve informaton; indemnifcaton obligatons; negatve publicity; reputatonal harm among tcket sellers, buyers, and partners; the diversion of management resources; the interrupton of our operatons (including data availability); fnancial losses; and incidents of tcketng fraud or counterfeit tckets. In the event of such an incident, we may also be required or voluntarily choose to notfy relevant stakeholders (including afected individuals, regulators, and investors) or to take other actons (such as providing credit monitoring and identty thef protecton services). Such disclosures and actons can be costly, and the failure to comply with applicable requirements could lead to adverse consequences. Any of the foregoing could adversely afect our business, fnancial conditon, and results of operatons.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adversely afected if we are unable to adequately protect or enforce our intellectual property rights.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proprietary technologies and informaton, including our sofware, informatonal databases, and other components that make up our products and services, are critcal to our success. We seek to protect our proprietary technologies and informaton through a combinaton of methods, including intellectual property rights such as U.S. and foreign patents, trademarks, domain names, copyrights, and trade secrets, as well as through confdentality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spacing w:after="0" w:line="235" w:lineRule="auto"/>
        <w:rPr>
          <w:sz w:val="20"/>
          <w:szCs w:val="20"/>
          <w:color w:val="auto"/>
        </w:rPr>
      </w:pPr>
      <w:r>
        <w:rPr>
          <w:rFonts w:ascii="Calibri" w:cs="Calibri" w:eastAsia="Calibri" w:hAnsi="Calibri"/>
          <w:sz w:val="18"/>
          <w:szCs w:val="18"/>
          <w:color w:val="auto"/>
        </w:rPr>
        <w:t>agreements and other contractual restrictons with employees, customers, suppliers, afliates, partners, and others. However, despite these eforts, a third party may be able to copy or otherwise obtain and use our intellectual property without authorizaton (which, if discovered, could require legal acton to correct) and/or independently and lawfully develop products or services substantally similar to ours. Any failure of our strategies to protect our proprietary technologies and informaton could adversely afect our business, fnancial conditon, and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there can be no assurance that our strategies to protect our intellectual property rights will prevent infringement, misappropriaton, diluton, or other violatons thereof, partcularly in foreign countries where the laws may not protect such rights as fully as they do in the United States. A failure to protect our intellectual property rights in a meaningful manner, or challenges to our related contractual rights, could result in the erosion of our brand names or other intellectual property and adversely afect our business, fnancial conditon, and results of operatons. Litgaton may be necessary to enforce our intellectual property rights, protect our trade secrets, or determine the validity and scope of proprietary rights claimed by others. Any such litgaton, regardless of the outcome or merit thereof, could result in substantal costs and divert the atenton of management and other key technical resources, either of which could adversely afect our business, fnancial conditon, and results of operatons.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face potental liability and costs for legal claims alleging that we infringe upon third-party intellectual property rights.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can be no assurance that we do not, or will not, infringe upon or otherwise violate third-party intellectual property rights. From tme to tme, we have been, and may in the future be, subject to legal claims and proceedings alleging that we infringe upon or otherwise violate such rights. These claims and proceedings, regardless of the outcome or merit thereof, could result in substantal costs and divert the atenton of management and other key technical resources, either of which could adversely afect our reputaton and fnancial conditon. In additon, the outcome of litgaton is uncertain. As such, third partes assertng claims could secure a judgment against us awarding substantal damages, as well as injunctve and/or other equitable relief, which could require us to rebrand, redesign, or reengineer our platorm, products, or services, in additon to potentally blocking our ability to distribute, market, or sell our products and services.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payment system depends on third-party providers and is subject to risks that may adversely afect our business.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rely on third-party providers to support our payment methods, as tcket buyers primarily use credit or debit cards to purchase tckets on our marketplace. Nearly all our revenue is associated with payments processed through a single provider, which relies on banks and payment card networks to process transactons. If this payment processing provider or any of its vendors do not interoperate efciently with our platorm or if it or any of its vendors sufer any failure or experience a security incident, our payments systems and business could be adversely afected. Further, if this payment processing provider does not perform adequately or determines that certain types of transactons are prohibited, if its technology does not interoperate efciently with our platorm, or if our relatonship with it (or with the banks or payment card networks on which it relies) were to terminate or be suspended unexpectedly, tcket buyers may fnd our platorm more difcult to use and, as a result, use our platorm less.</w:t>
      </w:r>
    </w:p>
    <w:p>
      <w:pPr>
        <w:spacing w:after="0" w:line="200" w:lineRule="exact"/>
        <w:rPr>
          <w:sz w:val="20"/>
          <w:szCs w:val="20"/>
          <w:color w:val="auto"/>
        </w:rPr>
      </w:pPr>
    </w:p>
    <w:p>
      <w:pPr>
        <w:spacing w:after="0" w:line="2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payment processing provider requires us to comply with payment card network operatng rules, which are set and interpreted by the payment card networks. These networks could adopt new, or modify or re-interpret existng, operatng rules in ways that might prohibit us from providing certain services to tcket buyers or sellers, be costly to implement, or be difcult to follow. We are required to reimburse this payment processing provider for fnes assessed by payment card networks if we, or tcket buyers or sellers using our platorm, violate these rules (</w:t>
      </w:r>
      <w:r>
        <w:rPr>
          <w:rFonts w:ascii="Calibri" w:cs="Calibri" w:eastAsia="Calibri" w:hAnsi="Calibri"/>
          <w:sz w:val="18"/>
          <w:szCs w:val="18"/>
          <w:i w:val="1"/>
          <w:iCs w:val="1"/>
          <w:color w:val="auto"/>
        </w:rPr>
        <w:t>e.g.</w:t>
      </w:r>
      <w:r>
        <w:rPr>
          <w:rFonts w:ascii="Calibri" w:cs="Calibri" w:eastAsia="Calibri" w:hAnsi="Calibri"/>
          <w:sz w:val="18"/>
          <w:szCs w:val="18"/>
          <w:color w:val="auto"/>
        </w:rPr>
        <w:t>, processing various types of transactons that may be interpreted as a violaton of certain payment card network operatng rules). Changes to these rules and requirements, or any change in our designaton by payment card networks, could require a change in our business operatons and limit or eliminate our ability to accept payment cards, any of which could adversely afect our business.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also subject to the Payment Card Industry (“PCI”) Data Security Standard, which is designed to protect credit card account data as mandated by payment card industry enttes. The PCI Data Security Standard requires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35" w:lineRule="auto"/>
        <w:rPr>
          <w:sz w:val="20"/>
          <w:szCs w:val="20"/>
          <w:color w:val="auto"/>
        </w:rPr>
      </w:pPr>
      <w:r>
        <w:rPr>
          <w:rFonts w:ascii="Calibri" w:cs="Calibri" w:eastAsia="Calibri" w:hAnsi="Calibri"/>
          <w:sz w:val="18"/>
          <w:szCs w:val="18"/>
          <w:color w:val="auto"/>
        </w:rPr>
        <w:t>companies to adopt certain measures to ensure the security of cardholder informaton, including using and maintaining frewalls, adoptng proper password protectons for certain devices and sofware, and restrictng data access. We rely on vendors to handle PCI maters and to ensure PCI compliance. Despite our compliance eforts, we may become subject to claims that we have violated the PCI Data Security Standard based on past, present, or future business practces. Our actual or perceived failure to comply with the PCI Data Security Standard could subject us to fnes, terminated banking relatonships, and increased transacton fees.</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Under current credit, debit, and payment card practces and network rules, we are liable for fraudulent actvity on the majority of our credit and debit card transactons. We are also exposed to fnancial crime risk, against which we do not currently carry insurance. Additonally, while we deploy sophistcated technology to detect fraudulent purchase actvity, we may incur losses if we fail to prevent the use of fraudulent payment informaton on transactons. Fraudulent schemes are becoming increasingly sophistcated and common, and our ability to detect and combat such schemes may be negatvely impacted by the adopton of new payment methods and technology platorms. If we or our payment processing provider fail to identfy fraudulent actvity, are unable to efectvely combat the use of fraudulent payments on our platorm, or otherwise experience increased levels of disputed credit card payments or transactons, our business, fnancial conditon, and results of operatons could be adversely afected. In additon, the failure to adequately mitgate this risk could adversely afect our business, fnancial conditon, and results of operatons, as well as our brand, reputaton, and ability to accept payments.</w:t>
      </w:r>
    </w:p>
    <w:p>
      <w:pPr>
        <w:spacing w:after="0" w:line="10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Payment card networks and our payment processing provider could increase the fees that they charge us for their services, which would increase our operatng costs and reduce our margins and could adversely afect our business, fnancial conditon, and results of operatons.</w:t>
      </w:r>
    </w:p>
    <w:p>
      <w:pPr>
        <w:spacing w:after="0" w:line="110"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Finally, the laws and regulatons that govern payment methods and processing are complex and subject to change, and we may be required to expend considerable tme and efort to determine their applicability. There can be no assurance that we will be able to meet all compliance obligatons, including obtaining any required licenses in the jurisdictons we service, and, even if we are able to do so, there could be substantal costs and potental product changes involved in complying with such laws that could negatvely impact our business. Any actual or alleged non-compliance by us in relaton to existng or new laws and regulatons could lead to reputatonal damage, litgaton, increased costs or liabilites, damages, and/or the revocaton of our ability to ofer payment services in certain markets. Failure to predict how a given law or regulaton with respect to money transmission, prepaid access, or similar requirements will be applied to us could result in licensure, registraton requirements, and administratve enforcement actons, as well as materially interfere with our ability to ofer certain payment methods or to conduct our business in partcular jurisdictons. We cannot predict what actons governments may take, or what restrictons they may impose, that will afect our ability to process payments or to conduct our business in partcular jurisdictons. Further, we may become subject to changing payment regulatons and requirements that could afect the compliance of our current payment processes and increase the operatonal costs we incur to support payments. The foregoing could impose substantal additonal costs, considerably delay the development or provision of our solutons, require signifcant and costly operatonal changes, or prevent us from providing our solutons in any given market.</w:t>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Indebtedness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credit facility imposes restrictons that limit management’s discreton in operatng our business and, in turn, could impair our ability to meet our debt obligatons.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credit facility includes restrictve covenants that, among other things, restrict our ability to: incur additonal indebtedness; pay dividends and make distributons; make certain investments; prepay certain indebtedness; create liens; enter into transactons with afliates; modify the nature of our business; transfer and sell assets, including material intellectual property; amend our organizatonal documents; and merge or consolidate. Our failure to comply with these covenants could lead to a default under our credit facility, which would enttle our lenders to accelerate the indebtedness thereunder and declare all amounts owed due and payable.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our total indebtedness, excluding unamortzed debt discounts and debt issuance costs, was $393.0 million. Because our debt has a variable interest rate, we incur higher interest costs if interest rates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ind w:right="20"/>
        <w:spacing w:after="0" w:line="235" w:lineRule="auto"/>
        <w:rPr>
          <w:sz w:val="20"/>
          <w:szCs w:val="20"/>
          <w:color w:val="auto"/>
        </w:rPr>
      </w:pPr>
      <w:r>
        <w:rPr>
          <w:rFonts w:ascii="Calibri" w:cs="Calibri" w:eastAsia="Calibri" w:hAnsi="Calibri"/>
          <w:sz w:val="18"/>
          <w:szCs w:val="18"/>
          <w:color w:val="auto"/>
        </w:rPr>
        <w:t>increase. Interest rates increased signifcantly in 2022 and 2023, with only a slight decrease in 2024, and may remain elevated in the future. Any increase in interest costs could adversely afect our fnancial conditon.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current indebtedness and any future increases thereto could adversely afect our fnancial conditon by: making it more difcult to satsfy our obligatons; increasing our vulnerability to negatve economic, regulatory, and industry conditons; limitng our ability to obtain additonal fnancing for future net working capital, capital expenditures, strategic investments, acquisitons, and other purposes; requiring us to dedicate a substantal porton of our cash fows from operatng actvites to fund payments on our debt, thereby reducing funds available for operatons and other purposes; limitng our fexibility in planning for, or reactng to, changes in our business and industry; making us more vulnerable to interest rate increases; and placing us at a compettve disadvantage compared to our compettors that have less debt.</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depend on our subsidiaries’ cash fows in order to satsfy our obligatons.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rely on distributons and/or loans from our subsidiaries to meet the payment requirements under our obligatons. If our subsidiaries are unable to pay dividends or otherwise make payments to us, we may be unable to make debt service payments on our obligatons. Subject to certain exceptons, each of our subsidiaries is a guarantor under our credit facility. We conduct substantally all of our operatons through our subsidiaries. Our cash fows from operatng actvites and, consequently, our ability to service our debt is therefore principally dependent upon our subsidiaries’ earnings, their distributon of those earnings to us, and, from tme to tme, their disbursement of loans or other payments of funds to us. In additon, our subsidiaries’ ability to provide funds to us may be subject to restrictons under our credit facility, any such subsidiaries’ future indebtedness, and/or any applicable laws and regulatons related to the availability of sufcient surplus funds.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face liquidity constraints if we are unable to generate sufcient cash fows and/or raise additonal capital when necessary or desirable.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we had cash and cash equivalents of $243.5 million, which is available to us to fund our operatng, investng, and fnancing actvites. There can be no assurance that our business will generate sufcient cash fows from operatng actvites, or that we will be able to obtain fnancing, in an amount sufcient to fund our operatons or other liquidity needs.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future, we may need to raise additonal funds and be unable to obtain additonal debt or equity fnancing on favorable terms, if at all. Our ability to obtain fnancing will depend on several factors, including general economic and capital market conditons (</w:t>
      </w:r>
      <w:r>
        <w:rPr>
          <w:rFonts w:ascii="Calibri" w:cs="Calibri" w:eastAsia="Calibri" w:hAnsi="Calibri"/>
          <w:sz w:val="18"/>
          <w:szCs w:val="18"/>
          <w:i w:val="1"/>
          <w:iCs w:val="1"/>
          <w:color w:val="auto"/>
        </w:rPr>
        <w:t>e.g.</w:t>
      </w:r>
      <w:r>
        <w:rPr>
          <w:rFonts w:ascii="Calibri" w:cs="Calibri" w:eastAsia="Calibri" w:hAnsi="Calibri"/>
          <w:sz w:val="18"/>
          <w:szCs w:val="18"/>
          <w:color w:val="auto"/>
        </w:rPr>
        <w:t xml:space="preserve">, interest rates and infatonary concerns), credit availability from banks or other lenders, investor confdence, and our results of operatons. If we were to raise additonal equity fnancing, it would dilute </w:t>
      </w:r>
      <w:r>
        <w:rPr>
          <w:rFonts w:ascii="Calibri" w:cs="Calibri" w:eastAsia="Calibri" w:hAnsi="Calibri"/>
          <w:sz w:val="18"/>
          <w:szCs w:val="18"/>
          <w:color w:val="231F20"/>
        </w:rPr>
        <w:t>the ownership and votng power of our existng stockholders,</w:t>
      </w:r>
      <w:r>
        <w:rPr>
          <w:rFonts w:ascii="Calibri" w:cs="Calibri" w:eastAsia="Calibri" w:hAnsi="Calibri"/>
          <w:sz w:val="18"/>
          <w:szCs w:val="18"/>
          <w:color w:val="auto"/>
        </w:rPr>
        <w:t xml:space="preserve"> and any new equity securites we issue could have rights, preferences, and privileges superior to those of our </w:t>
      </w:r>
      <w:r>
        <w:rPr>
          <w:rFonts w:ascii="Calibri" w:cs="Calibri" w:eastAsia="Calibri" w:hAnsi="Calibri"/>
          <w:sz w:val="18"/>
          <w:szCs w:val="18"/>
          <w:color w:val="231F20"/>
        </w:rPr>
        <w:t>Class A common stock.</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require additonal capital and cannot raise it on acceptable terms, or at all, we may be unable to, among other things: further develop and enhance our platorm and solutons; contnue to invest in our technology and marketng eforts; atract, hire, develop, motvate, and retain employees; respond to compettve pressures and/or unantcipated working capital requirements; or pursue acquisiton opportunites. Our inability to take these actons could hinder our ability to successfully compete and adversely afect our business.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Organizatonal Structure and the Ownership of Our Securites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interests of Hoya Topco, which exerts signifcant infuence over us, may confict with those of us or our other stockholders.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Topco, which is controlled by enttes afliated with GTCR, benefcially owns approximately 36.6% of the votng power of our outstanding common stock. Even though we are no longer a “controlled company” within the meaning of Nasdaq corporate governance standards, for so long as Hoya Topco contnues to own a signifcant percentage of our common stock, it will be able to signifcantly infuence the compositon of our Board and management (including the appointment and removal of our ofcers), our business plans and policies (including decisions related to raising future capital), and actons requiring stockholder approval (including the amendment of our organizatonal documents, which govern the rights atached to our common stock). In additon, Hoya Topco may be able to cause or prevent a change of control and/or an unsolicited acquisiton of our company. This ownership concentraton could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35" w:lineRule="auto"/>
        <w:rPr>
          <w:sz w:val="20"/>
          <w:szCs w:val="20"/>
          <w:color w:val="auto"/>
        </w:rPr>
      </w:pPr>
      <w:r>
        <w:rPr>
          <w:rFonts w:ascii="Calibri" w:cs="Calibri" w:eastAsia="Calibri" w:hAnsi="Calibri"/>
          <w:sz w:val="18"/>
          <w:szCs w:val="18"/>
          <w:color w:val="auto"/>
        </w:rPr>
        <w:t>deprive our securityholders of an opportunity to receive a premium for their securites as part of a potental acquisiton and, ultmately, may afect the market price of our securites.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Hoya Topco, and Horizon Sponsor are party to a Stockholders’ Agreement, dated October 18, 2021 (as amended, the “Stockholders’ Agreement”), pursuant to which Hoya Topco has the right to designate a number of nominees to our Board as follows: (i) fve of our nine directors, so long as it and certain of its afliates benefcially own at least 24% of the total number of shares of our common stock that were issued and outstanding on October 18, 2021 (the “Closing Amount”), one of whom must qualify as “independent” under applicable stock exchange regulatons; (ii) four of our nine directors, so long as it and certain of its afliates benefcially own at least 18%, but less than 24%, of the Closing Amount; (iii) three of our nine directors, so long as it and certain of its afliates benefcially own at least 12%, but less than 18%, of the Closing Amount; (iv) two of our nine directors, so long as it and certain of its afliates benefcially own at least 6%, but less than 12%, of the Closing Amount; and (v) one of our nine directors, untl the date on which it and certain of its afliates benefcially own less than 5% of the number of shares of our common stock that they held on October 18, 2021. If the size of our Board is increased, Hoya Topco will have the right to designate a number of nominees to our Board that give Hoya Topco the same percentage of total directors as set forth in the preceding sentence (rounded up to the next whole number). Pursuant to the Stockholders’ Agreement, Hoya Topco has currently designated fve of our nine directors, which enables it to exert signifcant infuence over our business and afairs. Three of Hoya Topco’s fve director designees qualify as “independent” under applicable Nasdaq rules.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GTCR and its afliates engage in a broad spectrum of actvites and investments, including in our industry. In the ordinary course of their business, they may engage in actvites where their interests confict with those of us or our other stockholders, such as investng in or advising businesses that are our compettors, suppliers, or customers. Our amended and restated certfcate of incorporaton (our “Charter”) provides that Hoya Topco, its afliates, and their respectve directors, partners, principals, ofcers, members, managers, and employees (including any such person who serves as one of our directors and/or ofcers) have no duty to refrain from engaging in the same or similar business actvites or lines of business in which we operate. In additon, Hoya Topco and its afliates may pursue acquisiton opportunites that may be complementary to our business (and therefore would not be available to us), in additon to pursuing acquisitons, divesttures, and other transactons that they believe could enhance their investment, even though such transactons may involve risks to our other security holders and/or prove not to be benefcial.</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TRA requires us to make cash payments, which may be substantal, to Hoya Topco in respect of certain tax benefts.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party to the TRA with Hoya Topco, Hoya Intermediate, GTCR Management XI, LLC (the “TRA Holder Representatve”), and the other TRA Holders (as defned therein), pursuant to which we are generally required to pay Hoya Topco and the other TRA Holders 85% of the amount of any savings in U.S. federal, state, local, and foreign taxes that are based on, or measured with respect to, our net income or profts and any interest related thereto that our consolidated subsidiaries realize, or are deemed to realize, as a result of certain tax atributes, which include: (i) existng tax basis in certain assets of Hoya Intermediate and certain of its subsidiaries, including assets that will be subject to depreciaton or amortzaton, once placed in service; (ii) tax basis adjustments resultng from taxable exchanges of common units of Hoya Intermediate (“Intermediate Units”) for shares of our Class A common stock that are acquired from a TRA Holder pursuant to the terms of Hoya Intermediate’s Second Amended and Restated Limited Liability Company Agreement (the “Intermediate LLC Agreement”); (iii) certain tax atributes of Blocker Corporatons (as defned in the Intermediate LLC Agreement) holding Intermediate Units that are acquired by us pursuant to a reorganizaton transacton; (iv) certain tax benefts realized by us as a result of certain U.S. federal income tax allocatons of taxable income or gain away from us and to other members of Hoya Intermediate, and deductons or losses to us and away from other members of Hoya Intermediate, in each case as a result of the Merger Transacton; and (v) tax deductons in respect of portons of certain payments made under the TRA.</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Payments under the TRA generally are based on the tax reportng positons that we determine (in consultaton with an advisory frm and subject to the TRA Holder Representatve’s review and consent). The Internal Revenue Service or any other taxing authority may challenge a positon we take, and a court may sustain such a challenge. If any tax atributes we initally claimed or utlized are disallowed, the TRA Holders will not be required to reimburse us for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35" w:lineRule="auto"/>
        <w:rPr>
          <w:sz w:val="20"/>
          <w:szCs w:val="20"/>
          <w:color w:val="auto"/>
        </w:rPr>
      </w:pPr>
      <w:r>
        <w:rPr>
          <w:rFonts w:ascii="Calibri" w:cs="Calibri" w:eastAsia="Calibri" w:hAnsi="Calibri"/>
          <w:sz w:val="18"/>
          <w:szCs w:val="18"/>
          <w:color w:val="auto"/>
        </w:rPr>
        <w:t>any excess payments that we may have previously made pursuant to the TRA (</w:t>
      </w:r>
      <w:r>
        <w:rPr>
          <w:rFonts w:ascii="Calibri" w:cs="Calibri" w:eastAsia="Calibri" w:hAnsi="Calibri"/>
          <w:sz w:val="18"/>
          <w:szCs w:val="18"/>
          <w:i w:val="1"/>
          <w:iCs w:val="1"/>
          <w:color w:val="auto"/>
        </w:rPr>
        <w:t>e.g.</w:t>
      </w:r>
      <w:r>
        <w:rPr>
          <w:rFonts w:ascii="Calibri" w:cs="Calibri" w:eastAsia="Calibri" w:hAnsi="Calibri"/>
          <w:sz w:val="18"/>
          <w:szCs w:val="18"/>
          <w:color w:val="auto"/>
        </w:rPr>
        <w:t>, due to adjustments resultng from examinatons by taxing authorites). Rather, any excess payments made to such TRA Holders will reduce any future cash payments that we are required to make under the TRA, afer the determinaton of such excess. However, a challenge to any of the tax atributes that we initally claimed or utlized may not arise for a number of years afer such payment and, even if challenged earlier, such excess cash payment may be greater than the amount of future cash payments that we may be required to make under the terms of the TRA. As a result, there might not be future cash payments against which such excess can be applied and we could be required to make payments under the TRA in excess of our actual savings in respect of the tax atributes.</w:t>
      </w:r>
    </w:p>
    <w:p>
      <w:pPr>
        <w:spacing w:after="0" w:line="11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Moreover, the TRA provides that, in certain early terminaton events, we are required to make a lump-sum cash payment to all of the TRA Holders in an amount that is equal to the present value of all forecasted future payments that would have been made under the TRA, which would be based on certain assumptons. The lump-sum cash payment could be material and/or materially exceed any actual tax benefts that we realize subsequent to such payment.</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amount and tming of any payments under the TRA varies depending upon several factors, including the tming of TRA Holders’ exchanges of Intermediate Units for shares of our Class A common stock, the market price of our Class A common stock at the tme of such exchanges, and the amount and tming of the recogniton of our income for applicable tax purposes. While many of these factors are outside of our control, the aggregate payments we will be required to make under the TRA could be substantal.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are unable to make tmely payments for any reason, the unpaid amounts will be deferred and will accrue interest untl they are paid. Additonally, nonpayment for a specifed period and/or under certain circumstances may consttute a material breach of the TRA and therefore accelerate payments. Furthermore, our future obligaton to make payments under the TRA could make us a less atractve acquisiton target, partcularly in the case of an acquirer that cannot use some or all of the tax atributes that may be deemed realized under the TRA.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As a holding company, our principal assets are our equity interests in Hoya Intermediate, and we are accordingly dependent upon distributons from Hoya Intermediate to pay dividends, taxes, and other expenses, including payments we are required to make under the TRA.</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holding company, our principal assets are our direct and indirect ownership of equity interests in Hoya Intermediate. As such, we do not have any independent means of generatng revenue. We intend to cause Hoya Intermediate to contnue making quarterly distributons to its members, including us, in an amount that is at least sufcient to allow us to pay all applicable taxes, to make payments under the TRA, and to pay our corporate and other overhead expenses. To the extent that we need funds and Hoya Intermediate is restricted from making such distributons under applicable laws or regulatons, or is otherwise unable to provide such funds, it could adversely afect our fnancial conditon, including liquidity.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 certain circumstances, Hoya Intermediate will be required to make distributons, which may be substantal, to us and Hoya Topco.</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Hoya Intermediate is, and will contnue to be, treated as a partnership for U.S. federal income tax purposes, it is generally not subject to U.S. federal income tax. Instead, its taxable income is generally allocated to its members, including us. Hoya Intermediate has made, and may in the future make, tax distributons to its members, including us, as set forth in the Intermediate LLC Agreement, calculated using an assumed tax rate, to provide liquidity to such members in order to pay taxes on their allocable share of the taxable income. Under applicable tax rules, Hoya Intermediate may be required to allocate its net taxable income disproportonately to its members in certain circumstances. Because tax distributons are made pro rata on a per-Intermediate Unit basis to all members and such tax distributons are determined based on the member with the highest assumed tax liability per Intermediate Unit, Hoya Intermediate may be required to make tax distributons that, in the aggregate, exceed the amount of taxes that Hoya Intermediate would have paid if it were taxed on its net income at the assumed rate.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result of: (i) actual and potental diferences in the amount of net taxable income allocable to us and Hoya Topco; (ii) the lower maximum tax rate applicable to corporatons than individuals; and (iii) the use of an assumed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35" w:lineRule="auto"/>
        <w:rPr>
          <w:sz w:val="20"/>
          <w:szCs w:val="20"/>
          <w:color w:val="auto"/>
        </w:rPr>
      </w:pPr>
      <w:r>
        <w:rPr>
          <w:rFonts w:ascii="Calibri" w:cs="Calibri" w:eastAsia="Calibri" w:hAnsi="Calibri"/>
          <w:sz w:val="18"/>
          <w:szCs w:val="18"/>
          <w:color w:val="auto"/>
        </w:rPr>
        <w:t>tax rate in calculatng Hoya Intermediate’s tax distributon obligatons, we have received, and may in the future receive, distributons signifcantly in excess of our actual tax liabilites and our obligatons to make payments under the TRA. If we do not use such cash balances to pay dividends on our Class A common stock (or in another way such that holders of Intermediate Units, other than our company, do not beneft from the value atributable thereto) and instead, for example, hold such cash balances or lend them to Hoya Intermediate, Hoya Topco would beneft from any value atributable to such accumulated cash balances as a result of its right to exchange its Intermediate Units for shares of our Class A common stock (or, at our electon, a cash amount equal to the fair market value thereof). We have no obligaton to distribute any such cash balances to our stockholders, and no adjustments will be made to the consideraton provided to a member of Hoya Intermediate in connecton with an exchange or redempton of its Intermediate Units as a result of any retenton of any such cash balances by us.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Being a Public Company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market price and trading volume of our securites may be volatle.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Securites markets worldwide experience signifcant price and volume fuctuatons. This market volatlity, as well as general economic, market, or politcal conditons, could reduce the market price of our securites despite our operatng performance. The market price of our securites may fuctuate widely or decline signifcantly in the future in response to several factors, including, but not limited to: the realizaton of any of the risks discussed elsewhere in this Report; unfavorable market and economic conditons; the loss of investor confdence in the global fnancial markets and investng in general; adverse market reactons to indebtedness that we may incur or securites that we may issue in the future, including securites we may issue under our 2021 Incentve Award Plan (as amended, the “2021 Plan”); adverse market reactons to changes in our ownership or capital structure, including as a result of secondary oferings of our Class A common stock; unantcipated variatons of our quarterly and annual operatng results; a failure to meet securites analysts’ earnings estmates; the publicaton of negatve or inaccurate research reports about our business, industry, or securites and/or the failure of securites analysts to provide adequate coverage of our business or securites; changes in the market valuatons of similar companies; speculaton in the press or investment community about our business or industry; the trading actvity of our largest stockholders; the number of shares of our Class A common stock that are available for public trading; short sales, hedging, and other derivatve transactons involving our securites; enacted or proposed changes to laws or regulatons afectng our business or industry, or difering interpretatons thereof; and increases in compliance or enforcement inquiries and investgatons by regulatory authorites.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be subject to securites class acton litgaton, which could adversely afect our business, fnancial conditon, and results of operatons.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Companies that have experienced volatlity in the market price of their securites have been subject to securites class acton litgaton. We may be the target of this type of litgaton in the future, which could result in substantal legal fees and divert the atenton of management and other key resources that are needed to successfully run our business, which could adversely afect our business, fnancial conditon, and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have identfed a material weakness in our internal control over fnancial reportng, and we may identfy additonal material weaknesses in the future or otherwise fail to maintain an efectve system of internal controls, which may result in errors in our fnancial statements that require a restatement or cause us to fail to meet our periodic reportng obligatons.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required to comply with SEC rules implementng Sectons 302 and 404 of the Sarbanes-Oxley Act of 2002 (“SOX”), which require management to certfy fnancial and other informaton in our periodic reports and provide an annual report on the efectveness of our internal control over fnancial reportng.</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Efectve internal control over fnancial reportng is necessary for us to provide reliable and tmely fnancial reports and, together with adequate disclosure controls and procedures, is designed to reasonably detect and prevent fraud. However, internal controls may not detect and prevent all misstatements due to inherent limitatons such as the possibility of human error, the circumventon or overriding of controls, and/or fraud. Therefore, even efectve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35" w:lineRule="auto"/>
        <w:rPr>
          <w:sz w:val="20"/>
          <w:szCs w:val="20"/>
          <w:color w:val="auto"/>
        </w:rPr>
      </w:pPr>
      <w:r>
        <w:rPr>
          <w:rFonts w:ascii="Calibri" w:cs="Calibri" w:eastAsia="Calibri" w:hAnsi="Calibri"/>
          <w:sz w:val="18"/>
          <w:szCs w:val="18"/>
          <w:color w:val="auto"/>
        </w:rPr>
        <w:t>internal controls, no mater how well designed and operated, can provide only reasonable assurance with respect to the preparaton and fair presentaton of fnancial statements.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also required to report any material weaknesses in our internal control over fnancial reportng. A material weakness is a defciency or combinaton of defciencies in internal control over fnancial reportng such that there is a reasonable possibility that a material misstatement of a company’s fnancial statements will not be prevented or detected on a tmely basis.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audit of our fnancial statements for each of the years ended December 31, 2024, 2023, 2022, 2021, and 2020, we identfed defciencies in our internal control over fnancial reportng related to the implementaton of segregaton of dutes as part of our control actvites, the establishment of clearly defned roles within our fnance and accountng functons, and the number of personnel in those functons with an appropriate level of technical accountng and SEC reportng experience, which, in the aggregate, consttute a material weakness. We are contnuing to review our internal control procedures to develop and implement new controls and processes. During the year ended December 31, 2024, these eforts included: implementng segregaton of dutes over business process and informaton technology control actvites; establishing clearly defned roles within our fnance and accountng functons; increasing the number of personnel in our fnance and accountng functons that have an appropriate level of technical accountng and SEC reportng experience; and designing and implementng additonal internal controls. However, the material weakness will not be considered remediated untl the applicable remediated controls operate for a sufcient period of tme and management has concluded, through testng, that these controls are operatng efectvely.</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are unable to successfully remediate the material weakness and otherwise establish and maintain an efectve system of internal control over fnancial reportng, it could result in errors in our fnancial statements that require a restatement or cause us to fail to meet our periodic reportng obligatons, any of which could adversely afect investor confdence in us and the value of our securites and/or cause us to become subject to litgaton or regulatory enforcement actons. There can be no assurance that our remediaton actvites will be successful or that additonal material weaknesses will not be identfed in the future.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once we cease to be an EGC under the JOBS Act, we will be required to have our independent registered public accountng frm provide an atestaton report on the efectveness of our internal control over fnancial reportng pursuant to Secton 404 of SOX. This independent assessment could detect problems that management’s assessment might not. Undetected material weaknesses in our internal control over fnancial reportng could lead to fnancial statement restatements and require us to incur signifcant remediaton expenses. An adverse report may be issued if our independent registered public accountng frm is not satsfed with the level at which our controls are documented, designed, or operatng.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are an EGC, and our reliance on exemptons from certain reportng requirements that are applicable to non-EGCs could make our securites less atractve to investors.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an EGC under the JOBS Act. For as long as we contnue to be an EGC, we are permited to utlize certain exemptons from reportng requirements that are applicable to non-EGCs. These exemptons include: not being required to have our independent registered public accountng frm provide an atestaton report on the efectveness of our internal control over fnancial reportng pursuant to Secton 404 of SOX; reduced disclosure obligatons regarding executve compensaton in our periodic reports and proxy statements; and exemptons from the requirements of holding a non-binding advisory vote on executve compensaton or golden parachute payments that were not previously approved. If investors fnd our securites less atractve because we rely on any of these exemptons, there may be a less actve trading market for our securites and the market price of our securites may be more volatle.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JOBS Act also exempts EGCs from being required to comply with new or revised fnancial accountng standards untl private companies are required to do so. The JOBS Act provides that an EGC can elect to opt out of the extended transiton period and comply with the requirements that apply to non-EGCs, but that any such electon is irrevocable. We have elected not to opt out of the extended transiton period, which means that when a new or revised fnancial accountng standard has diferent applicaton dates for public and private companies, we are permited to adopt such standard at the same tme as private companies. This may make the comparison of our fnancial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35" w:lineRule="auto"/>
        <w:rPr>
          <w:sz w:val="20"/>
          <w:szCs w:val="20"/>
          <w:color w:val="auto"/>
        </w:rPr>
      </w:pPr>
      <w:r>
        <w:rPr>
          <w:rFonts w:ascii="Calibri" w:cs="Calibri" w:eastAsia="Calibri" w:hAnsi="Calibri"/>
          <w:sz w:val="18"/>
          <w:szCs w:val="18"/>
          <w:color w:val="auto"/>
        </w:rPr>
        <w:t>with those of a non-EGC, or an EGC that has elected to opt out of the extended transiton period, difcult because of the potental diferences in fnancial accountng standards used.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will cease to be an EGC upon the occurrence of the frst of the following: (i) the last day of the fscal year in which we have more than $1.235 billion in annual revenue; (ii) the date on which we qualify as a “large accelerated fler” with at least $700.0 million of equity securites held by non-afliates; (iii) the date on which we have issued, in any three-year period, more than $1.0 billion in non-convertble debt securites; and (iv) December 31, 2026.</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exercise or exchange of certain outstanding securites would increase the number of shares of our Class A common stock eligible for resale in the public market and/or dilute the ownership and votng power of our existng stockholders.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 following warrants were outstanding and exercisable: (i) warrants to purchase 6,519,791 shares of our Class A common stock at an exercise price of $11.50 per share; (ii) warrants to purchase 17,000,000 shares of our Class A common stock at an exercise price of $10.00 per share; (iii) warrants to purchase 17,000,000 shares of our Class A common stock at an exercise price of $15.00 per share; (iv) public warrants to purchase 6,766,853 shares of our Class A common stock at an exercise price of $11.50 per share; and (v) warrants to purchase 4,000,000 shares of our Class B common stock at an exercise price of $0.001 per share (which are only exercisable together with the exercise of corresponding warrants to purchase Intermediate Units (2,000,000 at an exercise price of $10.00 per unit and 2,000,000 at an exercise price of $15.00 per unit)).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issuance of shares of our Class A and/or Class B common stock upon the exercise of these warrants would dilute the ownership and votng power of our existng stockholders. In additon, the issuance of shares of our Class A common stock upon the exercise of warrants, or in exchange for outstanding shares of our Class B common stock, would increase the number of shares of our Class A common stock eligible for resale in the public market. Sales of substantal numbers of such shares in the public market, or the fact that such additonal shares may be issued, could adversely afect the market price of our Class A common stock.</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Securites analysts may not publish favorable, or any, research reports about us, which could adversely afect the market price or trading volume of our securites.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trading market for our securites will be infuenced to some extent by the research reports that industry or securites analysts publish about us. We do not control these analysts, and the analysts who publish informaton about us may have relatvely litle experience with our business or industry, which could afect their ability to accurately forecast our results and increase the likelihood that we fail to meet their estmates. If analysts provide inaccurate reports, issue unfavorable opinions regarding our business, industry, or securites, cease coverage of us, or fail to regularly publish reports regarding us or our securites, we could lose visibility in the market, which in turn could adversely afect the market price or trading volume of our securites.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Provisions in our organizatonal documents may deter, delay, or prevent our acquisiton by a third party.</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Provisions in our Charter and our amended and restated bylaws (as amended, our “Bylaws”) may make it more difcult or expensive for a third party to acquire control of us without the approval of our Board. These provisions, which may deter, delay, or prevent a merger, acquisiton, tender ofer, proxy contest, or other transacton that stockholders may consider favorable, include: (i) the sole ability of directors to fll a vacancy on our Board; (ii) advance notce requirements for stockholder proposals and director nominatons; (iii) limitatons on stockholders’ ability to call special meetngs and act by writen consent; (iv) our Board’s ability to issue and designate the terms of new series of preferred stock without stockholder approval, which could be used, among other things, to insttute a rights plan that would have the efect of signifcantly dilutng the ownership of a potental hostle acquirer, likely preventng acquisitons that have not been approved by our Board; (v) the division of our Board into three classes, each of which serves staggered three-year terms; and</w:t>
      </w:r>
    </w:p>
    <w:p>
      <w:pPr>
        <w:spacing w:after="0" w:line="5" w:lineRule="exact"/>
        <w:rPr>
          <w:sz w:val="20"/>
          <w:szCs w:val="20"/>
          <w:color w:val="auto"/>
        </w:rPr>
      </w:pPr>
    </w:p>
    <w:p>
      <w:pPr>
        <w:ind w:firstLine="8"/>
        <w:spacing w:after="0" w:line="235" w:lineRule="auto"/>
        <w:tabs>
          <w:tab w:leader="none" w:pos="288"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lack of cumulatve votng for the electon of directors. These provisions could discourage potental takeover atempts and reduce the price that investors are willing to pay for our securites.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exclusive forum provisions of our Charter may discourage lawsuits against our directors and ofcers.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Charter provides that, to the fullest extent permited by law and unless we consent in writng to the selecton of an alternatve forum, the Court of Chancery of the State of Delaware (the “Chancery Court”) (or, in the event that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51" w:lineRule="auto"/>
        <w:rPr>
          <w:sz w:val="20"/>
          <w:szCs w:val="20"/>
          <w:color w:val="auto"/>
        </w:rPr>
      </w:pPr>
      <w:r>
        <w:rPr>
          <w:rFonts w:ascii="Calibri" w:cs="Calibri" w:eastAsia="Calibri" w:hAnsi="Calibri"/>
          <w:sz w:val="17"/>
          <w:szCs w:val="17"/>
          <w:color w:val="auto"/>
        </w:rPr>
        <w:t xml:space="preserve">the Chancery Court does not have jurisdicton, the U.S. federal district court for the District of Delaware or the other state courts of the State of Delaware) is the sole and exclusive forum for any: (i) derivatve acton or proceeding brought on our behalf; (ii) acton assertng a claim of breach of a fduciary duty owed by any current or former director, ofcer, employee, or stockholder to us or our stockholders; (iii) acton assertng a claim arising pursuant to any provision of the Delaware General Corporaton Law (the “DGCL”), our Charter, or our Bylaws, or as to which the DGCL confers jurisdicton on the Chancery Court; or (iv) acton assertng a claim governed by the internal afairs doctrine; </w:t>
      </w:r>
      <w:r>
        <w:rPr>
          <w:rFonts w:ascii="Calibri" w:cs="Calibri" w:eastAsia="Calibri" w:hAnsi="Calibri"/>
          <w:sz w:val="17"/>
          <w:szCs w:val="17"/>
          <w:i w:val="1"/>
          <w:iCs w:val="1"/>
          <w:color w:val="auto"/>
        </w:rPr>
        <w:t>provided</w:t>
      </w:r>
      <w:r>
        <w:rPr>
          <w:rFonts w:ascii="Calibri" w:cs="Calibri" w:eastAsia="Calibri" w:hAnsi="Calibri"/>
          <w:sz w:val="17"/>
          <w:szCs w:val="17"/>
          <w:color w:val="auto"/>
        </w:rPr>
        <w:t xml:space="preserve"> that this provision, including for any “derivatve acton,” does not apply to suits to enforce a duty or liability created by the Securites Act, the Exchange Act, or any other claim for which the U.S. federal courts have exclusive jurisdicton.</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Charter further provides that the U.S. federal district courts are the exclusive forum for resolving any complaint assertng a cause of acton arising under the Securites Act. These exclusive forum provisions may have the efect of discouraging lawsuits against our directors and ofcers. By becoming our stockholder, you are deemed to have notce of and consented to these exclusive forum provisions.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is uncertainty as to whether a court would enforce such a provision relatng to causes of acton arising under the Securites Act, and investors cannot waive compliance with the federal securites laws and the rules and regulatons thereunder. The enforceability of similar provisions in other companies’ certfcates of incorporaton has been challenged in legal proceedings and it is possible that, in connecton with any applicable acton brought against us, a court could fnd such provisions to be inapplicable or unenforceable in such acton.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center"/>
        <w:spacing w:after="0"/>
        <w:rPr>
          <w:sz w:val="20"/>
          <w:szCs w:val="20"/>
          <w:color w:val="auto"/>
        </w:rPr>
      </w:pPr>
      <w:r>
        <w:rPr>
          <w:rFonts w:ascii="Calibri" w:cs="Calibri" w:eastAsia="Calibri" w:hAnsi="Calibri"/>
          <w:sz w:val="18"/>
          <w:szCs w:val="18"/>
          <w:b w:val="1"/>
          <w:bCs w:val="1"/>
          <w:color w:val="auto"/>
        </w:rPr>
        <w:t>Item 1B. Unresolved Staf Comments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1C. Cybersecurity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Cybersecurity Risk Management and Strategy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the importance of maintaining the safety and security of our critcal systems, informaton, products, services, and broader informaton technology environment (collectvely, our “Informaton Systems and Data”), and we have developed, implemented, and maintained a cybersecurity risk management program intended to protect the confdentality, integrity, and availability thereof.</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Cybersecurity risks are addressed as a component of our overall enterprise risk management program. As such, our informaton security team works with management to prioritze our risk management processes and to mitgate those cybersecurity threats that are more likely to lead to a material impact on our business. Features of our cybersecurity risk management program include:</w:t>
      </w:r>
    </w:p>
    <w:p>
      <w:pPr>
        <w:spacing w:after="0" w:line="11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Periodic risk assessments designed to help identfy cybersecurity risks that could materially impact our Informaton Systems and Data;</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security incident response team that is principally responsible for managing our cybersecurity risk assessment processes, informaton security controls, and response to any cybersecurity incident;</w:t>
      </w:r>
    </w:p>
    <w:p>
      <w:pPr>
        <w:spacing w:after="0" w:line="12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cyber and data security incident response plan that establishes policies and procedures for identfying, managing, and recovering from a cybersecurity incident, including escalatng ters of notfcaton depending on an incident’s nature and severity;</w:t>
      </w:r>
    </w:p>
    <w:p>
      <w:pPr>
        <w:spacing w:after="0" w:line="12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Periodic tabletop exercises with management and other employees to discuss, prepare for, and simulate our responses to potental cybersecurity incidents;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use of third-party service providers, as appropriate, to assess, test, and assist with aspects of our informaton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use of a third-party risk management process for our service providers, suppliers, and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Cybersecurity insurance designed to reduce the risk of loss resultng from cybersecurity incidents;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Cybersecurity policies and procedures, including those governing encrypton standards, antvirus protecton, remote access, multfactor authentcaton, confdental informaton, and the use of the internet, social media, email, and wireless devices; and</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Required annual privacy and cybersecurity training (including spear phishing and other awareness exercises) for employees.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the techniques used to obtain unauthorized access, disable/degrade service, or sabotage systems change frequently, we have invested and contnue to invest in the security and resiliency of our systems and networks to help protect our Informaton Systems and Data. For a discussion of cybersecurity-related risks that may materially afect us and how they may do so, see the “Risk Factors—Risks Related to Informaton Technology, Cybersecurity, and Intellectual Property” secton of this Report.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Cybersecurity Governance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is responsible for overseeing our overall enterprise risk management program, and each of its commitees assists in this risk oversight role. Our Board has delegated the monitoring and oversight of risks relatng to data privacy, technology, informaton security, and cybersecurity to our Audit Commitee, which regularly reports to our Board regarding its actvites, including those related to the management of these risks. Our Board also receives periodic briefngs from management regarding our cybersecurity risk management program, including presentatons on cybersecurity topics from our CTO, our informaton security team, and other third-party experts.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35" w:lineRule="auto"/>
        <w:rPr>
          <w:sz w:val="20"/>
          <w:szCs w:val="20"/>
          <w:color w:val="auto"/>
        </w:rPr>
      </w:pPr>
      <w:r>
        <w:rPr>
          <w:rFonts w:ascii="Calibri" w:cs="Calibri" w:eastAsia="Calibri" w:hAnsi="Calibri"/>
          <w:sz w:val="18"/>
          <w:szCs w:val="18"/>
          <w:color w:val="auto"/>
        </w:rPr>
        <w:t>Our Audit Commitee oversees management’s implementaton of our cybersecurity risk management program. It receives regular updates from our CTO and other members of management on cybersecurity trends and developments, the cybersecurity risks that are most relevant to our business, and our cybersecurity strategy, as well as other updates, as appropriate, regarding certain cybersecurity incidents.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cross-functonal management team, including members of our informaton security, technical infrastructure, engineering, and legal departments, is responsible for identfying, assessing, and managing the risks from cybersecurity threats that are relevant to our business, as well as managing our response to any cybersecurity incident (and, depending on an incident’s potental nature and severity, reportng it to our Audit Commitee and considering with management whether public disclosure is appropriate or required). This team has primary responsibility for our cybersecurity risk management program, including our cyber and data security incident response plan, supervises our internal personnel and third-party service providers, and communicates our cybersecurity risk management processes to management, our Board, and our Audit Commitee. This team reports to our CTO, who has more than 15 years of experience in the technology sector, and possesses nearly 60 years of combined experience in cybersecurity maters, including threat assessment and detecton, mitgaton technologies, incident response, cyber forensics, and regulatory compliance. In additon to relevant educatonal and industry experience, members of this team, including the heads of our informaton security and technical infrastructure departments, hold relevant cyber and informaton security certfcatons, including from ISACA (Certfed Informaton Security Manager and Certfed Informaton Systems Auditor) and ISC2 (Certfed Informaton Systems Security Professional). This team supervises eforts to prevent, detect, mitgate, and remediate cybersecurity risks and incidents through various means, including, as appropriate, the operaton of our cyber and data security incident response plan, briefngs from internal security personnel, threat intelligence, and other informaton obtained from governmental, public, or private sources, including our third-party service providers, and alerts and reports produced by security tools deployed in the informaton technology environment.</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2. Propertes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we leased approximately 53,000 square feet of space in Chicago, Illinois for our headquarters under a lease agreement that runs through December 31, 2033 with a fve-year renewal opton, unless terminated sooner, as well as facilites in Coppell, Texas; Las Vegas, Nevada; Toronto, Ontario; and Tokyo, Japan.</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3. Legal Proceedings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5360"/>
        <w:spacing w:after="0"/>
        <w:rPr>
          <w:sz w:val="20"/>
          <w:szCs w:val="20"/>
          <w:color w:val="auto"/>
        </w:rPr>
      </w:pPr>
      <w:r>
        <w:rPr>
          <w:rFonts w:ascii="Calibri" w:cs="Calibri" w:eastAsia="Calibri" w:hAnsi="Calibri"/>
          <w:sz w:val="18"/>
          <w:szCs w:val="18"/>
          <w:b w:val="1"/>
          <w:bCs w:val="1"/>
          <w:color w:val="auto"/>
        </w:rPr>
        <w:t>PART II</w:t>
      </w:r>
    </w:p>
    <w:p>
      <w:pPr>
        <w:spacing w:after="0" w:line="104" w:lineRule="exact"/>
        <w:rPr>
          <w:sz w:val="20"/>
          <w:szCs w:val="20"/>
          <w:color w:val="auto"/>
        </w:rPr>
      </w:pPr>
    </w:p>
    <w:p>
      <w:pPr>
        <w:ind w:left="1320"/>
        <w:spacing w:after="0"/>
        <w:rPr>
          <w:sz w:val="20"/>
          <w:szCs w:val="20"/>
          <w:color w:val="auto"/>
        </w:rPr>
      </w:pPr>
      <w:r>
        <w:rPr>
          <w:rFonts w:ascii="Calibri" w:cs="Calibri" w:eastAsia="Calibri" w:hAnsi="Calibri"/>
          <w:sz w:val="18"/>
          <w:szCs w:val="18"/>
          <w:b w:val="1"/>
          <w:bCs w:val="1"/>
          <w:color w:val="auto"/>
        </w:rPr>
        <w:t>Item 5. Market for Registrant’s Common Equity, Related Stockholder Maters and Issuer Purchases of Equity Securites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 Informaton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Our Class A common stock and warrants are listed on the Nasdaq under the trading symbols “SEAT” and “SEATW,” respectvely.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Stockholders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February 28, 2025, there were 44 holders of record of our Class A common stock and one holder of record of our Class B common stock. However, the actual number of our Class A common stockholders is greater than this because it includes benefcial owners whose shares are held in “street name” by banks, brokers, and other nominees.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did not pay any cash dividends on our Class A common stock during the year ended December 31, 2024. We intend to retain future earnings for operatons, development, expansion, and debt repayment, as well as potental acquisitons, strategic investments, and share repurchases. As a result, we have no current intenton to pay cash dividends on our Class A common stock for the foreseeable future. Any future decision to do so will be made at the discreton of our Board and will depend on, among other things, our results of operatons, fnancial conditon, cash requirements, contractual restrictons (including those under our credit facility and/or any future indebtedness we may incur), business prospects, and other factors that our Board may deem relevant.</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Performance Graph</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graph depicts the cumulatve total return to stockholders, assuming dividend reinvestment, of a $100 investment in each of our Class A common stock, the Nasdaq Composite Index, and the Russell 2000 Technology Index from October 19, 2021 (the date on which our Class A common stock began trading on the Nasdaq) through December 31, 2024. This informaton is not intended to forecast, and may not be indicatve of,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85090</wp:posOffset>
            </wp:positionV>
            <wp:extent cx="4294505" cy="3223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9450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Sales of Unregistered Securites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Purchases of Equity Securites by the Issuer and Afliated Purchasers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provides informaton related to our purchases of our common stock during the three months ended December 31, 2024 (in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Total Number of Shares</w:t>
            </w:r>
          </w:p>
        </w:tc>
        <w:tc>
          <w:tcPr>
            <w:tcW w:w="240" w:type="dxa"/>
            <w:vAlign w:val="bottom"/>
          </w:tcPr>
          <w:p>
            <w:pPr>
              <w:spacing w:after="0"/>
              <w:rPr>
                <w:sz w:val="19"/>
                <w:szCs w:val="19"/>
                <w:color w:val="auto"/>
              </w:rPr>
            </w:pPr>
          </w:p>
        </w:tc>
        <w:tc>
          <w:tcPr>
            <w:tcW w:w="2820" w:type="dxa"/>
            <w:vAlign w:val="bottom"/>
            <w:gridSpan w:val="3"/>
          </w:tcPr>
          <w:p>
            <w:pPr>
              <w:ind w:left="40"/>
              <w:spacing w:after="0"/>
              <w:rPr>
                <w:sz w:val="20"/>
                <w:szCs w:val="20"/>
                <w:color w:val="auto"/>
              </w:rPr>
            </w:pPr>
            <w:r>
              <w:rPr>
                <w:rFonts w:ascii="Calibri" w:cs="Calibri" w:eastAsia="Calibri" w:hAnsi="Calibri"/>
                <w:sz w:val="18"/>
                <w:szCs w:val="18"/>
                <w:b w:val="1"/>
                <w:bCs w:val="1"/>
                <w:color w:val="auto"/>
              </w:rPr>
              <w:t>Approximate Dollar Value of Shares</w:t>
            </w:r>
          </w:p>
        </w:tc>
      </w:tr>
      <w:tr>
        <w:trPr>
          <w:trHeight w:val="193"/>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ind w:left="100"/>
              <w:spacing w:after="0" w:line="193" w:lineRule="exact"/>
              <w:rPr>
                <w:sz w:val="20"/>
                <w:szCs w:val="20"/>
                <w:color w:val="auto"/>
              </w:rPr>
            </w:pPr>
            <w:r>
              <w:rPr>
                <w:rFonts w:ascii="Calibri" w:cs="Calibri" w:eastAsia="Calibri" w:hAnsi="Calibri"/>
                <w:sz w:val="18"/>
                <w:szCs w:val="18"/>
                <w:b w:val="1"/>
                <w:bCs w:val="1"/>
                <w:color w:val="auto"/>
              </w:rPr>
              <w:t>Total Number of</w:t>
            </w:r>
          </w:p>
        </w:tc>
        <w:tc>
          <w:tcPr>
            <w:tcW w:w="220" w:type="dxa"/>
            <w:vAlign w:val="bottom"/>
          </w:tcPr>
          <w:p>
            <w:pPr>
              <w:spacing w:after="0"/>
              <w:rPr>
                <w:sz w:val="16"/>
                <w:szCs w:val="16"/>
                <w:color w:val="auto"/>
              </w:rPr>
            </w:pPr>
          </w:p>
        </w:tc>
        <w:tc>
          <w:tcPr>
            <w:tcW w:w="1560" w:type="dxa"/>
            <w:vAlign w:val="bottom"/>
            <w:gridSpan w:val="2"/>
          </w:tcPr>
          <w:p>
            <w:pPr>
              <w:ind w:left="80"/>
              <w:spacing w:after="0" w:line="193" w:lineRule="exact"/>
              <w:rPr>
                <w:sz w:val="20"/>
                <w:szCs w:val="20"/>
                <w:color w:val="auto"/>
              </w:rPr>
            </w:pPr>
            <w:r>
              <w:rPr>
                <w:rFonts w:ascii="Calibri" w:cs="Calibri" w:eastAsia="Calibri" w:hAnsi="Calibri"/>
                <w:sz w:val="18"/>
                <w:szCs w:val="18"/>
                <w:b w:val="1"/>
                <w:bCs w:val="1"/>
                <w:color w:val="auto"/>
              </w:rPr>
              <w:t>Average Price Paid</w:t>
            </w:r>
          </w:p>
        </w:tc>
        <w:tc>
          <w:tcPr>
            <w:tcW w:w="220" w:type="dxa"/>
            <w:vAlign w:val="bottom"/>
          </w:tcPr>
          <w:p>
            <w:pPr>
              <w:spacing w:after="0"/>
              <w:rPr>
                <w:sz w:val="16"/>
                <w:szCs w:val="16"/>
                <w:color w:val="auto"/>
              </w:rPr>
            </w:pPr>
          </w:p>
        </w:tc>
        <w:tc>
          <w:tcPr>
            <w:tcW w:w="232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w w:val="97"/>
              </w:rPr>
              <w:t>Purchased As Part of Publicly</w:t>
            </w:r>
          </w:p>
        </w:tc>
        <w:tc>
          <w:tcPr>
            <w:tcW w:w="240" w:type="dxa"/>
            <w:vAlign w:val="bottom"/>
          </w:tcPr>
          <w:p>
            <w:pPr>
              <w:spacing w:after="0"/>
              <w:rPr>
                <w:sz w:val="16"/>
                <w:szCs w:val="16"/>
                <w:color w:val="auto"/>
              </w:rPr>
            </w:pPr>
          </w:p>
        </w:tc>
        <w:tc>
          <w:tcPr>
            <w:tcW w:w="2820" w:type="dxa"/>
            <w:vAlign w:val="bottom"/>
            <w:gridSpan w:val="3"/>
          </w:tcPr>
          <w:p>
            <w:pPr>
              <w:ind w:left="100"/>
              <w:spacing w:after="0" w:line="193" w:lineRule="exact"/>
              <w:rPr>
                <w:sz w:val="20"/>
                <w:szCs w:val="20"/>
                <w:color w:val="auto"/>
              </w:rPr>
            </w:pPr>
            <w:r>
              <w:rPr>
                <w:rFonts w:ascii="Calibri" w:cs="Calibri" w:eastAsia="Calibri" w:hAnsi="Calibri"/>
                <w:sz w:val="18"/>
                <w:szCs w:val="18"/>
                <w:b w:val="1"/>
                <w:bCs w:val="1"/>
                <w:color w:val="auto"/>
              </w:rPr>
              <w:t>That May Yet Be Purchased Under</w:t>
            </w:r>
          </w:p>
        </w:tc>
      </w:tr>
      <w:tr>
        <w:trPr>
          <w:trHeight w:val="263"/>
        </w:trPr>
        <w:tc>
          <w:tcPr>
            <w:tcW w:w="2280" w:type="dxa"/>
            <w:vAlign w:val="bottom"/>
            <w:tcBorders>
              <w:bottom w:val="single" w:sz="8" w:color="auto"/>
            </w:tcBorders>
          </w:tcPr>
          <w:p>
            <w:pPr>
              <w:ind w:left="920"/>
              <w:spacing w:after="0"/>
              <w:rPr>
                <w:sz w:val="20"/>
                <w:szCs w:val="20"/>
                <w:color w:val="auto"/>
              </w:rPr>
            </w:pPr>
            <w:r>
              <w:rPr>
                <w:rFonts w:ascii="Calibri" w:cs="Calibri" w:eastAsia="Calibri" w:hAnsi="Calibri"/>
                <w:sz w:val="18"/>
                <w:szCs w:val="18"/>
                <w:b w:val="1"/>
                <w:bCs w:val="1"/>
                <w:color w:val="auto"/>
              </w:rPr>
              <w:t>Period</w:t>
            </w:r>
          </w:p>
        </w:tc>
        <w:tc>
          <w:tcPr>
            <w:tcW w:w="140" w:type="dxa"/>
            <w:vAlign w:val="bottom"/>
          </w:tcPr>
          <w:p>
            <w:pPr>
              <w:spacing w:after="0"/>
              <w:rPr>
                <w:sz w:val="22"/>
                <w:szCs w:val="22"/>
                <w:color w:val="auto"/>
              </w:rPr>
            </w:pPr>
          </w:p>
        </w:tc>
        <w:tc>
          <w:tcPr>
            <w:tcW w:w="1440" w:type="dxa"/>
            <w:vAlign w:val="bottom"/>
            <w:tcBorders>
              <w:bottom w:val="single" w:sz="8" w:color="auto"/>
            </w:tcBorders>
          </w:tcPr>
          <w:p>
            <w:pPr>
              <w:ind w:left="80"/>
              <w:spacing w:after="0"/>
              <w:rPr>
                <w:sz w:val="20"/>
                <w:szCs w:val="20"/>
                <w:color w:val="auto"/>
              </w:rPr>
            </w:pPr>
            <w:r>
              <w:rPr>
                <w:rFonts w:ascii="Calibri" w:cs="Calibri" w:eastAsia="Calibri" w:hAnsi="Calibri"/>
                <w:sz w:val="18"/>
                <w:szCs w:val="18"/>
                <w:b w:val="1"/>
                <w:bCs w:val="1"/>
                <w:color w:val="auto"/>
              </w:rPr>
              <w:t>Shares Purchased</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60"/>
              <w:spacing w:after="0"/>
              <w:rPr>
                <w:sz w:val="20"/>
                <w:szCs w:val="20"/>
                <w:color w:val="auto"/>
              </w:rPr>
            </w:pPr>
            <w:r>
              <w:rPr>
                <w:rFonts w:ascii="Calibri" w:cs="Calibri" w:eastAsia="Calibri" w:hAnsi="Calibri"/>
                <w:sz w:val="18"/>
                <w:szCs w:val="18"/>
                <w:b w:val="1"/>
                <w:bCs w:val="1"/>
                <w:color w:val="auto"/>
              </w:rPr>
              <w:t>Per Share</w:t>
            </w:r>
          </w:p>
        </w:tc>
        <w:tc>
          <w:tcPr>
            <w:tcW w:w="220" w:type="dxa"/>
            <w:vAlign w:val="bottom"/>
          </w:tcPr>
          <w:p>
            <w:pPr>
              <w:spacing w:after="0"/>
              <w:rPr>
                <w:sz w:val="22"/>
                <w:szCs w:val="22"/>
                <w:color w:val="auto"/>
              </w:rPr>
            </w:pPr>
          </w:p>
        </w:tc>
        <w:tc>
          <w:tcPr>
            <w:tcW w:w="232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7"/>
              </w:rPr>
              <w:t>Announced Plans or Programs</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410"/>
              <w:spacing w:after="0" w:line="263" w:lineRule="exact"/>
              <w:rPr>
                <w:sz w:val="20"/>
                <w:szCs w:val="20"/>
                <w:color w:val="auto"/>
              </w:rPr>
            </w:pPr>
            <w:r>
              <w:rPr>
                <w:rFonts w:ascii="Calibri" w:cs="Calibri" w:eastAsia="Calibri" w:hAnsi="Calibri"/>
                <w:sz w:val="18"/>
                <w:szCs w:val="18"/>
                <w:b w:val="1"/>
                <w:bCs w:val="1"/>
                <w:color w:val="auto"/>
              </w:rPr>
              <w:t>the Plans or Programs</w:t>
            </w:r>
            <w:r>
              <w:rPr>
                <w:rFonts w:ascii="Calibri" w:cs="Calibri" w:eastAsia="Calibri" w:hAnsi="Calibri"/>
                <w:sz w:val="24"/>
                <w:szCs w:val="24"/>
                <w:b w:val="1"/>
                <w:bCs w:val="1"/>
                <w:color w:val="auto"/>
                <w:vertAlign w:val="superscript"/>
              </w:rPr>
              <w:t>(1)</w:t>
            </w:r>
          </w:p>
        </w:tc>
        <w:tc>
          <w:tcPr>
            <w:tcW w:w="100" w:type="dxa"/>
            <w:vAlign w:val="bottom"/>
          </w:tcPr>
          <w:p>
            <w:pPr>
              <w:spacing w:after="0"/>
              <w:rPr>
                <w:sz w:val="22"/>
                <w:szCs w:val="22"/>
                <w:color w:val="auto"/>
              </w:rPr>
            </w:pPr>
          </w:p>
        </w:tc>
      </w:tr>
      <w:tr>
        <w:trPr>
          <w:trHeight w:val="209"/>
        </w:trPr>
        <w:tc>
          <w:tcPr>
            <w:tcW w:w="22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October 1-31, 2024</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ind w:left="1260"/>
              <w:spacing w:after="0" w:line="209" w:lineRule="exact"/>
              <w:rPr>
                <w:sz w:val="20"/>
                <w:szCs w:val="20"/>
                <w:color w:val="auto"/>
              </w:rPr>
            </w:pPr>
            <w:r>
              <w:rPr>
                <w:rFonts w:ascii="Calibri" w:cs="Calibri" w:eastAsia="Calibri" w:hAnsi="Calibri"/>
                <w:sz w:val="18"/>
                <w:szCs w:val="18"/>
                <w:color w:val="auto"/>
                <w:w w:val="97"/>
              </w:rPr>
              <w:t>—</w:t>
            </w:r>
          </w:p>
        </w:tc>
        <w:tc>
          <w:tcPr>
            <w:tcW w:w="500" w:type="dxa"/>
            <w:vAlign w:val="bottom"/>
            <w:gridSpan w:val="2"/>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FF0FC"/>
          </w:tcPr>
          <w:p>
            <w:pPr>
              <w:ind w:left="1100"/>
              <w:spacing w:after="0" w:line="209" w:lineRule="exact"/>
              <w:rPr>
                <w:sz w:val="20"/>
                <w:szCs w:val="20"/>
                <w:color w:val="auto"/>
              </w:rPr>
            </w:pPr>
            <w:r>
              <w:rPr>
                <w:rFonts w:ascii="Calibri" w:cs="Calibri" w:eastAsia="Calibri" w:hAnsi="Calibri"/>
                <w:sz w:val="18"/>
                <w:szCs w:val="18"/>
                <w:color w:val="auto"/>
                <w:w w:val="97"/>
              </w:rPr>
              <w:t>—</w:t>
            </w:r>
          </w:p>
        </w:tc>
        <w:tc>
          <w:tcPr>
            <w:tcW w:w="220" w:type="dxa"/>
            <w:vAlign w:val="bottom"/>
            <w:shd w:val="clear" w:color="auto" w:fill="CFF0FC"/>
          </w:tcPr>
          <w:p>
            <w:pPr>
              <w:spacing w:after="0"/>
              <w:rPr>
                <w:sz w:val="18"/>
                <w:szCs w:val="18"/>
                <w:color w:val="auto"/>
              </w:rPr>
            </w:pPr>
          </w:p>
        </w:tc>
        <w:tc>
          <w:tcPr>
            <w:tcW w:w="2320" w:type="dxa"/>
            <w:vAlign w:val="bottom"/>
            <w:shd w:val="clear" w:color="auto" w:fill="CFF0FC"/>
          </w:tcPr>
          <w:p>
            <w:pPr>
              <w:ind w:left="2140"/>
              <w:spacing w:after="0" w:line="209" w:lineRule="exact"/>
              <w:rPr>
                <w:sz w:val="20"/>
                <w:szCs w:val="20"/>
                <w:color w:val="auto"/>
              </w:rPr>
            </w:pPr>
            <w:r>
              <w:rPr>
                <w:rFonts w:ascii="Calibri" w:cs="Calibri" w:eastAsia="Calibri" w:hAnsi="Calibri"/>
                <w:sz w:val="18"/>
                <w:szCs w:val="18"/>
                <w:color w:val="auto"/>
                <w:w w:val="97"/>
              </w:rPr>
              <w:t>—</w:t>
            </w:r>
          </w:p>
        </w:tc>
        <w:tc>
          <w:tcPr>
            <w:tcW w:w="540" w:type="dxa"/>
            <w:vAlign w:val="bottom"/>
            <w:gridSpan w:val="2"/>
            <w:shd w:val="clear" w:color="auto" w:fill="CFF0FC"/>
          </w:tcPr>
          <w:p>
            <w:pPr>
              <w:ind w:left="260"/>
              <w:spacing w:after="0" w:line="209" w:lineRule="exact"/>
              <w:rPr>
                <w:sz w:val="20"/>
                <w:szCs w:val="20"/>
                <w:color w:val="auto"/>
              </w:rPr>
            </w:pPr>
            <w:r>
              <w:rPr>
                <w:rFonts w:ascii="Calibri" w:cs="Calibri" w:eastAsia="Calibri" w:hAnsi="Calibri"/>
                <w:sz w:val="18"/>
                <w:szCs w:val="18"/>
                <w:color w:val="auto"/>
              </w:rPr>
              <w:t>$</w:t>
            </w:r>
          </w:p>
        </w:tc>
        <w:tc>
          <w:tcPr>
            <w:tcW w:w="24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77,221</w:t>
            </w:r>
          </w:p>
        </w:tc>
        <w:tc>
          <w:tcPr>
            <w:tcW w:w="100" w:type="dxa"/>
            <w:vAlign w:val="bottom"/>
            <w:shd w:val="clear" w:color="auto" w:fill="CFF0FC"/>
          </w:tcPr>
          <w:p>
            <w:pPr>
              <w:spacing w:after="0"/>
              <w:rPr>
                <w:sz w:val="18"/>
                <w:szCs w:val="18"/>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November 1-30, 2024</w:t>
            </w:r>
          </w:p>
        </w:tc>
        <w:tc>
          <w:tcPr>
            <w:tcW w:w="140" w:type="dxa"/>
            <w:vAlign w:val="bottom"/>
          </w:tcPr>
          <w:p>
            <w:pPr>
              <w:spacing w:after="0"/>
              <w:rPr>
                <w:sz w:val="18"/>
                <w:szCs w:val="18"/>
                <w:color w:val="auto"/>
              </w:rPr>
            </w:pPr>
          </w:p>
        </w:tc>
        <w:tc>
          <w:tcPr>
            <w:tcW w:w="1440" w:type="dxa"/>
            <w:vAlign w:val="bottom"/>
          </w:tcPr>
          <w:p>
            <w:pPr>
              <w:ind w:left="1260"/>
              <w:spacing w:after="0" w:line="215" w:lineRule="exact"/>
              <w:rPr>
                <w:sz w:val="20"/>
                <w:szCs w:val="20"/>
                <w:color w:val="auto"/>
              </w:rPr>
            </w:pPr>
            <w:r>
              <w:rPr>
                <w:rFonts w:ascii="Calibri" w:cs="Calibri" w:eastAsia="Calibri" w:hAnsi="Calibri"/>
                <w:sz w:val="18"/>
                <w:szCs w:val="18"/>
                <w:color w:val="auto"/>
                <w:w w:val="97"/>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100"/>
              <w:spacing w:after="0" w:line="215" w:lineRule="exact"/>
              <w:rPr>
                <w:sz w:val="20"/>
                <w:szCs w:val="20"/>
                <w:color w:val="auto"/>
              </w:rPr>
            </w:pPr>
            <w:r>
              <w:rPr>
                <w:rFonts w:ascii="Calibri" w:cs="Calibri" w:eastAsia="Calibri" w:hAnsi="Calibri"/>
                <w:sz w:val="18"/>
                <w:szCs w:val="18"/>
                <w:color w:val="auto"/>
                <w:w w:val="97"/>
              </w:rPr>
              <w:t>—</w:t>
            </w:r>
          </w:p>
        </w:tc>
        <w:tc>
          <w:tcPr>
            <w:tcW w:w="220" w:type="dxa"/>
            <w:vAlign w:val="bottom"/>
          </w:tcPr>
          <w:p>
            <w:pPr>
              <w:spacing w:after="0"/>
              <w:rPr>
                <w:sz w:val="18"/>
                <w:szCs w:val="18"/>
                <w:color w:val="auto"/>
              </w:rPr>
            </w:pPr>
          </w:p>
        </w:tc>
        <w:tc>
          <w:tcPr>
            <w:tcW w:w="2320" w:type="dxa"/>
            <w:vAlign w:val="bottom"/>
          </w:tcPr>
          <w:p>
            <w:pPr>
              <w:ind w:left="214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jc w:val="right"/>
              <w:spacing w:after="0" w:line="215" w:lineRule="exact"/>
              <w:rPr>
                <w:sz w:val="20"/>
                <w:szCs w:val="20"/>
                <w:color w:val="auto"/>
              </w:rPr>
            </w:pPr>
            <w:r>
              <w:rPr>
                <w:rFonts w:ascii="Calibri" w:cs="Calibri" w:eastAsia="Calibri" w:hAnsi="Calibri"/>
                <w:sz w:val="18"/>
                <w:szCs w:val="18"/>
                <w:color w:val="auto"/>
              </w:rPr>
              <w:t>77,221</w:t>
            </w:r>
          </w:p>
        </w:tc>
        <w:tc>
          <w:tcPr>
            <w:tcW w:w="100" w:type="dxa"/>
            <w:vAlign w:val="bottom"/>
          </w:tcPr>
          <w:p>
            <w:pPr>
              <w:spacing w:after="0"/>
              <w:rPr>
                <w:sz w:val="18"/>
                <w:szCs w:val="18"/>
                <w:color w:val="auto"/>
              </w:rPr>
            </w:pPr>
          </w:p>
        </w:tc>
      </w:tr>
      <w:tr>
        <w:trPr>
          <w:trHeight w:val="216"/>
        </w:trPr>
        <w:tc>
          <w:tcPr>
            <w:tcW w:w="22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December 1-31, 2024</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ind w:left="1260"/>
              <w:spacing w:after="0" w:line="216" w:lineRule="exact"/>
              <w:rPr>
                <w:sz w:val="20"/>
                <w:szCs w:val="20"/>
                <w:color w:val="auto"/>
              </w:rPr>
            </w:pPr>
            <w:r>
              <w:rPr>
                <w:rFonts w:ascii="Calibri" w:cs="Calibri" w:eastAsia="Calibri" w:hAnsi="Calibri"/>
                <w:sz w:val="18"/>
                <w:szCs w:val="18"/>
                <w:color w:val="auto"/>
                <w:w w:val="97"/>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1100"/>
              <w:spacing w:after="0" w:line="216" w:lineRule="exact"/>
              <w:rPr>
                <w:sz w:val="20"/>
                <w:szCs w:val="20"/>
                <w:color w:val="auto"/>
              </w:rPr>
            </w:pPr>
            <w:r>
              <w:rPr>
                <w:rFonts w:ascii="Calibri" w:cs="Calibri" w:eastAsia="Calibri" w:hAnsi="Calibri"/>
                <w:sz w:val="18"/>
                <w:szCs w:val="18"/>
                <w:color w:val="auto"/>
                <w:w w:val="97"/>
              </w:rPr>
              <w:t>—</w:t>
            </w:r>
          </w:p>
        </w:tc>
        <w:tc>
          <w:tcPr>
            <w:tcW w:w="220" w:type="dxa"/>
            <w:vAlign w:val="bottom"/>
            <w:tcBorders>
              <w:bottom w:val="single" w:sz="8" w:color="CFF0FC"/>
            </w:tcBorders>
            <w:shd w:val="clear" w:color="auto" w:fill="CFF0FC"/>
          </w:tcPr>
          <w:p>
            <w:pPr>
              <w:spacing w:after="0"/>
              <w:rPr>
                <w:sz w:val="18"/>
                <w:szCs w:val="18"/>
                <w:color w:val="auto"/>
              </w:rPr>
            </w:pPr>
          </w:p>
        </w:tc>
        <w:tc>
          <w:tcPr>
            <w:tcW w:w="2320" w:type="dxa"/>
            <w:vAlign w:val="bottom"/>
            <w:tcBorders>
              <w:bottom w:val="single" w:sz="8" w:color="auto"/>
            </w:tcBorders>
            <w:shd w:val="clear" w:color="auto" w:fill="CFF0FC"/>
          </w:tcPr>
          <w:p>
            <w:pPr>
              <w:ind w:left="214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77,221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28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w:t>
            </w:r>
          </w:p>
        </w:tc>
        <w:tc>
          <w:tcPr>
            <w:tcW w:w="140" w:type="dxa"/>
            <w:vAlign w:val="bottom"/>
          </w:tcPr>
          <w:p>
            <w:pPr>
              <w:spacing w:after="0"/>
              <w:rPr>
                <w:sz w:val="18"/>
                <w:szCs w:val="18"/>
                <w:color w:val="auto"/>
              </w:rPr>
            </w:pPr>
          </w:p>
        </w:tc>
        <w:tc>
          <w:tcPr>
            <w:tcW w:w="1440" w:type="dxa"/>
            <w:vAlign w:val="bottom"/>
          </w:tcPr>
          <w:p>
            <w:pPr>
              <w:ind w:left="1260"/>
              <w:spacing w:after="0" w:line="210" w:lineRule="exact"/>
              <w:rPr>
                <w:sz w:val="20"/>
                <w:szCs w:val="20"/>
                <w:color w:val="auto"/>
              </w:rPr>
            </w:pPr>
            <w:r>
              <w:rPr>
                <w:rFonts w:ascii="Calibri" w:cs="Calibri" w:eastAsia="Calibri" w:hAnsi="Calibri"/>
                <w:sz w:val="18"/>
                <w:szCs w:val="18"/>
                <w:b w:val="1"/>
                <w:bCs w:val="1"/>
                <w:color w:val="auto"/>
                <w:w w:val="97"/>
              </w:rPr>
              <w:t>—</w:t>
            </w:r>
          </w:p>
        </w:tc>
        <w:tc>
          <w:tcPr>
            <w:tcW w:w="500" w:type="dxa"/>
            <w:vAlign w:val="bottom"/>
            <w:gridSpan w:val="2"/>
          </w:tcPr>
          <w:p>
            <w:pPr>
              <w:jc w:val="right"/>
              <w:ind w:right="90"/>
              <w:spacing w:after="0" w:line="210" w:lineRule="exact"/>
              <w:rPr>
                <w:sz w:val="20"/>
                <w:szCs w:val="20"/>
                <w:color w:val="auto"/>
              </w:rPr>
            </w:pPr>
            <w:r>
              <w:rPr>
                <w:rFonts w:ascii="Calibri" w:cs="Calibri" w:eastAsia="Calibri" w:hAnsi="Calibri"/>
                <w:sz w:val="18"/>
                <w:szCs w:val="18"/>
                <w:b w:val="1"/>
                <w:bCs w:val="1"/>
                <w:color w:val="auto"/>
              </w:rPr>
              <w:t>$</w:t>
            </w:r>
          </w:p>
        </w:tc>
        <w:tc>
          <w:tcPr>
            <w:tcW w:w="1280" w:type="dxa"/>
            <w:vAlign w:val="bottom"/>
          </w:tcPr>
          <w:p>
            <w:pPr>
              <w:ind w:left="1100"/>
              <w:spacing w:after="0" w:line="210" w:lineRule="exact"/>
              <w:rPr>
                <w:sz w:val="20"/>
                <w:szCs w:val="20"/>
                <w:color w:val="auto"/>
              </w:rPr>
            </w:pPr>
            <w:r>
              <w:rPr>
                <w:rFonts w:ascii="Calibri" w:cs="Calibri" w:eastAsia="Calibri" w:hAnsi="Calibri"/>
                <w:sz w:val="18"/>
                <w:szCs w:val="18"/>
                <w:b w:val="1"/>
                <w:bCs w:val="1"/>
                <w:color w:val="auto"/>
                <w:w w:val="97"/>
              </w:rPr>
              <w:t>—</w:t>
            </w:r>
          </w:p>
        </w:tc>
        <w:tc>
          <w:tcPr>
            <w:tcW w:w="220" w:type="dxa"/>
            <w:vAlign w:val="bottom"/>
          </w:tcPr>
          <w:p>
            <w:pPr>
              <w:spacing w:after="0"/>
              <w:rPr>
                <w:sz w:val="18"/>
                <w:szCs w:val="18"/>
                <w:color w:val="auto"/>
              </w:rPr>
            </w:pPr>
          </w:p>
        </w:tc>
        <w:tc>
          <w:tcPr>
            <w:tcW w:w="2320" w:type="dxa"/>
            <w:vAlign w:val="bottom"/>
          </w:tcPr>
          <w:p>
            <w:pPr>
              <w:ind w:left="2140"/>
              <w:spacing w:after="0" w:line="210" w:lineRule="exact"/>
              <w:rPr>
                <w:sz w:val="20"/>
                <w:szCs w:val="20"/>
                <w:color w:val="auto"/>
              </w:rPr>
            </w:pPr>
            <w:r>
              <w:rPr>
                <w:rFonts w:ascii="Calibri" w:cs="Calibri" w:eastAsia="Calibri" w:hAnsi="Calibri"/>
                <w:sz w:val="18"/>
                <w:szCs w:val="18"/>
                <w:b w:val="1"/>
                <w:bCs w:val="1"/>
                <w:color w:val="auto"/>
                <w:w w:val="97"/>
              </w:rPr>
              <w:t>—</w:t>
            </w:r>
          </w:p>
        </w:tc>
        <w:tc>
          <w:tcPr>
            <w:tcW w:w="540" w:type="dxa"/>
            <w:vAlign w:val="bottom"/>
            <w:gridSpan w:val="2"/>
          </w:tcPr>
          <w:p>
            <w:pPr>
              <w:ind w:left="260"/>
              <w:spacing w:after="0" w:line="210" w:lineRule="exact"/>
              <w:rPr>
                <w:sz w:val="20"/>
                <w:szCs w:val="20"/>
                <w:color w:val="auto"/>
              </w:rPr>
            </w:pPr>
            <w:r>
              <w:rPr>
                <w:rFonts w:ascii="Calibri" w:cs="Calibri" w:eastAsia="Calibri" w:hAnsi="Calibri"/>
                <w:sz w:val="18"/>
                <w:szCs w:val="18"/>
                <w:b w:val="1"/>
                <w:bCs w:val="1"/>
                <w:color w:val="auto"/>
              </w:rPr>
              <w:t>$</w:t>
            </w:r>
          </w:p>
        </w:tc>
        <w:tc>
          <w:tcPr>
            <w:tcW w:w="24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77,221</w:t>
            </w:r>
          </w:p>
        </w:tc>
        <w:tc>
          <w:tcPr>
            <w:tcW w:w="100" w:type="dxa"/>
            <w:vAlign w:val="bottom"/>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ind w:left="380" w:hanging="372"/>
        <w:spacing w:after="0" w:line="235" w:lineRule="auto"/>
        <w:tabs>
          <w:tab w:leader="none" w:pos="38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On February 29, 2024, our Board authorized a share repurchase program for up to $100.0 million of our Class A common stock (the “2024 Share Repurchase Program”). The 2024 Share Repurchase Program was publicly announced on March 5, 2024, does not have a fxed expiraton date, and does not obligate us to purchase any minimum number of shares. Under the 2024 Share Repurchase Program, we may repurchase shares in privately negotated or open market transactons, including under plans complying with Rule 10b5-1 under the Exchange Act.</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6. [Reserved]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Calibri" w:cs="Calibri" w:eastAsia="Calibri" w:hAnsi="Calibri"/>
          <w:sz w:val="18"/>
          <w:szCs w:val="18"/>
          <w:b w:val="1"/>
          <w:bCs w:val="1"/>
          <w:color w:val="auto"/>
        </w:rPr>
        <w:t>Item 7. Management’s Discussion and Analysis of Financial Conditon and Results of Operatons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This discussion should be read together with our audited consolidated fnancial statements and accompanying notes included elsewhere in this Report. This discussion contains forward-looking statements, which are subject to a number of risks and uncertaintes, including those discussed in the “Risk Factors” and “Forward-Looking Statements” sectons of this Report.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are an online tcket marketplace that utlizes our technology platorm to connect fans of live events seamlessly with tcket sellers. Our mission is to empower and enable fans to </w:t>
      </w:r>
      <w:r>
        <w:rPr>
          <w:rFonts w:ascii="Calibri" w:cs="Calibri" w:eastAsia="Calibri" w:hAnsi="Calibri"/>
          <w:sz w:val="18"/>
          <w:szCs w:val="18"/>
          <w:i w:val="1"/>
          <w:iCs w:val="1"/>
          <w:color w:val="auto"/>
        </w:rPr>
        <w:t>Experience It Live</w:t>
      </w:r>
      <w:r>
        <w:rPr>
          <w:rFonts w:ascii="Calibri" w:cs="Calibri" w:eastAsia="Calibri" w:hAnsi="Calibri"/>
          <w:sz w:val="18"/>
          <w:szCs w:val="18"/>
          <w:color w:val="auto"/>
        </w:rPr>
        <w:t>. We believe in the power of shared experiences to connect people with live events that deliver some of life’s most excitng moments. We operate a technology platorm and marketplace that enables tcket buyers to easily discover and purchase tckets to live events and book hotel rooms and packages while enabling tcket sellers and partners to seamlessly manage their operatons. We diferentate from compettors by ofering an extensive breadth and depth of tcket listngs at a compettve value. The following table summarizes our marketplace gross order value (“Marketplace GOV”), revenues, net income, and adjusted EBITDA for the years ended December 31, 2024, 2023, and 2022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10"/>
              <w:spacing w:after="0"/>
              <w:rPr>
                <w:sz w:val="20"/>
                <w:szCs w:val="20"/>
                <w:color w:val="auto"/>
              </w:rPr>
            </w:pPr>
            <w:r>
              <w:rPr>
                <w:rFonts w:ascii="Calibri" w:cs="Calibri" w:eastAsia="Calibri" w:hAnsi="Calibri"/>
                <w:sz w:val="18"/>
                <w:szCs w:val="18"/>
                <w:b w:val="1"/>
                <w:bCs w:val="1"/>
                <w:color w:val="auto"/>
              </w:rPr>
              <w:t>Years Ended December 31,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40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1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8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10"/>
              <w:spacing w:after="0" w:line="209"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0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Marketplace GOV*</w:t>
            </w:r>
          </w:p>
        </w:tc>
        <w:tc>
          <w:tcPr>
            <w:tcW w:w="1340" w:type="dxa"/>
            <w:vAlign w:val="bottom"/>
            <w:shd w:val="clear" w:color="auto" w:fill="CFF0FC"/>
          </w:tcPr>
          <w:p>
            <w:pPr>
              <w:jc w:val="right"/>
              <w:ind w:right="1150"/>
              <w:spacing w:after="0" w:line="210"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3,892,645</w:t>
            </w:r>
          </w:p>
        </w:tc>
        <w:tc>
          <w:tcPr>
            <w:tcW w:w="800" w:type="dxa"/>
            <w:vAlign w:val="bottom"/>
            <w:gridSpan w:val="2"/>
            <w:shd w:val="clear" w:color="auto" w:fill="CFF0FC"/>
          </w:tcPr>
          <w:p>
            <w:pPr>
              <w:jc w:val="right"/>
              <w:ind w:right="310"/>
              <w:spacing w:after="0" w:line="210" w:lineRule="exact"/>
              <w:rPr>
                <w:sz w:val="20"/>
                <w:szCs w:val="20"/>
                <w:color w:val="auto"/>
              </w:rPr>
            </w:pPr>
            <w:r>
              <w:rPr>
                <w:rFonts w:ascii="Calibri" w:cs="Calibri" w:eastAsia="Calibri" w:hAnsi="Calibri"/>
                <w:sz w:val="18"/>
                <w:szCs w:val="18"/>
                <w:color w:val="auto"/>
              </w:rPr>
              <w:t>$</w:t>
            </w:r>
          </w:p>
        </w:tc>
        <w:tc>
          <w:tcPr>
            <w:tcW w:w="1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3,920,526</w:t>
            </w:r>
          </w:p>
        </w:tc>
        <w:tc>
          <w:tcPr>
            <w:tcW w:w="800" w:type="dxa"/>
            <w:vAlign w:val="bottom"/>
            <w:gridSpan w:val="2"/>
            <w:shd w:val="clear" w:color="auto" w:fill="CFF0FC"/>
          </w:tcPr>
          <w:p>
            <w:pPr>
              <w:jc w:val="right"/>
              <w:ind w:right="400"/>
              <w:spacing w:after="0" w:line="210" w:lineRule="exact"/>
              <w:rPr>
                <w:sz w:val="20"/>
                <w:szCs w:val="20"/>
                <w:color w:val="auto"/>
              </w:rPr>
            </w:pPr>
            <w:r>
              <w:rPr>
                <w:rFonts w:ascii="Calibri" w:cs="Calibri" w:eastAsia="Calibri" w:hAnsi="Calibri"/>
                <w:sz w:val="18"/>
                <w:szCs w:val="18"/>
                <w:color w:val="auto"/>
              </w:rPr>
              <w:t>$</w:t>
            </w:r>
          </w:p>
        </w:tc>
        <w:tc>
          <w:tcPr>
            <w:tcW w:w="16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3,184,754</w:t>
            </w:r>
          </w:p>
        </w:tc>
        <w:tc>
          <w:tcPr>
            <w:tcW w:w="100" w:type="dxa"/>
            <w:vAlign w:val="bottom"/>
            <w:shd w:val="clear" w:color="auto" w:fill="CFF0FC"/>
          </w:tcPr>
          <w:p>
            <w:pPr>
              <w:spacing w:after="0"/>
              <w:rPr>
                <w:sz w:val="18"/>
                <w:szCs w:val="18"/>
                <w:color w:val="auto"/>
              </w:rPr>
            </w:pP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Revenues</w:t>
            </w:r>
          </w:p>
        </w:tc>
        <w:tc>
          <w:tcPr>
            <w:tcW w:w="13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775,586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712,879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600,274</w:t>
            </w:r>
          </w:p>
        </w:tc>
        <w:tc>
          <w:tcPr>
            <w:tcW w:w="100" w:type="dxa"/>
            <w:vAlign w:val="bottom"/>
          </w:tcPr>
          <w:p>
            <w:pPr>
              <w:spacing w:after="0"/>
              <w:rPr>
                <w:sz w:val="18"/>
                <w:szCs w:val="18"/>
                <w:color w:val="auto"/>
              </w:rPr>
            </w:pPr>
          </w:p>
        </w:tc>
      </w:tr>
      <w:tr>
        <w:trPr>
          <w:trHeight w:val="217"/>
        </w:trPr>
        <w:tc>
          <w:tcPr>
            <w:tcW w:w="40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income</w:t>
            </w:r>
          </w:p>
        </w:tc>
        <w:tc>
          <w:tcPr>
            <w:tcW w:w="1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14,302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113,141</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70,779</w:t>
            </w:r>
          </w:p>
        </w:tc>
        <w:tc>
          <w:tcPr>
            <w:tcW w:w="100" w:type="dxa"/>
            <w:vAlign w:val="bottom"/>
            <w:shd w:val="clear" w:color="auto" w:fill="CFF0FC"/>
          </w:tcPr>
          <w:p>
            <w:pPr>
              <w:spacing w:after="0"/>
              <w:rPr>
                <w:sz w:val="18"/>
                <w:szCs w:val="18"/>
                <w:color w:val="auto"/>
              </w:rPr>
            </w:pP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Adjusted EBITDA*</w:t>
            </w:r>
          </w:p>
        </w:tc>
        <w:tc>
          <w:tcPr>
            <w:tcW w:w="13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151,419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141,982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113,325</w:t>
            </w:r>
          </w:p>
        </w:tc>
        <w:tc>
          <w:tcPr>
            <w:tcW w:w="100" w:type="dxa"/>
            <w:vAlign w:val="bottom"/>
          </w:tcPr>
          <w:p>
            <w:pPr>
              <w:spacing w:after="0"/>
              <w:rPr>
                <w:sz w:val="18"/>
                <w:szCs w:val="18"/>
                <w:color w:val="auto"/>
              </w:rPr>
            </w:pPr>
          </w:p>
        </w:tc>
      </w:tr>
    </w:tbl>
    <w:p>
      <w:pPr>
        <w:spacing w:after="0" w:line="87" w:lineRule="exact"/>
        <w:rPr>
          <w:sz w:val="20"/>
          <w:szCs w:val="20"/>
          <w:color w:val="auto"/>
        </w:rPr>
      </w:pPr>
    </w:p>
    <w:p>
      <w:pPr>
        <w:ind w:left="160" w:right="20" w:hanging="152"/>
        <w:spacing w:after="0" w:line="235" w:lineRule="auto"/>
        <w:tabs>
          <w:tab w:leader="none" w:pos="328"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See the “Key Business Metrics and Non-U.S. GAAP Financial Measure” secton below for more informaton on Marketplace GOV and adjusted EBITDA, which is a fnancial measure not under U.S. GAAP.</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Marketplace Segment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from processing tcket sales for live events and facilitatng the booking of hotel rooms and packages across our Owned Propertes, including: Vivid Seats; Vegas.com, an online tcket marketplace for live event enthusiasts exploring shows, atractons, tours, fights, and hotels in Las Vegas, which we acquired in November 2023; and Wavedash, an online tcket marketplace headquartered in Tokyo, Japan, which we acquired in September 2023. We also earn revenue processing tcket sales for numerous distributon partners through our Private Label Ofering.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Owned Propertes also include our Vivid Picks real-money daily fantasy sports mobile applicaton, where users partake in contests by making player picks from a wide selecton of individual and player matchup projectons across a variety of sports. The revenue we earn from Vivid Picks is the diference between cash entry fees collected and cash amounts paid out to users for winning picks, less customer promotons and incentves.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Using our online platorm, we facilitate customer payments, deposits and withdrawals, coordinate tcket deliveries, and provide customer service. We do not hold tcket inventory in our Marketplace segment.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primarily earn Marketplace segment revenue from service and delivery fees charged to tcket buyers. We also earn referral fee revenue from ofering event insurance to tcket buyers via a third-party insurance provider.</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incur costs for developing and maintaining our platorm, providing back-ofce support and customer service, facilitatng payments and deposits, and shipping non-electronic tckets. We also incur substantal marketng costs, primarily related to online advertsing.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key component of our platorm is Skybox, a proprietary ERP tool that is used by the majority of tcket sellers. Skybox is a free-to-use system that helps tcket sellers manage tcket inventories, adjust pricing, and fulfll orders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ind w:right="380"/>
        <w:spacing w:after="0" w:line="348" w:lineRule="auto"/>
        <w:rPr>
          <w:sz w:val="20"/>
          <w:szCs w:val="20"/>
          <w:color w:val="auto"/>
        </w:rPr>
      </w:pPr>
      <w:r>
        <w:rPr>
          <w:rFonts w:ascii="Calibri" w:cs="Calibri" w:eastAsia="Calibri" w:hAnsi="Calibri"/>
          <w:sz w:val="18"/>
          <w:szCs w:val="18"/>
          <w:color w:val="auto"/>
        </w:rPr>
        <w:t xml:space="preserve">across multple tcket resale marketplaces. Professional tcket sellers use ERPs to manage their operatons, and Skybox is their most widely adopted ERP. </w:t>
      </w:r>
      <w:r>
        <w:rPr>
          <w:rFonts w:ascii="Calibri" w:cs="Calibri" w:eastAsia="Calibri" w:hAnsi="Calibri"/>
          <w:sz w:val="18"/>
          <w:szCs w:val="18"/>
          <w:b w:val="1"/>
          <w:bCs w:val="1"/>
          <w:i w:val="1"/>
          <w:iCs w:val="1"/>
          <w:color w:val="auto"/>
        </w:rPr>
        <w:t>Resale Segment</w:t>
      </w:r>
    </w:p>
    <w:p>
      <w:pPr>
        <w:spacing w:after="0" w:line="1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tcketng marketplaces, including our own. Our Resale segment also provides internal research and development support for Skybox and supplements our ongoing eforts to deliver industry-leading seller sofware and tools.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Business Metrics and Non-U.S. GAAP Financial Measure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these metrics provide useful informaton to investors and others in understanding and evaluatng our results of operatons in the same manner as management.</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summarizes our key business metrics and non-U.S. GAAP fnancial measure for the years ended December 31, 2024, 2023, and 2022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40" w:type="dxa"/>
            <w:vAlign w:val="bottom"/>
            <w:gridSpan w:val="4"/>
          </w:tcPr>
          <w:p>
            <w:pPr>
              <w:ind w:left="160"/>
              <w:spacing w:after="0"/>
              <w:rPr>
                <w:sz w:val="20"/>
                <w:szCs w:val="20"/>
                <w:color w:val="auto"/>
              </w:rPr>
            </w:pPr>
            <w:r>
              <w:rPr>
                <w:rFonts w:ascii="Calibri" w:cs="Calibri" w:eastAsia="Calibri" w:hAnsi="Calibri"/>
                <w:sz w:val="18"/>
                <w:szCs w:val="18"/>
                <w:b w:val="1"/>
                <w:bCs w:val="1"/>
                <w:color w:val="auto"/>
              </w:rPr>
              <w:t>Years Ended December 31,</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420" w:type="dxa"/>
            <w:vAlign w:val="bottom"/>
            <w:vMerge w:val="restart"/>
          </w:tcPr>
          <w:p>
            <w:pPr>
              <w:ind w:left="20"/>
              <w:spacing w:after="0"/>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1"/>
              <w:spacing w:after="0" w:line="208"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1"/>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line="208"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420" w:type="dxa"/>
            <w:vAlign w:val="bottom"/>
            <w:vMerge w:val="continue"/>
          </w:tcPr>
          <w:p>
            <w:pPr>
              <w:spacing w:after="0"/>
              <w:rPr>
                <w:sz w:val="14"/>
                <w:szCs w:val="14"/>
                <w:color w:val="auto"/>
              </w:rPr>
            </w:pPr>
          </w:p>
        </w:tc>
        <w:tc>
          <w:tcPr>
            <w:tcW w:w="400" w:type="dxa"/>
            <w:vAlign w:val="bottom"/>
          </w:tcPr>
          <w:p>
            <w:pPr>
              <w:jc w:val="right"/>
              <w:ind w:right="213"/>
              <w:spacing w:after="0" w:line="164"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right"/>
              <w:spacing w:after="0" w:line="164" w:lineRule="exact"/>
              <w:rPr>
                <w:sz w:val="20"/>
                <w:szCs w:val="20"/>
                <w:color w:val="auto"/>
              </w:rPr>
            </w:pPr>
            <w:r>
              <w:rPr>
                <w:rFonts w:ascii="Calibri" w:cs="Calibri" w:eastAsia="Calibri" w:hAnsi="Calibri"/>
                <w:sz w:val="17"/>
                <w:szCs w:val="17"/>
                <w:color w:val="auto"/>
              </w:rPr>
              <w:t>3,892,645</w:t>
            </w:r>
          </w:p>
        </w:tc>
        <w:tc>
          <w:tcPr>
            <w:tcW w:w="260" w:type="dxa"/>
            <w:vAlign w:val="bottom"/>
          </w:tcPr>
          <w:p>
            <w:pPr>
              <w:spacing w:after="0"/>
              <w:rPr>
                <w:sz w:val="14"/>
                <w:szCs w:val="14"/>
                <w:color w:val="auto"/>
              </w:rPr>
            </w:pPr>
          </w:p>
        </w:tc>
        <w:tc>
          <w:tcPr>
            <w:tcW w:w="380" w:type="dxa"/>
            <w:vAlign w:val="bottom"/>
          </w:tcPr>
          <w:p>
            <w:pPr>
              <w:jc w:val="right"/>
              <w:ind w:right="196"/>
              <w:spacing w:after="0" w:line="164"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right"/>
              <w:spacing w:after="0" w:line="164" w:lineRule="exact"/>
              <w:rPr>
                <w:sz w:val="20"/>
                <w:szCs w:val="20"/>
                <w:color w:val="auto"/>
              </w:rPr>
            </w:pPr>
            <w:r>
              <w:rPr>
                <w:rFonts w:ascii="Calibri" w:cs="Calibri" w:eastAsia="Calibri" w:hAnsi="Calibri"/>
                <w:sz w:val="17"/>
                <w:szCs w:val="17"/>
                <w:color w:val="auto"/>
              </w:rPr>
              <w:t>3,920,526</w:t>
            </w:r>
          </w:p>
        </w:tc>
        <w:tc>
          <w:tcPr>
            <w:tcW w:w="280" w:type="dxa"/>
            <w:vAlign w:val="bottom"/>
          </w:tcPr>
          <w:p>
            <w:pPr>
              <w:spacing w:after="0"/>
              <w:rPr>
                <w:sz w:val="14"/>
                <w:szCs w:val="14"/>
                <w:color w:val="auto"/>
              </w:rPr>
            </w:pPr>
          </w:p>
        </w:tc>
        <w:tc>
          <w:tcPr>
            <w:tcW w:w="400" w:type="dxa"/>
            <w:vAlign w:val="bottom"/>
          </w:tcPr>
          <w:p>
            <w:pPr>
              <w:jc w:val="right"/>
              <w:ind w:right="213"/>
              <w:spacing w:after="0" w:line="164" w:lineRule="exact"/>
              <w:rPr>
                <w:sz w:val="20"/>
                <w:szCs w:val="20"/>
                <w:color w:val="auto"/>
              </w:rPr>
            </w:pPr>
            <w:r>
              <w:rPr>
                <w:rFonts w:ascii="Calibri" w:cs="Calibri" w:eastAsia="Calibri" w:hAnsi="Calibri"/>
                <w:sz w:val="17"/>
                <w:szCs w:val="17"/>
                <w:color w:val="auto"/>
                <w:w w:val="92"/>
              </w:rPr>
              <w:t>$</w:t>
            </w:r>
          </w:p>
        </w:tc>
        <w:tc>
          <w:tcPr>
            <w:tcW w:w="1340" w:type="dxa"/>
            <w:vAlign w:val="bottom"/>
          </w:tcPr>
          <w:p>
            <w:pPr>
              <w:jc w:val="right"/>
              <w:spacing w:after="0" w:line="164" w:lineRule="exact"/>
              <w:rPr>
                <w:sz w:val="20"/>
                <w:szCs w:val="20"/>
                <w:color w:val="auto"/>
              </w:rPr>
            </w:pPr>
            <w:r>
              <w:rPr>
                <w:rFonts w:ascii="Calibri" w:cs="Calibri" w:eastAsia="Calibri" w:hAnsi="Calibri"/>
                <w:sz w:val="17"/>
                <w:szCs w:val="17"/>
                <w:color w:val="auto"/>
              </w:rPr>
              <w:t>3,184,754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line="216" w:lineRule="exact"/>
              <w:rPr>
                <w:sz w:val="20"/>
                <w:szCs w:val="20"/>
                <w:color w:val="auto"/>
              </w:rPr>
            </w:pPr>
            <w:r>
              <w:rPr>
                <w:rFonts w:ascii="Calibri" w:cs="Calibri" w:eastAsia="Calibri" w:hAnsi="Calibri"/>
                <w:sz w:val="17"/>
                <w:szCs w:val="17"/>
                <w:color w:val="auto"/>
              </w:rPr>
              <w:t>Marketplace orders</w:t>
            </w:r>
            <w:r>
              <w:rPr>
                <w:rFonts w:ascii="Calibri" w:cs="Calibri" w:eastAsia="Calibri" w:hAnsi="Calibri"/>
                <w:sz w:val="23"/>
                <w:szCs w:val="23"/>
                <w:color w:val="auto"/>
                <w:vertAlign w:val="superscript"/>
              </w:rPr>
              <w:t>(2)</w:t>
            </w:r>
          </w:p>
        </w:tc>
        <w:tc>
          <w:tcPr>
            <w:tcW w:w="40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11,556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10,898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Calibri" w:cs="Calibri" w:eastAsia="Calibri" w:hAnsi="Calibri"/>
                <w:sz w:val="18"/>
                <w:szCs w:val="18"/>
                <w:color w:val="auto"/>
              </w:rPr>
              <w:t>9,183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line="216" w:lineRule="exact"/>
              <w:rPr>
                <w:sz w:val="20"/>
                <w:szCs w:val="20"/>
                <w:color w:val="auto"/>
              </w:rPr>
            </w:pPr>
            <w:r>
              <w:rPr>
                <w:rFonts w:ascii="Calibri" w:cs="Calibri" w:eastAsia="Calibri" w:hAnsi="Calibri"/>
                <w:sz w:val="17"/>
                <w:szCs w:val="17"/>
                <w:color w:val="auto"/>
              </w:rPr>
              <w:t>Resale orders</w:t>
            </w:r>
            <w:r>
              <w:rPr>
                <w:rFonts w:ascii="Calibri" w:cs="Calibri" w:eastAsia="Calibri" w:hAnsi="Calibri"/>
                <w:sz w:val="23"/>
                <w:szCs w:val="23"/>
                <w:color w:val="auto"/>
                <w:vertAlign w:val="superscript"/>
              </w:rPr>
              <w:t>(3)</w:t>
            </w:r>
          </w:p>
        </w:tc>
        <w:tc>
          <w:tcPr>
            <w:tcW w:w="40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431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380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Calibri" w:cs="Calibri" w:eastAsia="Calibri" w:hAnsi="Calibri"/>
                <w:sz w:val="18"/>
                <w:szCs w:val="18"/>
                <w:color w:val="auto"/>
              </w:rPr>
              <w:t>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2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400" w:type="dxa"/>
            <w:vAlign w:val="bottom"/>
          </w:tcPr>
          <w:p>
            <w:pPr>
              <w:jc w:val="right"/>
              <w:ind w:right="213"/>
              <w:spacing w:after="0"/>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rPr>
                <w:sz w:val="20"/>
                <w:szCs w:val="20"/>
                <w:color w:val="auto"/>
              </w:rPr>
            </w:pPr>
            <w:r>
              <w:rPr>
                <w:rFonts w:ascii="Calibri" w:cs="Calibri" w:eastAsia="Calibri" w:hAnsi="Calibri"/>
                <w:sz w:val="18"/>
                <w:szCs w:val="18"/>
                <w:color w:val="auto"/>
              </w:rPr>
              <w:t>151,419</w:t>
            </w:r>
          </w:p>
        </w:tc>
        <w:tc>
          <w:tcPr>
            <w:tcW w:w="640" w:type="dxa"/>
            <w:vAlign w:val="bottom"/>
            <w:gridSpan w:val="2"/>
          </w:tcPr>
          <w:p>
            <w:pPr>
              <w:jc w:val="right"/>
              <w:ind w:right="196"/>
              <w:spacing w:after="0"/>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rPr>
                <w:sz w:val="20"/>
                <w:szCs w:val="20"/>
                <w:color w:val="auto"/>
              </w:rPr>
            </w:pPr>
            <w:r>
              <w:rPr>
                <w:rFonts w:ascii="Calibri" w:cs="Calibri" w:eastAsia="Calibri" w:hAnsi="Calibri"/>
                <w:sz w:val="18"/>
                <w:szCs w:val="18"/>
                <w:color w:val="auto"/>
              </w:rPr>
              <w:t>141,982</w:t>
            </w:r>
          </w:p>
        </w:tc>
        <w:tc>
          <w:tcPr>
            <w:tcW w:w="280" w:type="dxa"/>
            <w:vAlign w:val="bottom"/>
          </w:tcPr>
          <w:p>
            <w:pPr>
              <w:spacing w:after="0"/>
              <w:rPr>
                <w:sz w:val="24"/>
                <w:szCs w:val="24"/>
                <w:color w:val="auto"/>
              </w:rPr>
            </w:pPr>
          </w:p>
        </w:tc>
        <w:tc>
          <w:tcPr>
            <w:tcW w:w="400" w:type="dxa"/>
            <w:vAlign w:val="bottom"/>
          </w:tcPr>
          <w:p>
            <w:pPr>
              <w:jc w:val="right"/>
              <w:ind w:right="213"/>
              <w:spacing w:after="0"/>
              <w:rPr>
                <w:sz w:val="20"/>
                <w:szCs w:val="20"/>
                <w:color w:val="auto"/>
              </w:rPr>
            </w:pPr>
            <w:r>
              <w:rPr>
                <w:rFonts w:ascii="Calibri" w:cs="Calibri" w:eastAsia="Calibri" w:hAnsi="Calibri"/>
                <w:sz w:val="18"/>
                <w:szCs w:val="18"/>
                <w:color w:val="auto"/>
                <w:w w:val="87"/>
              </w:rPr>
              <w:t>$</w:t>
            </w:r>
          </w:p>
        </w:tc>
        <w:tc>
          <w:tcPr>
            <w:tcW w:w="1340" w:type="dxa"/>
            <w:vAlign w:val="bottom"/>
          </w:tcPr>
          <w:p>
            <w:pPr>
              <w:jc w:val="right"/>
              <w:spacing w:after="0"/>
              <w:rPr>
                <w:sz w:val="20"/>
                <w:szCs w:val="20"/>
                <w:color w:val="auto"/>
              </w:rPr>
            </w:pPr>
            <w:r>
              <w:rPr>
                <w:rFonts w:ascii="Calibri" w:cs="Calibri" w:eastAsia="Calibri" w:hAnsi="Calibri"/>
                <w:sz w:val="18"/>
                <w:szCs w:val="18"/>
                <w:color w:val="auto"/>
              </w:rPr>
              <w:t>113,325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5" w:lineRule="exact"/>
        <w:rPr>
          <w:sz w:val="20"/>
          <w:szCs w:val="20"/>
          <w:color w:val="auto"/>
        </w:rPr>
      </w:pPr>
    </w:p>
    <w:p>
      <w:pPr>
        <w:jc w:val="both"/>
        <w:ind w:left="380" w:hanging="372"/>
        <w:spacing w:after="0" w:line="235" w:lineRule="auto"/>
        <w:tabs>
          <w:tab w:leader="none" w:pos="38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orders placed on our platorm in a period, inclusive of fees, exclusive of taxes, and net of event cancellatons that occurred during that period. During the years ended December 31, 2024, 2023, and 2022, Marketplace GOV was negatvely impacted by event cancellatons in the amount of $95.9 million, $43.6 million, and $80.3 million, respectvely. The increase in event cancellatons during the year ended December 31, 2024 was primarily due to higher concert cancellatons and a full year of event cancellatons from Vegas.com and Wavedash.</w:t>
      </w:r>
    </w:p>
    <w:p>
      <w:pPr>
        <w:spacing w:after="0" w:line="112"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Marketplace orders represent the volume of Marketplace-related transactons placed on our platorm in a period, net of event cancellatons that occurred during that period. During the years ended December 31, 2024, 2023, and 2022, our Marketplace segment experienced 222,472, 99,078, and 199,595 event cancellatons, respectvely.</w:t>
      </w:r>
    </w:p>
    <w:p>
      <w:pPr>
        <w:spacing w:after="0" w:line="110"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Resale orders represent the volume of Resale-related transactons placed on a given platorm (including our own) in a period, net of event cancellatons that occurred during that period. During the years ended December 31, 2024, 2023, and 2022, our Resale segment experienced 5,286, 2,910, and 5,205 event cancellatons, respectvely.</w:t>
      </w:r>
    </w:p>
    <w:p>
      <w:pPr>
        <w:spacing w:after="0" w:line="110"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Adjusted EBITDA is a non-U.S. GAAP fnancial measure. We believe adjusted EBITDA provides useful informaton to investors and others in understanding and evaluatng our results of operatons and serves as a useful measure for making period-to-period comparisons of our business performance. See the “Adjusted EBITDA” secton below for more informaton, including a reconciliaton of adjusted EBITDA to net income, the most directly comparable U.S. GAAP measure.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Marketplace GOV</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is a key driver of Marketplace revenue. Marketplace GOV represents the total transactonal amount of Marketplace orders placed on our platorm in a period, inclusive of fees, exclusive of taxes, and net of event cancellatons that occurred during that period. Marketplace GOV refects our ability to atract and retain customers and provides insight into overall health of the industry.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can be impacted by seasonality. Typically, we experience slightly increased actvity in the fourth quarter when all major sports leagues are in season, concert on-sales begin for the following year, and theater event orders increase during the holiday season. Quarterly fuctuatons in Marketplace GOV can result from, among other things: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90"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event supply;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popularity of and demand for certain artsts, sports teams, tours, and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mix of concert venue types between stadiums, arenas, and amphitheaters;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length and team compositon of sports playof series and championship games;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Event cancellatons.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GOV decreased during the year ended December 31, 2024 compared to the year ended December 31, 2023, primarily as a result of a decrease in the average order size for concerts, partly due to a shif in venue mix away from stadiums.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Marketplace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orders represent the volume of Marketplace-related transactons placed on our platorm in a period, net of event cancellatons that occurred during that period. A Marketplace order can include one or more tckets, hotel rooms, or parking passes. Marketplace segment orders allow us to monitor transacton volume and beter identfy trends within our Marketplace segment.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orders increased during the year ended December 31, 2024 compared to the year ended December 31, 2023, primarily as a result of higher actvity in our Marketplace segment, which was due in part to the year ended December 31, 2024 entrely including Marketplace-related transactons processed through Vegas.com and Wavedash.</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Resale Orders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Resale orders represent the volume of Resale-related transactons placed on a given platorm (including our own) in a period, net of event cancellatons that occurred during that period. A Resale order can include one or more tckets or parking passes. Resale orders allow us to monitor transacton volume and beter identfy trends within our Resale segment.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Resale orders increased during the year ended December 31, 2024 compared to the year ended December 31, 2023, primarily as a result of higher actvity in our Resale segment.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Adjusted EBITDA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present adjusted EBITDA, which is a non-U.S. GAAP fnancial measure, because it is a key measure used by analysts, investors, and others to evaluate companies in our industry. Additonally, adjusted EBITDA is used by management to make operatng decisions, including those related to analyzing operatng expenses, evaluatng performance, and performing strategic planning and annual budgetng.</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adjusted EBITDA is a useful measure for understanding, evaluatng, and highlightng trends in our operatng results and for making period-to-period comparisons of our business performance because it excludes the impact of items that are outside of our control and/or not refectve of ongoing performance related directly to the operaton of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not based on any comprehensive set of accountng rules or principles and should not be considered a substtute for, or superior to, fnancial measures calculated in accordance with U.S. GAAP. Adjusted EBITDA does not refect all amounts associated with our operatng results as determined in accordance with U.S. GAAP and may exclude certain recurring costs such as: income tax expense (beneft); interest expense – net; depreciaton and amortzaton; sales tax liability; transacton costs; equity-based compensaton; litgaton, setlements, and related costs; change in fair value of warrants; loss on asset disposals; change in fair value of derivatve asset; unrealized foreign currency losses (gains); adjustment of liabilites under the TRA; change in fair value of contngent consideraton; and loss on extnguishment of debt. In additon, other companies may calculate adjusted EBITDA diferently than we do, thereby limitng its usefulness as a comparatve tool. We compensate for these limitatons by providing specifc informaton regarding the U.S. GAAP amounts that are excluded from our presentaton of adjusted EBITDA.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color w:val="auto"/>
        </w:rPr>
        <w:t>The following table provides a reconciliaton of adjusted EBITDA to net income, the most directly comparable U.S. GAAP measure, for the years ended</w:t>
      </w:r>
    </w:p>
    <w:p>
      <w:pPr>
        <w:spacing w:after="0" w:line="235" w:lineRule="auto"/>
        <w:rPr>
          <w:sz w:val="20"/>
          <w:szCs w:val="20"/>
          <w:color w:val="auto"/>
        </w:rPr>
      </w:pPr>
      <w:r>
        <w:rPr>
          <w:rFonts w:ascii="Calibri" w:cs="Calibri" w:eastAsia="Calibri" w:hAnsi="Calibri"/>
          <w:sz w:val="18"/>
          <w:szCs w:val="18"/>
          <w:color w:val="auto"/>
        </w:rPr>
        <w:t>December 31, 2024, 2023, and 2022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0" w:type="dxa"/>
            <w:vAlign w:val="bottom"/>
            <w:gridSpan w:val="6"/>
          </w:tcPr>
          <w:p>
            <w:pPr>
              <w:jc w:val="right"/>
              <w:ind w:right="90"/>
              <w:spacing w:after="0"/>
              <w:rPr>
                <w:sz w:val="20"/>
                <w:szCs w:val="20"/>
                <w:color w:val="auto"/>
              </w:rPr>
            </w:pPr>
            <w:r>
              <w:rPr>
                <w:rFonts w:ascii="Calibri" w:cs="Calibri" w:eastAsia="Calibri" w:hAnsi="Calibri"/>
                <w:sz w:val="18"/>
                <w:szCs w:val="18"/>
                <w:b w:val="1"/>
                <w:bCs w:val="1"/>
                <w:color w:val="auto"/>
              </w:rPr>
              <w:t>Years Ended December 31,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income</w:t>
            </w: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14,302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113,141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70,779</w:t>
            </w:r>
          </w:p>
        </w:tc>
        <w:tc>
          <w:tcPr>
            <w:tcW w:w="100" w:type="dxa"/>
            <w:vAlign w:val="bottom"/>
            <w:shd w:val="clear" w:color="auto" w:fill="CFF0FC"/>
          </w:tcPr>
          <w:p>
            <w:pPr>
              <w:spacing w:after="0"/>
              <w:rPr>
                <w:sz w:val="18"/>
                <w:szCs w:val="18"/>
                <w:color w:val="auto"/>
              </w:rPr>
            </w:pPr>
          </w:p>
        </w:tc>
      </w:tr>
      <w:tr>
        <w:trPr>
          <w:trHeight w:val="215"/>
        </w:trPr>
        <w:tc>
          <w:tcPr>
            <w:tcW w:w="6860" w:type="dxa"/>
            <w:vAlign w:val="bottom"/>
          </w:tcPr>
          <w:p>
            <w:pPr>
              <w:ind w:left="20"/>
              <w:spacing w:after="0" w:line="215" w:lineRule="exact"/>
              <w:rPr>
                <w:sz w:val="20"/>
                <w:szCs w:val="20"/>
                <w:color w:val="auto"/>
              </w:rPr>
            </w:pPr>
            <w:r>
              <w:rPr>
                <w:rFonts w:ascii="Calibri" w:cs="Calibri" w:eastAsia="Calibri" w:hAnsi="Calibri"/>
                <w:sz w:val="18"/>
                <w:szCs w:val="18"/>
                <w:color w:val="auto"/>
              </w:rPr>
              <w:t>Adjustments to reconcile net income to adjusted EBITDA:</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Income tax expense (beneft)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8,417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(42,199 )</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(1,590 )</w:t>
            </w:r>
          </w:p>
        </w:tc>
      </w:tr>
      <w:tr>
        <w:trPr>
          <w:trHeight w:val="215"/>
        </w:trPr>
        <w:tc>
          <w:tcPr>
            <w:tcW w:w="686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expense – net</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23,172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13,505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12,858</w:t>
            </w:r>
          </w:p>
        </w:tc>
        <w:tc>
          <w:tcPr>
            <w:tcW w:w="100" w:type="dxa"/>
            <w:vAlign w:val="bottom"/>
          </w:tcPr>
          <w:p>
            <w:pPr>
              <w:spacing w:after="0"/>
              <w:rPr>
                <w:sz w:val="18"/>
                <w:szCs w:val="18"/>
                <w:color w:val="auto"/>
              </w:rPr>
            </w:pPr>
          </w:p>
        </w:tc>
      </w:tr>
      <w:tr>
        <w:trPr>
          <w:trHeight w:val="170"/>
        </w:trPr>
        <w:tc>
          <w:tcPr>
            <w:tcW w:w="6860" w:type="dxa"/>
            <w:vAlign w:val="bottom"/>
          </w:tcPr>
          <w:p>
            <w:pPr>
              <w:ind w:left="120"/>
              <w:spacing w:after="0" w:line="170" w:lineRule="exact"/>
              <w:rPr>
                <w:sz w:val="20"/>
                <w:szCs w:val="20"/>
                <w:color w:val="auto"/>
              </w:rPr>
            </w:pPr>
            <w:r>
              <w:rPr>
                <w:rFonts w:ascii="Calibri" w:cs="Calibri" w:eastAsia="Calibri" w:hAnsi="Calibri"/>
                <w:sz w:val="18"/>
                <w:szCs w:val="18"/>
                <w:color w:val="auto"/>
              </w:rPr>
              <w:t>Depreciaton and amortzaton</w:t>
            </w:r>
          </w:p>
        </w:tc>
        <w:tc>
          <w:tcPr>
            <w:tcW w:w="28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Calibri" w:cs="Calibri" w:eastAsia="Calibri" w:hAnsi="Calibri"/>
                <w:sz w:val="18"/>
                <w:szCs w:val="18"/>
                <w:color w:val="auto"/>
              </w:rPr>
              <w:t>44,238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Calibri" w:cs="Calibri" w:eastAsia="Calibri" w:hAnsi="Calibri"/>
                <w:sz w:val="18"/>
                <w:szCs w:val="18"/>
                <w:color w:val="auto"/>
              </w:rPr>
              <w:t>17,178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Calibri" w:cs="Calibri" w:eastAsia="Calibri" w:hAnsi="Calibri"/>
                <w:sz w:val="18"/>
                <w:szCs w:val="18"/>
                <w:color w:val="auto"/>
              </w:rPr>
              <w:t>7,732</w:t>
            </w:r>
          </w:p>
        </w:tc>
        <w:tc>
          <w:tcPr>
            <w:tcW w:w="100" w:type="dxa"/>
            <w:vAlign w:val="bottom"/>
          </w:tcPr>
          <w:p>
            <w:pPr>
              <w:spacing w:after="0"/>
              <w:rPr>
                <w:sz w:val="14"/>
                <w:szCs w:val="14"/>
                <w:color w:val="auto"/>
              </w:rPr>
            </w:pP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Sales tax liability</w:t>
            </w:r>
            <w:r>
              <w:rPr>
                <w:rFonts w:ascii="Calibri" w:cs="Calibri" w:eastAsia="Calibri" w:hAnsi="Calibri"/>
                <w:sz w:val="23"/>
                <w:szCs w:val="23"/>
                <w:color w:val="auto"/>
                <w:vertAlign w:val="superscript"/>
              </w:rPr>
              <w:t>(1)</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5,760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3,172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2,814</w:t>
            </w:r>
          </w:p>
        </w:tc>
        <w:tc>
          <w:tcPr>
            <w:tcW w:w="100" w:type="dxa"/>
            <w:vAlign w:val="bottom"/>
          </w:tcPr>
          <w:p>
            <w:pPr>
              <w:spacing w:after="0"/>
              <w:rPr>
                <w:sz w:val="18"/>
                <w:szCs w:val="18"/>
                <w:color w:val="auto"/>
              </w:rPr>
            </w:pP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Transacton costs</w:t>
            </w:r>
            <w:r>
              <w:rPr>
                <w:rFonts w:ascii="Calibri" w:cs="Calibri" w:eastAsia="Calibri" w:hAnsi="Calibri"/>
                <w:sz w:val="23"/>
                <w:szCs w:val="23"/>
                <w:color w:val="auto"/>
                <w:vertAlign w:val="superscript"/>
              </w:rPr>
              <w:t>(2)</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9,528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12,779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4,840</w:t>
            </w:r>
          </w:p>
        </w:tc>
        <w:tc>
          <w:tcPr>
            <w:tcW w:w="100" w:type="dxa"/>
            <w:vAlign w:val="bottom"/>
          </w:tcPr>
          <w:p>
            <w:pPr>
              <w:spacing w:after="0"/>
              <w:rPr>
                <w:sz w:val="18"/>
                <w:szCs w:val="18"/>
                <w:color w:val="auto"/>
              </w:rPr>
            </w:pP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Equity-based compensaton</w:t>
            </w:r>
            <w:r>
              <w:rPr>
                <w:rFonts w:ascii="Calibri" w:cs="Calibri" w:eastAsia="Calibri" w:hAnsi="Calibri"/>
                <w:sz w:val="23"/>
                <w:szCs w:val="23"/>
                <w:color w:val="auto"/>
                <w:vertAlign w:val="superscript"/>
              </w:rPr>
              <w:t>(3)</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50,429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27,614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19,053</w:t>
            </w:r>
          </w:p>
        </w:tc>
        <w:tc>
          <w:tcPr>
            <w:tcW w:w="100" w:type="dxa"/>
            <w:vAlign w:val="bottom"/>
          </w:tcPr>
          <w:p>
            <w:pPr>
              <w:spacing w:after="0"/>
              <w:rPr>
                <w:sz w:val="18"/>
                <w:szCs w:val="18"/>
                <w:color w:val="auto"/>
              </w:rPr>
            </w:pP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Litgaton, setlements, and related costs</w:t>
            </w:r>
            <w:r>
              <w:rPr>
                <w:rFonts w:ascii="Calibri" w:cs="Calibri" w:eastAsia="Calibri" w:hAnsi="Calibri"/>
                <w:sz w:val="23"/>
                <w:szCs w:val="23"/>
                <w:color w:val="auto"/>
                <w:vertAlign w:val="superscript"/>
              </w:rPr>
              <w:t>(4)</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650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215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2,477</w:t>
            </w:r>
          </w:p>
        </w:tc>
        <w:tc>
          <w:tcPr>
            <w:tcW w:w="100" w:type="dxa"/>
            <w:vAlign w:val="bottom"/>
          </w:tcPr>
          <w:p>
            <w:pPr>
              <w:spacing w:after="0"/>
              <w:rPr>
                <w:sz w:val="18"/>
                <w:szCs w:val="18"/>
                <w:color w:val="auto"/>
              </w:rPr>
            </w:pP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Change in fair value of warrants</w:t>
            </w:r>
            <w:r>
              <w:rPr>
                <w:rFonts w:ascii="Calibri" w:cs="Calibri" w:eastAsia="Calibri" w:hAnsi="Calibri"/>
                <w:sz w:val="23"/>
                <w:szCs w:val="23"/>
                <w:color w:val="auto"/>
                <w:vertAlign w:val="superscript"/>
              </w:rPr>
              <w:t>(5)</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line="216" w:lineRule="exact"/>
              <w:rPr>
                <w:sz w:val="20"/>
                <w:szCs w:val="20"/>
                <w:color w:val="auto"/>
              </w:rPr>
            </w:pPr>
            <w:r>
              <w:rPr>
                <w:rFonts w:ascii="Calibri" w:cs="Calibri" w:eastAsia="Calibri" w:hAnsi="Calibri"/>
                <w:sz w:val="18"/>
                <w:szCs w:val="18"/>
                <w:color w:val="auto"/>
              </w:rPr>
              <w:t>(4,044 )</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line="216" w:lineRule="exact"/>
              <w:rPr>
                <w:sz w:val="20"/>
                <w:szCs w:val="20"/>
                <w:color w:val="auto"/>
              </w:rPr>
            </w:pPr>
            <w:r>
              <w:rPr>
                <w:rFonts w:ascii="Calibri" w:cs="Calibri" w:eastAsia="Calibri" w:hAnsi="Calibri"/>
                <w:sz w:val="18"/>
                <w:szCs w:val="18"/>
                <w:color w:val="auto"/>
              </w:rPr>
              <w:t>(971 )</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(8,227 )</w:t>
            </w: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Loss on asset disposals</w:t>
            </w:r>
            <w:r>
              <w:rPr>
                <w:rFonts w:ascii="Calibri" w:cs="Calibri" w:eastAsia="Calibri" w:hAnsi="Calibri"/>
                <w:sz w:val="23"/>
                <w:szCs w:val="23"/>
                <w:color w:val="auto"/>
                <w:vertAlign w:val="superscript"/>
              </w:rPr>
              <w:t>(6)</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277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685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369</w:t>
            </w:r>
          </w:p>
        </w:tc>
        <w:tc>
          <w:tcPr>
            <w:tcW w:w="100" w:type="dxa"/>
            <w:vAlign w:val="bottom"/>
          </w:tcPr>
          <w:p>
            <w:pPr>
              <w:spacing w:after="0"/>
              <w:rPr>
                <w:sz w:val="18"/>
                <w:szCs w:val="18"/>
                <w:color w:val="auto"/>
              </w:rPr>
            </w:pP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Change in fair value of derivatve asset</w:t>
            </w:r>
            <w:r>
              <w:rPr>
                <w:rFonts w:ascii="Calibri" w:cs="Calibri" w:eastAsia="Calibri" w:hAnsi="Calibri"/>
                <w:sz w:val="23"/>
                <w:szCs w:val="23"/>
                <w:color w:val="auto"/>
                <w:vertAlign w:val="superscript"/>
              </w:rPr>
              <w:t>(7)</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800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line="216" w:lineRule="exact"/>
              <w:rPr>
                <w:sz w:val="20"/>
                <w:szCs w:val="20"/>
                <w:color w:val="auto"/>
              </w:rPr>
            </w:pPr>
            <w:r>
              <w:rPr>
                <w:rFonts w:ascii="Calibri" w:cs="Calibri" w:eastAsia="Calibri" w:hAnsi="Calibri"/>
                <w:sz w:val="18"/>
                <w:szCs w:val="18"/>
                <w:color w:val="auto"/>
              </w:rPr>
              <w:t>(536 )</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Unrealized foreign currency losses (gains)</w:t>
            </w:r>
            <w:r>
              <w:rPr>
                <w:rFonts w:ascii="Calibri" w:cs="Calibri" w:eastAsia="Calibri" w:hAnsi="Calibri"/>
                <w:sz w:val="23"/>
                <w:szCs w:val="23"/>
                <w:color w:val="auto"/>
                <w:vertAlign w:val="superscript"/>
              </w:rPr>
              <w:t>(8)</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4,056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line="216" w:lineRule="exact"/>
              <w:rPr>
                <w:sz w:val="20"/>
                <w:szCs w:val="20"/>
                <w:color w:val="auto"/>
              </w:rPr>
            </w:pPr>
            <w:r>
              <w:rPr>
                <w:rFonts w:ascii="Calibri" w:cs="Calibri" w:eastAsia="Calibri" w:hAnsi="Calibri"/>
                <w:sz w:val="18"/>
                <w:szCs w:val="18"/>
                <w:color w:val="auto"/>
              </w:rPr>
              <w:t>(2,177 )</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Adjustment of liabilites under TRA</w:t>
            </w:r>
            <w:r>
              <w:rPr>
                <w:rFonts w:ascii="Calibri" w:cs="Calibri" w:eastAsia="Calibri" w:hAnsi="Calibri"/>
                <w:sz w:val="23"/>
                <w:szCs w:val="23"/>
                <w:color w:val="auto"/>
                <w:vertAlign w:val="superscript"/>
              </w:rPr>
              <w:t>(9)</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line="216" w:lineRule="exact"/>
              <w:rPr>
                <w:sz w:val="20"/>
                <w:szCs w:val="20"/>
                <w:color w:val="auto"/>
              </w:rPr>
            </w:pPr>
            <w:r>
              <w:rPr>
                <w:rFonts w:ascii="Calibri" w:cs="Calibri" w:eastAsia="Calibri" w:hAnsi="Calibri"/>
                <w:sz w:val="18"/>
                <w:szCs w:val="18"/>
                <w:color w:val="auto"/>
              </w:rPr>
              <w:t>(6,166 )</w:t>
            </w:r>
          </w:p>
        </w:tc>
        <w:tc>
          <w:tcPr>
            <w:tcW w:w="2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auto"/>
              </w:rPr>
              <w:t>574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6"/>
        </w:trPr>
        <w:tc>
          <w:tcPr>
            <w:tcW w:w="6860" w:type="dxa"/>
            <w:vAlign w:val="bottom"/>
          </w:tcPr>
          <w:p>
            <w:pPr>
              <w:ind w:left="120"/>
              <w:spacing w:after="0" w:line="216" w:lineRule="exact"/>
              <w:rPr>
                <w:sz w:val="20"/>
                <w:szCs w:val="20"/>
                <w:color w:val="auto"/>
              </w:rPr>
            </w:pPr>
            <w:r>
              <w:rPr>
                <w:rFonts w:ascii="Calibri" w:cs="Calibri" w:eastAsia="Calibri" w:hAnsi="Calibri"/>
                <w:sz w:val="17"/>
                <w:szCs w:val="17"/>
                <w:color w:val="auto"/>
              </w:rPr>
              <w:t>Change in fair value of contngent consideraton</w:t>
            </w:r>
            <w:r>
              <w:rPr>
                <w:rFonts w:ascii="Calibri" w:cs="Calibri" w:eastAsia="Calibri" w:hAnsi="Calibri"/>
                <w:sz w:val="23"/>
                <w:szCs w:val="23"/>
                <w:color w:val="auto"/>
                <w:vertAlign w:val="superscript"/>
              </w:rPr>
              <w:t>(10)</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line="216" w:lineRule="exact"/>
              <w:rPr>
                <w:sz w:val="20"/>
                <w:szCs w:val="20"/>
                <w:color w:val="auto"/>
              </w:rPr>
            </w:pPr>
            <w:r>
              <w:rPr>
                <w:rFonts w:ascii="Calibri" w:cs="Calibri" w:eastAsia="Calibri" w:hAnsi="Calibri"/>
                <w:sz w:val="18"/>
                <w:szCs w:val="18"/>
                <w:color w:val="auto"/>
              </w:rPr>
              <w:t>(998 )</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(2,065 )</w:t>
            </w:r>
          </w:p>
        </w:tc>
      </w:tr>
      <w:tr>
        <w:trPr>
          <w:trHeight w:val="263"/>
        </w:trPr>
        <w:tc>
          <w:tcPr>
            <w:tcW w:w="6860" w:type="dxa"/>
            <w:vAlign w:val="bottom"/>
          </w:tcPr>
          <w:p>
            <w:pPr>
              <w:ind w:left="120"/>
              <w:spacing w:after="0" w:line="263" w:lineRule="exact"/>
              <w:rPr>
                <w:sz w:val="20"/>
                <w:szCs w:val="20"/>
                <w:color w:val="auto"/>
              </w:rPr>
            </w:pPr>
            <w:r>
              <w:rPr>
                <w:rFonts w:ascii="Calibri" w:cs="Calibri" w:eastAsia="Calibri" w:hAnsi="Calibri"/>
                <w:sz w:val="18"/>
                <w:szCs w:val="18"/>
                <w:color w:val="auto"/>
              </w:rPr>
              <w:t>Loss on extnguishment of debt</w:t>
            </w:r>
            <w:r>
              <w:rPr>
                <w:rFonts w:ascii="Calibri" w:cs="Calibri" w:eastAsia="Calibri" w:hAnsi="Calibri"/>
                <w:sz w:val="24"/>
                <w:szCs w:val="24"/>
                <w:color w:val="auto"/>
                <w:vertAlign w:val="superscript"/>
              </w:rPr>
              <w:t>(11)</w:t>
            </w:r>
          </w:p>
        </w:tc>
        <w:tc>
          <w:tcPr>
            <w:tcW w:w="2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4,285</w:t>
            </w:r>
          </w:p>
        </w:tc>
        <w:tc>
          <w:tcPr>
            <w:tcW w:w="100" w:type="dxa"/>
            <w:vAlign w:val="bottom"/>
          </w:tcPr>
          <w:p>
            <w:pPr>
              <w:spacing w:after="0"/>
              <w:rPr>
                <w:sz w:val="22"/>
                <w:szCs w:val="22"/>
                <w:color w:val="auto"/>
              </w:rPr>
            </w:pPr>
          </w:p>
        </w:tc>
      </w:tr>
      <w:tr>
        <w:trPr>
          <w:trHeight w:val="250"/>
        </w:trPr>
        <w:tc>
          <w:tcPr>
            <w:tcW w:w="68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Adjusted EBITDA</w:t>
            </w:r>
          </w:p>
        </w:tc>
        <w:tc>
          <w:tcPr>
            <w:tcW w:w="28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151,419</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141,982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0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113,325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38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During the years ended December 31, 2024, 2023, and 2022, we accrued for sales and indirect tax liabilites in jurisdictons where we were not yet collectng from customers (reduced by abatements received and inclusive of any penaltes and interest assessed by the respectve jurisdictons).</w:t>
      </w:r>
    </w:p>
    <w:p>
      <w:pPr>
        <w:spacing w:after="0" w:line="109"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(i) legal, accountng, tax, and other professional fees; (ii) personnel costs related to retenton bonuses; (iii) integraton costs; and (iv) transacton-related expenses. Costs in the year ended December 31, 2024 primarily related to the refnancing of the 2022 First Lien Loan with the 2024 First Lien Loan (each as defned herein), repurchases of our Class A common stock, and various strategic investments. Costs in the year ended December 31, 2023 primarily related to the 2023 Secondary Oferings (as defned herein), our acquisitons of Vegas.com and Wavedash, and various strategic investments. Costs in the year ended December 31, 2022 primarily related to the refnancing of the 2017 First Lien Loan (as defned herein) with the 2022 First Lien Loan, our acquisiton of Vivid Picks, our exchange ofering of shares of our Class A common stock for properly tendered public warrants, and various strategic investments.</w:t>
      </w:r>
    </w:p>
    <w:p>
      <w:pPr>
        <w:spacing w:after="0" w:line="113"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equity granted pursuant to the 2021 Plan and profts interests issued prior to the Merger Transacton, neither of which are considered indicatve of our core operatng performance.</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external legal costs, setlement costs, and insurance recoveries that were unrelated to our core business operatons.</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the revaluaton of warrants to purchase Intermediate Units held by Hoya Topco following the Merger Transacton.</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asset disposals, which are not considered indicatve of our core operatng performance.</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the revaluaton of derivatves recorded at fair value.</w:t>
      </w:r>
    </w:p>
    <w:p>
      <w:pPr>
        <w:spacing w:after="0" w:line="109"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unrealized foreign currency losses (gains) from the remeasurement of non-operatng assets and liabilites denominated in non-functonal currencies on the balance sheet date.</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the remeasurement of the Tax Receivable Agreement liability.</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Relates to the revaluaton of Vivid Picks earnouts.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ind w:right="1860"/>
        <w:spacing w:after="0" w:line="348" w:lineRule="auto"/>
        <w:rPr>
          <w:sz w:val="20"/>
          <w:szCs w:val="20"/>
          <w:color w:val="auto"/>
        </w:rPr>
      </w:pPr>
      <w:r>
        <w:rPr>
          <w:rFonts w:ascii="Calibri" w:cs="Calibri" w:eastAsia="Calibri" w:hAnsi="Calibri"/>
          <w:sz w:val="18"/>
          <w:szCs w:val="18"/>
          <w:color w:val="auto"/>
        </w:rPr>
        <w:t xml:space="preserve">(11) Relates to losses incurred in the year ended December 31, 2022 resultng from the extnguishment of the 2017 First Lien Loan. </w:t>
      </w:r>
      <w:r>
        <w:rPr>
          <w:rFonts w:ascii="Calibri" w:cs="Calibri" w:eastAsia="Calibri" w:hAnsi="Calibri"/>
          <w:sz w:val="18"/>
          <w:szCs w:val="18"/>
          <w:b w:val="1"/>
          <w:bCs w:val="1"/>
          <w:color w:val="auto"/>
        </w:rPr>
        <w:t>Key Factors Afectng Our Performance</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operatonal and fnancial results have been, and will contnue to be, afected by a number of factors that present signifcant opportunites, as well as risks and challenges, including those discussed below and elsewhere in this Report, partcularly in the “Risk Factors” secton. The key factors discussed below impacted our 2024 results and/or are antcipated to impact our 2025 results.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Growth and Retenton of Ticket Buyers, Sellers, and Partners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revenue growth primarily depends on acquiring and retaining customers. We strive to have tcket buyers, sellers, and partners view us as the go-to tcketng marketplace when searching for, purchasing, and selling event tckets. We diferentate ourselves from our compettors by ofering an extensive breadth and depth of tcket listngs at a compettve value, providing an industry-leading loyalty program, and facilitatng a reliable and secure experience for tcket buyers. We acquire new tcket buyers through various marketng channels, partnerships, brand advertsements, and word-of-mouth. Performance marketng channels are highly compettve, and we must contnue to be efectve in these acquisiton channels.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seek to retain tcket buyers by cultvatng brand awareness and afnity for our diferentated product ofering. We provide an optmal customer experience, additonal avenues for engagement, and outreach through customized emails, Game Center, Vivid Picks, and, most importantly, the Vivid Seats Rewards Program.</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Likewise, we must preserve our longstanding relatonships with tcket sellers and partners to maintain extensive tcket listng optons at compettve prices. We recognize the importance of tcket seller and partner relatonships in the tcketng ecosystem and ofer products and services designed to support their needs.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Macroenvironment and Resultng Consumer Demand for Live Events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Consumer demand for live events is afected by discretonary consumer and corporate spending, which is impacted by, among other things, economic factors (</w:t>
      </w:r>
      <w:r>
        <w:rPr>
          <w:rFonts w:ascii="Calibri" w:cs="Calibri" w:eastAsia="Calibri" w:hAnsi="Calibri"/>
          <w:sz w:val="18"/>
          <w:szCs w:val="18"/>
          <w:i w:val="1"/>
          <w:iCs w:val="1"/>
          <w:color w:val="auto"/>
        </w:rPr>
        <w:t>e.g.</w:t>
      </w:r>
      <w:r>
        <w:rPr>
          <w:rFonts w:ascii="Calibri" w:cs="Calibri" w:eastAsia="Calibri" w:hAnsi="Calibri"/>
          <w:sz w:val="18"/>
          <w:szCs w:val="18"/>
          <w:color w:val="auto"/>
        </w:rPr>
        <w:t>, unemployment levels, fuel prices, interest rates, and infatonary concerns) and changes in tax rates and tax laws. While demand for live events remained strong in 2024, an impact to our business is possible if economic conditons were to decline.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Ticketng Industry Competton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faces signifcant competton from other primary and secondary tcketng service providers as it relates to the acquisiton and retenton of tcket buyers, sellers, and partners. Forms of competton include, but are not limited to, increased performance marketng spend, increased brand advertsement spend, pricing changes, exclusive partnerships, and new product oferings and enhancements. To combat such compettve dynamics, we contnue to: (i) refne our marketng strategies to atract new customers and retain existng customers; and (ii) innovate our product ofering to provide our customers with an atractve value propositon. We also face competton from other professional tcket resellers in our Resale segment.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Supply of Live Concert, Sportng, and Theater Events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number, locaton, venue type, tming, and popularity of live concert, sportng, and theater events has a signifcant efect on our revenue and operatng income. Many of the factors that afect the strength of the slate of live events are outside of our control.</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Atractng and Retaining Talent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success depends on our ability to contnue to identfy, atract, hire, integrate, develop, motvate, and retain highly skilled personnel for all areas of our organizaton. We share the dedicaton to our mission to </w:t>
      </w:r>
      <w:r>
        <w:rPr>
          <w:rFonts w:ascii="Calibri" w:cs="Calibri" w:eastAsia="Calibri" w:hAnsi="Calibri"/>
          <w:sz w:val="18"/>
          <w:szCs w:val="18"/>
          <w:i w:val="1"/>
          <w:iCs w:val="1"/>
          <w:color w:val="auto"/>
        </w:rPr>
        <w:t>Experience It Live</w:t>
      </w:r>
      <w:r>
        <w:rPr>
          <w:rFonts w:ascii="Calibri" w:cs="Calibri" w:eastAsia="Calibri" w:hAnsi="Calibri"/>
          <w:sz w:val="18"/>
          <w:szCs w:val="18"/>
          <w:color w:val="auto"/>
        </w:rPr>
        <w:t>. Ofering employees an engaging and positve work environment contributes to both their and our success. We are commited to fostering an environment that is inclusive and welcoming to diversity in backgrounds, experiences, and thoughts as a means toward achieving employee engagement, empowerment, innovaton, and good decision-making.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b w:val="1"/>
          <w:bCs w:val="1"/>
          <w:i w:val="1"/>
          <w:iCs w:val="1"/>
          <w:color w:val="auto"/>
        </w:rPr>
        <w:t>Seasonality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operatonal and fnancial results can be impacted by seasonality. Typically, we experience slightly increased actvity in the fourth quarter when all major sports leagues are in season, concert on-sales begin for the following year, and theater event orders increase during the holiday season. In additon, our fnancial results and growth rates can vary from period to period depending on, among other things:</w:t>
      </w:r>
    </w:p>
    <w:p>
      <w:pPr>
        <w:spacing w:after="0" w:line="11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locaton, venue type, and tming of certain live concert, sportng, and theater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popularity of and demand for certain artsts, sports teams, tours, and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Artsts’ decisions about when and where to perform;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Sports teams’ performances, and the length and team compositon of playof series and championship games;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Event cancellatons;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Weather, seasonal, and other fuctuatons in our operatng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of guaranteed payments, investments, acquisitons, and fnancing actvites;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Compettve dynamics;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of disbursements of Accounts payable to tcket sellers and partners.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2023 Acquisitons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Vegas.com</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3, 2023, we acquired Vegas.com for $248.3 million, consistng of $152.8 million in cash and $95.5 million in equity (for which we issued 15.6 million shares of our Class A common stock). We fnanced the cash porton of the purchase price at closing with cash on hand, as well as cash balances acquired. The acquisiton was accounted for as an acquisiton of a business in accordance with the acquisiton method of accountng.</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Wavedash</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we acquired Wavedash for JPY 10,946.1 million, or approximately $74.3 million based on the exchange rate in efect on such date, before considering the net efect of cash acquired. We fnanced the purchase price at closing with cash on hand. The acquisiton was accounted for as an acquisiton of a business in accordance with the acquisiton method of accountng.</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2023 Secondary Oferings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In 2023, Hoya Topco (i.e., the selling stockholder) completed the following public oferings of shares of our Class A common stock:</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 May 22, 2023, and June 15, 2023, Hoya Topco sold 16.0 million shares and 2.4 million shares, respectvely, pursuant to the full exercise of the underwriters’ opton to purchase additonal shares (collectvely, the “June 2023 Secondary Ofering”). The shares were purchased by the underwriters for $7.68 per share and were sold at a public ofering price of $8.00 per share. Hoya Topco exchanged 18.4 million shares of our Class B common stock and 18.4 million Intermediate Units for the shares that it sold.</w:t>
      </w:r>
    </w:p>
    <w:p>
      <w:pPr>
        <w:spacing w:after="0" w:line="124" w:lineRule="exact"/>
        <w:rPr>
          <w:rFonts w:ascii="Times New Roman" w:cs="Times New Roman" w:eastAsia="Times New Roman" w:hAnsi="Times New Roman"/>
          <w:sz w:val="18"/>
          <w:szCs w:val="18"/>
          <w:color w:val="auto"/>
        </w:rPr>
      </w:pPr>
    </w:p>
    <w:p>
      <w:pPr>
        <w:jc w:val="both"/>
        <w:ind w:left="1020" w:hanging="503"/>
        <w:spacing w:after="0" w:line="251" w:lineRule="auto"/>
        <w:tabs>
          <w:tab w:leader="none" w:pos="1020" w:val="left"/>
        </w:tabs>
        <w:numPr>
          <w:ilvl w:val="0"/>
          <w:numId w:val="25"/>
        </w:numPr>
        <w:rPr>
          <w:rFonts w:ascii="Times New Roman" w:cs="Times New Roman" w:eastAsia="Times New Roman" w:hAnsi="Times New Roman"/>
          <w:sz w:val="17"/>
          <w:szCs w:val="17"/>
          <w:color w:val="auto"/>
        </w:rPr>
      </w:pPr>
      <w:r>
        <w:rPr>
          <w:rFonts w:ascii="Calibri" w:cs="Calibri" w:eastAsia="Calibri" w:hAnsi="Calibri"/>
          <w:sz w:val="17"/>
          <w:szCs w:val="17"/>
          <w:color w:val="auto"/>
        </w:rPr>
        <w:t>On December 12, 2023, Hoya Topco sold 23.6 million shares, of which 3.1 million shares were sold pursuant to the full exercise of the underwriters’ opton to purchase additonal shares and 2.0 million shares were repurchased by us (collectvely, the “December 2023 Secondary Ofering” and, together with the June 2023 Secondary Ofering, the “2023 Secondary Oferings”). The shares were purchased by the underwriters for $6.24 per share and, other than the 2.0 million shares that we repurchased, were sold at a public ofering price of $6.50 per share. Hoya Topco exchanged 23.6 million shares of our Class B common stock and 23.6 million Intermediate Units for the shares that it sold.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color w:val="auto"/>
        </w:rPr>
        <w:t>We did not receive any proceeds from the 2023 Secondary Oferings.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Organizaton for Economic Co-operaton and Development has a framework to implement a global minimum corporate tax of 15% for companies with global revenues and profts above certain thresholds (referred to as “Pillar Two”). While certain aspects of Pillar Two are efectve as of January 1, 2024, other aspects of Pillar Two are not efectve untl January 1, 2025. While it is uncertain whether the United States will enact legislaton to adopt Pillar Two, certain countries in which we operate (i.e., Canada and Japan) have either already introduced Pillar Two or are in the process of introducing legislaton to implement Pillar Two. While there were no material impacts to our consolidated fnancial statements for the years ended December 31, 2024, 2023, and 2022 as a result of this legislaton, we will contnue to assess Pillar Two going forward.</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09" w:lineRule="exact"/>
        <w:rPr>
          <w:sz w:val="20"/>
          <w:szCs w:val="20"/>
          <w:color w:val="auto"/>
        </w:rPr>
      </w:pPr>
    </w:p>
    <w:p>
      <w:pPr>
        <w:jc w:val="both"/>
        <w:spacing w:after="0" w:line="235" w:lineRule="auto"/>
        <w:rPr>
          <w:rFonts w:ascii="Calibri" w:cs="Calibri" w:eastAsia="Calibri" w:hAnsi="Calibri"/>
          <w:sz w:val="18"/>
          <w:szCs w:val="18"/>
          <w:color w:val="0000FF"/>
        </w:rPr>
      </w:pPr>
      <w:hyperlink r:id="rId79">
        <w:r>
          <w:rPr>
            <w:rFonts w:ascii="Calibri" w:cs="Calibri" w:eastAsia="Calibri" w:hAnsi="Calibri"/>
            <w:sz w:val="18"/>
            <w:szCs w:val="18"/>
            <w:color w:val="auto"/>
          </w:rPr>
          <w:t xml:space="preserve">A discussion of the year ended December 31, 2022 and a comparison of the years ended December 31, 2023 and 2022 can be found in the </w:t>
        </w:r>
        <w:r>
          <w:rPr>
            <w:rFonts w:ascii="Calibri" w:cs="Calibri" w:eastAsia="Calibri" w:hAnsi="Calibri"/>
            <w:sz w:val="18"/>
            <w:szCs w:val="18"/>
            <w:u w:val="single" w:color="auto"/>
            <w:color w:val="0000FF"/>
          </w:rPr>
          <w:t>“Management’s</w:t>
        </w:r>
      </w:hyperlink>
      <w:r>
        <w:rPr>
          <w:rFonts w:ascii="Calibri" w:cs="Calibri" w:eastAsia="Calibri" w:hAnsi="Calibri"/>
          <w:sz w:val="18"/>
          <w:szCs w:val="18"/>
          <w:color w:val="auto"/>
        </w:rPr>
        <w:t xml:space="preserve"> </w:t>
      </w:r>
      <w:hyperlink r:id="rId79">
        <w:r>
          <w:rPr>
            <w:rFonts w:ascii="Calibri" w:cs="Calibri" w:eastAsia="Calibri" w:hAnsi="Calibri"/>
            <w:sz w:val="18"/>
            <w:szCs w:val="18"/>
            <w:u w:val="single" w:color="auto"/>
            <w:color w:val="0000FF"/>
          </w:rPr>
          <w:t>Discussion and Analysis of Financial Conditon and Results of Operatons”</w:t>
        </w:r>
        <w:r>
          <w:rPr>
            <w:rFonts w:ascii="Calibri" w:cs="Calibri" w:eastAsia="Calibri" w:hAnsi="Calibri"/>
            <w:sz w:val="18"/>
            <w:szCs w:val="18"/>
            <w:color w:val="0000FF"/>
          </w:rPr>
          <w:t xml:space="preserve"> </w:t>
        </w:r>
        <w:r>
          <w:rPr>
            <w:rFonts w:ascii="Calibri" w:cs="Calibri" w:eastAsia="Calibri" w:hAnsi="Calibri"/>
            <w:sz w:val="18"/>
            <w:szCs w:val="18"/>
            <w:color w:val="000000"/>
          </w:rPr>
          <w:t>secton of our Annual Report on Form 10-K for the year ended December 31, 2023,</w:t>
        </w:r>
      </w:hyperlink>
      <w:r>
        <w:rPr>
          <w:rFonts w:ascii="Calibri" w:cs="Calibri" w:eastAsia="Calibri" w:hAnsi="Calibri"/>
          <w:sz w:val="18"/>
          <w:szCs w:val="18"/>
          <w:color w:val="0000FF"/>
        </w:rPr>
        <w:t xml:space="preserve"> </w:t>
      </w:r>
      <w:r>
        <w:rPr>
          <w:rFonts w:ascii="Calibri" w:cs="Calibri" w:eastAsia="Calibri" w:hAnsi="Calibri"/>
          <w:sz w:val="18"/>
          <w:szCs w:val="18"/>
          <w:color w:val="000000"/>
        </w:rPr>
        <w:t>fled on March 8, 2024, which secton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-292100</wp:posOffset>
            </wp:positionV>
            <wp:extent cx="7270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70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332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Comparison of the Years Ended December 31, 2024 and 2023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for the years ended December 31, 2024 and 2023 (in thousands, except percentages):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48"/>
              <w:spacing w:after="0"/>
              <w:rPr>
                <w:sz w:val="20"/>
                <w:szCs w:val="20"/>
                <w:color w:val="auto"/>
              </w:rPr>
            </w:pPr>
            <w:r>
              <w:rPr>
                <w:rFonts w:ascii="Calibri" w:cs="Calibri" w:eastAsia="Calibri" w:hAnsi="Calibri"/>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3"/>
        </w:trPr>
        <w:tc>
          <w:tcPr>
            <w:tcW w:w="4820" w:type="dxa"/>
            <w:vAlign w:val="bottom"/>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5"/>
                <w:szCs w:val="15"/>
                <w:color w:val="auto"/>
              </w:rPr>
            </w:pPr>
          </w:p>
        </w:tc>
        <w:tc>
          <w:tcPr>
            <w:tcW w:w="1120" w:type="dxa"/>
            <w:vAlign w:val="bottom"/>
            <w:tcBorders>
              <w:bottom w:val="single" w:sz="8" w:color="auto"/>
            </w:tcBorders>
          </w:tcPr>
          <w:p>
            <w:pPr>
              <w:ind w:left="260"/>
              <w:spacing w:after="0" w:line="156" w:lineRule="exact"/>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5"/>
                <w:szCs w:val="15"/>
                <w:color w:val="auto"/>
              </w:rPr>
            </w:pPr>
          </w:p>
        </w:tc>
      </w:tr>
      <w:tr>
        <w:trPr>
          <w:trHeight w:val="172"/>
        </w:trPr>
        <w:tc>
          <w:tcPr>
            <w:tcW w:w="48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000" w:type="dxa"/>
            <w:vAlign w:val="bottom"/>
            <w:shd w:val="clear" w:color="auto" w:fill="CFF0FC"/>
          </w:tcPr>
          <w:p>
            <w:pPr>
              <w:jc w:val="right"/>
              <w:ind w:right="84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775,586</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4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712,879</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Calibri" w:cs="Calibri" w:eastAsia="Calibri" w:hAnsi="Calibri"/>
                <w:sz w:val="14"/>
                <w:szCs w:val="14"/>
                <w:b w:val="1"/>
                <w:bCs w:val="1"/>
                <w:color w:val="auto"/>
                <w:w w:val="83"/>
              </w:rPr>
              <w:t>$</w:t>
            </w:r>
          </w:p>
        </w:tc>
        <w:tc>
          <w:tcPr>
            <w:tcW w:w="108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62,707</w:t>
            </w:r>
          </w:p>
        </w:tc>
        <w:tc>
          <w:tcPr>
            <w:tcW w:w="2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b w:val="1"/>
                <w:bCs w:val="1"/>
                <w:color w:val="auto"/>
              </w:rPr>
              <w:t>9 %</w:t>
            </w:r>
          </w:p>
        </w:tc>
      </w:tr>
      <w:tr>
        <w:trPr>
          <w:trHeight w:val="173"/>
        </w:trPr>
        <w:tc>
          <w:tcPr>
            <w:tcW w:w="4820" w:type="dxa"/>
            <w:vAlign w:val="bottom"/>
          </w:tcPr>
          <w:p>
            <w:pPr>
              <w:ind w:left="20"/>
              <w:spacing w:after="0"/>
              <w:rPr>
                <w:sz w:val="20"/>
                <w:szCs w:val="20"/>
                <w:color w:val="auto"/>
              </w:rPr>
            </w:pPr>
            <w:r>
              <w:rPr>
                <w:rFonts w:ascii="Calibri" w:cs="Calibri" w:eastAsia="Calibri" w:hAnsi="Calibri"/>
                <w:sz w:val="14"/>
                <w:szCs w:val="14"/>
                <w:color w:val="auto"/>
              </w:rPr>
              <w:t>Costs and expenses: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4"/>
        </w:trPr>
        <w:tc>
          <w:tcPr>
            <w:tcW w:w="4820" w:type="dxa"/>
            <w:vAlign w:val="bottom"/>
            <w:shd w:val="clear" w:color="auto" w:fill="CFF0FC"/>
          </w:tcPr>
          <w:p>
            <w:pPr>
              <w:ind w:left="100"/>
              <w:spacing w:after="0" w:line="164" w:lineRule="exact"/>
              <w:rPr>
                <w:sz w:val="20"/>
                <w:szCs w:val="20"/>
                <w:color w:val="auto"/>
              </w:rPr>
            </w:pPr>
            <w:r>
              <w:rPr>
                <w:rFonts w:ascii="Calibri" w:cs="Calibri" w:eastAsia="Calibri" w:hAnsi="Calibri"/>
                <w:sz w:val="14"/>
                <w:szCs w:val="14"/>
                <w:color w:val="auto"/>
              </w:rPr>
              <w:t>Cost of revenues (exclusive of depreciaton and amortzaton shown</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70"/>
        </w:trPr>
        <w:tc>
          <w:tcPr>
            <w:tcW w:w="482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separately below)</w:t>
            </w:r>
          </w:p>
        </w:tc>
        <w:tc>
          <w:tcPr>
            <w:tcW w:w="10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201,854</w:t>
            </w: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182,184</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19,670</w:t>
            </w:r>
          </w:p>
        </w:tc>
        <w:tc>
          <w:tcPr>
            <w:tcW w:w="22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Calibri" w:cs="Calibri" w:eastAsia="Calibri" w:hAnsi="Calibri"/>
                <w:sz w:val="14"/>
                <w:szCs w:val="14"/>
                <w:color w:val="auto"/>
              </w:rPr>
              <w:t>11 %</w:t>
            </w:r>
          </w:p>
        </w:tc>
      </w:tr>
      <w:tr>
        <w:trPr>
          <w:trHeight w:val="173"/>
        </w:trPr>
        <w:tc>
          <w:tcPr>
            <w:tcW w:w="4820" w:type="dxa"/>
            <w:vAlign w:val="bottom"/>
          </w:tcPr>
          <w:p>
            <w:pPr>
              <w:ind w:left="100"/>
              <w:spacing w:after="0"/>
              <w:rPr>
                <w:sz w:val="20"/>
                <w:szCs w:val="20"/>
                <w:color w:val="auto"/>
              </w:rPr>
            </w:pPr>
            <w:r>
              <w:rPr>
                <w:rFonts w:ascii="Calibri" w:cs="Calibri" w:eastAsia="Calibri" w:hAnsi="Calibri"/>
                <w:sz w:val="14"/>
                <w:szCs w:val="14"/>
                <w:color w:val="auto"/>
              </w:rPr>
              <w:t>Marketng and selling</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285,146</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274,096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11,050</w:t>
            </w:r>
          </w:p>
        </w:tc>
        <w:tc>
          <w:tcPr>
            <w:tcW w:w="22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Calibri" w:cs="Calibri" w:eastAsia="Calibri" w:hAnsi="Calibri"/>
                <w:sz w:val="14"/>
                <w:szCs w:val="14"/>
                <w:color w:val="auto"/>
              </w:rPr>
              <w:t>4 %</w:t>
            </w:r>
          </w:p>
        </w:tc>
      </w:tr>
      <w:tr>
        <w:trPr>
          <w:trHeight w:val="178"/>
        </w:trPr>
        <w:tc>
          <w:tcPr>
            <w:tcW w:w="48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General and administratve</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202,123</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159,081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43,042</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color w:val="auto"/>
              </w:rPr>
              <w:t>27 %</w:t>
            </w:r>
          </w:p>
        </w:tc>
      </w:tr>
      <w:tr>
        <w:trPr>
          <w:trHeight w:val="173"/>
        </w:trPr>
        <w:tc>
          <w:tcPr>
            <w:tcW w:w="4820" w:type="dxa"/>
            <w:vAlign w:val="bottom"/>
          </w:tcPr>
          <w:p>
            <w:pPr>
              <w:ind w:left="100"/>
              <w:spacing w:after="0"/>
              <w:rPr>
                <w:sz w:val="20"/>
                <w:szCs w:val="20"/>
                <w:color w:val="auto"/>
              </w:rPr>
            </w:pPr>
            <w:r>
              <w:rPr>
                <w:rFonts w:ascii="Calibri" w:cs="Calibri" w:eastAsia="Calibri" w:hAnsi="Calibri"/>
                <w:sz w:val="14"/>
                <w:szCs w:val="14"/>
                <w:color w:val="auto"/>
              </w:rPr>
              <w:t>Depreciaton and amortzaton</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44,238</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17,178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27,060</w:t>
            </w:r>
          </w:p>
        </w:tc>
        <w:tc>
          <w:tcPr>
            <w:tcW w:w="22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Calibri" w:cs="Calibri" w:eastAsia="Calibri" w:hAnsi="Calibri"/>
                <w:sz w:val="14"/>
                <w:szCs w:val="14"/>
                <w:color w:val="auto"/>
              </w:rPr>
              <w:t>158 %</w:t>
            </w:r>
          </w:p>
        </w:tc>
      </w:tr>
      <w:tr>
        <w:trPr>
          <w:trHeight w:val="175"/>
        </w:trPr>
        <w:tc>
          <w:tcPr>
            <w:tcW w:w="48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Change in fair value of contngent consideraton</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(998 )</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998</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color w:val="auto"/>
              </w:rPr>
              <w:t>100 %</w:t>
            </w:r>
          </w:p>
        </w:tc>
      </w:tr>
      <w:tr>
        <w:trPr>
          <w:trHeight w:val="20"/>
        </w:trPr>
        <w:tc>
          <w:tcPr>
            <w:tcW w:w="48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69"/>
        </w:trPr>
        <w:tc>
          <w:tcPr>
            <w:tcW w:w="4820" w:type="dxa"/>
            <w:vAlign w:val="bottom"/>
          </w:tcPr>
          <w:p>
            <w:pPr>
              <w:ind w:left="160"/>
              <w:spacing w:after="0" w:line="169" w:lineRule="exact"/>
              <w:rPr>
                <w:sz w:val="20"/>
                <w:szCs w:val="20"/>
                <w:color w:val="auto"/>
              </w:rPr>
            </w:pPr>
            <w:r>
              <w:rPr>
                <w:rFonts w:ascii="Calibri" w:cs="Calibri" w:eastAsia="Calibri" w:hAnsi="Calibri"/>
                <w:sz w:val="14"/>
                <w:szCs w:val="14"/>
                <w:color w:val="auto"/>
              </w:rPr>
              <w:t>Total costs and expenses</w:t>
            </w:r>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color w:val="auto"/>
              </w:rPr>
              <w:t>733,361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color w:val="auto"/>
              </w:rPr>
              <w:t>631,541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101,820</w:t>
            </w:r>
          </w:p>
        </w:tc>
        <w:tc>
          <w:tcPr>
            <w:tcW w:w="220" w:type="dxa"/>
            <w:vAlign w:val="bottom"/>
          </w:tcPr>
          <w:p>
            <w:pPr>
              <w:spacing w:after="0"/>
              <w:rPr>
                <w:sz w:val="14"/>
                <w:szCs w:val="14"/>
                <w:color w:val="auto"/>
              </w:rPr>
            </w:pPr>
          </w:p>
        </w:tc>
        <w:tc>
          <w:tcPr>
            <w:tcW w:w="1300" w:type="dxa"/>
            <w:vAlign w:val="bottom"/>
            <w:gridSpan w:val="2"/>
          </w:tcPr>
          <w:p>
            <w:pPr>
              <w:jc w:val="right"/>
              <w:ind w:right="80"/>
              <w:spacing w:after="0" w:line="169" w:lineRule="exact"/>
              <w:rPr>
                <w:sz w:val="20"/>
                <w:szCs w:val="20"/>
                <w:color w:val="auto"/>
              </w:rPr>
            </w:pPr>
            <w:r>
              <w:rPr>
                <w:rFonts w:ascii="Calibri" w:cs="Calibri" w:eastAsia="Calibri" w:hAnsi="Calibri"/>
                <w:sz w:val="14"/>
                <w:szCs w:val="14"/>
                <w:color w:val="auto"/>
              </w:rPr>
              <w:t>16 %</w:t>
            </w:r>
          </w:p>
        </w:tc>
      </w:tr>
      <w:tr>
        <w:trPr>
          <w:trHeight w:val="20"/>
        </w:trPr>
        <w:tc>
          <w:tcPr>
            <w:tcW w:w="4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2"/>
        </w:trPr>
        <w:tc>
          <w:tcPr>
            <w:tcW w:w="48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42,225</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81,338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b w:val="1"/>
                <w:bCs w:val="1"/>
                <w:color w:val="auto"/>
              </w:rPr>
              <w:t>(39,113 )</w:t>
            </w:r>
          </w:p>
        </w:tc>
        <w:tc>
          <w:tcPr>
            <w:tcW w:w="1300" w:type="dxa"/>
            <w:vAlign w:val="bottom"/>
            <w:gridSpan w:val="2"/>
            <w:shd w:val="clear" w:color="auto" w:fill="CFF0FC"/>
          </w:tcPr>
          <w:p>
            <w:pPr>
              <w:jc w:val="right"/>
              <w:ind w:right="20"/>
              <w:spacing w:after="0"/>
              <w:rPr>
                <w:sz w:val="20"/>
                <w:szCs w:val="20"/>
                <w:color w:val="auto"/>
              </w:rPr>
            </w:pPr>
            <w:r>
              <w:rPr>
                <w:rFonts w:ascii="Calibri" w:cs="Calibri" w:eastAsia="Calibri" w:hAnsi="Calibri"/>
                <w:sz w:val="14"/>
                <w:szCs w:val="14"/>
                <w:b w:val="1"/>
                <w:bCs w:val="1"/>
                <w:color w:val="auto"/>
              </w:rPr>
              <w:t>(48 )%</w:t>
            </w:r>
          </w:p>
        </w:tc>
      </w:tr>
      <w:tr>
        <w:trPr>
          <w:trHeight w:val="173"/>
        </w:trPr>
        <w:tc>
          <w:tcPr>
            <w:tcW w:w="482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23,172</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13,505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9,667</w:t>
            </w:r>
          </w:p>
        </w:tc>
        <w:tc>
          <w:tcPr>
            <w:tcW w:w="22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Calibri" w:cs="Calibri" w:eastAsia="Calibri" w:hAnsi="Calibri"/>
                <w:sz w:val="14"/>
                <w:szCs w:val="14"/>
                <w:color w:val="auto"/>
              </w:rPr>
              <w:t>72 %</w:t>
            </w:r>
          </w:p>
        </w:tc>
      </w:tr>
      <w:tr>
        <w:trPr>
          <w:trHeight w:val="176"/>
        </w:trPr>
        <w:tc>
          <w:tcPr>
            <w:tcW w:w="48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 income – net</w:t>
            </w:r>
          </w:p>
        </w:tc>
        <w:tc>
          <w:tcPr>
            <w:tcW w:w="10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(3,666 )</w:t>
            </w:r>
          </w:p>
        </w:tc>
        <w:tc>
          <w:tcPr>
            <w:tcW w:w="10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(3,109 )</w:t>
            </w:r>
          </w:p>
        </w:tc>
        <w:tc>
          <w:tcPr>
            <w:tcW w:w="2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(557 )</w:t>
            </w:r>
          </w:p>
        </w:tc>
        <w:tc>
          <w:tcPr>
            <w:tcW w:w="1300" w:type="dxa"/>
            <w:vAlign w:val="bottom"/>
            <w:gridSpan w:val="2"/>
            <w:shd w:val="clear" w:color="auto" w:fill="CFF0FC"/>
          </w:tcPr>
          <w:p>
            <w:pPr>
              <w:jc w:val="right"/>
              <w:ind w:right="20"/>
              <w:spacing w:after="0"/>
              <w:rPr>
                <w:sz w:val="20"/>
                <w:szCs w:val="20"/>
                <w:color w:val="auto"/>
              </w:rPr>
            </w:pPr>
            <w:r>
              <w:rPr>
                <w:rFonts w:ascii="Calibri" w:cs="Calibri" w:eastAsia="Calibri" w:hAnsi="Calibri"/>
                <w:sz w:val="14"/>
                <w:szCs w:val="14"/>
                <w:color w:val="auto"/>
              </w:rPr>
              <w:t>(18 )%</w:t>
            </w:r>
          </w:p>
        </w:tc>
      </w:tr>
      <w:tr>
        <w:trPr>
          <w:trHeight w:val="20"/>
        </w:trPr>
        <w:tc>
          <w:tcPr>
            <w:tcW w:w="48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69"/>
        </w:trPr>
        <w:tc>
          <w:tcPr>
            <w:tcW w:w="482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Income before income taxes</w:t>
            </w:r>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22,719</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70,942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b w:val="1"/>
                <w:bCs w:val="1"/>
                <w:color w:val="auto"/>
              </w:rPr>
              <w:t>(48,223 )</w:t>
            </w:r>
          </w:p>
        </w:tc>
        <w:tc>
          <w:tcPr>
            <w:tcW w:w="1300" w:type="dxa"/>
            <w:vAlign w:val="bottom"/>
            <w:gridSpan w:val="2"/>
          </w:tcPr>
          <w:p>
            <w:pPr>
              <w:jc w:val="right"/>
              <w:ind w:right="20"/>
              <w:spacing w:after="0" w:line="169" w:lineRule="exact"/>
              <w:rPr>
                <w:sz w:val="20"/>
                <w:szCs w:val="20"/>
                <w:color w:val="auto"/>
              </w:rPr>
            </w:pPr>
            <w:r>
              <w:rPr>
                <w:rFonts w:ascii="Calibri" w:cs="Calibri" w:eastAsia="Calibri" w:hAnsi="Calibri"/>
                <w:sz w:val="14"/>
                <w:szCs w:val="14"/>
                <w:b w:val="1"/>
                <w:bCs w:val="1"/>
                <w:color w:val="auto"/>
              </w:rPr>
              <w:t>(68 )%</w:t>
            </w:r>
          </w:p>
        </w:tc>
      </w:tr>
      <w:tr>
        <w:trPr>
          <w:trHeight w:val="175"/>
        </w:trPr>
        <w:tc>
          <w:tcPr>
            <w:tcW w:w="48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Income tax expense (beneft)</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8,417</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(42,199 )</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50,616</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color w:val="auto"/>
              </w:rPr>
              <w:t>120 %</w:t>
            </w:r>
          </w:p>
        </w:tc>
      </w:tr>
      <w:tr>
        <w:trPr>
          <w:trHeight w:val="20"/>
        </w:trPr>
        <w:tc>
          <w:tcPr>
            <w:tcW w:w="48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69"/>
        </w:trPr>
        <w:tc>
          <w:tcPr>
            <w:tcW w:w="482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Net income</w:t>
            </w:r>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14,302</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113,141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b w:val="1"/>
                <w:bCs w:val="1"/>
                <w:color w:val="auto"/>
              </w:rPr>
              <w:t>(98,839 )</w:t>
            </w:r>
          </w:p>
        </w:tc>
        <w:tc>
          <w:tcPr>
            <w:tcW w:w="1300" w:type="dxa"/>
            <w:vAlign w:val="bottom"/>
            <w:gridSpan w:val="2"/>
          </w:tcPr>
          <w:p>
            <w:pPr>
              <w:jc w:val="right"/>
              <w:ind w:right="20"/>
              <w:spacing w:after="0" w:line="169" w:lineRule="exact"/>
              <w:rPr>
                <w:sz w:val="20"/>
                <w:szCs w:val="20"/>
                <w:color w:val="auto"/>
              </w:rPr>
            </w:pPr>
            <w:r>
              <w:rPr>
                <w:rFonts w:ascii="Calibri" w:cs="Calibri" w:eastAsia="Calibri" w:hAnsi="Calibri"/>
                <w:sz w:val="14"/>
                <w:szCs w:val="14"/>
                <w:b w:val="1"/>
                <w:bCs w:val="1"/>
                <w:color w:val="auto"/>
              </w:rPr>
              <w:t>(87 )%</w:t>
            </w:r>
          </w:p>
        </w:tc>
      </w:tr>
      <w:tr>
        <w:trPr>
          <w:trHeight w:val="176"/>
        </w:trPr>
        <w:tc>
          <w:tcPr>
            <w:tcW w:w="48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Net income atributable to redeemable noncontrolling interests</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4,877</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38,605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(33,728 )</w:t>
            </w:r>
          </w:p>
        </w:tc>
        <w:tc>
          <w:tcPr>
            <w:tcW w:w="1300" w:type="dxa"/>
            <w:vAlign w:val="bottom"/>
            <w:gridSpan w:val="2"/>
            <w:shd w:val="clear" w:color="auto" w:fill="CFF0FC"/>
          </w:tcPr>
          <w:p>
            <w:pPr>
              <w:jc w:val="right"/>
              <w:ind w:right="20"/>
              <w:spacing w:after="0"/>
              <w:rPr>
                <w:sz w:val="20"/>
                <w:szCs w:val="20"/>
                <w:color w:val="auto"/>
              </w:rPr>
            </w:pPr>
            <w:r>
              <w:rPr>
                <w:rFonts w:ascii="Calibri" w:cs="Calibri" w:eastAsia="Calibri" w:hAnsi="Calibri"/>
                <w:sz w:val="14"/>
                <w:szCs w:val="14"/>
                <w:color w:val="auto"/>
              </w:rPr>
              <w:t>(87 )%</w:t>
            </w:r>
          </w:p>
        </w:tc>
      </w:tr>
      <w:tr>
        <w:trPr>
          <w:trHeight w:val="20"/>
        </w:trPr>
        <w:tc>
          <w:tcPr>
            <w:tcW w:w="48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72"/>
        </w:trPr>
        <w:tc>
          <w:tcPr>
            <w:tcW w:w="4820" w:type="dxa"/>
            <w:vAlign w:val="bottom"/>
          </w:tcPr>
          <w:p>
            <w:pPr>
              <w:ind w:left="20"/>
              <w:spacing w:after="0"/>
              <w:rPr>
                <w:sz w:val="20"/>
                <w:szCs w:val="20"/>
                <w:color w:val="auto"/>
              </w:rPr>
            </w:pPr>
            <w:r>
              <w:rPr>
                <w:rFonts w:ascii="Calibri" w:cs="Calibri" w:eastAsia="Calibri" w:hAnsi="Calibri"/>
                <w:sz w:val="14"/>
                <w:szCs w:val="14"/>
                <w:b w:val="1"/>
                <w:bCs w:val="1"/>
                <w:color w:val="auto"/>
              </w:rPr>
              <w:t>Net income atributable to Class A common stockholders</w:t>
            </w:r>
          </w:p>
        </w:tc>
        <w:tc>
          <w:tcPr>
            <w:tcW w:w="1000" w:type="dxa"/>
            <w:vAlign w:val="bottom"/>
          </w:tcPr>
          <w:p>
            <w:pPr>
              <w:jc w:val="right"/>
              <w:ind w:right="84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9,425</w:t>
            </w:r>
          </w:p>
        </w:tc>
        <w:tc>
          <w:tcPr>
            <w:tcW w:w="220" w:type="dxa"/>
            <w:vAlign w:val="bottom"/>
          </w:tcPr>
          <w:p>
            <w:pPr>
              <w:spacing w:after="0"/>
              <w:rPr>
                <w:sz w:val="14"/>
                <w:szCs w:val="14"/>
                <w:color w:val="auto"/>
              </w:rPr>
            </w:pPr>
          </w:p>
        </w:tc>
        <w:tc>
          <w:tcPr>
            <w:tcW w:w="1000" w:type="dxa"/>
            <w:vAlign w:val="bottom"/>
          </w:tcPr>
          <w:p>
            <w:pPr>
              <w:jc w:val="right"/>
              <w:ind w:right="848"/>
              <w:spacing w:after="0"/>
              <w:rPr>
                <w:sz w:val="20"/>
                <w:szCs w:val="20"/>
                <w:color w:val="auto"/>
              </w:rPr>
            </w:pPr>
            <w:r>
              <w:rPr>
                <w:rFonts w:ascii="Calibri" w:cs="Calibri" w:eastAsia="Calibri" w:hAnsi="Calibri"/>
                <w:sz w:val="14"/>
                <w:szCs w:val="14"/>
                <w:b w:val="1"/>
                <w:bCs w:val="1"/>
                <w:color w:val="auto"/>
                <w:w w:val="83"/>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74,536</w:t>
            </w:r>
          </w:p>
        </w:tc>
        <w:tc>
          <w:tcPr>
            <w:tcW w:w="2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Calibri" w:cs="Calibri" w:eastAsia="Calibri" w:hAnsi="Calibri"/>
                <w:sz w:val="14"/>
                <w:szCs w:val="14"/>
                <w:b w:val="1"/>
                <w:bCs w:val="1"/>
                <w:color w:val="auto"/>
                <w:w w:val="83"/>
              </w:rPr>
              <w:t>$</w:t>
            </w:r>
          </w:p>
        </w:tc>
        <w:tc>
          <w:tcPr>
            <w:tcW w:w="1300" w:type="dxa"/>
            <w:vAlign w:val="bottom"/>
            <w:gridSpan w:val="2"/>
          </w:tcPr>
          <w:p>
            <w:pPr>
              <w:jc w:val="right"/>
              <w:ind w:right="160"/>
              <w:spacing w:after="0"/>
              <w:rPr>
                <w:sz w:val="20"/>
                <w:szCs w:val="20"/>
                <w:color w:val="auto"/>
              </w:rPr>
            </w:pPr>
            <w:r>
              <w:rPr>
                <w:rFonts w:ascii="Calibri" w:cs="Calibri" w:eastAsia="Calibri" w:hAnsi="Calibri"/>
                <w:sz w:val="14"/>
                <w:szCs w:val="14"/>
                <w:b w:val="1"/>
                <w:bCs w:val="1"/>
                <w:color w:val="auto"/>
              </w:rPr>
              <w:t>(65,111 )</w:t>
            </w:r>
          </w:p>
        </w:tc>
        <w:tc>
          <w:tcPr>
            <w:tcW w:w="1300" w:type="dxa"/>
            <w:vAlign w:val="bottom"/>
            <w:gridSpan w:val="2"/>
          </w:tcPr>
          <w:p>
            <w:pPr>
              <w:jc w:val="right"/>
              <w:ind w:right="20"/>
              <w:spacing w:after="0"/>
              <w:rPr>
                <w:sz w:val="20"/>
                <w:szCs w:val="20"/>
                <w:color w:val="auto"/>
              </w:rPr>
            </w:pPr>
            <w:r>
              <w:rPr>
                <w:rFonts w:ascii="Calibri" w:cs="Calibri" w:eastAsia="Calibri" w:hAnsi="Calibri"/>
                <w:sz w:val="14"/>
                <w:szCs w:val="14"/>
                <w:b w:val="1"/>
                <w:bCs w:val="1"/>
                <w:color w:val="auto"/>
              </w:rPr>
              <w:t>(87 )%</w:t>
            </w: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-1071245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-1071245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-1071245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-1071245</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-607695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-607695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-607695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-607695</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-376555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-376555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-376555</wp:posOffset>
            </wp:positionV>
            <wp:extent cx="120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-145415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-145415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-145415</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Revenues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total revenues by segment for the years ended December 31, 2024 and 2023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tcPr>
          <w:p>
            <w:pPr>
              <w:spacing w:after="0"/>
              <w:rPr>
                <w:sz w:val="19"/>
                <w:szCs w:val="19"/>
                <w:color w:val="auto"/>
              </w:rPr>
            </w:pPr>
          </w:p>
        </w:tc>
        <w:tc>
          <w:tcPr>
            <w:tcW w:w="2960" w:type="dxa"/>
            <w:vAlign w:val="bottom"/>
            <w:gridSpan w:val="4"/>
          </w:tcPr>
          <w:p>
            <w:pPr>
              <w:jc w:val="right"/>
              <w:ind w:right="90"/>
              <w:spacing w:after="0"/>
              <w:rPr>
                <w:sz w:val="20"/>
                <w:szCs w:val="20"/>
                <w:color w:val="auto"/>
              </w:rPr>
            </w:pPr>
            <w:r>
              <w:rPr>
                <w:rFonts w:ascii="Calibri" w:cs="Calibri" w:eastAsia="Calibri" w:hAnsi="Calibri"/>
                <w:sz w:val="18"/>
                <w:szCs w:val="18"/>
                <w:b w:val="1"/>
                <w:bCs w:val="1"/>
                <w:color w:val="auto"/>
              </w:rPr>
              <w:t>Years Ended December 31,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Change</w:t>
            </w:r>
          </w:p>
        </w:tc>
        <w:tc>
          <w:tcPr>
            <w:tcW w:w="220" w:type="dxa"/>
            <w:vAlign w:val="bottom"/>
            <w:vMerge w:val="restart"/>
          </w:tcPr>
          <w:p>
            <w:pPr>
              <w:spacing w:after="0"/>
              <w:rPr>
                <w:sz w:val="2"/>
                <w:szCs w:val="2"/>
                <w:color w:val="auto"/>
              </w:rPr>
            </w:pPr>
          </w:p>
        </w:tc>
        <w:tc>
          <w:tcPr>
            <w:tcW w:w="1340" w:type="dxa"/>
            <w:vAlign w:val="bottom"/>
            <w:vMerge w:val="restart"/>
          </w:tcPr>
          <w:p>
            <w:pPr>
              <w:ind w:left="320"/>
              <w:spacing w:after="0"/>
              <w:rPr>
                <w:sz w:val="20"/>
                <w:szCs w:val="20"/>
                <w:color w:val="auto"/>
              </w:rPr>
            </w:pPr>
            <w:r>
              <w:rPr>
                <w:rFonts w:ascii="Calibri" w:cs="Calibri" w:eastAsia="Calibri" w:hAnsi="Calibri"/>
                <w:sz w:val="18"/>
                <w:szCs w:val="18"/>
                <w:b w:val="1"/>
                <w:bCs w:val="1"/>
                <w:color w:val="auto"/>
              </w:rPr>
              <w:t>% Change</w:t>
            </w: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Marketplace revenues</w:t>
            </w: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647,891</w:t>
            </w:r>
          </w:p>
        </w:tc>
        <w:tc>
          <w:tcPr>
            <w:tcW w:w="1280" w:type="dxa"/>
            <w:vAlign w:val="bottom"/>
            <w:gridSpan w:val="2"/>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597,388</w:t>
            </w:r>
          </w:p>
        </w:tc>
        <w:tc>
          <w:tcPr>
            <w:tcW w:w="480" w:type="dxa"/>
            <w:vAlign w:val="bottom"/>
            <w:gridSpan w:val="2"/>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50,503</w:t>
            </w:r>
          </w:p>
        </w:tc>
        <w:tc>
          <w:tcPr>
            <w:tcW w:w="1720" w:type="dxa"/>
            <w:vAlign w:val="bottom"/>
            <w:gridSpan w:val="3"/>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8 %</w:t>
            </w:r>
          </w:p>
        </w:tc>
        <w:tc>
          <w:tcPr>
            <w:tcW w:w="0" w:type="dxa"/>
            <w:vAlign w:val="bottom"/>
          </w:tcPr>
          <w:p>
            <w:pPr>
              <w:spacing w:after="0"/>
              <w:rPr>
                <w:sz w:val="1"/>
                <w:szCs w:val="1"/>
                <w:color w:val="auto"/>
              </w:rPr>
            </w:pPr>
          </w:p>
        </w:tc>
      </w:tr>
      <w:tr>
        <w:trPr>
          <w:trHeight w:val="215"/>
        </w:trPr>
        <w:tc>
          <w:tcPr>
            <w:tcW w:w="4260" w:type="dxa"/>
            <w:vAlign w:val="bottom"/>
          </w:tcPr>
          <w:p>
            <w:pPr>
              <w:ind w:left="20"/>
              <w:spacing w:after="0" w:line="215" w:lineRule="exact"/>
              <w:rPr>
                <w:sz w:val="20"/>
                <w:szCs w:val="20"/>
                <w:color w:val="auto"/>
              </w:rPr>
            </w:pPr>
            <w:r>
              <w:rPr>
                <w:rFonts w:ascii="Calibri" w:cs="Calibri" w:eastAsia="Calibri" w:hAnsi="Calibri"/>
                <w:sz w:val="18"/>
                <w:szCs w:val="18"/>
                <w:color w:val="auto"/>
              </w:rPr>
              <w:t>Resale revenues</w:t>
            </w: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127,695</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115,491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12,204</w:t>
            </w:r>
          </w:p>
        </w:tc>
        <w:tc>
          <w:tcPr>
            <w:tcW w:w="220" w:type="dxa"/>
            <w:vAlign w:val="bottom"/>
          </w:tcPr>
          <w:p>
            <w:pPr>
              <w:spacing w:after="0"/>
              <w:rPr>
                <w:sz w:val="18"/>
                <w:szCs w:val="18"/>
                <w:color w:val="auto"/>
              </w:rPr>
            </w:pPr>
          </w:p>
        </w:tc>
        <w:tc>
          <w:tcPr>
            <w:tcW w:w="15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revenues</w:t>
            </w: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775,586</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712,879</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62,707</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b w:val="1"/>
                <w:bCs w:val="1"/>
                <w:color w:val="auto"/>
              </w:rPr>
              <w:t>9 %</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revenues increased $62.7 million, or 9%, during the year ended December 31, 2024 compared to the year ended December 31, 2023. The increase, which occurred in both our Marketplace and Resale segments, resulted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spacing w:after="0" w:line="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an increase in the number of orders processed, which was due in part to the year ended December 31, 2024 including orders processed through Vegas.com and Wavedash for the full year, as well as by a higher Marketplace take rate, which is defned as Marketplace revenues divided by Marketplace GOV.</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Revenues</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presents Marketplace revenues by event category for the years ended December 31, 2024 and 2023 (in thousands, except percentages):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spacing w:after="0"/>
              <w:rPr>
                <w:sz w:val="19"/>
                <w:szCs w:val="19"/>
                <w:color w:val="auto"/>
              </w:rPr>
            </w:pPr>
          </w:p>
        </w:tc>
        <w:tc>
          <w:tcPr>
            <w:tcW w:w="2940" w:type="dxa"/>
            <w:vAlign w:val="bottom"/>
            <w:gridSpan w:val="4"/>
          </w:tcPr>
          <w:p>
            <w:pPr>
              <w:jc w:val="right"/>
              <w:ind w:right="90"/>
              <w:spacing w:after="0"/>
              <w:rPr>
                <w:sz w:val="20"/>
                <w:szCs w:val="20"/>
                <w:color w:val="auto"/>
              </w:rPr>
            </w:pPr>
            <w:r>
              <w:rPr>
                <w:rFonts w:ascii="Calibri" w:cs="Calibri" w:eastAsia="Calibri" w:hAnsi="Calibri"/>
                <w:sz w:val="18"/>
                <w:szCs w:val="18"/>
                <w:b w:val="1"/>
                <w:bCs w:val="1"/>
                <w:color w:val="auto"/>
              </w:rPr>
              <w:t>Years Ended December 31,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Change</w:t>
            </w:r>
          </w:p>
        </w:tc>
        <w:tc>
          <w:tcPr>
            <w:tcW w:w="220" w:type="dxa"/>
            <w:vAlign w:val="bottom"/>
            <w:vMerge w:val="restart"/>
          </w:tcPr>
          <w:p>
            <w:pPr>
              <w:spacing w:after="0"/>
              <w:rPr>
                <w:sz w:val="2"/>
                <w:szCs w:val="2"/>
                <w:color w:val="auto"/>
              </w:rPr>
            </w:pPr>
          </w:p>
        </w:tc>
        <w:tc>
          <w:tcPr>
            <w:tcW w:w="1240" w:type="dxa"/>
            <w:vAlign w:val="bottom"/>
            <w:vMerge w:val="restart"/>
          </w:tcPr>
          <w:p>
            <w:pPr>
              <w:ind w:left="260"/>
              <w:spacing w:after="0"/>
              <w:rPr>
                <w:sz w:val="20"/>
                <w:szCs w:val="20"/>
                <w:color w:val="auto"/>
              </w:rPr>
            </w:pPr>
            <w:r>
              <w:rPr>
                <w:rFonts w:ascii="Calibri" w:cs="Calibri" w:eastAsia="Calibri" w:hAnsi="Calibri"/>
                <w:sz w:val="18"/>
                <w:szCs w:val="18"/>
                <w:b w:val="1"/>
                <w:bCs w:val="1"/>
                <w:color w:val="auto"/>
              </w:rPr>
              <w:t>% Change</w:t>
            </w: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Concert revenues</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283,192</w:t>
            </w:r>
          </w:p>
        </w:tc>
        <w:tc>
          <w:tcPr>
            <w:tcW w:w="1280" w:type="dxa"/>
            <w:vAlign w:val="bottom"/>
            <w:gridSpan w:val="2"/>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308,507</w:t>
            </w:r>
          </w:p>
        </w:tc>
        <w:tc>
          <w:tcPr>
            <w:tcW w:w="500" w:type="dxa"/>
            <w:vAlign w:val="bottom"/>
            <w:gridSpan w:val="2"/>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138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(25,315 )</w:t>
            </w:r>
          </w:p>
        </w:tc>
        <w:tc>
          <w:tcPr>
            <w:tcW w:w="146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(8 )%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Sport revenues</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202,220</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199,837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2,383</w:t>
            </w:r>
          </w:p>
        </w:tc>
        <w:tc>
          <w:tcPr>
            <w:tcW w:w="220" w:type="dxa"/>
            <w:vAlign w:val="bottom"/>
          </w:tcPr>
          <w:p>
            <w:pPr>
              <w:spacing w:after="0"/>
              <w:rPr>
                <w:sz w:val="18"/>
                <w:szCs w:val="18"/>
                <w:color w:val="auto"/>
              </w:rPr>
            </w:pPr>
          </w:p>
        </w:tc>
        <w:tc>
          <w:tcPr>
            <w:tcW w:w="14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7"/>
        </w:trPr>
        <w:tc>
          <w:tcPr>
            <w:tcW w:w="43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Theater revenues</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137,715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83,273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54,442</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65 %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line="215" w:lineRule="exact"/>
              <w:rPr>
                <w:sz w:val="20"/>
                <w:szCs w:val="20"/>
                <w:color w:val="auto"/>
              </w:rPr>
            </w:pPr>
            <w:r>
              <w:rPr>
                <w:rFonts w:ascii="Calibri" w:cs="Calibri" w:eastAsia="Calibri" w:hAnsi="Calibri"/>
                <w:sz w:val="18"/>
                <w:szCs w:val="18"/>
                <w:color w:val="auto"/>
              </w:rPr>
              <w:t>Other revenues</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24,764</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5,771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18,993</w:t>
            </w:r>
          </w:p>
        </w:tc>
        <w:tc>
          <w:tcPr>
            <w:tcW w:w="220" w:type="dxa"/>
            <w:vAlign w:val="bottom"/>
          </w:tcPr>
          <w:p>
            <w:pPr>
              <w:spacing w:after="0"/>
              <w:rPr>
                <w:sz w:val="18"/>
                <w:szCs w:val="18"/>
                <w:color w:val="auto"/>
              </w:rPr>
            </w:pPr>
          </w:p>
        </w:tc>
        <w:tc>
          <w:tcPr>
            <w:tcW w:w="14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329 %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Marketplace revenues</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647,891</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597,388</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rPr>
              <w:t>$</w:t>
            </w: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50,503</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b w:val="1"/>
                <w:bCs w:val="1"/>
                <w:color w:val="auto"/>
              </w:rPr>
              <w:t>8 %</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revenues increased $50.5 million, or 8%, during the year ended December 31, 2024 compared to the year ended December 31, 2023. The increase resulted primarily from an increase in both total Marketplace orders and Marketplace take rate.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orders increased 0.7 million, or 6%, during the year ended December 31, 2024 compared to the year ended December 31, 2023. The increase resulted primarily from an increase in the number of Marketplace orders processed, partcularly for theater events, which was due in part to the year ended December 31, 2024 including Marketplace orders processed through Vegas.com and Wavedash for the full year.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cancellaton charges, which generally have a negatve impact on Marketplace revenues, represented a $29.8 million reducton to Marketplace revenues for the year ended December 31, 2024 compared to a $20.0 million reducton to Marketplace revenues for the year ended December 31, 2023. The increase in Marketplace cancellaton charges was primarily due to a higher number of Marketplace event cancellatons (including certain large concert tour cancellatons) and lower Marketplace revenues recognized from customer credit breakage.</w:t>
      </w:r>
    </w:p>
    <w:p>
      <w:pPr>
        <w:spacing w:after="0" w:line="111"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presents Marketplace revenues by business model for the years ended December 31, 2024 and 2023 (in thousands, except percentages):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940" w:type="dxa"/>
            <w:vAlign w:val="bottom"/>
            <w:gridSpan w:val="4"/>
          </w:tcPr>
          <w:p>
            <w:pPr>
              <w:jc w:val="right"/>
              <w:ind w:right="90"/>
              <w:spacing w:after="0"/>
              <w:rPr>
                <w:sz w:val="20"/>
                <w:szCs w:val="20"/>
                <w:color w:val="auto"/>
              </w:rPr>
            </w:pPr>
            <w:r>
              <w:rPr>
                <w:rFonts w:ascii="Calibri" w:cs="Calibri" w:eastAsia="Calibri" w:hAnsi="Calibri"/>
                <w:sz w:val="18"/>
                <w:szCs w:val="18"/>
                <w:b w:val="1"/>
                <w:bCs w:val="1"/>
                <w:color w:val="auto"/>
              </w:rPr>
              <w:t>Years Ended December 31,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Change</w:t>
            </w:r>
          </w:p>
        </w:tc>
        <w:tc>
          <w:tcPr>
            <w:tcW w:w="220" w:type="dxa"/>
            <w:vAlign w:val="bottom"/>
            <w:vMerge w:val="restart"/>
          </w:tcPr>
          <w:p>
            <w:pPr>
              <w:spacing w:after="0"/>
              <w:rPr>
                <w:sz w:val="2"/>
                <w:szCs w:val="2"/>
                <w:color w:val="auto"/>
              </w:rPr>
            </w:pPr>
          </w:p>
        </w:tc>
        <w:tc>
          <w:tcPr>
            <w:tcW w:w="144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 Change</w:t>
            </w: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Owned Propertes revenues</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533,086</w:t>
            </w:r>
          </w:p>
        </w:tc>
        <w:tc>
          <w:tcPr>
            <w:tcW w:w="1280" w:type="dxa"/>
            <w:vAlign w:val="bottom"/>
            <w:gridSpan w:val="2"/>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462,263</w:t>
            </w:r>
          </w:p>
        </w:tc>
        <w:tc>
          <w:tcPr>
            <w:tcW w:w="500" w:type="dxa"/>
            <w:vAlign w:val="bottom"/>
            <w:gridSpan w:val="2"/>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70,823</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Private Label Ofering revenues</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114,805</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135,125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(20,320 )</w:t>
            </w:r>
          </w:p>
        </w:tc>
        <w:tc>
          <w:tcPr>
            <w:tcW w:w="16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Marketplace revenues</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647,891</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597,388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50,503</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b w:val="1"/>
                <w:bCs w:val="1"/>
                <w:color w:val="auto"/>
              </w:rPr>
              <w:t>8 %</w:t>
            </w: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increase in Owned Propertes revenues during the year ended December 31, 2024 compared to the year ended December 31, 2023 resulted from an increase in the number of Marketplace orders processed, which was due in part to the year ended December 31, 2024 including Marketplace orders processed through Vegas.com and Wavedash for the full year, as well as a higher Marketplace take rate.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decrease in Private Label Ofering revenues during the year ended December 31, 2024 compared to the year ended December 31, 2023 resulted primarily from the negatve impact of decreased customer credit breakage and fewer orders processed.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also earn referral fee revenues by ofering event insurance to tcket buyers via a third-party insurance provider. Our referral fee revenues were $26.6 million and $29.4 million during the years ended December 31, 2024 and 2023, respectvely. The decrease resulted primarily from a decline in the insurance atachment rate to Marketplace orders.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i w:val="1"/>
          <w:iCs w:val="1"/>
          <w:color w:val="auto"/>
        </w:rPr>
        <w:t>Resale Revenues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Resale revenues increased $12.2 million, or 11%, during the year ended December 31, 2024 compared to the year ended December 31, 2023. The increase resulted primarily from an increase in total Resale orders.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Resale orders increased 0.1 million, or 13%, during the year ended December 31, 2024 compared to the year ended December 31, 2023.</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Resale cancellaton charges, which generally have a negatve impact on Resale revenues, represented a $1.7 million reducton to Resale revenues for the year ended December 31, 2024 compared to a $1.1 million reducton to Resale revenues for the year ended December 31, 2023.</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Cost of Revenues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total cost of revenues by segment for the years ended December 31, 2024 and 2023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19"/>
                <w:szCs w:val="19"/>
                <w:color w:val="auto"/>
              </w:rPr>
            </w:pPr>
          </w:p>
        </w:tc>
        <w:tc>
          <w:tcPr>
            <w:tcW w:w="2960" w:type="dxa"/>
            <w:vAlign w:val="bottom"/>
            <w:gridSpan w:val="4"/>
          </w:tcPr>
          <w:p>
            <w:pPr>
              <w:jc w:val="right"/>
              <w:ind w:right="110"/>
              <w:spacing w:after="0"/>
              <w:rPr>
                <w:sz w:val="20"/>
                <w:szCs w:val="20"/>
                <w:color w:val="auto"/>
              </w:rPr>
            </w:pPr>
            <w:r>
              <w:rPr>
                <w:rFonts w:ascii="Calibri" w:cs="Calibri" w:eastAsia="Calibri" w:hAnsi="Calibri"/>
                <w:sz w:val="18"/>
                <w:szCs w:val="18"/>
                <w:b w:val="1"/>
                <w:bCs w:val="1"/>
                <w:color w:val="auto"/>
              </w:rPr>
              <w:t>Years Ended December 31,</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Change</w:t>
            </w:r>
          </w:p>
        </w:tc>
        <w:tc>
          <w:tcPr>
            <w:tcW w:w="220" w:type="dxa"/>
            <w:vAlign w:val="bottom"/>
            <w:vMerge w:val="restart"/>
          </w:tcPr>
          <w:p>
            <w:pPr>
              <w:spacing w:after="0"/>
              <w:rPr>
                <w:sz w:val="2"/>
                <w:szCs w:val="2"/>
                <w:color w:val="auto"/>
              </w:rPr>
            </w:pPr>
          </w:p>
        </w:tc>
        <w:tc>
          <w:tcPr>
            <w:tcW w:w="1340" w:type="dxa"/>
            <w:vAlign w:val="bottom"/>
            <w:vMerge w:val="restart"/>
          </w:tcPr>
          <w:p>
            <w:pPr>
              <w:ind w:left="320"/>
              <w:spacing w:after="0"/>
              <w:rPr>
                <w:sz w:val="20"/>
                <w:szCs w:val="20"/>
                <w:color w:val="auto"/>
              </w:rPr>
            </w:pPr>
            <w:r>
              <w:rPr>
                <w:rFonts w:ascii="Calibri" w:cs="Calibri" w:eastAsia="Calibri" w:hAnsi="Calibri"/>
                <w:sz w:val="18"/>
                <w:szCs w:val="18"/>
                <w:b w:val="1"/>
                <w:bCs w:val="1"/>
                <w:color w:val="auto"/>
              </w:rPr>
              <w:t>% Change</w:t>
            </w: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Marketplace cost of revenues</w:t>
            </w: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99,460</w:t>
            </w:r>
          </w:p>
        </w:tc>
        <w:tc>
          <w:tcPr>
            <w:tcW w:w="1280" w:type="dxa"/>
            <w:vAlign w:val="bottom"/>
            <w:gridSpan w:val="2"/>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94,557</w:t>
            </w:r>
          </w:p>
        </w:tc>
        <w:tc>
          <w:tcPr>
            <w:tcW w:w="600" w:type="dxa"/>
            <w:vAlign w:val="bottom"/>
            <w:gridSpan w:val="2"/>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4,903</w:t>
            </w:r>
          </w:p>
        </w:tc>
        <w:tc>
          <w:tcPr>
            <w:tcW w:w="1720" w:type="dxa"/>
            <w:vAlign w:val="bottom"/>
            <w:gridSpan w:val="3"/>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Resale cost of revenues</w:t>
            </w: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102,394</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87,627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14,767</w:t>
            </w:r>
          </w:p>
        </w:tc>
        <w:tc>
          <w:tcPr>
            <w:tcW w:w="220" w:type="dxa"/>
            <w:vAlign w:val="bottom"/>
          </w:tcPr>
          <w:p>
            <w:pPr>
              <w:spacing w:after="0"/>
              <w:rPr>
                <w:sz w:val="18"/>
                <w:szCs w:val="18"/>
                <w:color w:val="auto"/>
              </w:rPr>
            </w:pPr>
          </w:p>
        </w:tc>
        <w:tc>
          <w:tcPr>
            <w:tcW w:w="15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17 %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cost of revenues</w:t>
            </w: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7"/>
              </w:rPr>
              <w:t>201,854</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182,184</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19,670</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b w:val="1"/>
                <w:bCs w:val="1"/>
                <w:color w:val="auto"/>
              </w:rPr>
              <w:t>11 %</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cost of revenues increased $19.7 million, or 11%, during the year ended December 31, 2024 compared to the year ended December 31, 2023. The increase resulted primarily from higher order volumes in both our Marketplace segment and our Resale segment.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Cost of Revenues</w:t>
      </w:r>
    </w:p>
    <w:p>
      <w:pPr>
        <w:spacing w:after="0" w:line="10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Marketplace cost of revenues increased $4.9 million, or 5%, during the year ended December 31, 2024 compared to the year ended December 31, 2023. The increase was not consistent with the 1% decrease in Marketplace GOV during the same period, which was primarily due to higher payment processing costs.</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 Cost of Revenues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Resale cost of revenues increased $14.8 million, or 17%, during the year ended December 31, 2024 compared to the year ended December 31, 2023. The increase was not consistent with the increase in Resale revenues, which increased by 11% during the same period, as certain Resale event categories had lower margins.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Marketng and Selling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Marketng and Selling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total marketng and selling expenses by category for the years ended December 31, 2024 and 2023 (in thousands, except percentages):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940" w:type="dxa"/>
            <w:vAlign w:val="bottom"/>
            <w:gridSpan w:val="4"/>
          </w:tcPr>
          <w:p>
            <w:pPr>
              <w:jc w:val="right"/>
              <w:ind w:right="90"/>
              <w:spacing w:after="0"/>
              <w:rPr>
                <w:sz w:val="20"/>
                <w:szCs w:val="20"/>
                <w:color w:val="auto"/>
              </w:rPr>
            </w:pPr>
            <w:r>
              <w:rPr>
                <w:rFonts w:ascii="Calibri" w:cs="Calibri" w:eastAsia="Calibri" w:hAnsi="Calibri"/>
                <w:sz w:val="18"/>
                <w:szCs w:val="18"/>
                <w:b w:val="1"/>
                <w:bCs w:val="1"/>
                <w:color w:val="auto"/>
              </w:rPr>
              <w:t>Years Ended December 31,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Change</w:t>
            </w:r>
          </w:p>
        </w:tc>
        <w:tc>
          <w:tcPr>
            <w:tcW w:w="220" w:type="dxa"/>
            <w:vAlign w:val="bottom"/>
            <w:vMerge w:val="restart"/>
          </w:tcPr>
          <w:p>
            <w:pPr>
              <w:spacing w:after="0"/>
              <w:rPr>
                <w:sz w:val="2"/>
                <w:szCs w:val="2"/>
                <w:color w:val="auto"/>
              </w:rPr>
            </w:pPr>
          </w:p>
        </w:tc>
        <w:tc>
          <w:tcPr>
            <w:tcW w:w="144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 Change</w:t>
            </w: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Online marketng and selling</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261,187</w:t>
            </w:r>
          </w:p>
        </w:tc>
        <w:tc>
          <w:tcPr>
            <w:tcW w:w="1280" w:type="dxa"/>
            <w:vAlign w:val="bottom"/>
            <w:gridSpan w:val="2"/>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239,335</w:t>
            </w:r>
          </w:p>
        </w:tc>
        <w:tc>
          <w:tcPr>
            <w:tcW w:w="500" w:type="dxa"/>
            <w:vAlign w:val="bottom"/>
            <w:gridSpan w:val="2"/>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21,852</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Ofine marketng and selling</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23,959</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34,761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(10,802 )</w:t>
            </w:r>
          </w:p>
        </w:tc>
        <w:tc>
          <w:tcPr>
            <w:tcW w:w="16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(31 )%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marketng and selling</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285,146</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274,096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11,050</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b w:val="1"/>
                <w:bCs w:val="1"/>
                <w:color w:val="auto"/>
              </w:rPr>
              <w:t>4 %</w:t>
            </w: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marketng and selling expenses increased $11.1 million, or 4%, during the year ended December 31, 2024 compared to the year ended December 31, 2023. The increase resulted primarily from an increase in online marketng. Marketng and selling expenses, which are entrely atributable to our Marketplace segment, increased relatvely less than Marketplace revenues, which increased by 8% during the same period, due to a decrease in ofine marketng.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i w:val="1"/>
          <w:iCs w:val="1"/>
          <w:color w:val="auto"/>
        </w:rPr>
        <w:t>Online Marketng and Selling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Online marketng and selling expenses increased $21.9 million, or 9%, during the year ended December 31, 2024 compared to the year ended December 31, 2023. The increase resulted primarily from an increase in online advertsing spend, specifcally as it relates to performance marketng channels.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Ofine Marketng and Selling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Ofine marketng and selling expenses decreased $10.8 million, or 31%, during the year ended December 31, 2024 compared to the year ended December 31, 2023. The decrease resulted primarily from a reducton in discretonary brand marketng spend.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Contributon Margin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Contributon Margin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presets total contributon margin by segment for the years ended December 31, 2024 and 2023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2960" w:type="dxa"/>
            <w:vAlign w:val="bottom"/>
            <w:gridSpan w:val="4"/>
          </w:tcPr>
          <w:p>
            <w:pPr>
              <w:jc w:val="right"/>
              <w:ind w:right="110"/>
              <w:spacing w:after="0"/>
              <w:rPr>
                <w:sz w:val="20"/>
                <w:szCs w:val="20"/>
                <w:color w:val="auto"/>
              </w:rPr>
            </w:pPr>
            <w:r>
              <w:rPr>
                <w:rFonts w:ascii="Calibri" w:cs="Calibri" w:eastAsia="Calibri" w:hAnsi="Calibri"/>
                <w:sz w:val="18"/>
                <w:szCs w:val="18"/>
                <w:b w:val="1"/>
                <w:bCs w:val="1"/>
                <w:color w:val="auto"/>
              </w:rPr>
              <w:t>Years Ended December 31,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Change</w:t>
            </w:r>
          </w:p>
        </w:tc>
        <w:tc>
          <w:tcPr>
            <w:tcW w:w="200" w:type="dxa"/>
            <w:vAlign w:val="bottom"/>
            <w:vMerge w:val="restart"/>
          </w:tcPr>
          <w:p>
            <w:pPr>
              <w:spacing w:after="0"/>
              <w:rPr>
                <w:sz w:val="2"/>
                <w:szCs w:val="2"/>
                <w:color w:val="auto"/>
              </w:rPr>
            </w:pPr>
          </w:p>
        </w:tc>
        <w:tc>
          <w:tcPr>
            <w:tcW w:w="1340" w:type="dxa"/>
            <w:vAlign w:val="bottom"/>
            <w:vMerge w:val="restart"/>
          </w:tcPr>
          <w:p>
            <w:pPr>
              <w:ind w:left="320"/>
              <w:spacing w:after="0"/>
              <w:rPr>
                <w:sz w:val="20"/>
                <w:szCs w:val="20"/>
                <w:color w:val="auto"/>
              </w:rPr>
            </w:pPr>
            <w:r>
              <w:rPr>
                <w:rFonts w:ascii="Calibri" w:cs="Calibri" w:eastAsia="Calibri" w:hAnsi="Calibri"/>
                <w:sz w:val="18"/>
                <w:szCs w:val="18"/>
                <w:b w:val="1"/>
                <w:bCs w:val="1"/>
                <w:color w:val="auto"/>
              </w:rPr>
              <w:t>% Change</w:t>
            </w: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Marketplace contributon margin</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263,285</w:t>
            </w:r>
          </w:p>
        </w:tc>
        <w:tc>
          <w:tcPr>
            <w:tcW w:w="1280" w:type="dxa"/>
            <w:vAlign w:val="bottom"/>
            <w:gridSpan w:val="2"/>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97"/>
              </w:rPr>
              <w:t>228,735</w:t>
            </w:r>
          </w:p>
        </w:tc>
        <w:tc>
          <w:tcPr>
            <w:tcW w:w="500" w:type="dxa"/>
            <w:vAlign w:val="bottom"/>
            <w:gridSpan w:val="2"/>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34,550</w:t>
            </w:r>
          </w:p>
        </w:tc>
        <w:tc>
          <w:tcPr>
            <w:tcW w:w="2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line="215" w:lineRule="exact"/>
              <w:rPr>
                <w:sz w:val="20"/>
                <w:szCs w:val="20"/>
                <w:color w:val="auto"/>
              </w:rPr>
            </w:pPr>
            <w:r>
              <w:rPr>
                <w:rFonts w:ascii="Calibri" w:cs="Calibri" w:eastAsia="Calibri" w:hAnsi="Calibri"/>
                <w:sz w:val="18"/>
                <w:szCs w:val="18"/>
                <w:color w:val="auto"/>
              </w:rPr>
              <w:t>Resale contributon margin</w:t>
            </w:r>
          </w:p>
        </w:tc>
        <w:tc>
          <w:tcPr>
            <w:tcW w:w="10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25,301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27,864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(2,563 )</w:t>
            </w:r>
          </w:p>
        </w:tc>
        <w:tc>
          <w:tcPr>
            <w:tcW w:w="15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contributon margin</w:t>
            </w:r>
          </w:p>
        </w:tc>
        <w:tc>
          <w:tcPr>
            <w:tcW w:w="1040" w:type="dxa"/>
            <w:vAlign w:val="bottom"/>
            <w:shd w:val="clear" w:color="auto" w:fill="CFF0FC"/>
          </w:tcPr>
          <w:p>
            <w:pPr>
              <w:jc w:val="right"/>
              <w:ind w:right="850"/>
              <w:spacing w:after="0" w:line="210" w:lineRule="exact"/>
              <w:rPr>
                <w:sz w:val="20"/>
                <w:szCs w:val="20"/>
                <w:color w:val="auto"/>
              </w:rPr>
            </w:pPr>
            <w:r>
              <w:rPr>
                <w:rFonts w:ascii="Calibri" w:cs="Calibri" w:eastAsia="Calibri" w:hAnsi="Calibri"/>
                <w:sz w:val="18"/>
                <w:szCs w:val="18"/>
                <w:b w:val="1"/>
                <w:bCs w:val="1"/>
                <w:color w:val="auto"/>
                <w:w w:val="87"/>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288,586</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7"/>
              </w:rPr>
              <w:t>256,599</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31,987</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b w:val="1"/>
                <w:bCs w:val="1"/>
                <w:color w:val="auto"/>
              </w:rPr>
              <w:t>12 %</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contributon margin increased $32.0 million, or 12%, during the year ended December 31, 2024 compared to the year ended December 31, 2023. The increase resulted from a higher contributon margin in our Marketplace segment.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Contributon Margin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Marketplace contributon margin increased $34.6 million, or 15%, during the year ended December 31, 2024 compared to the year ended December 31, 2023. The increase resulted primarily from an increase in the number of orders processed, which was due in part to the year ended December 31, 2024 including orders processed through Vegas.com and Wavedash for the full year, a higher take rate and lower ofine marketng and selling expenses.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 Contributon Margin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Resale contributon margin decreased $2.6 million, or 9%, during the year ended December 31, 2024 compared to the year ended December 31, 2023. The decrease was primarily due to the fact that certain Resale event categories had lower margins.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General and Administratve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General and Administratve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total general and administratve expenses by expense category for the years ended December 31, 2024 and 2023 (in thousands, except percentages):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2960" w:type="dxa"/>
            <w:vAlign w:val="bottom"/>
            <w:gridSpan w:val="4"/>
          </w:tcPr>
          <w:p>
            <w:pPr>
              <w:jc w:val="right"/>
              <w:ind w:right="110"/>
              <w:spacing w:after="0"/>
              <w:rPr>
                <w:sz w:val="20"/>
                <w:szCs w:val="20"/>
                <w:color w:val="auto"/>
              </w:rPr>
            </w:pPr>
            <w:r>
              <w:rPr>
                <w:rFonts w:ascii="Calibri" w:cs="Calibri" w:eastAsia="Calibri" w:hAnsi="Calibri"/>
                <w:sz w:val="18"/>
                <w:szCs w:val="18"/>
                <w:b w:val="1"/>
                <w:bCs w:val="1"/>
                <w:color w:val="auto"/>
              </w:rPr>
              <w:t>Years Ended December 31,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Change</w:t>
            </w:r>
          </w:p>
        </w:tc>
        <w:tc>
          <w:tcPr>
            <w:tcW w:w="220" w:type="dxa"/>
            <w:vAlign w:val="bottom"/>
            <w:vMerge w:val="restart"/>
          </w:tcPr>
          <w:p>
            <w:pPr>
              <w:spacing w:after="0"/>
              <w:rPr>
                <w:sz w:val="2"/>
                <w:szCs w:val="2"/>
                <w:color w:val="auto"/>
              </w:rPr>
            </w:pPr>
          </w:p>
        </w:tc>
        <w:tc>
          <w:tcPr>
            <w:tcW w:w="1460" w:type="dxa"/>
            <w:vAlign w:val="bottom"/>
            <w:vMerge w:val="restart"/>
          </w:tcPr>
          <w:p>
            <w:pPr>
              <w:ind w:left="380"/>
              <w:spacing w:after="0"/>
              <w:rPr>
                <w:sz w:val="20"/>
                <w:szCs w:val="20"/>
                <w:color w:val="auto"/>
              </w:rPr>
            </w:pPr>
            <w:r>
              <w:rPr>
                <w:rFonts w:ascii="Calibri" w:cs="Calibri" w:eastAsia="Calibri" w:hAnsi="Calibri"/>
                <w:sz w:val="18"/>
                <w:szCs w:val="18"/>
                <w:b w:val="1"/>
                <w:bCs w:val="1"/>
                <w:color w:val="auto"/>
              </w:rPr>
              <w:t>% Change</w:t>
            </w: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Personnel expenses</w:t>
            </w:r>
          </w:p>
        </w:tc>
        <w:tc>
          <w:tcPr>
            <w:tcW w:w="1060" w:type="dxa"/>
            <w:vAlign w:val="bottom"/>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142,192</w:t>
            </w:r>
          </w:p>
        </w:tc>
        <w:tc>
          <w:tcPr>
            <w:tcW w:w="1280" w:type="dxa"/>
            <w:vAlign w:val="bottom"/>
            <w:gridSpan w:val="2"/>
            <w:shd w:val="clear" w:color="auto" w:fill="CFF0FC"/>
          </w:tcPr>
          <w:p>
            <w:pPr>
              <w:jc w:val="right"/>
              <w:ind w:right="87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110,307</w:t>
            </w:r>
          </w:p>
        </w:tc>
        <w:tc>
          <w:tcPr>
            <w:tcW w:w="500" w:type="dxa"/>
            <w:vAlign w:val="bottom"/>
            <w:gridSpan w:val="2"/>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31,885</w:t>
            </w:r>
          </w:p>
        </w:tc>
        <w:tc>
          <w:tcPr>
            <w:tcW w:w="1840" w:type="dxa"/>
            <w:vAlign w:val="bottom"/>
            <w:gridSpan w:val="3"/>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29 %</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Sales and indirect taxes</w:t>
            </w: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7,443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5,962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1,481</w:t>
            </w:r>
          </w:p>
        </w:tc>
        <w:tc>
          <w:tcPr>
            <w:tcW w:w="184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25 %</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expenses</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52,488</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42,812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9,676</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23 %</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general and administratve</w:t>
            </w:r>
          </w:p>
        </w:tc>
        <w:tc>
          <w:tcPr>
            <w:tcW w:w="1060" w:type="dxa"/>
            <w:vAlign w:val="bottom"/>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202,123</w:t>
            </w:r>
          </w:p>
        </w:tc>
        <w:tc>
          <w:tcPr>
            <w:tcW w:w="220" w:type="dxa"/>
            <w:vAlign w:val="bottom"/>
          </w:tcPr>
          <w:p>
            <w:pPr>
              <w:spacing w:after="0"/>
              <w:rPr>
                <w:sz w:val="18"/>
                <w:szCs w:val="18"/>
                <w:color w:val="auto"/>
              </w:rPr>
            </w:pPr>
          </w:p>
        </w:tc>
        <w:tc>
          <w:tcPr>
            <w:tcW w:w="1060" w:type="dxa"/>
            <w:vAlign w:val="bottom"/>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159,081</w:t>
            </w:r>
          </w:p>
        </w:tc>
        <w:tc>
          <w:tcPr>
            <w:tcW w:w="220" w:type="dxa"/>
            <w:vAlign w:val="bottom"/>
          </w:tcPr>
          <w:p>
            <w:pPr>
              <w:spacing w:after="0"/>
              <w:rPr>
                <w:sz w:val="18"/>
                <w:szCs w:val="18"/>
                <w:color w:val="auto"/>
              </w:rPr>
            </w:pPr>
          </w:p>
        </w:tc>
        <w:tc>
          <w:tcPr>
            <w:tcW w:w="280" w:type="dxa"/>
            <w:vAlign w:val="bottom"/>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43,042</w:t>
            </w:r>
          </w:p>
        </w:tc>
        <w:tc>
          <w:tcPr>
            <w:tcW w:w="220" w:type="dxa"/>
            <w:vAlign w:val="bottom"/>
          </w:tcPr>
          <w:p>
            <w:pPr>
              <w:spacing w:after="0"/>
              <w:rPr>
                <w:sz w:val="18"/>
                <w:szCs w:val="18"/>
                <w:color w:val="auto"/>
              </w:rPr>
            </w:pPr>
          </w:p>
        </w:tc>
        <w:tc>
          <w:tcPr>
            <w:tcW w:w="1620" w:type="dxa"/>
            <w:vAlign w:val="bottom"/>
            <w:gridSpan w:val="2"/>
          </w:tcPr>
          <w:p>
            <w:pPr>
              <w:jc w:val="right"/>
              <w:ind w:right="20"/>
              <w:spacing w:after="0" w:line="210" w:lineRule="exact"/>
              <w:rPr>
                <w:sz w:val="20"/>
                <w:szCs w:val="20"/>
                <w:color w:val="auto"/>
              </w:rPr>
            </w:pPr>
            <w:r>
              <w:rPr>
                <w:rFonts w:ascii="Calibri" w:cs="Calibri" w:eastAsia="Calibri" w:hAnsi="Calibri"/>
                <w:sz w:val="18"/>
                <w:szCs w:val="18"/>
                <w:b w:val="1"/>
                <w:bCs w:val="1"/>
                <w:color w:val="auto"/>
              </w:rPr>
              <w:t>27 %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general and administratve expenses increased $43.0 million, or 27%, during the year ended December 31, 2024 compared to the year ended December 31, 2023. The increase resulted primarily from an increase in personnel expenses, which was due in part to the year ended December 31, 2024 including employee headcount added through our acquisitons of Vegas.com and Wavedash for the full year.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i w:val="1"/>
          <w:iCs w:val="1"/>
          <w:color w:val="auto"/>
        </w:rPr>
        <w:t>Personnel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Personnel expenses increased $31.9 million, or 29%, during the year ended December 31, 2024 compared to the year ended December 31, 2023. The increase resulted primarily from an increase in equity-based compensaton expense, which was due in part to the repurchase, cancellaton, and forfeit by Hoya Topco (using its own funds) of all of its outstanding profts interests and phantom units held by our employees on June 10, 2024. For more informaton, see Note 21, </w:t>
      </w:r>
      <w:r>
        <w:rPr>
          <w:rFonts w:ascii="Calibri" w:cs="Calibri" w:eastAsia="Calibri" w:hAnsi="Calibri"/>
          <w:sz w:val="18"/>
          <w:szCs w:val="18"/>
          <w:i w:val="1"/>
          <w:iCs w:val="1"/>
          <w:color w:val="auto"/>
        </w:rPr>
        <w:t>Equity-Based Compensaton</w:t>
      </w:r>
      <w:r>
        <w:rPr>
          <w:rFonts w:ascii="Calibri" w:cs="Calibri" w:eastAsia="Calibri" w:hAnsi="Calibri"/>
          <w:sz w:val="18"/>
          <w:szCs w:val="18"/>
          <w:color w:val="auto"/>
        </w:rPr>
        <w:t>, to our consolidated fnancial statements included elsewhere in this Report.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 and Indirect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Sales and indirect taxes increased $1.5 million, or 25%, during the year ended December 31, 2024 compared to the year ended December 31, 2023. The increase resulted primarily from an increase in the corresponding liability related to our obligaton to remit sales and indirect taxes that have not yet been collected from customers in certain jurisdictons.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expenses increased $9.7 million, or 23%, during the year ended December 31, 2024 compared to the year ended December 31, 2023. The increase resulted primarily from an increase in computer, telecom and ofce-related expenses and professional services fees, which was due in part to the year ended December 31, 2024 including rent and computer, telecom, and professional expenses incurred by Vegas.com and Wavedash for the full year.</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Depreciaton and Amortzaton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and amortzaton expenses increased $27.1 million, or 158%, during the year ended December 31, 2024 compared to the year ended December 31, 2023. The increase resulted primarily from an increase in intangible assets as a result of the 2023 Acquisitons, our investment in the Acquired Domain Name, and, to a lesser extent, an increase in capitalized development actvites related to our platorm.</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 in Fair Value of Contngent Consideraton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Change in fair value of contngent consideraton was $1.0 million during the year ended December 31, 2023 due to the fair value remeasurement of $3.4 million of cash earnouts related to our acquisiton of Vivid Picks. There was no change in fair value of contngent consideraton during the year ended December 31,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Expense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expense – net increased $9.7 million, or 72%, during the year ended December 31, 2024 compared to the year ended December 31, 2023. The increase was primarily due to a higher amount of outstanding principal debt and lower interest income earned on cash balances.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Income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income – net increased $0.6 million, or 18%, during the year ended December 31, 2024 compared to the year ended December 31, 2023. The increase was primarily due to the remeasurement of the TRA liability and unrealized gains related to the fair value remeasurement of the Intermediate Warrants (as defned below).</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 Expense (Beneft)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Income tax expense (beneft) increased $50.6 million during the year ended December 31, 2024 compared to the year ended December 31, 2023. The increase was primarily due to the June 30, 2023 release of our previously recorded valuaton allowance on our U.S. tax atributes carryforward deferred tax assets, which produced a sizable income tax beneft for the year ended December 31, 2023.</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historically fnanced our operatons primarily through cash generated from operatons.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spacing w:after="0" w:line="235" w:lineRule="auto"/>
        <w:rPr>
          <w:sz w:val="20"/>
          <w:szCs w:val="20"/>
          <w:color w:val="auto"/>
        </w:rPr>
      </w:pPr>
      <w:r>
        <w:rPr>
          <w:rFonts w:ascii="Calibri" w:cs="Calibri" w:eastAsia="Calibri" w:hAnsi="Calibri"/>
          <w:sz w:val="18"/>
          <w:szCs w:val="18"/>
          <w:color w:val="auto"/>
        </w:rPr>
        <w:t>Our primary source of funds is cash generated from operatons. Our existng cash and cash equivalents are sufcient to fund our liquidity needs for the next 12 months and thereafer for the foreseeable future. As of December 31, 2024, we had $243.5 million of cash and cash equivalents, which consist of interest-bearing deposit accounts, money market accounts managed by fnancial insttutons, and highly liquid investments with maturites of three months or less. For the year ended December 31, 2024, we generated positve cash fows from operatng actvites.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Loan Agreements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2017, we entered into a $575.0 million frst lien debt facility comprising a $50.0 million revolving credit facility and a $525.0 million term loan (the “2017 First Lien Loan”), and a second lien credit facility comprising a $185.0 million second lien term loan (the “2017 Second Lien Loan”). In July 2018, we amended the 2017 First Lien Loan to upsize the commited amount by $115.0 million. In October 2019, we repaid the 2017 Second Lien Loan in its entrety. The revolving credit facility component of the frst lien debt facility was retred in May 2020.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3, 2022, we: (i) repaid $190.7 million of the outstanding 2017 First Lien Loan; and (ii) amended the 2017 First Lien Loan to refnance the remaining balance with a $275.0 million term loan (the “2022 First Lien Loan”), add a $100.0 million revolving credit facility (the “Revolving Facility”) with a maturity date of February 3, 2027, replace the London Interbank Ofered Rate (“LIBOR”)-based foatng interest rate with a term secured overnight fnancing rate (“SOFR”)-based foatng interest rate, and revise the springing fnancial covenant to require compliance with a frst lien net leverage rato when revolver borrowings exceed certain levels.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14, 2024, we amended the 2022 First Lien Loan to refnance the remaining balance with a $395.0 million term loan (the “2024 First Lien Loan”) with a maturity date of February 3, 2029 and revise the term SOFR-based foatng interest rate.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5, 2025, we amended the 2024 First Lien Loan to reprice all $393.0 million of the then-outstanding balance (as so repriced, the “2025 First Lien Loan”), reducing the applicable interest thereon to the SOFR-based foatng interest rate described below.</w:t>
      </w:r>
    </w:p>
    <w:p>
      <w:pPr>
        <w:spacing w:after="0" w:line="11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The 2025 First Lien Loan requires quarterly amortzaton payments of $1.0 million. The Revolving Facility, which was unafected by the refnancing of the 2022 First Lien Loan and the repricing of the 2024 First Lien Loan, does not require periodic payments. All obligatons under the 2025 First Lien Loan are secured, subject to permited liens and other exceptons, by frst-priority perfected security interests in substantally all of our and the applicable guarantors’ assets. The 2025 First Lien Loan carries an interest rate of SOFR (subject to a 0.5% foor) plus a margin of 2.25%; </w:t>
      </w:r>
      <w:r>
        <w:rPr>
          <w:rFonts w:ascii="Calibri" w:cs="Calibri" w:eastAsia="Calibri" w:hAnsi="Calibri"/>
          <w:sz w:val="17"/>
          <w:szCs w:val="17"/>
          <w:i w:val="1"/>
          <w:iCs w:val="1"/>
          <w:color w:val="auto"/>
        </w:rPr>
        <w:t>provided</w:t>
      </w:r>
      <w:r>
        <w:rPr>
          <w:rFonts w:ascii="Calibri" w:cs="Calibri" w:eastAsia="Calibri" w:hAnsi="Calibri"/>
          <w:sz w:val="17"/>
          <w:szCs w:val="17"/>
          <w:color w:val="auto"/>
        </w:rPr>
        <w:t xml:space="preserve"> that such margin may be reduced to 2.00% if the corporate ratng assigned to us by Moody’s Investors Service, Inc. and S&amp;P Global Ratngs is at least Ba3/BB- (in each case, stable or beter).</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our acquisiton of Wavedash, we assumed long-term debt owed to Shoko Chukin Bank (the “Shoko Chukin Bank Loan”) of JPY 458.3 million (approximately $3.1 million), which had an original maturity date of June 24, 2026 and was subject to a fxed interest rate of 1.27% per annum. On April 4, 2024, we paid of the Shoko Chukin Bank Loan balance in its entrety.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2024, we issued a leter of credit that reduced the availability of the Revolving Facility by $5.0 million. As of December 31, 2024, we had the 2024 First Lien Loan outstanding and we had no outstanding borrowings under the Revolving Facility.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Share Repurchases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25, 2022, our Board authorized a share repurchase program for up to $40.0 million of our Class A common stock (the “2022 Share Repurchase Program”). The 2022 Share Repurchase Program was announced on May 26, 2022 and its authorizaton was fully utlized during the year ended December 31, 2022 and the three months ended March 31, 2023. As of December 31, 2023 and 2022, we repurchased approximately 5.3 million shares of our Class A common stock for approximately $40.0 million and approximately 4.3 million shares of our Class A common stock for approximately $32.5 million, respectvely, under the 2022 Share Repurchase Program, for which we recorded approximately $0.1 million in commissions and excise taxes.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12, 2023, pursuant to the underwritng agreement for the December 2023 Secondary Ofering, we repurchased 2.0 million shares of our Class A common stock from the underwriters at a price of $6.24 per share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35" w:lineRule="auto"/>
        <w:rPr>
          <w:sz w:val="20"/>
          <w:szCs w:val="20"/>
          <w:color w:val="auto"/>
        </w:rPr>
      </w:pPr>
      <w:r>
        <w:rPr>
          <w:rFonts w:ascii="Calibri" w:cs="Calibri" w:eastAsia="Calibri" w:hAnsi="Calibri"/>
          <w:sz w:val="18"/>
          <w:szCs w:val="18"/>
          <w:color w:val="auto"/>
        </w:rPr>
        <w:t xml:space="preserve">same price per share paid by the underwriters to Hoya Topco). See Note 17, </w:t>
      </w:r>
      <w:r>
        <w:rPr>
          <w:rFonts w:ascii="Calibri" w:cs="Calibri" w:eastAsia="Calibri" w:hAnsi="Calibri"/>
          <w:sz w:val="18"/>
          <w:szCs w:val="18"/>
          <w:i w:val="1"/>
          <w:iCs w:val="1"/>
          <w:color w:val="auto"/>
        </w:rPr>
        <w:t>Equity</w:t>
      </w:r>
      <w:r>
        <w:rPr>
          <w:rFonts w:ascii="Calibri" w:cs="Calibri" w:eastAsia="Calibri" w:hAnsi="Calibri"/>
          <w:sz w:val="18"/>
          <w:szCs w:val="18"/>
          <w:color w:val="auto"/>
        </w:rPr>
        <w:t>, to our consolidated fnancial statements included elsewhere in this Report for more informaton regarding the December 2023 Secondary Ofering.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29, 2024, our Board authorized the 2024 Share Repurchase Program for up to $100.0 million of our Class A common stock. The 2024 Share Repurchase Program was publicly announced on March 5, 2024 and does not have a fxed expiraton date. As of December 31, 2024, we repurchased approximately 4.1 million shares of our Class A common stock for approximately $22.8 million under the 2024 Share Repurchase Program, for which we recorded approximately $0.1 million in commissions and excise taxes. As of December 31, 2024, approximately $77.2 million remained available for future repurchases under the 2024 Share Repurchase Program.</w:t>
      </w:r>
    </w:p>
    <w:p>
      <w:pPr>
        <w:spacing w:after="0" w:line="112" w:lineRule="exact"/>
        <w:rPr>
          <w:sz w:val="20"/>
          <w:szCs w:val="20"/>
          <w:color w:val="auto"/>
        </w:rPr>
      </w:pPr>
    </w:p>
    <w:p>
      <w:pPr>
        <w:ind w:right="640"/>
        <w:spacing w:after="0" w:line="348" w:lineRule="auto"/>
        <w:rPr>
          <w:sz w:val="20"/>
          <w:szCs w:val="20"/>
          <w:color w:val="auto"/>
        </w:rPr>
      </w:pPr>
      <w:r>
        <w:rPr>
          <w:rFonts w:ascii="Calibri" w:cs="Calibri" w:eastAsia="Calibri" w:hAnsi="Calibri"/>
          <w:sz w:val="18"/>
          <w:szCs w:val="18"/>
          <w:color w:val="auto"/>
        </w:rPr>
        <w:t xml:space="preserve">All of the above share repurchases were accounted for as equity transactons and are recorded in Treasury stock in the Consolidated Balance Sheets. </w:t>
      </w:r>
      <w:r>
        <w:rPr>
          <w:rFonts w:ascii="Calibri" w:cs="Calibri" w:eastAsia="Calibri" w:hAnsi="Calibri"/>
          <w:sz w:val="18"/>
          <w:szCs w:val="18"/>
          <w:b w:val="1"/>
          <w:bCs w:val="1"/>
          <w:i w:val="1"/>
          <w:iCs w:val="1"/>
          <w:color w:val="auto"/>
        </w:rPr>
        <w:t>Distributons to Redeemable Noncontrolling Interests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Per the Intermediate LLC Agreement, Hoya Intermediate is required to make pro rata tax distributons to its members, of which $10.0 million was distributed to redeemable noncontrolling interests during the year ended December 31, 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Tax Receivable Agreement</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In connecton with the Merger Transacton, we entered into the TRA with the existng Hoya Intermediate unitholders that provides for our payment to such unitholders of 85% of the amount of any tax savings that we realize (or, under certain circumstances, are deemed to realize) as a result of, or atributable to,</w:t>
      </w:r>
    </w:p>
    <w:p>
      <w:pPr>
        <w:spacing w:after="0" w:line="1" w:lineRule="exact"/>
        <w:rPr>
          <w:sz w:val="20"/>
          <w:szCs w:val="20"/>
          <w:color w:val="auto"/>
        </w:rPr>
      </w:pPr>
    </w:p>
    <w:p>
      <w:pPr>
        <w:jc w:val="both"/>
        <w:ind w:firstLine="8"/>
        <w:spacing w:after="0" w:line="235" w:lineRule="auto"/>
        <w:tabs>
          <w:tab w:leader="none" w:pos="20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2023 Secondary Oferings, Hoya Topco exchanged Intermediate Units and, as a result, we recorded a liability of $165.2 million, a deferred tax asset of $75.2 million related to the 2023 Secondary Oferings and projected payments under the TRA, a decrease to additonal paid-in capital of $95.8 million, and a $5.8 million income tax beneft related to valuaton allowance releases on the porton of the deferred tax asset associated with the basis diference in the investment in the partnership excluded from the disclosure of deferred tax asset and valuaton allowance. We also recognized an income tax beneft of $14.0 million related to the release of valuaton allowances at the tme of the 2023 Secondary Oferings.</w:t>
      </w:r>
    </w:p>
    <w:p>
      <w:pPr>
        <w:spacing w:after="0" w:line="112"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In 2024, the TRA liability was remeasured and reduced by $6.0 million. The decrease was primarily due to changes in the state tax rate and our existng tax basis allocatons. In connecton with the remeasurement of the TRA liability, during the year ended December 31, 2024, we recorded a decrease in Deferred tax assets – net of $2.8 million and recognized $6.0 million of income, which is recorded in Other income – net in the Consolidated Statements of Operatons.</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TRA-related liabilites are classifed as current or long-term based on the expected date of payment. As of December 31, 2024, $4.0 million is due within 12 months and is recorded as a current liability in Accrued expenses and other current liabilites in the Consolidated Balance Sheets. The remaining amount is long-term and is recorded in TRA liability in the Consolidated Balance Sheets.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December 31, 2024, we estmate that the tax savings associated with all tax atributes described above would aggregate to approximately $187.9 million. Under this scenario, we would be required to pay approximately 85% of such amount, or $159.7 million, primarily over the next 14 years.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Calibri" w:cs="Calibri" w:eastAsia="Calibri" w:hAnsi="Calibri"/>
                <w:sz w:val="18"/>
                <w:szCs w:val="18"/>
                <w:b w:val="1"/>
                <w:bCs w:val="1"/>
                <w:color w:val="auto"/>
              </w:rPr>
              <w:t>Cash Flows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8580" w:type="dxa"/>
            <w:vAlign w:val="bottom"/>
            <w:gridSpan w:val="5"/>
          </w:tcPr>
          <w:p>
            <w:pPr>
              <w:spacing w:after="0"/>
              <w:rPr>
                <w:sz w:val="20"/>
                <w:szCs w:val="20"/>
                <w:color w:val="auto"/>
              </w:rPr>
            </w:pPr>
            <w:r>
              <w:rPr>
                <w:rFonts w:ascii="Calibri" w:cs="Calibri" w:eastAsia="Calibri" w:hAnsi="Calibri"/>
                <w:sz w:val="18"/>
                <w:szCs w:val="18"/>
                <w:color w:val="auto"/>
                <w:w w:val="98"/>
              </w:rPr>
              <w:t>The following table summarizes our cash fows for the years ended December 31, 2024, 2023, and 2022 (in thousands):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6"/>
          </w:tcPr>
          <w:p>
            <w:pPr>
              <w:jc w:val="right"/>
              <w:ind w:right="190"/>
              <w:spacing w:after="0"/>
              <w:rPr>
                <w:sz w:val="20"/>
                <w:szCs w:val="20"/>
                <w:color w:val="auto"/>
              </w:rPr>
            </w:pPr>
            <w:r>
              <w:rPr>
                <w:rFonts w:ascii="Calibri" w:cs="Calibri" w:eastAsia="Calibri" w:hAnsi="Calibri"/>
                <w:sz w:val="18"/>
                <w:szCs w:val="18"/>
                <w:b w:val="1"/>
                <w:bCs w:val="1"/>
                <w:color w:val="auto"/>
              </w:rPr>
              <w:t>Years Ended 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5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cash provided by operatng actvites</w:t>
            </w:r>
          </w:p>
        </w:tc>
        <w:tc>
          <w:tcPr>
            <w:tcW w:w="30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53,922</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line="210"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147,320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14,375</w:t>
            </w:r>
          </w:p>
        </w:tc>
        <w:tc>
          <w:tcPr>
            <w:tcW w:w="100" w:type="dxa"/>
            <w:vAlign w:val="bottom"/>
            <w:shd w:val="clear" w:color="auto" w:fill="CFF0FC"/>
          </w:tcPr>
          <w:p>
            <w:pPr>
              <w:spacing w:after="0"/>
              <w:rPr>
                <w:sz w:val="18"/>
                <w:szCs w:val="18"/>
                <w:color w:val="auto"/>
              </w:rPr>
            </w:pPr>
          </w:p>
        </w:tc>
      </w:tr>
      <w:tr>
        <w:trPr>
          <w:trHeight w:val="215"/>
        </w:trPr>
        <w:tc>
          <w:tcPr>
            <w:tcW w:w="652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(26,742 )</w:t>
            </w:r>
          </w:p>
        </w:tc>
        <w:tc>
          <w:tcPr>
            <w:tcW w:w="440" w:type="dxa"/>
            <w:vAlign w:val="bottom"/>
          </w:tcPr>
          <w:p>
            <w:pPr>
              <w:spacing w:after="0"/>
              <w:rPr>
                <w:sz w:val="18"/>
                <w:szCs w:val="18"/>
                <w:color w:val="auto"/>
              </w:rPr>
            </w:pPr>
          </w:p>
        </w:tc>
        <w:tc>
          <w:tcPr>
            <w:tcW w:w="11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(225,641 )</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(15,415 )</w:t>
            </w:r>
          </w:p>
        </w:tc>
      </w:tr>
      <w:tr>
        <w:trPr>
          <w:trHeight w:val="217"/>
        </w:trPr>
        <w:tc>
          <w:tcPr>
            <w:tcW w:w="65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cash provided by (used in) fnancing actvites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86,079</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(43,430 )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(236,480 )</w:t>
            </w:r>
          </w:p>
        </w:tc>
      </w:tr>
    </w:tbl>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Cash Provided by Operatng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$53.9 million for the year ended December 31, 2024 due to $14.3 million in net income, net non-cash charges of $92.6 million, and net cash outlows from a $53.0 million change in operatng assets and liabilites. The net cash outlows from the change in operatng assets and liabilites were primarily due to decreases in Accounts payable (due to a decrease in amounts payable to tcket sellers as a result of lower Marketplace GOV) and Accrued expenses and other current liabilites (specifcally accrued marketng expense) due to lower Marketplace GOV, as well as the tming of disbursements.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$147.3 million for the year ended December 31, 2023 due to $113.1 million in net income, net non-cash incomes of $2.0 million, and net cash infows from a $36.2 million change in operatng assets and liabilites. The net cash infows from the change in operatng assets and liabilites were primarily due to an increase in Accounts payable to tcket sellers due to higher Marketplace GOV.</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operatng actvites was $14.4 million for the year ended December 31, 2022 due to $70.8 million in net income, net non-cash charges of $24.4 million, and net cash outlows from an $80.8 million change in operatng assets and liabilites. The net cash outlows from the change in operatng assets and liabilites were primarily due to decreases in Accounts payable and Accrued expenses and other current liabilites, partally ofset by a decrease in Prepaid expenses and other current assets. The decreases were primarily due to sales tax liability setlements, the redempton of customer credits issued during the COVID-19 pandemic, and a decrease in amounts payable to tcket sellers as events that were postponed during the COVID-19 pandemic fnally occurred.</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Cash Used in Investng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was $26.7 million for the year ended December 31, 2024, which was primarily related to capital spending on development actvites related to our platorm and capital expenditures related to our ofce locatons in Chicago and Las Vegas.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was $225.6 million for the year ended December 31, 2023, which was primarily related to our acquisitons of Wavedash and Vegas.com and, to a lesser extent, capital spending on development actvites related to our platorm and our investment in a privately held company.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investng actvites was $15.4 million for the year ended December 31, 2022, which was primarily related to capital spending on development actvites related to our platorm and capital expenditures related to our new corporate headquarters in Chicago, which we moved into in late 2022.</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Cash Provided by (Used in) Financing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fnancing actvites was $86.1 million for the year ended December 31, 2024, which was primarily related to the refnancing of the 2022 First Lien Loan with the 2024 First Lien Loan on June 14, 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was $43.4 million for the year ended December 31, 2023, which was primarily related to share repurchases and tax distributons to redeemable noncontrolling interests.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was $236.5 million for the year ended December 31, 2022, which was primarily related to the repayment of the 2017 First Lien Loan and share repurchases.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we did not have any of-balance sheet arrangements that have had or are reasonably likely to have a current or future efect on our fnancial conditon, results of operatons, or cash fows.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consolidated fnancial statements are prepared in accordance with U.S. GAAP, which requires us to make estmates and assumptons that afect the reported amounts of assets, liabilites, revenue, costs and expenses, and related disclosures. On an ongoing basis, we evaluate our estmates and assumptons. Actual results may difer from these estmates under diferent assumptons or conditons. The estmates and assumptons associated with revenue recogniton, equity-based compensaton, warrants and earnouts, recoverability of our goodwill, indefnite-lived intangible assets, defnite-lived intangible assets, long-lived assets, and valuaton allowances have the greatest potental impact on our consolidated fnancial statements. Accordingly, these are the policies that are the most critcal to aid in fully understanding and evaluatng our consolidated fnancial statements.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 from our Marketplace segment primarily consists of service and delivery fees from tcketng operatons, reduced by incentves provided to tcket buyers, as well as service and delivery fees from travel reservatons and other marketplace transactons we facilitate. We also recognize revenue for referral fees earned on the purchase of tcket insurance by buyers from a third-party insurance provider.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revenue from live event tckets when the tcket seller confrms an order with the tcket buyer, at which point control of the tcket is transferred because the seller is then obligated to deliver the tckets to the buyer in accordance with the original marketplace listng. We recognize revenue from hotel reservatons and tours at the tme of check-in as the buyer does not have control of the item prior to that point. Revenue from Marketplace transactons is recognized on a net basis because we act as an agent for these transactons.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estmate and reserve for future cancellaton charges based on historical trends, with the corresponding charge reducing revenue. This reserve, known as accrued future customer compensaton, is classifed within Accrued expenses and other current liabilites, with a corresponding asset for expected recoveries from tcket sellers and distributon partners recorded in Prepaid expenses and other current assets on the Consolidated Balance Sheets.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Specifc judgments and assumptons considered when estmatng future cancellaton charges include historical cancellaton charges as a percentage of sales, the average length of tme to realize such charges, and the potental exposure based on the volume of recent sales actvity. Estmates for future cancellaton charges resultng from event cancellatons are determined based on historical event cancellaton rates and the volume of sales for events that have not yet occurred.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the extent that actual cancellaton charges are materially diferent than previously estmated amounts, or changes in recent trends require updates to previously reserved amounts, revenue may be materially impacted. In extreme circumstances, should actual cancellaton charges exceed previous estmates by a signifcant amount, we may experience negatve overall revenue.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When an event is cancelled, tcket buyers may receive either a cash refund or credit for future purchases in our marketplace. Credits issued to buyers for cancellatons are recorded as accrued customer compensaton within Accrued expenses and other current liabilites on the Consolidated Balance Sheets. When a credit is redeemed, revenue is recognized for the newly placed order. Breakage income from customer credits that are not expected to be used, and are not subject to escheatment, is estmated and recognized as revenue in proporton to the patern of redempton for the customer credits that are used. We estmate breakage based on historical usage trends for credits issued by us and available data on comparable programs. To the extent that actual usage difers materially from expected usage, that trends in usage rates difer materially from those used to establish our breakage estmate, or that the volume of credits subject to escheatment changes, revenue may be materially impacted. In 2022, 2023, and 2024, we increased our estmated breakage rates based on lower credit usage. Our recorded breakage estmates exclude credits subject to escheatment and are further constrained by our limited history of customer credits and exposure to events outside of our control.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jc w:val="both"/>
        <w:spacing w:after="0" w:line="235" w:lineRule="auto"/>
        <w:rPr>
          <w:sz w:val="20"/>
          <w:szCs w:val="20"/>
          <w:color w:val="auto"/>
        </w:rPr>
      </w:pPr>
      <w:r>
        <w:rPr>
          <w:rFonts w:ascii="Calibri" w:cs="Calibri" w:eastAsia="Calibri" w:hAnsi="Calibri"/>
          <w:sz w:val="18"/>
          <w:szCs w:val="18"/>
          <w:color w:val="auto"/>
        </w:rPr>
        <w:t>We also ofer customers the opportunity to partcipate in the Vivid Seats Rewards Program, through our Marketplace segment, which allows them to earn and redeem credits on Vivid Seats transactons. We defer revenue associated with these credits, which is recorded as Deferred revenue on the Consolidated Balance Sheets. The deferred amount is based on expected future usage, including the frequency with which buyers reach the threshold for reward credit conversions and the rate of credit redemptons, and is recognized as revenue when the credits are redeemed. To the extent that actual usage difers materially from expected usage, or that recent trends require a change in the estmated usage rate of unexpired credits, revenue may be materially impacted by the change.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 from our Resale business primarily consists of sales of tckets to customers through online secondary tcket marketplaces. We recognize Resale revenue when an order is confrmed. We recognize Resale revenue on a gross basis because we act as a principal in these transactons.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Equity-Based Compensaton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restricted stock units (“RSUs”), stock optons, and profts interests at their grant date fair value. We award RSUs to our employees, directors, and certain consultants. We also award stock optons to certain employees and consultants. The awards are subject to the recipient’s contnued service through the applicable vestng date. The grant date fair value of stock optons is estmated using an opton pricing model, which requires us to make assumptons and judgments about the variables used in the calculaton related to the expected term, volatlity, dividend yield, and risk-free interest rate. We estmate the fair value of profts interests using the Black-Scholes model, which includes assumptons related to the expected term, volatlity, dividend yield, and risk-free interest rate. We account for forfeitures of outstanding, but unvested grants in the period they occur. Expense related to grants of equity-based awards is recognized as equity-based compensaton in the Consolidated Statements of Operatons.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estmated fair value of warrant liabilites is determined using the Black-Scholes model, which requires us to make assumptons and judgments about the variables used in the calculaton related to the expected term, volatlity, dividend yield, and risk-free interest rate. The warrant liabilites are subject to re-measurement at each balance sheet date untl exercised, and any change in fair value is recognized in the Consolidated Statements of Operatons.</w:t>
      </w:r>
    </w:p>
    <w:p>
      <w:pPr>
        <w:spacing w:after="0" w:line="111" w:lineRule="exact"/>
        <w:rPr>
          <w:sz w:val="20"/>
          <w:szCs w:val="20"/>
          <w:color w:val="auto"/>
        </w:rPr>
      </w:pPr>
    </w:p>
    <w:p>
      <w:pPr>
        <w:ind w:right="5120"/>
        <w:spacing w:after="0" w:line="348" w:lineRule="auto"/>
        <w:rPr>
          <w:sz w:val="20"/>
          <w:szCs w:val="20"/>
          <w:color w:val="auto"/>
        </w:rPr>
      </w:pPr>
      <w:r>
        <w:rPr>
          <w:rFonts w:ascii="Calibri" w:cs="Calibri" w:eastAsia="Calibri" w:hAnsi="Calibri"/>
          <w:sz w:val="18"/>
          <w:szCs w:val="18"/>
          <w:b w:val="1"/>
          <w:bCs w:val="1"/>
          <w:i w:val="1"/>
          <w:iCs w:val="1"/>
          <w:color w:val="auto"/>
        </w:rPr>
        <w:t xml:space="preserve">Recoverability of Goodwill, Indefnite-Lived Intangible Assets, and Long-Lived Assets </w:t>
      </w:r>
      <w:r>
        <w:rPr>
          <w:rFonts w:ascii="Calibri" w:cs="Calibri" w:eastAsia="Calibri" w:hAnsi="Calibri"/>
          <w:sz w:val="18"/>
          <w:szCs w:val="18"/>
          <w:i w:val="1"/>
          <w:iCs w:val="1"/>
          <w:color w:val="auto"/>
        </w:rPr>
        <w:t>Goodwill – Net</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acquired businesses using the acquisiton method of accountng, which requires that the assets acquired and liabilites assumed be recorded at the date of acquisiton at their respectve fair values. Our goodwill and indefnite-lived intangible assets are held in our Marketplace segment, which contains two reportng units.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not subject to amortzaton and is reviewed for impairment annually, or more frequently if events or changes in circumstances indicate an impairment may have occurred. We assess goodwill for impairment at the reportng unit level. Goodwill is considered impaired if the carrying value of the reportng unit exceeds its fair value, with an impairment charge recognized for the diference.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When reviewing goodwill for impairment, we begin by performing a qualitatve assessment, which includes, but is not limited to, reviewing factors such as macroeconomic conditons, industry and market consideratons, cost factors, entty-specifc fnancial performance, and other events, including changes in our management. If we determine that it is more likely than not that the fair value of a reportng unit is less than its carrying value, we then perform a quanttatve assessment. Depending upon the results of that assessment, the recorded goodwill may be writen down, and impairment expense is recorded in the Consolidated Statements of Operatons when the carrying value of the reportng unit exceeds its fair value.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annual impairment testng, we performed a quanttatve assessment of our goodwill and determined that the fair value of our reportng units was greater than or equal to their respectve carrying values on the measurement date of October 31, 2024. As a result, there was no impairment to our goodwill during the year ended December 31, 2024.</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rPr>
          <w:sz w:val="20"/>
          <w:szCs w:val="20"/>
          <w:color w:val="auto"/>
        </w:rPr>
      </w:pPr>
      <w:r>
        <w:rPr>
          <w:rFonts w:ascii="Calibri" w:cs="Calibri" w:eastAsia="Calibri" w:hAnsi="Calibri"/>
          <w:sz w:val="18"/>
          <w:szCs w:val="18"/>
          <w:i w:val="1"/>
          <w:iCs w:val="1"/>
          <w:color w:val="auto"/>
        </w:rPr>
        <w:t>Indefnite-Lived Intangible Assets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Similar to goodwill, our indefnite-lived intangible assets are not subject to amortzaton and are reviewed for impairment annually, or more frequently if events or changes in circumstances indicate that the carrying value may not be recoverable.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annual impairment testng, we performed a quanttatve assessment of our indefnite-lived intangible assets on the measurement date of October 31, 2024. During this assessment, we did not identfy any events or changes in circumstances that would indicate the carrying value of our indefnite-lived intangible assets may not be recoverable. As a result, there was no impairment to our indefnite-lived intangible assets during the year ended December 31, 2024.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Each reportng period, we perform an evaluaton of the remaining useful life of our indefnite-lived intangible assets to determine whether events and circumstances contnue to support an indefnite life. As a result of this evaluaton, we consider the indefnite useful life of our trademarks to be appropriate for the year ended December 31,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Long-Lived Assets – Net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Our defnite-lived intangible assets consist of the following:</w:t>
      </w:r>
    </w:p>
    <w:p>
      <w:pPr>
        <w:spacing w:after="0" w:line="11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Supplier relatonships;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Customer relatonships;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Acquired developed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Capitalized development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Capitalized development costs – work in progress;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Domain names.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Our other long-lived assets consist of the following:</w:t>
      </w:r>
    </w:p>
    <w:p>
      <w:pPr>
        <w:spacing w:after="0" w:line="11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Property and equipment – net;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Right-of-use assets – net;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Personal seat licenses.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assess our defnite-lived intangible assets and other long-lived assets (collectvely, our “long-lived assets”) for impairment periodically to determine whether events or changes in circumstances indicate that the carrying amounts of an asset or asset group may not be recoverable. We classify our long-lived assets as a single asset group.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Each reportng period, we perform an evaluaton of the remaining useful life of our long-lived assets to determine whether events and circumstances contnue to support the established useful life of each applicable long-lived asset. As a result of this evaluaton, we consider the useful life of our long-lived assets to be appropriate for the year ended December 31,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Tax Valuaton Allowance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deferred tax assets for the expected future beneft from certain net operatng losses, tax credits, basis diferences from our investment in an operatng partnership, and other similar items. To the extent we believe all or a porton of these assets are not more likely than not to be realized, we record a valuaton allowance against the deferred tax asset’s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determining the realizability of our deferred tax assets, we consider all available positve and negatve evidence, including historical taxable income or loss amounts, projected future taxable income, antcipated reversals of temporary book/tax diferences, tax planning strategies, and recent results of operatons. This assessment requires us to make judgments that rely heavily on future projectons and assumptons that are inherently uncertain. In additon, we must make determinatons about the relatve weightng of certain positve and negatve evidence to arrive at a conclusion regarding the need for a valuaton allowance. To the extent actual results of operatons, 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35" w:lineRule="auto"/>
        <w:rPr>
          <w:sz w:val="20"/>
          <w:szCs w:val="20"/>
          <w:color w:val="auto"/>
        </w:rPr>
      </w:pPr>
      <w:r>
        <w:rPr>
          <w:rFonts w:ascii="Calibri" w:cs="Calibri" w:eastAsia="Calibri" w:hAnsi="Calibri"/>
          <w:sz w:val="18"/>
          <w:szCs w:val="18"/>
          <w:color w:val="auto"/>
        </w:rPr>
        <w:t>actual taxable income or loss, difers materially from our assumptons, we would need to modify the valuaton allowance with a corresponding adjustment to net income or net loss.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Hoya Intermediate is a limited liability company taxed as a partnership, any taxable income it generates is included in the taxable income of its members, including Vivid Seats Inc. As a result of the current tax structure, we have a signifcant deferred tax asset resultng from an outside basis diference in the investment in Hoya Intermediate. The realizability of this deferred tax asset is dependent upon whether the tax basis is expected to be recovered through ordinary business operatons and would therefore not result in a capital loss. In general, the realizability of our deferred tax assets depends on the existence of sufcient taxable income of the appropriate character prior to expiraton. We make judgments and rely on future projectons of income, which are inherently uncertain, in determining the realizability of the deferred tax assets.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2, </w:t>
      </w:r>
      <w:r>
        <w:rPr>
          <w:rFonts w:ascii="Calibri" w:cs="Calibri" w:eastAsia="Calibri" w:hAnsi="Calibri"/>
          <w:sz w:val="18"/>
          <w:szCs w:val="18"/>
          <w:i w:val="1"/>
          <w:iCs w:val="1"/>
          <w:color w:val="auto"/>
        </w:rPr>
        <w:t>Summary of Signifcant Accountng Policies,</w:t>
      </w:r>
      <w:r>
        <w:rPr>
          <w:rFonts w:ascii="Calibri" w:cs="Calibri" w:eastAsia="Calibri" w:hAnsi="Calibri"/>
          <w:sz w:val="18"/>
          <w:szCs w:val="18"/>
          <w:color w:val="auto"/>
        </w:rPr>
        <w:t xml:space="preserve"> to our consolidated fnancial statements included elsewhere in this Report for a descripton of recently adopted accountng pronouncements and issued accountng pronouncements not yet adopted.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JOBS Act Accountng Electon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Secton 107 of the JOBS Act exempts EGCs from being required to comply with new or revised fnancial accountng standards untl private companies are required to do so. The JOBS Act provides that an EGC can elect to opt out of the extended transiton period and comply with the requirements that apply to non-EGCs, but that any such electon is irrevocable. We have elected not to opt out of the extended transiton period, which means that when a new or revised fnancial accountng standard has diferent applicaton dates for public and private companies, we are permited to adopt such standard at the same tme as private companies.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center"/>
        <w:spacing w:after="0"/>
        <w:rPr>
          <w:sz w:val="20"/>
          <w:szCs w:val="20"/>
          <w:color w:val="auto"/>
        </w:rPr>
      </w:pPr>
      <w:r>
        <w:rPr>
          <w:rFonts w:ascii="Calibri" w:cs="Calibri" w:eastAsia="Calibri" w:hAnsi="Calibri"/>
          <w:sz w:val="18"/>
          <w:szCs w:val="18"/>
          <w:b w:val="1"/>
          <w:bCs w:val="1"/>
          <w:color w:val="auto"/>
        </w:rPr>
        <w:t>Item 7A. Quanttatve and Qualitatve Disclosures about Market Risk</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Market risk is the potental loss in future earnings, fair values, or cash fows of market risk sensitve instruments resultng from adverse changes in interest rates, foreign currency exchange rates, and market prices.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Interest Rate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primary market risk is the interest rate risk associated with our long-term debt (including the 2025 First Lien Loan, which bears a foatng interest rate based on market rates plus an applicable spread). We manage our exposure to this risk through established policies and procedures aimed at mitgatng the potental efect of adverse interest rate changes. However, we will be susceptble to interest rate fuctuatons if we do not efectvely hedge the interest rate exposure arising from our foatng-rate debt, which may adversely impact our fnancial results. A hypothetcal 1% change in interest rates, assuming rates are above our applicable interest rate foor, would have impacted Interest expense – net in the Consolidated Statements of Operatons by $3.4 million for the year ended December 31, 2024 (based on amounts outstanding during 2024 under the 2024 First Lien Loan).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 Exchange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our reportng currency is the U.S. dollar, certain of our internatonal subsidiaries’ functonal currency is their local currency. Our internatonal revenue, as well as costs and expenses denominated in foreign currencies, expose us to the risk of adverse fuctuatons in foreign currency exchange rates against the U.S. dollar, which may adversely impact our fnancial results.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also exposed to foreign currency exchange rate fuctuatons as we translate our foreign subsidiaries’ fnancial statements into U.S. dollars in consolidaton. Due to foreign currency exchange rate fuctuatons resultng from the macroeconomic environment, we may experience negatve impacts on the translaton adjustments resultng from the conversion of our foreign subsidiaries’ fnancial statements into U.S. dollars, as well as the revaluaton adjustments on U.S. dollar denominated intercompany loans. While we have not entered into derivatve or hedging transactons, we may do so in the future. During the year ended December 31, 2024, our unrealized foreign currency loss recorded in Other income – net in the Consolidated Statements of Operatons was approximately $4.1 million. As of December 31, 2024, a hypothetcal 10% change in exchange rates applicable to our business would have impacted our foreign currency translaton adjustment by $2.4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jc w:val="center"/>
        <w:ind w:right="-19"/>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Index to Consolidated Financial Statements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74"/>
        </w:trPr>
        <w:tc>
          <w:tcPr>
            <w:tcW w:w="4840" w:type="dxa"/>
            <w:vAlign w:val="bottom"/>
            <w:gridSpan w:val="8"/>
            <w:vMerge w:val="restart"/>
          </w:tcPr>
          <w:p>
            <w:pPr>
              <w:ind w:left="20"/>
              <w:spacing w:after="0"/>
              <w:rPr>
                <w:sz w:val="20"/>
                <w:szCs w:val="20"/>
                <w:color w:val="auto"/>
              </w:rPr>
            </w:pPr>
            <w:r>
              <w:rPr>
                <w:rFonts w:ascii="Calibri" w:cs="Calibri" w:eastAsia="Calibri" w:hAnsi="Calibri"/>
                <w:sz w:val="18"/>
                <w:szCs w:val="18"/>
                <w:color w:val="0000FF"/>
              </w:rPr>
              <w:t>Report of Independent Registered Public Accountng Firm</w:t>
            </w:r>
          </w:p>
        </w:tc>
        <w:tc>
          <w:tcPr>
            <w:tcW w:w="5960" w:type="dxa"/>
            <w:vAlign w:val="bottom"/>
            <w:vMerge w:val="restart"/>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840" w:type="dxa"/>
            <w:vAlign w:val="bottom"/>
            <w:gridSpan w:val="8"/>
            <w:vMerge w:val="continue"/>
          </w:tcPr>
          <w:p>
            <w:pPr>
              <w:spacing w:after="0"/>
              <w:rPr>
                <w:sz w:val="13"/>
                <w:szCs w:val="13"/>
                <w:color w:val="auto"/>
              </w:rPr>
            </w:pPr>
          </w:p>
        </w:tc>
        <w:tc>
          <w:tcPr>
            <w:tcW w:w="5960" w:type="dxa"/>
            <w:vAlign w:val="bottom"/>
            <w:vMerge w:val="continue"/>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Calibri" w:cs="Calibri" w:eastAsia="Calibri" w:hAnsi="Calibri"/>
                <w:sz w:val="16"/>
                <w:szCs w:val="16"/>
                <w:color w:val="auto"/>
              </w:rPr>
              <w:t>59</w:t>
            </w:r>
          </w:p>
        </w:tc>
        <w:tc>
          <w:tcPr>
            <w:tcW w:w="0" w:type="dxa"/>
            <w:vAlign w:val="bottom"/>
          </w:tcPr>
          <w:p>
            <w:pPr>
              <w:spacing w:after="0"/>
              <w:rPr>
                <w:sz w:val="1"/>
                <w:szCs w:val="1"/>
                <w:color w:val="auto"/>
              </w:rPr>
            </w:pPr>
          </w:p>
        </w:tc>
      </w:tr>
      <w:tr>
        <w:trPr>
          <w:trHeight w:val="250"/>
        </w:trPr>
        <w:tc>
          <w:tcPr>
            <w:tcW w:w="4120" w:type="dxa"/>
            <w:vAlign w:val="bottom"/>
            <w:tcBorders>
              <w:top w:val="single" w:sz="8" w:color="0000FF"/>
            </w:tcBorders>
            <w:gridSpan w:val="7"/>
          </w:tcPr>
          <w:p>
            <w:pPr>
              <w:ind w:left="20"/>
              <w:spacing w:after="0"/>
              <w:rPr>
                <w:sz w:val="20"/>
                <w:szCs w:val="20"/>
                <w:color w:val="auto"/>
              </w:rPr>
            </w:pPr>
            <w:r>
              <w:rPr>
                <w:rFonts w:ascii="Calibri" w:cs="Calibri" w:eastAsia="Calibri" w:hAnsi="Calibri"/>
                <w:sz w:val="18"/>
                <w:szCs w:val="18"/>
                <w:color w:val="0000FF"/>
              </w:rPr>
              <w:t>Consolidated Balance Sheets</w:t>
            </w:r>
          </w:p>
        </w:tc>
        <w:tc>
          <w:tcPr>
            <w:tcW w:w="720" w:type="dxa"/>
            <w:vAlign w:val="bottom"/>
          </w:tcPr>
          <w:p>
            <w:pPr>
              <w:spacing w:after="0"/>
              <w:rPr>
                <w:sz w:val="21"/>
                <w:szCs w:val="21"/>
                <w:color w:val="auto"/>
              </w:rPr>
            </w:pPr>
          </w:p>
        </w:tc>
        <w:tc>
          <w:tcPr>
            <w:tcW w:w="6400" w:type="dxa"/>
            <w:vAlign w:val="bottom"/>
            <w:gridSpan w:val="2"/>
          </w:tcPr>
          <w:p>
            <w:pPr>
              <w:jc w:val="right"/>
              <w:spacing w:after="0"/>
              <w:rPr>
                <w:sz w:val="20"/>
                <w:szCs w:val="20"/>
                <w:color w:val="auto"/>
              </w:rPr>
            </w:pPr>
            <w:r>
              <w:rPr>
                <w:rFonts w:ascii="Calibri" w:cs="Calibri" w:eastAsia="Calibri" w:hAnsi="Calibri"/>
                <w:sz w:val="18"/>
                <w:szCs w:val="18"/>
                <w:color w:val="auto"/>
              </w:rPr>
              <w:t>0</w:t>
            </w:r>
          </w:p>
        </w:tc>
        <w:tc>
          <w:tcPr>
            <w:tcW w:w="0" w:type="dxa"/>
            <w:vAlign w:val="bottom"/>
          </w:tcPr>
          <w:p>
            <w:pPr>
              <w:spacing w:after="0"/>
              <w:rPr>
                <w:sz w:val="1"/>
                <w:szCs w:val="1"/>
                <w:color w:val="auto"/>
              </w:rPr>
            </w:pPr>
          </w:p>
        </w:tc>
      </w:tr>
      <w:tr>
        <w:trPr>
          <w:trHeight w:val="20"/>
        </w:trPr>
        <w:tc>
          <w:tcPr>
            <w:tcW w:w="20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0000FF"/>
            </w:tcBorders>
            <w:gridSpan w:val="2"/>
          </w:tcPr>
          <w:p>
            <w:pPr>
              <w:ind w:left="20"/>
              <w:spacing w:after="0"/>
              <w:rPr>
                <w:sz w:val="20"/>
                <w:szCs w:val="20"/>
                <w:color w:val="auto"/>
              </w:rPr>
            </w:pPr>
            <w:r>
              <w:rPr>
                <w:rFonts w:ascii="Calibri" w:cs="Calibri" w:eastAsia="Calibri" w:hAnsi="Calibri"/>
                <w:sz w:val="18"/>
                <w:szCs w:val="18"/>
                <w:color w:val="0000FF"/>
                <w:w w:val="97"/>
              </w:rPr>
              <w:t>Consolidated Statements of Operatons</w:t>
            </w:r>
          </w:p>
        </w:tc>
        <w:tc>
          <w:tcPr>
            <w:tcW w:w="20" w:type="dxa"/>
            <w:vAlign w:val="bottom"/>
            <w:tcBorders>
              <w:bottom w:val="single" w:sz="8" w:color="0000EE"/>
            </w:tcBorders>
          </w:tcPr>
          <w:p>
            <w:pPr>
              <w:spacing w:after="0"/>
              <w:rPr>
                <w:sz w:val="21"/>
                <w:szCs w:val="21"/>
                <w:color w:val="auto"/>
              </w:rPr>
            </w:pPr>
          </w:p>
        </w:tc>
        <w:tc>
          <w:tcPr>
            <w:tcW w:w="1980" w:type="dxa"/>
            <w:vAlign w:val="bottom"/>
            <w:gridSpan w:val="5"/>
          </w:tcPr>
          <w:p>
            <w:pPr>
              <w:spacing w:after="0"/>
              <w:rPr>
                <w:sz w:val="21"/>
                <w:szCs w:val="21"/>
                <w:color w:val="auto"/>
              </w:rPr>
            </w:pPr>
          </w:p>
        </w:tc>
        <w:tc>
          <w:tcPr>
            <w:tcW w:w="6400" w:type="dxa"/>
            <w:vAlign w:val="bottom"/>
            <w:gridSpan w:val="2"/>
          </w:tcPr>
          <w:p>
            <w:pPr>
              <w:jc w:val="right"/>
              <w:spacing w:after="0"/>
              <w:rPr>
                <w:sz w:val="20"/>
                <w:szCs w:val="20"/>
                <w:color w:val="auto"/>
              </w:rPr>
            </w:pPr>
            <w:r>
              <w:rPr>
                <w:rFonts w:ascii="Calibri" w:cs="Calibri" w:eastAsia="Calibri" w:hAnsi="Calibri"/>
                <w:sz w:val="18"/>
                <w:szCs w:val="18"/>
                <w:color w:val="auto"/>
              </w:rPr>
              <w:t>0</w:t>
            </w:r>
          </w:p>
        </w:tc>
        <w:tc>
          <w:tcPr>
            <w:tcW w:w="0" w:type="dxa"/>
            <w:vAlign w:val="bottom"/>
          </w:tcPr>
          <w:p>
            <w:pPr>
              <w:spacing w:after="0"/>
              <w:rPr>
                <w:sz w:val="1"/>
                <w:szCs w:val="1"/>
                <w:color w:val="auto"/>
              </w:rPr>
            </w:pPr>
          </w:p>
        </w:tc>
      </w:tr>
      <w:tr>
        <w:trPr>
          <w:trHeight w:val="250"/>
        </w:trPr>
        <w:tc>
          <w:tcPr>
            <w:tcW w:w="4840" w:type="dxa"/>
            <w:vAlign w:val="bottom"/>
            <w:gridSpan w:val="8"/>
          </w:tcPr>
          <w:p>
            <w:pPr>
              <w:ind w:left="20"/>
              <w:spacing w:after="0"/>
              <w:rPr>
                <w:sz w:val="20"/>
                <w:szCs w:val="20"/>
                <w:color w:val="auto"/>
              </w:rPr>
            </w:pPr>
            <w:r>
              <w:rPr>
                <w:rFonts w:ascii="Calibri" w:cs="Calibri" w:eastAsia="Calibri" w:hAnsi="Calibri"/>
                <w:sz w:val="18"/>
                <w:szCs w:val="18"/>
                <w:color w:val="0000FF"/>
              </w:rPr>
              <w:t>Consolidated Statements of Comprehensive Income</w:t>
            </w:r>
          </w:p>
        </w:tc>
        <w:tc>
          <w:tcPr>
            <w:tcW w:w="6400" w:type="dxa"/>
            <w:vAlign w:val="bottom"/>
            <w:gridSpan w:val="2"/>
          </w:tcPr>
          <w:p>
            <w:pPr>
              <w:jc w:val="right"/>
              <w:spacing w:after="0"/>
              <w:rPr>
                <w:sz w:val="20"/>
                <w:szCs w:val="20"/>
                <w:color w:val="auto"/>
              </w:rPr>
            </w:pPr>
            <w:r>
              <w:rPr>
                <w:rFonts w:ascii="Calibri" w:cs="Calibri" w:eastAsia="Calibri" w:hAnsi="Calibri"/>
                <w:sz w:val="18"/>
                <w:szCs w:val="18"/>
                <w:color w:val="auto"/>
              </w:rPr>
              <w:t>0</w:t>
            </w:r>
          </w:p>
        </w:tc>
        <w:tc>
          <w:tcPr>
            <w:tcW w:w="0" w:type="dxa"/>
            <w:vAlign w:val="bottom"/>
          </w:tcPr>
          <w:p>
            <w:pPr>
              <w:spacing w:after="0"/>
              <w:rPr>
                <w:sz w:val="1"/>
                <w:szCs w:val="1"/>
                <w:color w:val="auto"/>
              </w:rPr>
            </w:pPr>
          </w:p>
        </w:tc>
      </w:tr>
      <w:tr>
        <w:trPr>
          <w:trHeight w:val="250"/>
        </w:trPr>
        <w:tc>
          <w:tcPr>
            <w:tcW w:w="3100" w:type="dxa"/>
            <w:vAlign w:val="bottom"/>
            <w:tcBorders>
              <w:top w:val="single" w:sz="8" w:color="0000FF"/>
              <w:bottom w:val="single" w:sz="8" w:color="0000FF"/>
            </w:tcBorders>
            <w:gridSpan w:val="4"/>
          </w:tcPr>
          <w:p>
            <w:pPr>
              <w:ind w:left="20"/>
              <w:spacing w:after="0"/>
              <w:rPr>
                <w:sz w:val="20"/>
                <w:szCs w:val="20"/>
                <w:color w:val="auto"/>
              </w:rPr>
            </w:pPr>
            <w:r>
              <w:rPr>
                <w:rFonts w:ascii="Calibri" w:cs="Calibri" w:eastAsia="Calibri" w:hAnsi="Calibri"/>
                <w:sz w:val="18"/>
                <w:szCs w:val="18"/>
                <w:color w:val="0000FF"/>
                <w:w w:val="98"/>
              </w:rPr>
              <w:t>Consolidated Statements of Equity (Defcit)</w:t>
            </w:r>
          </w:p>
        </w:tc>
        <w:tc>
          <w:tcPr>
            <w:tcW w:w="620" w:type="dxa"/>
            <w:vAlign w:val="bottom"/>
            <w:tcBorders>
              <w:top w:val="single" w:sz="8" w:color="0000FF"/>
            </w:tcBorders>
            <w:gridSpan w:val="2"/>
          </w:tcPr>
          <w:p>
            <w:pPr>
              <w:spacing w:after="0"/>
              <w:rPr>
                <w:sz w:val="21"/>
                <w:szCs w:val="21"/>
                <w:color w:val="auto"/>
              </w:rPr>
            </w:pPr>
          </w:p>
        </w:tc>
        <w:tc>
          <w:tcPr>
            <w:tcW w:w="1120" w:type="dxa"/>
            <w:vAlign w:val="bottom"/>
            <w:gridSpan w:val="2"/>
          </w:tcPr>
          <w:p>
            <w:pPr>
              <w:spacing w:after="0"/>
              <w:rPr>
                <w:sz w:val="21"/>
                <w:szCs w:val="21"/>
                <w:color w:val="auto"/>
              </w:rPr>
            </w:pPr>
          </w:p>
        </w:tc>
        <w:tc>
          <w:tcPr>
            <w:tcW w:w="6400" w:type="dxa"/>
            <w:vAlign w:val="bottom"/>
            <w:gridSpan w:val="2"/>
          </w:tcPr>
          <w:p>
            <w:pPr>
              <w:jc w:val="right"/>
              <w:spacing w:after="0"/>
              <w:rPr>
                <w:sz w:val="20"/>
                <w:szCs w:val="20"/>
                <w:color w:val="auto"/>
              </w:rPr>
            </w:pPr>
            <w:r>
              <w:rPr>
                <w:rFonts w:ascii="Calibri" w:cs="Calibri" w:eastAsia="Calibri" w:hAnsi="Calibri"/>
                <w:sz w:val="18"/>
                <w:szCs w:val="18"/>
                <w:color w:val="auto"/>
              </w:rPr>
              <w:t>0</w:t>
            </w:r>
          </w:p>
        </w:tc>
        <w:tc>
          <w:tcPr>
            <w:tcW w:w="0" w:type="dxa"/>
            <w:vAlign w:val="bottom"/>
          </w:tcPr>
          <w:p>
            <w:pPr>
              <w:spacing w:after="0"/>
              <w:rPr>
                <w:sz w:val="1"/>
                <w:szCs w:val="1"/>
                <w:color w:val="auto"/>
              </w:rPr>
            </w:pPr>
          </w:p>
        </w:tc>
      </w:tr>
      <w:tr>
        <w:trPr>
          <w:trHeight w:val="250"/>
        </w:trPr>
        <w:tc>
          <w:tcPr>
            <w:tcW w:w="4840" w:type="dxa"/>
            <w:vAlign w:val="bottom"/>
            <w:gridSpan w:val="8"/>
          </w:tcPr>
          <w:p>
            <w:pPr>
              <w:ind w:left="20"/>
              <w:spacing w:after="0"/>
              <w:rPr>
                <w:sz w:val="20"/>
                <w:szCs w:val="20"/>
                <w:color w:val="auto"/>
              </w:rPr>
            </w:pPr>
            <w:r>
              <w:rPr>
                <w:rFonts w:ascii="Calibri" w:cs="Calibri" w:eastAsia="Calibri" w:hAnsi="Calibri"/>
                <w:sz w:val="18"/>
                <w:szCs w:val="18"/>
                <w:color w:val="0000FF"/>
              </w:rPr>
              <w:t>Consolidated Statements of Cash Flows</w:t>
            </w:r>
          </w:p>
        </w:tc>
        <w:tc>
          <w:tcPr>
            <w:tcW w:w="6400" w:type="dxa"/>
            <w:vAlign w:val="bottom"/>
            <w:gridSpan w:val="2"/>
          </w:tcPr>
          <w:p>
            <w:pPr>
              <w:jc w:val="right"/>
              <w:spacing w:after="0"/>
              <w:rPr>
                <w:sz w:val="20"/>
                <w:szCs w:val="20"/>
                <w:color w:val="auto"/>
              </w:rPr>
            </w:pPr>
            <w:r>
              <w:rPr>
                <w:rFonts w:ascii="Calibri" w:cs="Calibri" w:eastAsia="Calibri" w:hAnsi="Calibri"/>
                <w:sz w:val="18"/>
                <w:szCs w:val="18"/>
                <w:color w:val="auto"/>
              </w:rPr>
              <w:t>0</w:t>
            </w:r>
          </w:p>
        </w:tc>
        <w:tc>
          <w:tcPr>
            <w:tcW w:w="0" w:type="dxa"/>
            <w:vAlign w:val="bottom"/>
          </w:tcPr>
          <w:p>
            <w:pPr>
              <w:spacing w:after="0"/>
              <w:rPr>
                <w:sz w:val="1"/>
                <w:szCs w:val="1"/>
                <w:color w:val="auto"/>
              </w:rPr>
            </w:pPr>
          </w:p>
        </w:tc>
      </w:tr>
      <w:tr>
        <w:trPr>
          <w:trHeight w:val="20"/>
        </w:trPr>
        <w:tc>
          <w:tcPr>
            <w:tcW w:w="2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gridSpan w:val="8"/>
          </w:tcPr>
          <w:p>
            <w:pPr>
              <w:ind w:left="20"/>
              <w:spacing w:after="0"/>
              <w:rPr>
                <w:sz w:val="20"/>
                <w:szCs w:val="20"/>
                <w:color w:val="auto"/>
              </w:rPr>
            </w:pPr>
            <w:r>
              <w:rPr>
                <w:rFonts w:ascii="Calibri" w:cs="Calibri" w:eastAsia="Calibri" w:hAnsi="Calibri"/>
                <w:sz w:val="18"/>
                <w:szCs w:val="18"/>
                <w:color w:val="0000FF"/>
              </w:rPr>
              <w:t>Notes to the Consolidated Financial Statements</w:t>
            </w:r>
          </w:p>
        </w:tc>
        <w:tc>
          <w:tcPr>
            <w:tcW w:w="6400" w:type="dxa"/>
            <w:vAlign w:val="bottom"/>
            <w:gridSpan w:val="2"/>
          </w:tcPr>
          <w:p>
            <w:pPr>
              <w:jc w:val="right"/>
              <w:spacing w:after="0"/>
              <w:rPr>
                <w:sz w:val="20"/>
                <w:szCs w:val="20"/>
                <w:color w:val="auto"/>
              </w:rPr>
            </w:pPr>
            <w:r>
              <w:rPr>
                <w:rFonts w:ascii="Calibri" w:cs="Calibri" w:eastAsia="Calibri" w:hAnsi="Calibri"/>
                <w:sz w:val="18"/>
                <w:szCs w:val="18"/>
                <w:color w:val="auto"/>
              </w:rPr>
              <w:t>66</w:t>
            </w:r>
          </w:p>
        </w:tc>
        <w:tc>
          <w:tcPr>
            <w:tcW w:w="0" w:type="dxa"/>
            <w:vAlign w:val="bottom"/>
          </w:tcPr>
          <w:p>
            <w:pPr>
              <w:spacing w:after="0"/>
              <w:rPr>
                <w:sz w:val="1"/>
                <w:szCs w:val="1"/>
                <w:color w:val="auto"/>
              </w:rPr>
            </w:pPr>
          </w:p>
        </w:tc>
      </w:tr>
      <w:tr>
        <w:trPr>
          <w:trHeight w:val="928"/>
        </w:trPr>
        <w:tc>
          <w:tcPr>
            <w:tcW w:w="20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60" w:type="dxa"/>
            <w:vAlign w:val="bottom"/>
          </w:tcPr>
          <w:p>
            <w:pPr>
              <w:jc w:val="right"/>
              <w:ind w:right="4990"/>
              <w:spacing w:after="0"/>
              <w:rPr>
                <w:sz w:val="20"/>
                <w:szCs w:val="20"/>
                <w:color w:val="auto"/>
              </w:rPr>
            </w:pPr>
            <w:r>
              <w:rPr>
                <w:rFonts w:ascii="Calibri" w:cs="Calibri" w:eastAsia="Calibri" w:hAnsi="Calibri"/>
                <w:sz w:val="18"/>
                <w:szCs w:val="18"/>
                <w:color w:val="auto"/>
              </w:rPr>
              <w:t>58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2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ind w:right="3520" w:firstLine="3522"/>
        <w:spacing w:after="0" w:line="351" w:lineRule="auto"/>
        <w:rPr>
          <w:sz w:val="20"/>
          <w:szCs w:val="20"/>
          <w:color w:val="auto"/>
        </w:rPr>
      </w:pPr>
      <w:r>
        <w:rPr>
          <w:rFonts w:ascii="Calibri" w:cs="Calibri" w:eastAsia="Calibri" w:hAnsi="Calibri"/>
          <w:sz w:val="18"/>
          <w:szCs w:val="18"/>
          <w:b w:val="1"/>
          <w:bCs w:val="1"/>
          <w:color w:val="auto"/>
        </w:rPr>
        <w:t xml:space="preserve">Report of Independent Registered Public Accountng Firm </w:t>
      </w:r>
      <w:r>
        <w:rPr>
          <w:rFonts w:ascii="Calibri" w:cs="Calibri" w:eastAsia="Calibri" w:hAnsi="Calibri"/>
          <w:sz w:val="18"/>
          <w:szCs w:val="18"/>
          <w:color w:val="auto"/>
        </w:rPr>
        <w:t xml:space="preserve">To the shareholders and the Board of Directors of Vivid Seats Inc. </w:t>
      </w:r>
      <w:r>
        <w:rPr>
          <w:rFonts w:ascii="Calibri" w:cs="Calibri" w:eastAsia="Calibri" w:hAnsi="Calibri"/>
          <w:sz w:val="18"/>
          <w:szCs w:val="18"/>
          <w:b w:val="1"/>
          <w:bCs w:val="1"/>
          <w:color w:val="auto"/>
        </w:rPr>
        <w:t>Opinion on the Financial Statements</w:t>
      </w:r>
    </w:p>
    <w:p>
      <w:pPr>
        <w:spacing w:after="0" w:line="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accompanying consolidated balance sheets of Vivid Seats Inc. and subsidiaries (the “Company”) as of December 31, 2024 and 2023, the related consolidated statements of operatons, comprehensive income, equity (defcit), and cash fows, for each of the three years in the period ended December 31, 2024, and the related notes (collectvely referred to as the “fnancial statements”). In our opinion, the fnancial statements present fairly, in all material respects, the fnancial positon of the Company as of December 31, 2024 and 2023, and the results of its operatons and its cash fows for each of the three years in the period ended December 31, 2024, in conformity with accountng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The Company is not required to have, nor were we engaged to perform, an audit of its internal control over fnancial reportng. As part of our audits, we are required to obtain an understanding of internal control over fnancial reportng but not for the purpose of expressing an opinion on the efectveness of the Company’s internal control over fnancial reportng. Accordingly, we express no such opinion.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11"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/s/ Deloite &amp; Touche LLP</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Chicago, Illinois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March 12, 2025</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2021</w:t>
      </w:r>
      <w:r>
        <w:rPr>
          <w:rFonts w:ascii="Arial" w:cs="Arial" w:eastAsia="Arial" w:hAnsi="Arial"/>
          <w:sz w:val="19"/>
          <w:szCs w:val="19"/>
          <w:color w:val="auto"/>
        </w:rPr>
        <w: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0"/>
        </w:trPr>
        <w:tc>
          <w:tcPr>
            <w:tcW w:w="8000" w:type="dxa"/>
            <w:vAlign w:val="bottom"/>
          </w:tcPr>
          <w:p>
            <w:pPr>
              <w:jc w:val="center"/>
              <w:ind w:left="3150"/>
              <w:spacing w:after="0"/>
              <w:rPr>
                <w:sz w:val="20"/>
                <w:szCs w:val="20"/>
                <w:color w:val="auto"/>
              </w:rPr>
            </w:pPr>
            <w:r>
              <w:rPr>
                <w:rFonts w:ascii="Calibri" w:cs="Calibri" w:eastAsia="Calibri" w:hAnsi="Calibri"/>
                <w:sz w:val="18"/>
                <w:szCs w:val="18"/>
                <w:b w:val="1"/>
                <w:bCs w:val="1"/>
                <w:color w:val="auto"/>
                <w:w w:val="97"/>
              </w:rPr>
              <w:t>VIVID SEATS INC.</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00" w:type="dxa"/>
            <w:vAlign w:val="bottom"/>
          </w:tcPr>
          <w:p>
            <w:pPr>
              <w:jc w:val="center"/>
              <w:ind w:left="3150"/>
              <w:spacing w:after="0" w:line="216" w:lineRule="exact"/>
              <w:rPr>
                <w:sz w:val="20"/>
                <w:szCs w:val="20"/>
                <w:color w:val="auto"/>
              </w:rPr>
            </w:pPr>
            <w:r>
              <w:rPr>
                <w:rFonts w:ascii="Calibri" w:cs="Calibri" w:eastAsia="Calibri" w:hAnsi="Calibri"/>
                <w:sz w:val="18"/>
                <w:szCs w:val="18"/>
                <w:b w:val="1"/>
                <w:bCs w:val="1"/>
                <w:color w:val="auto"/>
                <w:w w:val="97"/>
              </w:rPr>
              <w:t>CONSOLIDATED BALANCE SHEETS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line="216" w:lineRule="exact"/>
              <w:rPr>
                <w:sz w:val="20"/>
                <w:szCs w:val="20"/>
                <w:color w:val="auto"/>
              </w:rPr>
            </w:pPr>
            <w:r>
              <w:rPr>
                <w:rFonts w:ascii="Calibri" w:cs="Calibri" w:eastAsia="Calibri" w:hAnsi="Calibri"/>
                <w:sz w:val="18"/>
                <w:szCs w:val="18"/>
                <w:b w:val="1"/>
                <w:bCs w:val="1"/>
                <w:color w:val="auto"/>
                <w:w w:val="97"/>
              </w:rPr>
              <w:t>(in thousands, except per share data)</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40"/>
              <w:spacing w:after="0" w:line="216" w:lineRule="exact"/>
              <w:rPr>
                <w:sz w:val="20"/>
                <w:szCs w:val="20"/>
                <w:color w:val="auto"/>
              </w:rPr>
            </w:pPr>
            <w:r>
              <w:rPr>
                <w:rFonts w:ascii="Calibri" w:cs="Calibri" w:eastAsia="Calibri" w:hAnsi="Calibri"/>
                <w:sz w:val="18"/>
                <w:szCs w:val="18"/>
                <w:b w:val="1"/>
                <w:bCs w:val="1"/>
                <w:color w:val="auto"/>
              </w:rPr>
              <w:t>December 31,</w:t>
            </w:r>
          </w:p>
        </w:tc>
        <w:tc>
          <w:tcPr>
            <w:tcW w:w="160" w:type="dxa"/>
            <w:vAlign w:val="bottom"/>
          </w:tcPr>
          <w:p>
            <w:pPr>
              <w:spacing w:after="0"/>
              <w:rPr>
                <w:sz w:val="18"/>
                <w:szCs w:val="18"/>
                <w:color w:val="auto"/>
              </w:rPr>
            </w:pPr>
          </w:p>
        </w:tc>
        <w:tc>
          <w:tcPr>
            <w:tcW w:w="140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b w:val="1"/>
                <w:bCs w:val="1"/>
                <w:color w:val="auto"/>
              </w:rPr>
              <w:t>December 31,</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0"/>
              <w:spacing w:after="0" w:line="216"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8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80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Cash and cash equivalents</w:t>
            </w:r>
          </w:p>
        </w:tc>
        <w:tc>
          <w:tcPr>
            <w:tcW w:w="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243,482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125,484</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1,166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6,950</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receivable – net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48,315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58,481</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19,601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21,018</w:t>
            </w: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32,607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34,061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00" w:type="dxa"/>
            <w:vAlign w:val="bottom"/>
          </w:tcPr>
          <w:p>
            <w:pPr>
              <w:ind w:left="200"/>
              <w:spacing w:after="0" w:line="209" w:lineRule="exact"/>
              <w:rPr>
                <w:sz w:val="20"/>
                <w:szCs w:val="20"/>
                <w:color w:val="auto"/>
              </w:rPr>
            </w:pPr>
            <w:r>
              <w:rPr>
                <w:rFonts w:ascii="Calibri" w:cs="Calibri" w:eastAsia="Calibri" w:hAnsi="Calibri"/>
                <w:sz w:val="18"/>
                <w:szCs w:val="18"/>
                <w:color w:val="auto"/>
              </w:rPr>
              <w:t>Total current assets</w:t>
            </w:r>
          </w:p>
        </w:tc>
        <w:tc>
          <w:tcPr>
            <w:tcW w:w="16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Calibri" w:cs="Calibri" w:eastAsia="Calibri" w:hAnsi="Calibri"/>
                <w:sz w:val="18"/>
                <w:szCs w:val="18"/>
                <w:color w:val="auto"/>
              </w:rPr>
              <w:t>345,171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Calibri" w:cs="Calibri" w:eastAsia="Calibri" w:hAnsi="Calibri"/>
                <w:sz w:val="18"/>
                <w:szCs w:val="18"/>
                <w:color w:val="auto"/>
              </w:rPr>
              <w:t>245,994</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and equipment – net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12,567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10,156</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 – net</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12,008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9,826</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Intangible assets – net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233,116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241,155</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 – net</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943,119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947,359</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tax assets – net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77,967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85,564</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Investments</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6,929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6,993</w:t>
            </w: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5,219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assets</w:t>
            </w:r>
          </w:p>
        </w:tc>
        <w:tc>
          <w:tcPr>
            <w:tcW w:w="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1,636,096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FF0FC"/>
          </w:tcPr>
          <w:p>
            <w:pPr>
              <w:ind w:left="20"/>
              <w:spacing w:after="0" w:line="197" w:lineRule="exact"/>
              <w:rPr>
                <w:sz w:val="20"/>
                <w:szCs w:val="20"/>
                <w:color w:val="auto"/>
              </w:rPr>
            </w:pPr>
            <w:r>
              <w:rPr>
                <w:rFonts w:ascii="Calibri" w:cs="Calibri" w:eastAsia="Calibri" w:hAnsi="Calibri"/>
                <w:sz w:val="18"/>
                <w:szCs w:val="18"/>
                <w:b w:val="1"/>
                <w:bCs w:val="1"/>
                <w:color w:val="auto"/>
              </w:rPr>
              <w:t>Liabilites, redeemable noncontrolling interests, and shareholders' equity</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payable</w:t>
            </w:r>
          </w:p>
        </w:tc>
        <w:tc>
          <w:tcPr>
            <w:tcW w:w="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232,984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257,514</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165,047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191,642</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Deferred revenue</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23,804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34,674</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120"/>
              <w:spacing w:after="0" w:line="215" w:lineRule="exact"/>
              <w:rPr>
                <w:sz w:val="20"/>
                <w:szCs w:val="20"/>
                <w:color w:val="auto"/>
              </w:rPr>
            </w:pPr>
            <w:r>
              <w:rPr>
                <w:rFonts w:ascii="Calibri" w:cs="Calibri" w:eastAsia="Calibri" w:hAnsi="Calibri"/>
                <w:sz w:val="18"/>
                <w:szCs w:val="18"/>
                <w:color w:val="auto"/>
              </w:rPr>
              <w:t>Current maturites of long-term debt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3,950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3,933</w:t>
            </w:r>
          </w:p>
        </w:tc>
        <w:tc>
          <w:tcPr>
            <w:tcW w:w="100" w:type="dxa"/>
            <w:vAlign w:val="bottom"/>
          </w:tcPr>
          <w:p>
            <w:pPr>
              <w:spacing w:after="0"/>
              <w:rPr>
                <w:sz w:val="18"/>
                <w:szCs w:val="18"/>
                <w:color w:val="auto"/>
              </w:rPr>
            </w:pPr>
          </w:p>
        </w:tc>
      </w:tr>
      <w:tr>
        <w:trPr>
          <w:trHeight w:val="210"/>
        </w:trPr>
        <w:tc>
          <w:tcPr>
            <w:tcW w:w="800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Total current liabilites</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425,785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487,763</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 net</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384,960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264,632</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Long-term lease liabilites</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18,731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16,215</w:t>
            </w: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TRA liability</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155,720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165,699</w:t>
            </w: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liabilites</w:t>
            </w: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36,865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29,031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ind w:left="200"/>
              <w:spacing w:after="0" w:line="209" w:lineRule="exact"/>
              <w:rPr>
                <w:sz w:val="20"/>
                <w:szCs w:val="20"/>
                <w:color w:val="auto"/>
              </w:rPr>
            </w:pPr>
            <w:r>
              <w:rPr>
                <w:rFonts w:ascii="Calibri" w:cs="Calibri" w:eastAsia="Calibri" w:hAnsi="Calibri"/>
                <w:sz w:val="18"/>
                <w:szCs w:val="18"/>
                <w:color w:val="auto"/>
              </w:rPr>
              <w:t>Total liabilites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1,022,061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963,340</w:t>
            </w:r>
          </w:p>
        </w:tc>
        <w:tc>
          <w:tcPr>
            <w:tcW w:w="100" w:type="dxa"/>
            <w:vAlign w:val="bottom"/>
          </w:tcPr>
          <w:p>
            <w:pPr>
              <w:spacing w:after="0"/>
              <w:rPr>
                <w:sz w:val="18"/>
                <w:szCs w:val="18"/>
                <w:color w:val="auto"/>
              </w:rPr>
            </w:pPr>
          </w:p>
        </w:tc>
      </w:tr>
      <w:tr>
        <w:trPr>
          <w:trHeight w:val="210"/>
        </w:trPr>
        <w:tc>
          <w:tcPr>
            <w:tcW w:w="80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Commitments and contngencies (Note 18)</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000" w:type="dxa"/>
            <w:vAlign w:val="bottom"/>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352,922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481,742</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Shareholders' equity:</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8000" w:type="dxa"/>
            <w:vAlign w:val="bottom"/>
          </w:tcPr>
          <w:p>
            <w:pPr>
              <w:ind w:left="120"/>
              <w:spacing w:after="0" w:line="194" w:lineRule="exact"/>
              <w:rPr>
                <w:sz w:val="20"/>
                <w:szCs w:val="20"/>
                <w:color w:val="auto"/>
              </w:rPr>
            </w:pPr>
            <w:r>
              <w:rPr>
                <w:rFonts w:ascii="Calibri" w:cs="Calibri" w:eastAsia="Calibri" w:hAnsi="Calibri"/>
                <w:sz w:val="18"/>
                <w:szCs w:val="18"/>
                <w:color w:val="auto"/>
              </w:rPr>
              <w:t>Class A common stock, $0.0001 par value; 500,000,000 shares authorized, 143,819,497 and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8000" w:type="dxa"/>
            <w:vAlign w:val="bottom"/>
          </w:tcPr>
          <w:p>
            <w:pPr>
              <w:ind w:left="120"/>
              <w:spacing w:after="0" w:line="215" w:lineRule="exact"/>
              <w:rPr>
                <w:sz w:val="20"/>
                <w:szCs w:val="20"/>
                <w:color w:val="auto"/>
              </w:rPr>
            </w:pPr>
            <w:r>
              <w:rPr>
                <w:rFonts w:ascii="Calibri" w:cs="Calibri" w:eastAsia="Calibri" w:hAnsi="Calibri"/>
                <w:sz w:val="18"/>
                <w:szCs w:val="18"/>
                <w:color w:val="auto"/>
              </w:rPr>
              <w:t>141,167,311 shares issued and outstanding at December 31, 2024 and 2023, respectvely</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r>
      <w:tr>
        <w:trPr>
          <w:trHeight w:val="23"/>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8000" w:type="dxa"/>
            <w:vAlign w:val="bottom"/>
            <w:shd w:val="clear" w:color="auto" w:fill="CFF0FC"/>
          </w:tcPr>
          <w:p>
            <w:pPr>
              <w:ind w:left="120"/>
              <w:spacing w:after="0" w:line="194" w:lineRule="exact"/>
              <w:rPr>
                <w:sz w:val="20"/>
                <w:szCs w:val="20"/>
                <w:color w:val="auto"/>
              </w:rPr>
            </w:pPr>
            <w:r>
              <w:rPr>
                <w:rFonts w:ascii="Calibri" w:cs="Calibri" w:eastAsia="Calibri" w:hAnsi="Calibri"/>
                <w:sz w:val="18"/>
                <w:szCs w:val="18"/>
                <w:color w:val="auto"/>
              </w:rPr>
              <w:t>Class B common stock, $0.0001 par value; 250,000,000 shares authorized, 76,225,000 shares issued and</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80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outstanding at December 31, 2024 and 2023, respectvely</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800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Additonal paid-in capital</w:t>
            </w: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1,267,710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1,096,430</w:t>
            </w:r>
          </w:p>
        </w:tc>
        <w:tc>
          <w:tcPr>
            <w:tcW w:w="100" w:type="dxa"/>
            <w:vAlign w:val="bottom"/>
          </w:tcPr>
          <w:p>
            <w:pPr>
              <w:spacing w:after="0"/>
              <w:rPr>
                <w:sz w:val="18"/>
                <w:szCs w:val="18"/>
                <w:color w:val="auto"/>
              </w:rPr>
            </w:pPr>
          </w:p>
        </w:tc>
      </w:tr>
      <w:tr>
        <w:trPr>
          <w:trHeight w:val="217"/>
        </w:trPr>
        <w:tc>
          <w:tcPr>
            <w:tcW w:w="80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Treasury stock, at cost, 11,433,749 and 7,291,497 shares at December 31, 2024 and 2023, respectvely</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(75,568 )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(52,586 )</w:t>
            </w:r>
          </w:p>
        </w:tc>
      </w:tr>
      <w:tr>
        <w:trPr>
          <w:trHeight w:val="215"/>
        </w:trPr>
        <w:tc>
          <w:tcPr>
            <w:tcW w:w="800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defcit</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(930,171 )</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(939,596 )</w:t>
            </w:r>
          </w:p>
        </w:tc>
      </w:tr>
      <w:tr>
        <w:trPr>
          <w:trHeight w:val="216"/>
        </w:trPr>
        <w:tc>
          <w:tcPr>
            <w:tcW w:w="80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Accumulated other comprehensive income (loss)</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(880 )</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747</w:t>
            </w:r>
          </w:p>
        </w:tc>
        <w:tc>
          <w:tcPr>
            <w:tcW w:w="100" w:type="dxa"/>
            <w:vAlign w:val="bottom"/>
            <w:shd w:val="clear" w:color="auto" w:fill="CFF0FC"/>
          </w:tcPr>
          <w:p>
            <w:pPr>
              <w:spacing w:after="0"/>
              <w:rPr>
                <w:sz w:val="18"/>
                <w:szCs w:val="18"/>
                <w:color w:val="auto"/>
              </w:rPr>
            </w:pPr>
          </w:p>
        </w:tc>
      </w:tr>
      <w:tr>
        <w:trPr>
          <w:trHeight w:val="210"/>
        </w:trPr>
        <w:tc>
          <w:tcPr>
            <w:tcW w:w="8000" w:type="dxa"/>
            <w:vAlign w:val="bottom"/>
            <w:tcBorders>
              <w:top w:val="single" w:sz="8" w:color="CFF0FC"/>
            </w:tcBorders>
          </w:tcPr>
          <w:p>
            <w:pPr>
              <w:ind w:left="200"/>
              <w:spacing w:after="0" w:line="209" w:lineRule="exact"/>
              <w:rPr>
                <w:sz w:val="20"/>
                <w:szCs w:val="20"/>
                <w:color w:val="auto"/>
              </w:rPr>
            </w:pPr>
            <w:r>
              <w:rPr>
                <w:rFonts w:ascii="Calibri" w:cs="Calibri" w:eastAsia="Calibri" w:hAnsi="Calibri"/>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261,113</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105,017</w:t>
            </w:r>
          </w:p>
        </w:tc>
        <w:tc>
          <w:tcPr>
            <w:tcW w:w="100" w:type="dxa"/>
            <w:vAlign w:val="bottom"/>
            <w:tcBorders>
              <w:top w:val="single" w:sz="8" w:color="CFF0FC"/>
            </w:tcBorders>
          </w:tcPr>
          <w:p>
            <w:pPr>
              <w:spacing w:after="0"/>
              <w:rPr>
                <w:sz w:val="18"/>
                <w:szCs w:val="18"/>
                <w:color w:val="auto"/>
              </w:rPr>
            </w:pPr>
          </w:p>
        </w:tc>
      </w:tr>
      <w:tr>
        <w:trPr>
          <w:trHeight w:val="250"/>
        </w:trPr>
        <w:tc>
          <w:tcPr>
            <w:tcW w:w="80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Total liabilites, redeemable noncontrolling interests, and shareholders' equity</w:t>
            </w:r>
          </w:p>
        </w:tc>
        <w:tc>
          <w:tcPr>
            <w:tcW w:w="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1,636,096</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1,550,099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-4773930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-3668395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-1979295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2" w:name="page63"/>
    <w:bookmarkEnd w:id="6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00"/>
              <w:spacing w:after="0"/>
              <w:rPr>
                <w:sz w:val="20"/>
                <w:szCs w:val="20"/>
                <w:color w:val="auto"/>
              </w:rPr>
            </w:pPr>
            <w:r>
              <w:rPr>
                <w:rFonts w:ascii="Calibri" w:cs="Calibri" w:eastAsia="Calibri" w:hAnsi="Calibri"/>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6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8"/>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172"/>
        </w:trPr>
        <w:tc>
          <w:tcPr>
            <w:tcW w:w="6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40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b w:val="1"/>
                <w:bCs w:val="1"/>
                <w:color w:val="auto"/>
                <w:w w:val="83"/>
              </w:rPr>
              <w:t>$</w:t>
            </w: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775,586</w:t>
            </w:r>
          </w:p>
        </w:tc>
        <w:tc>
          <w:tcPr>
            <w:tcW w:w="58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b w:val="1"/>
                <w:bCs w:val="1"/>
                <w:color w:val="auto"/>
              </w:rPr>
              <w:t>$</w:t>
            </w:r>
          </w:p>
        </w:tc>
        <w:tc>
          <w:tcPr>
            <w:tcW w:w="1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712,879</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b w:val="1"/>
                <w:bCs w:val="1"/>
                <w:color w:val="auto"/>
              </w:rPr>
              <w:t>$</w:t>
            </w:r>
          </w:p>
        </w:tc>
        <w:tc>
          <w:tcPr>
            <w:tcW w:w="112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600,274</w:t>
            </w:r>
          </w:p>
        </w:tc>
        <w:tc>
          <w:tcPr>
            <w:tcW w:w="100" w:type="dxa"/>
            <w:vAlign w:val="bottom"/>
            <w:shd w:val="clear" w:color="auto" w:fill="CFF0FC"/>
          </w:tcPr>
          <w:p>
            <w:pPr>
              <w:spacing w:after="0"/>
              <w:rPr>
                <w:sz w:val="14"/>
                <w:szCs w:val="14"/>
                <w:color w:val="auto"/>
              </w:rPr>
            </w:pPr>
          </w:p>
        </w:tc>
      </w:tr>
      <w:tr>
        <w:trPr>
          <w:trHeight w:val="173"/>
        </w:trPr>
        <w:tc>
          <w:tcPr>
            <w:tcW w:w="6020" w:type="dxa"/>
            <w:vAlign w:val="bottom"/>
          </w:tcPr>
          <w:p>
            <w:pPr>
              <w:ind w:left="20"/>
              <w:spacing w:after="0"/>
              <w:rPr>
                <w:sz w:val="20"/>
                <w:szCs w:val="20"/>
                <w:color w:val="auto"/>
              </w:rPr>
            </w:pPr>
            <w:r>
              <w:rPr>
                <w:rFonts w:ascii="Calibri" w:cs="Calibri" w:eastAsia="Calibri" w:hAnsi="Calibri"/>
                <w:sz w:val="14"/>
                <w:szCs w:val="14"/>
                <w:color w:val="auto"/>
              </w:rPr>
              <w:t>Costs and expenses: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6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Cost of revenues (exclusive of depreciaton and amortzaton shown separately below)</w:t>
            </w: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201,854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182,184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140,508</w:t>
            </w:r>
          </w:p>
        </w:tc>
        <w:tc>
          <w:tcPr>
            <w:tcW w:w="100" w:type="dxa"/>
            <w:vAlign w:val="bottom"/>
            <w:shd w:val="clear" w:color="auto" w:fill="CFF0FC"/>
          </w:tcPr>
          <w:p>
            <w:pPr>
              <w:spacing w:after="0"/>
              <w:rPr>
                <w:sz w:val="15"/>
                <w:szCs w:val="15"/>
                <w:color w:val="auto"/>
              </w:rPr>
            </w:pPr>
          </w:p>
        </w:tc>
      </w:tr>
      <w:tr>
        <w:trPr>
          <w:trHeight w:val="173"/>
        </w:trPr>
        <w:tc>
          <w:tcPr>
            <w:tcW w:w="6020" w:type="dxa"/>
            <w:vAlign w:val="bottom"/>
          </w:tcPr>
          <w:p>
            <w:pPr>
              <w:ind w:left="100"/>
              <w:spacing w:after="0"/>
              <w:rPr>
                <w:sz w:val="20"/>
                <w:szCs w:val="20"/>
                <w:color w:val="auto"/>
              </w:rPr>
            </w:pPr>
            <w:r>
              <w:rPr>
                <w:rFonts w:ascii="Calibri" w:cs="Calibri" w:eastAsia="Calibri" w:hAnsi="Calibri"/>
                <w:sz w:val="14"/>
                <w:szCs w:val="14"/>
                <w:color w:val="auto"/>
              </w:rPr>
              <w:t>Marketng and selling</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alibri" w:cs="Calibri" w:eastAsia="Calibri" w:hAnsi="Calibri"/>
                <w:sz w:val="14"/>
                <w:szCs w:val="14"/>
                <w:color w:val="auto"/>
              </w:rPr>
              <w:t>285,146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auto"/>
              </w:rPr>
              <w:t>274,096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248,375</w:t>
            </w:r>
          </w:p>
        </w:tc>
        <w:tc>
          <w:tcPr>
            <w:tcW w:w="100" w:type="dxa"/>
            <w:vAlign w:val="bottom"/>
          </w:tcPr>
          <w:p>
            <w:pPr>
              <w:spacing w:after="0"/>
              <w:rPr>
                <w:sz w:val="15"/>
                <w:szCs w:val="15"/>
                <w:color w:val="auto"/>
              </w:rPr>
            </w:pPr>
          </w:p>
        </w:tc>
      </w:tr>
      <w:tr>
        <w:trPr>
          <w:trHeight w:val="178"/>
        </w:trPr>
        <w:tc>
          <w:tcPr>
            <w:tcW w:w="6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General and administratve</w:t>
            </w: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202,123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159,081</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127,619</w:t>
            </w:r>
          </w:p>
        </w:tc>
        <w:tc>
          <w:tcPr>
            <w:tcW w:w="100" w:type="dxa"/>
            <w:vAlign w:val="bottom"/>
            <w:shd w:val="clear" w:color="auto" w:fill="CFF0FC"/>
          </w:tcPr>
          <w:p>
            <w:pPr>
              <w:spacing w:after="0"/>
              <w:rPr>
                <w:sz w:val="15"/>
                <w:szCs w:val="15"/>
                <w:color w:val="auto"/>
              </w:rPr>
            </w:pPr>
          </w:p>
        </w:tc>
      </w:tr>
      <w:tr>
        <w:trPr>
          <w:trHeight w:val="173"/>
        </w:trPr>
        <w:tc>
          <w:tcPr>
            <w:tcW w:w="6020" w:type="dxa"/>
            <w:vAlign w:val="bottom"/>
          </w:tcPr>
          <w:p>
            <w:pPr>
              <w:ind w:left="100"/>
              <w:spacing w:after="0"/>
              <w:rPr>
                <w:sz w:val="20"/>
                <w:szCs w:val="20"/>
                <w:color w:val="auto"/>
              </w:rPr>
            </w:pPr>
            <w:r>
              <w:rPr>
                <w:rFonts w:ascii="Calibri" w:cs="Calibri" w:eastAsia="Calibri" w:hAnsi="Calibri"/>
                <w:sz w:val="14"/>
                <w:szCs w:val="14"/>
                <w:color w:val="auto"/>
              </w:rPr>
              <w:t>Depreciaton and amortzaton</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alibri" w:cs="Calibri" w:eastAsia="Calibri" w:hAnsi="Calibri"/>
                <w:sz w:val="14"/>
                <w:szCs w:val="14"/>
                <w:color w:val="auto"/>
              </w:rPr>
              <w:t>44,238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auto"/>
              </w:rPr>
              <w:t>17,178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7,732</w:t>
            </w:r>
          </w:p>
        </w:tc>
        <w:tc>
          <w:tcPr>
            <w:tcW w:w="100" w:type="dxa"/>
            <w:vAlign w:val="bottom"/>
          </w:tcPr>
          <w:p>
            <w:pPr>
              <w:spacing w:after="0"/>
              <w:rPr>
                <w:sz w:val="15"/>
                <w:szCs w:val="15"/>
                <w:color w:val="auto"/>
              </w:rPr>
            </w:pPr>
          </w:p>
        </w:tc>
      </w:tr>
      <w:tr>
        <w:trPr>
          <w:trHeight w:val="176"/>
        </w:trPr>
        <w:tc>
          <w:tcPr>
            <w:tcW w:w="6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Change in fair value of contngent consideraton</w:t>
            </w: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(998 )</w:t>
            </w: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(2,065 )</w:t>
            </w:r>
          </w:p>
        </w:tc>
      </w:tr>
      <w:tr>
        <w:trPr>
          <w:trHeight w:val="169"/>
        </w:trPr>
        <w:tc>
          <w:tcPr>
            <w:tcW w:w="6020" w:type="dxa"/>
            <w:vAlign w:val="bottom"/>
            <w:tcBorders>
              <w:top w:val="single" w:sz="8" w:color="CFF0FC"/>
            </w:tcBorders>
          </w:tcPr>
          <w:p>
            <w:pPr>
              <w:ind w:left="160"/>
              <w:spacing w:after="0" w:line="169" w:lineRule="exact"/>
              <w:rPr>
                <w:sz w:val="20"/>
                <w:szCs w:val="20"/>
                <w:color w:val="auto"/>
              </w:rPr>
            </w:pPr>
            <w:r>
              <w:rPr>
                <w:rFonts w:ascii="Calibri" w:cs="Calibri" w:eastAsia="Calibri" w:hAnsi="Calibri"/>
                <w:sz w:val="14"/>
                <w:szCs w:val="14"/>
                <w:color w:val="auto"/>
              </w:rPr>
              <w:t>Total costs and expenses</w:t>
            </w: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733,361</w:t>
            </w:r>
          </w:p>
        </w:tc>
        <w:tc>
          <w:tcPr>
            <w:tcW w:w="24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631,541</w:t>
            </w:r>
          </w:p>
        </w:tc>
        <w:tc>
          <w:tcPr>
            <w:tcW w:w="24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522,169</w:t>
            </w:r>
          </w:p>
        </w:tc>
        <w:tc>
          <w:tcPr>
            <w:tcW w:w="100" w:type="dxa"/>
            <w:vAlign w:val="bottom"/>
            <w:tcBorders>
              <w:top w:val="single" w:sz="8" w:color="CFF0FC"/>
            </w:tcBorders>
          </w:tcPr>
          <w:p>
            <w:pPr>
              <w:spacing w:after="0"/>
              <w:rPr>
                <w:sz w:val="14"/>
                <w:szCs w:val="14"/>
                <w:color w:val="auto"/>
              </w:rPr>
            </w:pPr>
          </w:p>
        </w:tc>
      </w:tr>
      <w:tr>
        <w:trPr>
          <w:trHeight w:val="172"/>
        </w:trPr>
        <w:tc>
          <w:tcPr>
            <w:tcW w:w="6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42,225</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81,338</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78,105</w:t>
            </w:r>
          </w:p>
        </w:tc>
        <w:tc>
          <w:tcPr>
            <w:tcW w:w="100" w:type="dxa"/>
            <w:vAlign w:val="bottom"/>
            <w:shd w:val="clear" w:color="auto" w:fill="CFF0FC"/>
          </w:tcPr>
          <w:p>
            <w:pPr>
              <w:spacing w:after="0"/>
              <w:rPr>
                <w:sz w:val="14"/>
                <w:szCs w:val="14"/>
                <w:color w:val="auto"/>
              </w:rPr>
            </w:pPr>
          </w:p>
        </w:tc>
      </w:tr>
      <w:tr>
        <w:trPr>
          <w:trHeight w:val="173"/>
        </w:trPr>
        <w:tc>
          <w:tcPr>
            <w:tcW w:w="602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alibri" w:cs="Calibri" w:eastAsia="Calibri" w:hAnsi="Calibri"/>
                <w:sz w:val="14"/>
                <w:szCs w:val="14"/>
                <w:color w:val="auto"/>
              </w:rPr>
              <w:t>23,172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auto"/>
              </w:rPr>
              <w:t>13,505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12,858</w:t>
            </w:r>
          </w:p>
        </w:tc>
        <w:tc>
          <w:tcPr>
            <w:tcW w:w="100" w:type="dxa"/>
            <w:vAlign w:val="bottom"/>
          </w:tcPr>
          <w:p>
            <w:pPr>
              <w:spacing w:after="0"/>
              <w:rPr>
                <w:sz w:val="15"/>
                <w:szCs w:val="15"/>
                <w:color w:val="auto"/>
              </w:rPr>
            </w:pPr>
          </w:p>
        </w:tc>
      </w:tr>
      <w:tr>
        <w:trPr>
          <w:trHeight w:val="178"/>
        </w:trPr>
        <w:tc>
          <w:tcPr>
            <w:tcW w:w="60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 income – net</w:t>
            </w:r>
          </w:p>
        </w:tc>
        <w:tc>
          <w:tcPr>
            <w:tcW w:w="4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08"/>
              <w:spacing w:after="0"/>
              <w:rPr>
                <w:sz w:val="20"/>
                <w:szCs w:val="20"/>
                <w:color w:val="auto"/>
              </w:rPr>
            </w:pPr>
            <w:r>
              <w:rPr>
                <w:rFonts w:ascii="Calibri" w:cs="Calibri" w:eastAsia="Calibri" w:hAnsi="Calibri"/>
                <w:sz w:val="14"/>
                <w:szCs w:val="14"/>
                <w:color w:val="auto"/>
              </w:rPr>
              <w:t>(3,666 )</w:t>
            </w: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(3,109 )</w:t>
            </w:r>
          </w:p>
        </w:tc>
        <w:tc>
          <w:tcPr>
            <w:tcW w:w="3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(8,227 )</w:t>
            </w:r>
          </w:p>
        </w:tc>
      </w:tr>
      <w:tr>
        <w:trPr>
          <w:trHeight w:val="173"/>
        </w:trPr>
        <w:tc>
          <w:tcPr>
            <w:tcW w:w="6020" w:type="dxa"/>
            <w:vAlign w:val="bottom"/>
          </w:tcPr>
          <w:p>
            <w:pPr>
              <w:ind w:left="20"/>
              <w:spacing w:after="0"/>
              <w:rPr>
                <w:sz w:val="20"/>
                <w:szCs w:val="20"/>
                <w:color w:val="auto"/>
              </w:rPr>
            </w:pPr>
            <w:r>
              <w:rPr>
                <w:rFonts w:ascii="Calibri" w:cs="Calibri" w:eastAsia="Calibri" w:hAnsi="Calibri"/>
                <w:sz w:val="14"/>
                <w:szCs w:val="14"/>
                <w:color w:val="auto"/>
              </w:rPr>
              <w:t>Loss on extnguishment of debt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4,285</w:t>
            </w:r>
          </w:p>
        </w:tc>
        <w:tc>
          <w:tcPr>
            <w:tcW w:w="100" w:type="dxa"/>
            <w:vAlign w:val="bottom"/>
          </w:tcPr>
          <w:p>
            <w:pPr>
              <w:spacing w:after="0"/>
              <w:rPr>
                <w:sz w:val="15"/>
                <w:szCs w:val="15"/>
                <w:color w:val="auto"/>
              </w:rPr>
            </w:pPr>
          </w:p>
        </w:tc>
      </w:tr>
      <w:tr>
        <w:trPr>
          <w:trHeight w:val="172"/>
        </w:trPr>
        <w:tc>
          <w:tcPr>
            <w:tcW w:w="6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before income taxes</w:t>
            </w:r>
          </w:p>
        </w:tc>
        <w:tc>
          <w:tcPr>
            <w:tcW w:w="40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22,719</w:t>
            </w: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70,942</w:t>
            </w: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69,189</w:t>
            </w:r>
          </w:p>
        </w:tc>
        <w:tc>
          <w:tcPr>
            <w:tcW w:w="100" w:type="dxa"/>
            <w:vAlign w:val="bottom"/>
            <w:shd w:val="clear" w:color="auto" w:fill="CFF0FC"/>
          </w:tcPr>
          <w:p>
            <w:pPr>
              <w:spacing w:after="0"/>
              <w:rPr>
                <w:sz w:val="14"/>
                <w:szCs w:val="14"/>
                <w:color w:val="auto"/>
              </w:rPr>
            </w:pPr>
          </w:p>
        </w:tc>
      </w:tr>
      <w:tr>
        <w:trPr>
          <w:trHeight w:val="173"/>
        </w:trPr>
        <w:tc>
          <w:tcPr>
            <w:tcW w:w="6020" w:type="dxa"/>
            <w:vAlign w:val="bottom"/>
          </w:tcPr>
          <w:p>
            <w:pPr>
              <w:ind w:left="20"/>
              <w:spacing w:after="0"/>
              <w:rPr>
                <w:sz w:val="20"/>
                <w:szCs w:val="20"/>
                <w:color w:val="auto"/>
              </w:rPr>
            </w:pPr>
            <w:r>
              <w:rPr>
                <w:rFonts w:ascii="Calibri" w:cs="Calibri" w:eastAsia="Calibri" w:hAnsi="Calibri"/>
                <w:sz w:val="14"/>
                <w:szCs w:val="14"/>
                <w:color w:val="auto"/>
              </w:rPr>
              <w:t>Income tax expense (beneft)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alibri" w:cs="Calibri" w:eastAsia="Calibri" w:hAnsi="Calibri"/>
                <w:sz w:val="14"/>
                <w:szCs w:val="14"/>
                <w:color w:val="auto"/>
              </w:rPr>
              <w:t>8,417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(42,199 )</w:t>
            </w:r>
          </w:p>
        </w:tc>
        <w:tc>
          <w:tcPr>
            <w:tcW w:w="34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(1,590 )</w:t>
            </w:r>
          </w:p>
        </w:tc>
      </w:tr>
      <w:tr>
        <w:trPr>
          <w:trHeight w:val="172"/>
        </w:trPr>
        <w:tc>
          <w:tcPr>
            <w:tcW w:w="6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Net income</w:t>
            </w:r>
          </w:p>
        </w:tc>
        <w:tc>
          <w:tcPr>
            <w:tcW w:w="40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14,302</w:t>
            </w: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113,141</w:t>
            </w: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70,779</w:t>
            </w:r>
          </w:p>
        </w:tc>
        <w:tc>
          <w:tcPr>
            <w:tcW w:w="100" w:type="dxa"/>
            <w:vAlign w:val="bottom"/>
            <w:shd w:val="clear" w:color="auto" w:fill="CFF0FC"/>
          </w:tcPr>
          <w:p>
            <w:pPr>
              <w:spacing w:after="0"/>
              <w:rPr>
                <w:sz w:val="14"/>
                <w:szCs w:val="14"/>
                <w:color w:val="auto"/>
              </w:rPr>
            </w:pPr>
          </w:p>
        </w:tc>
      </w:tr>
      <w:tr>
        <w:trPr>
          <w:trHeight w:val="173"/>
        </w:trPr>
        <w:tc>
          <w:tcPr>
            <w:tcW w:w="6020" w:type="dxa"/>
            <w:vAlign w:val="bottom"/>
          </w:tcPr>
          <w:p>
            <w:pPr>
              <w:ind w:left="20"/>
              <w:spacing w:after="0"/>
              <w:rPr>
                <w:sz w:val="20"/>
                <w:szCs w:val="20"/>
                <w:color w:val="auto"/>
              </w:rPr>
            </w:pPr>
            <w:r>
              <w:rPr>
                <w:rFonts w:ascii="Calibri" w:cs="Calibri" w:eastAsia="Calibri" w:hAnsi="Calibri"/>
                <w:sz w:val="14"/>
                <w:szCs w:val="14"/>
                <w:color w:val="auto"/>
              </w:rPr>
              <w:t>Net income atributable to redeemable noncontrolling interests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4,877</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38,605</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42,117</w:t>
            </w:r>
          </w:p>
        </w:tc>
        <w:tc>
          <w:tcPr>
            <w:tcW w:w="100" w:type="dxa"/>
            <w:vAlign w:val="bottom"/>
          </w:tcPr>
          <w:p>
            <w:pPr>
              <w:spacing w:after="0"/>
              <w:rPr>
                <w:sz w:val="15"/>
                <w:szCs w:val="15"/>
                <w:color w:val="auto"/>
              </w:rPr>
            </w:pPr>
          </w:p>
        </w:tc>
      </w:tr>
      <w:tr>
        <w:trPr>
          <w:trHeight w:val="212"/>
        </w:trPr>
        <w:tc>
          <w:tcPr>
            <w:tcW w:w="6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Net income atributable to Class A common stockholders</w:t>
            </w:r>
          </w:p>
        </w:tc>
        <w:tc>
          <w:tcPr>
            <w:tcW w:w="40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b w:val="1"/>
                <w:bCs w:val="1"/>
                <w:color w:val="auto"/>
                <w:w w:val="83"/>
              </w:rPr>
              <w:t>$</w:t>
            </w: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9,425</w:t>
            </w:r>
          </w:p>
        </w:tc>
        <w:tc>
          <w:tcPr>
            <w:tcW w:w="58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b w:val="1"/>
                <w:bCs w:val="1"/>
                <w:color w:val="auto"/>
              </w:rPr>
              <w:t>$</w:t>
            </w:r>
          </w:p>
        </w:tc>
        <w:tc>
          <w:tcPr>
            <w:tcW w:w="1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74,536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b w:val="1"/>
                <w:bCs w:val="1"/>
                <w:color w:val="auto"/>
              </w:rPr>
              <w:t>$</w:t>
            </w:r>
          </w:p>
        </w:tc>
        <w:tc>
          <w:tcPr>
            <w:tcW w:w="112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28,662</w:t>
            </w:r>
          </w:p>
        </w:tc>
        <w:tc>
          <w:tcPr>
            <w:tcW w:w="100" w:type="dxa"/>
            <w:vAlign w:val="bottom"/>
            <w:shd w:val="clear" w:color="auto" w:fill="CFF0FC"/>
          </w:tcPr>
          <w:p>
            <w:pPr>
              <w:spacing w:after="0"/>
              <w:rPr>
                <w:sz w:val="18"/>
                <w:szCs w:val="18"/>
                <w:color w:val="auto"/>
              </w:rPr>
            </w:pPr>
          </w:p>
        </w:tc>
      </w:tr>
      <w:tr>
        <w:trPr>
          <w:trHeight w:val="153"/>
        </w:trPr>
        <w:tc>
          <w:tcPr>
            <w:tcW w:w="6020" w:type="dxa"/>
            <w:vAlign w:val="bottom"/>
            <w:tcBorders>
              <w:top w:val="single" w:sz="8" w:color="CFF0FC"/>
            </w:tcBorders>
          </w:tcPr>
          <w:p>
            <w:pPr>
              <w:ind w:left="20"/>
              <w:spacing w:after="0" w:line="154" w:lineRule="exact"/>
              <w:rPr>
                <w:sz w:val="20"/>
                <w:szCs w:val="20"/>
                <w:color w:val="auto"/>
              </w:rPr>
            </w:pPr>
            <w:r>
              <w:rPr>
                <w:rFonts w:ascii="Calibri" w:cs="Calibri" w:eastAsia="Calibri" w:hAnsi="Calibri"/>
                <w:sz w:val="14"/>
                <w:szCs w:val="14"/>
                <w:b w:val="1"/>
                <w:bCs w:val="1"/>
                <w:color w:val="auto"/>
              </w:rPr>
              <w:t>Net income per Class A common stock:</w:t>
            </w: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8"/>
        </w:trPr>
        <w:tc>
          <w:tcPr>
            <w:tcW w:w="6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Basic</w:t>
            </w:r>
          </w:p>
        </w:tc>
        <w:tc>
          <w:tcPr>
            <w:tcW w:w="400" w:type="dxa"/>
            <w:vAlign w:val="bottom"/>
            <w:shd w:val="clear" w:color="auto" w:fill="CFF0FC"/>
          </w:tcPr>
          <w:p>
            <w:pPr>
              <w:jc w:val="right"/>
              <w:ind w:right="248"/>
              <w:spacing w:after="0"/>
              <w:rPr>
                <w:sz w:val="20"/>
                <w:szCs w:val="20"/>
                <w:color w:val="auto"/>
              </w:rPr>
            </w:pPr>
            <w:r>
              <w:rPr>
                <w:rFonts w:ascii="Calibri" w:cs="Calibri" w:eastAsia="Calibri" w:hAnsi="Calibri"/>
                <w:sz w:val="14"/>
                <w:szCs w:val="14"/>
                <w:color w:val="auto"/>
                <w:w w:val="83"/>
              </w:rPr>
              <w:t>$</w:t>
            </w: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0.07</w:t>
            </w:r>
          </w:p>
        </w:tc>
        <w:tc>
          <w:tcPr>
            <w:tcW w:w="58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0.80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68"/>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0.36</w:t>
            </w:r>
          </w:p>
        </w:tc>
        <w:tc>
          <w:tcPr>
            <w:tcW w:w="100" w:type="dxa"/>
            <w:vAlign w:val="bottom"/>
            <w:shd w:val="clear" w:color="auto" w:fill="CFF0FC"/>
          </w:tcPr>
          <w:p>
            <w:pPr>
              <w:spacing w:after="0"/>
              <w:rPr>
                <w:sz w:val="15"/>
                <w:szCs w:val="15"/>
                <w:color w:val="auto"/>
              </w:rPr>
            </w:pPr>
          </w:p>
        </w:tc>
      </w:tr>
      <w:tr>
        <w:trPr>
          <w:trHeight w:val="173"/>
        </w:trPr>
        <w:tc>
          <w:tcPr>
            <w:tcW w:w="6020" w:type="dxa"/>
            <w:vAlign w:val="bottom"/>
          </w:tcPr>
          <w:p>
            <w:pPr>
              <w:ind w:left="100"/>
              <w:spacing w:after="0"/>
              <w:rPr>
                <w:sz w:val="20"/>
                <w:szCs w:val="20"/>
                <w:color w:val="auto"/>
              </w:rPr>
            </w:pPr>
            <w:r>
              <w:rPr>
                <w:rFonts w:ascii="Calibri" w:cs="Calibri" w:eastAsia="Calibri" w:hAnsi="Calibri"/>
                <w:sz w:val="14"/>
                <w:szCs w:val="14"/>
                <w:color w:val="auto"/>
              </w:rPr>
              <w:t>Diluted</w:t>
            </w:r>
          </w:p>
        </w:tc>
        <w:tc>
          <w:tcPr>
            <w:tcW w:w="400" w:type="dxa"/>
            <w:vAlign w:val="bottom"/>
          </w:tcPr>
          <w:p>
            <w:pPr>
              <w:jc w:val="right"/>
              <w:ind w:right="248"/>
              <w:spacing w:after="0"/>
              <w:rPr>
                <w:sz w:val="20"/>
                <w:szCs w:val="20"/>
                <w:color w:val="auto"/>
              </w:rPr>
            </w:pPr>
            <w:r>
              <w:rPr>
                <w:rFonts w:ascii="Calibri" w:cs="Calibri" w:eastAsia="Calibri" w:hAnsi="Calibri"/>
                <w:sz w:val="14"/>
                <w:szCs w:val="14"/>
                <w:color w:val="auto"/>
                <w:w w:val="83"/>
              </w:rPr>
              <w:t>$</w:t>
            </w:r>
          </w:p>
        </w:tc>
        <w:tc>
          <w:tcPr>
            <w:tcW w:w="1340" w:type="dxa"/>
            <w:vAlign w:val="bottom"/>
          </w:tcPr>
          <w:p>
            <w:pPr>
              <w:jc w:val="right"/>
              <w:spacing w:after="0"/>
              <w:rPr>
                <w:sz w:val="20"/>
                <w:szCs w:val="20"/>
                <w:color w:val="auto"/>
              </w:rPr>
            </w:pPr>
            <w:r>
              <w:rPr>
                <w:rFonts w:ascii="Calibri" w:cs="Calibri" w:eastAsia="Calibri" w:hAnsi="Calibri"/>
                <w:sz w:val="14"/>
                <w:szCs w:val="14"/>
                <w:color w:val="auto"/>
              </w:rPr>
              <w:t>0.06</w:t>
            </w:r>
          </w:p>
        </w:tc>
        <w:tc>
          <w:tcPr>
            <w:tcW w:w="58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0.26</w:t>
            </w:r>
          </w:p>
        </w:tc>
        <w:tc>
          <w:tcPr>
            <w:tcW w:w="24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spacing w:after="0"/>
              <w:rPr>
                <w:sz w:val="20"/>
                <w:szCs w:val="20"/>
                <w:color w:val="auto"/>
              </w:rPr>
            </w:pPr>
            <w:r>
              <w:rPr>
                <w:rFonts w:ascii="Calibri" w:cs="Calibri" w:eastAsia="Calibri" w:hAnsi="Calibri"/>
                <w:sz w:val="14"/>
                <w:szCs w:val="14"/>
                <w:color w:val="auto"/>
              </w:rPr>
              <w:t>0.36</w:t>
            </w:r>
          </w:p>
        </w:tc>
        <w:tc>
          <w:tcPr>
            <w:tcW w:w="100" w:type="dxa"/>
            <w:vAlign w:val="bottom"/>
          </w:tcPr>
          <w:p>
            <w:pPr>
              <w:spacing w:after="0"/>
              <w:rPr>
                <w:sz w:val="15"/>
                <w:szCs w:val="15"/>
                <w:color w:val="auto"/>
              </w:rPr>
            </w:pPr>
          </w:p>
        </w:tc>
      </w:tr>
      <w:tr>
        <w:trPr>
          <w:trHeight w:val="178"/>
        </w:trPr>
        <w:tc>
          <w:tcPr>
            <w:tcW w:w="6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Weighted average Class A common stock outstanding:</w:t>
            </w: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6020" w:type="dxa"/>
            <w:vAlign w:val="bottom"/>
          </w:tcPr>
          <w:p>
            <w:pPr>
              <w:ind w:left="100"/>
              <w:spacing w:after="0"/>
              <w:rPr>
                <w:sz w:val="20"/>
                <w:szCs w:val="20"/>
                <w:color w:val="auto"/>
              </w:rPr>
            </w:pPr>
            <w:r>
              <w:rPr>
                <w:rFonts w:ascii="Calibri" w:cs="Calibri" w:eastAsia="Calibri" w:hAnsi="Calibri"/>
                <w:sz w:val="14"/>
                <w:szCs w:val="14"/>
                <w:color w:val="auto"/>
              </w:rPr>
              <w:t>Basic</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alibri" w:cs="Calibri" w:eastAsia="Calibri" w:hAnsi="Calibri"/>
                <w:sz w:val="14"/>
                <w:szCs w:val="14"/>
                <w:color w:val="auto"/>
              </w:rPr>
              <w:t>132,330,914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auto"/>
              </w:rPr>
              <w:t>92,678,514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80,257,247</w:t>
            </w:r>
          </w:p>
        </w:tc>
        <w:tc>
          <w:tcPr>
            <w:tcW w:w="100" w:type="dxa"/>
            <w:vAlign w:val="bottom"/>
          </w:tcPr>
          <w:p>
            <w:pPr>
              <w:spacing w:after="0"/>
              <w:rPr>
                <w:sz w:val="15"/>
                <w:szCs w:val="15"/>
                <w:color w:val="auto"/>
              </w:rPr>
            </w:pPr>
          </w:p>
        </w:tc>
      </w:tr>
      <w:tr>
        <w:trPr>
          <w:trHeight w:val="178"/>
        </w:trPr>
        <w:tc>
          <w:tcPr>
            <w:tcW w:w="6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Diluted</w:t>
            </w: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209,142,627</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198,877,441</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198,744,381</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-1851025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-1851025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-693420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-676910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-693420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-676910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3" w:name="page64"/>
    <w:bookmarkEnd w:id="6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w:t>
      </w:r>
    </w:p>
    <w:p>
      <w:pPr>
        <w:jc w:val="cente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6"/>
          </w:tcPr>
          <w:p>
            <w:pPr>
              <w:jc w:val="right"/>
              <w:spacing w:after="0"/>
              <w:rPr>
                <w:sz w:val="20"/>
                <w:szCs w:val="20"/>
                <w:color w:val="auto"/>
              </w:rPr>
            </w:pPr>
            <w:r>
              <w:rPr>
                <w:rFonts w:ascii="Calibri" w:cs="Calibri" w:eastAsia="Calibri" w:hAnsi="Calibri"/>
                <w:sz w:val="18"/>
                <w:szCs w:val="18"/>
                <w:b w:val="1"/>
                <w:bCs w:val="1"/>
                <w:color w:val="auto"/>
              </w:rPr>
              <w:t>Years Ended December 31,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7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7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line="209"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line="209"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r>
      <w:tr>
        <w:trPr>
          <w:trHeight w:val="210"/>
        </w:trPr>
        <w:tc>
          <w:tcPr>
            <w:tcW w:w="75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income</w:t>
            </w: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14,302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113,141</w:t>
            </w:r>
          </w:p>
        </w:tc>
        <w:tc>
          <w:tcPr>
            <w:tcW w:w="500" w:type="dxa"/>
            <w:vAlign w:val="bottom"/>
            <w:gridSpan w:val="2"/>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7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70,779</w:t>
            </w:r>
          </w:p>
        </w:tc>
        <w:tc>
          <w:tcPr>
            <w:tcW w:w="120" w:type="dxa"/>
            <w:vAlign w:val="bottom"/>
            <w:shd w:val="clear" w:color="auto" w:fill="CFF0FC"/>
          </w:tcPr>
          <w:p>
            <w:pPr>
              <w:spacing w:after="0"/>
              <w:rPr>
                <w:sz w:val="18"/>
                <w:szCs w:val="18"/>
                <w:color w:val="auto"/>
              </w:rPr>
            </w:pPr>
          </w:p>
        </w:tc>
      </w:tr>
      <w:tr>
        <w:trPr>
          <w:trHeight w:val="215"/>
        </w:trPr>
        <w:tc>
          <w:tcPr>
            <w:tcW w:w="75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75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Foreign currency translaton adjustment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(2,672 )</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1,152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00" w:type="dxa"/>
            <w:vAlign w:val="bottom"/>
          </w:tcPr>
          <w:p>
            <w:pPr>
              <w:ind w:left="120"/>
              <w:spacing w:after="0" w:line="215" w:lineRule="exact"/>
              <w:rPr>
                <w:sz w:val="20"/>
                <w:szCs w:val="20"/>
                <w:color w:val="auto"/>
              </w:rPr>
            </w:pPr>
            <w:r>
              <w:rPr>
                <w:rFonts w:ascii="Calibri" w:cs="Calibri" w:eastAsia="Calibri" w:hAnsi="Calibri"/>
                <w:sz w:val="18"/>
                <w:szCs w:val="18"/>
                <w:color w:val="auto"/>
              </w:rPr>
              <w:t>Unrealized gain on Note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r>
      <w:tr>
        <w:trPr>
          <w:trHeight w:val="209"/>
        </w:trPr>
        <w:tc>
          <w:tcPr>
            <w:tcW w:w="7500" w:type="dxa"/>
            <w:vAlign w:val="bottom"/>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 other comprehensive income (loss)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(2,553 )</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1,348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line="209" w:lineRule="exact"/>
              <w:rPr>
                <w:sz w:val="20"/>
                <w:szCs w:val="20"/>
                <w:color w:val="auto"/>
              </w:rPr>
            </w:pPr>
            <w:r>
              <w:rPr>
                <w:rFonts w:ascii="Calibri" w:cs="Calibri" w:eastAsia="Calibri" w:hAnsi="Calibri"/>
                <w:sz w:val="18"/>
                <w:szCs w:val="18"/>
                <w:color w:val="auto"/>
              </w:rPr>
              <w:t>—</w:t>
            </w:r>
          </w:p>
        </w:tc>
      </w:tr>
      <w:tr>
        <w:trPr>
          <w:trHeight w:val="209"/>
        </w:trPr>
        <w:tc>
          <w:tcPr>
            <w:tcW w:w="750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Comprehensive income</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11,749</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114,489</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70,779</w:t>
            </w:r>
          </w:p>
        </w:tc>
        <w:tc>
          <w:tcPr>
            <w:tcW w:w="120" w:type="dxa"/>
            <w:vAlign w:val="bottom"/>
            <w:tcBorders>
              <w:top w:val="single" w:sz="8" w:color="CFF0FC"/>
            </w:tcBorders>
          </w:tcPr>
          <w:p>
            <w:pPr>
              <w:spacing w:after="0"/>
              <w:rPr>
                <w:sz w:val="18"/>
                <w:szCs w:val="18"/>
                <w:color w:val="auto"/>
              </w:rPr>
            </w:pPr>
          </w:p>
        </w:tc>
      </w:tr>
      <w:tr>
        <w:trPr>
          <w:trHeight w:val="217"/>
        </w:trPr>
        <w:tc>
          <w:tcPr>
            <w:tcW w:w="75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income atributable to redeemable noncontrolling interests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38,605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42,117</w:t>
            </w:r>
          </w:p>
        </w:tc>
        <w:tc>
          <w:tcPr>
            <w:tcW w:w="120" w:type="dxa"/>
            <w:vAlign w:val="bottom"/>
            <w:shd w:val="clear" w:color="auto" w:fill="CFF0FC"/>
          </w:tcPr>
          <w:p>
            <w:pPr>
              <w:spacing w:after="0"/>
              <w:rPr>
                <w:sz w:val="18"/>
                <w:szCs w:val="18"/>
                <w:color w:val="auto"/>
              </w:rPr>
            </w:pPr>
          </w:p>
        </w:tc>
      </w:tr>
      <w:tr>
        <w:trPr>
          <w:trHeight w:val="215"/>
        </w:trPr>
        <w:tc>
          <w:tcPr>
            <w:tcW w:w="75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atributable to redeemable noncontrolling interests: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75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Foreign currency translaton adjustment atributable to redeemable noncontrolling interests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(970 )</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00" w:type="dxa"/>
            <w:vAlign w:val="bottom"/>
          </w:tcPr>
          <w:p>
            <w:pPr>
              <w:ind w:left="120"/>
              <w:spacing w:after="0" w:line="215" w:lineRule="exact"/>
              <w:rPr>
                <w:sz w:val="20"/>
                <w:szCs w:val="20"/>
                <w:color w:val="auto"/>
              </w:rPr>
            </w:pPr>
            <w:r>
              <w:rPr>
                <w:rFonts w:ascii="Calibri" w:cs="Calibri" w:eastAsia="Calibri" w:hAnsi="Calibri"/>
                <w:sz w:val="18"/>
                <w:szCs w:val="18"/>
                <w:color w:val="auto"/>
              </w:rPr>
              <w:t>Unrealized gain on Note atributable to redeemable noncontrolling interests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r>
      <w:tr>
        <w:trPr>
          <w:trHeight w:val="209"/>
        </w:trPr>
        <w:tc>
          <w:tcPr>
            <w:tcW w:w="7500" w:type="dxa"/>
            <w:vAlign w:val="bottom"/>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 other comprehensive income (loss) atributable to redeemable noncontrolling interests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(926 )</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601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line="209" w:lineRule="exact"/>
              <w:rPr>
                <w:sz w:val="20"/>
                <w:szCs w:val="20"/>
                <w:color w:val="auto"/>
              </w:rPr>
            </w:pPr>
            <w:r>
              <w:rPr>
                <w:rFonts w:ascii="Calibri" w:cs="Calibri" w:eastAsia="Calibri" w:hAnsi="Calibri"/>
                <w:sz w:val="18"/>
                <w:szCs w:val="18"/>
                <w:color w:val="auto"/>
              </w:rPr>
              <w:t>—</w:t>
            </w:r>
          </w:p>
        </w:tc>
      </w:tr>
      <w:tr>
        <w:trPr>
          <w:trHeight w:val="210"/>
        </w:trPr>
        <w:tc>
          <w:tcPr>
            <w:tcW w:w="750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Comprehensive income atributable to Class A common stockholders</w:t>
            </w:r>
          </w:p>
        </w:tc>
        <w:tc>
          <w:tcPr>
            <w:tcW w:w="220" w:type="dxa"/>
            <w:vAlign w:val="bottom"/>
            <w:tcBorders>
              <w:top w:val="single" w:sz="8" w:color="auto"/>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8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7,798</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8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75,283</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7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28,662</w:t>
            </w:r>
          </w:p>
        </w:tc>
        <w:tc>
          <w:tcPr>
            <w:tcW w:w="120" w:type="dxa"/>
            <w:vAlign w:val="bottom"/>
            <w:tcBorders>
              <w:top w:val="single" w:sz="8" w:color="CFF0FC"/>
            </w:tcBorders>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-1010920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-1010920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4" w:name="page65"/>
    <w:bookmarkEnd w:id="6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EQUITY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Calibri" w:cs="Calibri" w:eastAsia="Calibri" w:hAnsi="Calibri"/>
                <w:sz w:val="13"/>
                <w:szCs w:val="13"/>
                <w:b w:val="1"/>
                <w:bCs w:val="1"/>
                <w:color w:val="auto"/>
              </w:rPr>
              <w:t>Class A common stock</w:t>
            </w:r>
          </w:p>
        </w:tc>
        <w:tc>
          <w:tcPr>
            <w:tcW w:w="220" w:type="dxa"/>
            <w:vAlign w:val="bottom"/>
          </w:tcPr>
          <w:p>
            <w:pPr>
              <w:spacing w:after="0"/>
              <w:rPr>
                <w:sz w:val="14"/>
                <w:szCs w:val="14"/>
                <w:color w:val="auto"/>
              </w:rPr>
            </w:pPr>
          </w:p>
        </w:tc>
        <w:tc>
          <w:tcPr>
            <w:tcW w:w="1540" w:type="dxa"/>
            <w:vAlign w:val="bottom"/>
            <w:gridSpan w:val="5"/>
          </w:tcPr>
          <w:p>
            <w:pPr>
              <w:jc w:val="right"/>
              <w:ind w:right="300"/>
              <w:spacing w:after="0"/>
              <w:rPr>
                <w:sz w:val="20"/>
                <w:szCs w:val="20"/>
                <w:color w:val="auto"/>
              </w:rPr>
            </w:pPr>
            <w:r>
              <w:rPr>
                <w:rFonts w:ascii="Calibri" w:cs="Calibri" w:eastAsia="Calibri" w:hAnsi="Calibri"/>
                <w:sz w:val="13"/>
                <w:szCs w:val="13"/>
                <w:b w:val="1"/>
                <w:bCs w:val="1"/>
                <w:color w:val="auto"/>
              </w:rPr>
              <w:t>Class B common stock</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5"/>
          </w:tcPr>
          <w:p>
            <w:pPr>
              <w:jc w:val="right"/>
              <w:ind w:right="560"/>
              <w:spacing w:after="0"/>
              <w:rPr>
                <w:sz w:val="20"/>
                <w:szCs w:val="20"/>
                <w:color w:val="auto"/>
              </w:rPr>
            </w:pPr>
            <w:r>
              <w:rPr>
                <w:rFonts w:ascii="Calibri" w:cs="Calibri" w:eastAsia="Calibri" w:hAnsi="Calibri"/>
                <w:sz w:val="13"/>
                <w:szCs w:val="13"/>
                <w:b w:val="1"/>
                <w:bCs w:val="1"/>
                <w:color w:val="auto"/>
              </w:rPr>
              <w:t>Treasury stock</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rPr>
                <w:sz w:val="12"/>
                <w:szCs w:val="12"/>
                <w:color w:val="auto"/>
              </w:rPr>
            </w:pPr>
          </w:p>
        </w:tc>
        <w:tc>
          <w:tcPr>
            <w:tcW w:w="880" w:type="dxa"/>
            <w:vAlign w:val="bottom"/>
            <w:gridSpan w:val="3"/>
          </w:tcPr>
          <w:p>
            <w:pPr>
              <w:jc w:val="center"/>
              <w:ind w:right="220"/>
              <w:spacing w:after="0" w:line="138" w:lineRule="exact"/>
              <w:rPr>
                <w:sz w:val="20"/>
                <w:szCs w:val="20"/>
                <w:color w:val="auto"/>
              </w:rPr>
            </w:pPr>
            <w:r>
              <w:rPr>
                <w:rFonts w:ascii="Calibri" w:cs="Calibri" w:eastAsia="Calibri" w:hAnsi="Calibri"/>
                <w:sz w:val="13"/>
                <w:szCs w:val="13"/>
                <w:b w:val="1"/>
                <w:bCs w:val="1"/>
                <w:color w:val="auto"/>
                <w:w w:val="94"/>
              </w:rPr>
              <w:t>Redeemabl</w:t>
            </w: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ind w:left="40"/>
              <w:spacing w:after="0" w:line="138" w:lineRule="exact"/>
              <w:rPr>
                <w:sz w:val="20"/>
                <w:szCs w:val="20"/>
                <w:color w:val="auto"/>
              </w:rPr>
            </w:pPr>
            <w:r>
              <w:rPr>
                <w:rFonts w:ascii="Calibri" w:cs="Calibri" w:eastAsia="Calibri" w:hAnsi="Calibri"/>
                <w:sz w:val="13"/>
                <w:szCs w:val="13"/>
                <w:b w:val="1"/>
                <w:bCs w:val="1"/>
                <w:color w:val="auto"/>
              </w:rPr>
              <w:t>Accumulated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Calibri" w:cs="Calibri" w:eastAsia="Calibri" w:hAnsi="Calibri"/>
                <w:sz w:val="13"/>
                <w:szCs w:val="13"/>
                <w:b w:val="1"/>
                <w:bCs w:val="1"/>
                <w:color w:val="auto"/>
              </w:rPr>
              <w:t>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Calibri" w:cs="Calibri" w:eastAsia="Calibri" w:hAnsi="Calibri"/>
                <w:sz w:val="13"/>
                <w:szCs w:val="13"/>
                <w:b w:val="1"/>
                <w:bCs w:val="1"/>
                <w:color w:val="auto"/>
              </w:rPr>
              <w:t>other</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8"/>
              </w:rPr>
              <w:t>noncontroll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Additona</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Calibri" w:cs="Calibri" w:eastAsia="Calibri" w:hAnsi="Calibri"/>
                <w:sz w:val="13"/>
                <w:szCs w:val="13"/>
                <w:b w:val="1"/>
                <w:bCs w:val="1"/>
                <w:color w:val="auto"/>
              </w:rPr>
              <w:t>comprehensiv</w:t>
            </w:r>
          </w:p>
        </w:tc>
        <w:tc>
          <w:tcPr>
            <w:tcW w:w="780" w:type="dxa"/>
            <w:vAlign w:val="bottom"/>
            <w:gridSpan w:val="3"/>
          </w:tcPr>
          <w:p>
            <w:pPr>
              <w:jc w:val="center"/>
              <w:ind w:right="120"/>
              <w:spacing w:after="0" w:line="149" w:lineRule="exact"/>
              <w:rPr>
                <w:sz w:val="20"/>
                <w:szCs w:val="20"/>
                <w:color w:val="auto"/>
              </w:rPr>
            </w:pPr>
            <w:r>
              <w:rPr>
                <w:rFonts w:ascii="Calibri" w:cs="Calibri" w:eastAsia="Calibri" w:hAnsi="Calibri"/>
                <w:sz w:val="13"/>
                <w:szCs w:val="13"/>
                <w:b w:val="1"/>
                <w:bCs w:val="1"/>
                <w:color w:val="auto"/>
                <w:w w:val="95"/>
              </w:rPr>
              <w:t>shareholder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Calibri" w:cs="Calibri" w:eastAsia="Calibri" w:hAnsi="Calibri"/>
                <w:sz w:val="13"/>
                <w:szCs w:val="13"/>
                <w:b w:val="1"/>
                <w:bCs w:val="1"/>
                <w:color w:val="auto"/>
                <w:w w:val="97"/>
              </w:rPr>
              <w:t>ing</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w w:val="96"/>
              </w:rPr>
              <w:t>Amoun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Amoun</w:t>
            </w:r>
          </w:p>
        </w:tc>
        <w:tc>
          <w:tcPr>
            <w:tcW w:w="780" w:type="dxa"/>
            <w:vAlign w:val="bottom"/>
            <w:gridSpan w:val="3"/>
          </w:tcPr>
          <w:p>
            <w:pPr>
              <w:ind w:left="60"/>
              <w:spacing w:after="0" w:line="149" w:lineRule="exact"/>
              <w:rPr>
                <w:sz w:val="20"/>
                <w:szCs w:val="20"/>
                <w:color w:val="auto"/>
              </w:rPr>
            </w:pPr>
            <w:r>
              <w:rPr>
                <w:rFonts w:ascii="Calibri" w:cs="Calibri" w:eastAsia="Calibri" w:hAnsi="Calibri"/>
                <w:sz w:val="13"/>
                <w:szCs w:val="13"/>
                <w:b w:val="1"/>
                <w:bCs w:val="1"/>
                <w:color w:val="auto"/>
              </w:rPr>
              <w:t>l paid-in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Calibri" w:cs="Calibri" w:eastAsia="Calibri" w:hAnsi="Calibri"/>
                <w:sz w:val="13"/>
                <w:szCs w:val="13"/>
                <w:b w:val="1"/>
                <w:bCs w:val="1"/>
                <w:color w:val="auto"/>
              </w:rPr>
              <w:t>Accumulate</w:t>
            </w: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Calibri" w:cs="Calibri" w:eastAsia="Calibri" w:hAnsi="Calibri"/>
                <w:sz w:val="13"/>
                <w:szCs w:val="13"/>
                <w:b w:val="1"/>
                <w:bCs w:val="1"/>
                <w:color w:val="auto"/>
                <w:w w:val="93"/>
              </w:rPr>
              <w:t>e income</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6"/>
              </w:rPr>
              <w:t>s' equity</w:t>
            </w: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7"/>
              <w:spacing w:after="0" w:line="149" w:lineRule="exact"/>
              <w:rPr>
                <w:sz w:val="20"/>
                <w:szCs w:val="20"/>
                <w:color w:val="auto"/>
              </w:rPr>
            </w:pPr>
            <w:r>
              <w:rPr>
                <w:rFonts w:ascii="Calibri" w:cs="Calibri" w:eastAsia="Calibri" w:hAnsi="Calibri"/>
                <w:sz w:val="13"/>
                <w:szCs w:val="13"/>
                <w:b w:val="1"/>
                <w:bCs w:val="1"/>
                <w:color w:val="auto"/>
                <w:w w:val="97"/>
              </w:rPr>
              <w:t>interests</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97"/>
              <w:spacing w:after="0" w:line="149" w:lineRule="exact"/>
              <w:rPr>
                <w:sz w:val="20"/>
                <w:szCs w:val="20"/>
                <w:color w:val="auto"/>
              </w:rPr>
            </w:pPr>
            <w:r>
              <w:rPr>
                <w:rFonts w:ascii="Calibri" w:cs="Calibri" w:eastAsia="Calibri" w:hAnsi="Calibri"/>
                <w:sz w:val="13"/>
                <w:szCs w:val="13"/>
                <w:b w:val="1"/>
                <w:bCs w:val="1"/>
                <w:color w:val="auto"/>
              </w:rPr>
              <w:t>Shares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17"/>
              <w:spacing w:after="0" w:line="149" w:lineRule="exact"/>
              <w:rPr>
                <w:sz w:val="20"/>
                <w:szCs w:val="20"/>
                <w:color w:val="auto"/>
              </w:rPr>
            </w:pPr>
            <w:r>
              <w:rPr>
                <w:rFonts w:ascii="Calibri" w:cs="Calibri" w:eastAsia="Calibri" w:hAnsi="Calibri"/>
                <w:sz w:val="13"/>
                <w:szCs w:val="13"/>
                <w:b w:val="1"/>
                <w:bCs w:val="1"/>
                <w:color w:val="auto"/>
              </w:rPr>
              <w:t>t</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97"/>
              <w:spacing w:after="0" w:line="149" w:lineRule="exact"/>
              <w:rPr>
                <w:sz w:val="20"/>
                <w:szCs w:val="20"/>
                <w:color w:val="auto"/>
              </w:rPr>
            </w:pPr>
            <w:r>
              <w:rPr>
                <w:rFonts w:ascii="Calibri" w:cs="Calibri" w:eastAsia="Calibri" w:hAnsi="Calibri"/>
                <w:sz w:val="13"/>
                <w:szCs w:val="13"/>
                <w:b w:val="1"/>
                <w:bCs w:val="1"/>
                <w:color w:val="auto"/>
              </w:rPr>
              <w:t>Shares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17"/>
              <w:spacing w:after="0" w:line="149" w:lineRule="exact"/>
              <w:rPr>
                <w:sz w:val="20"/>
                <w:szCs w:val="20"/>
                <w:color w:val="auto"/>
              </w:rPr>
            </w:pPr>
            <w:r>
              <w:rPr>
                <w:rFonts w:ascii="Calibri" w:cs="Calibri" w:eastAsia="Calibri" w:hAnsi="Calibri"/>
                <w:sz w:val="13"/>
                <w:szCs w:val="13"/>
                <w:b w:val="1"/>
                <w:bCs w:val="1"/>
                <w:color w:val="auto"/>
              </w:rPr>
              <w:t>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7"/>
              <w:spacing w:after="0" w:line="149" w:lineRule="exact"/>
              <w:rPr>
                <w:sz w:val="20"/>
                <w:szCs w:val="20"/>
                <w:color w:val="auto"/>
              </w:rPr>
            </w:pPr>
            <w:r>
              <w:rPr>
                <w:rFonts w:ascii="Calibri" w:cs="Calibri" w:eastAsia="Calibri" w:hAnsi="Calibri"/>
                <w:sz w:val="13"/>
                <w:szCs w:val="13"/>
                <w:b w:val="1"/>
                <w:bCs w:val="1"/>
                <w:color w:val="auto"/>
                <w:w w:val="93"/>
              </w:rPr>
              <w:t>capital</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97"/>
              <w:spacing w:after="0" w:line="149" w:lineRule="exact"/>
              <w:rPr>
                <w:sz w:val="20"/>
                <w:szCs w:val="20"/>
                <w:color w:val="auto"/>
              </w:rPr>
            </w:pPr>
            <w:r>
              <w:rPr>
                <w:rFonts w:ascii="Calibri" w:cs="Calibri" w:eastAsia="Calibri" w:hAnsi="Calibri"/>
                <w:sz w:val="13"/>
                <w:szCs w:val="13"/>
                <w:b w:val="1"/>
                <w:bCs w:val="1"/>
                <w:color w:val="auto"/>
              </w:rPr>
              <w:t>Shares</w:t>
            </w:r>
          </w:p>
        </w:tc>
        <w:tc>
          <w:tcPr>
            <w:tcW w:w="2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line="149" w:lineRule="exact"/>
              <w:rPr>
                <w:sz w:val="20"/>
                <w:szCs w:val="20"/>
                <w:color w:val="auto"/>
              </w:rPr>
            </w:pPr>
            <w:r>
              <w:rPr>
                <w:rFonts w:ascii="Calibri" w:cs="Calibri" w:eastAsia="Calibri" w:hAnsi="Calibri"/>
                <w:sz w:val="13"/>
                <w:szCs w:val="13"/>
                <w:b w:val="1"/>
                <w:bCs w:val="1"/>
                <w:color w:val="auto"/>
              </w:rPr>
              <w:t>d defcit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7"/>
              <w:spacing w:after="0" w:line="149" w:lineRule="exact"/>
              <w:rPr>
                <w:sz w:val="20"/>
                <w:szCs w:val="20"/>
                <w:color w:val="auto"/>
              </w:rPr>
            </w:pPr>
            <w:r>
              <w:rPr>
                <w:rFonts w:ascii="Calibri" w:cs="Calibri" w:eastAsia="Calibri" w:hAnsi="Calibri"/>
                <w:sz w:val="13"/>
                <w:szCs w:val="13"/>
                <w:b w:val="1"/>
                <w:bCs w:val="1"/>
                <w:color w:val="auto"/>
                <w:w w:val="97"/>
              </w:rPr>
              <w:t>(loss)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7"/>
              <w:spacing w:after="0" w:line="149" w:lineRule="exact"/>
              <w:rPr>
                <w:sz w:val="20"/>
                <w:szCs w:val="20"/>
                <w:color w:val="auto"/>
              </w:rPr>
            </w:pPr>
            <w:r>
              <w:rPr>
                <w:rFonts w:ascii="Calibri" w:cs="Calibri" w:eastAsia="Calibri" w:hAnsi="Calibri"/>
                <w:sz w:val="13"/>
                <w:szCs w:val="13"/>
                <w:b w:val="1"/>
                <w:bCs w:val="1"/>
                <w:color w:val="auto"/>
              </w:rPr>
              <w:t>(defcit)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7" w:lineRule="exact"/>
              <w:rPr>
                <w:sz w:val="20"/>
                <w:szCs w:val="20"/>
                <w:color w:val="auto"/>
              </w:rPr>
            </w:pPr>
            <w:r>
              <w:rPr>
                <w:rFonts w:ascii="Calibri" w:cs="Calibri" w:eastAsia="Calibri" w:hAnsi="Calibri"/>
                <w:sz w:val="13"/>
                <w:szCs w:val="13"/>
                <w:b w:val="1"/>
                <w:bCs w:val="1"/>
                <w:color w:val="auto"/>
              </w:rPr>
              <w:t>79,091,87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line="137" w:lineRule="exact"/>
              <w:rPr>
                <w:sz w:val="20"/>
                <w:szCs w:val="20"/>
                <w:color w:val="auto"/>
              </w:rPr>
            </w:pPr>
            <w:r>
              <w:rPr>
                <w:rFonts w:ascii="Calibri" w:cs="Calibri" w:eastAsia="Calibri" w:hAnsi="Calibri"/>
                <w:sz w:val="13"/>
                <w:szCs w:val="13"/>
                <w:b w:val="1"/>
                <w:bCs w:val="1"/>
                <w:color w:val="auto"/>
              </w:rPr>
              <w:t>118,200,0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7" w:lineRule="exact"/>
              <w:rPr>
                <w:sz w:val="20"/>
                <w:szCs w:val="20"/>
                <w:color w:val="auto"/>
              </w:rPr>
            </w:pPr>
            <w:r>
              <w:rPr>
                <w:rFonts w:ascii="Calibri" w:cs="Calibri" w:eastAsia="Calibri" w:hAnsi="Calibri"/>
                <w:sz w:val="13"/>
                <w:szCs w:val="13"/>
                <w:b w:val="1"/>
                <w:bCs w:val="1"/>
                <w:color w:val="auto"/>
              </w:rPr>
              <w:t>(1,042,79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Balances at January 1, 2022</w:t>
            </w:r>
          </w:p>
        </w:tc>
        <w:tc>
          <w:tcPr>
            <w:tcW w:w="1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5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1,286,016</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900" w:type="dxa"/>
            <w:vAlign w:val="bottom"/>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182,091</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b w:val="1"/>
                <w:bCs w:val="1"/>
                <w:color w:val="auto"/>
              </w:rPr>
              <w:t>—</w:t>
            </w:r>
          </w:p>
        </w:tc>
        <w:tc>
          <w:tcPr>
            <w:tcW w:w="1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b w:val="1"/>
                <w:bCs w:val="1"/>
                <w:color w:val="auto"/>
              </w:rPr>
              <w:t>—</w:t>
            </w:r>
          </w:p>
        </w:tc>
        <w:tc>
          <w:tcPr>
            <w:tcW w:w="100" w:type="dxa"/>
            <w:vAlign w:val="bottom"/>
            <w:shd w:val="clear" w:color="auto" w:fill="CFF0FC"/>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78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4 )</w:t>
            </w:r>
          </w:p>
        </w:tc>
        <w:tc>
          <w:tcPr>
            <w:tcW w:w="12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b w:val="1"/>
                <w:bCs w:val="1"/>
                <w:color w:val="auto"/>
              </w:rPr>
              <w:t>—</w:t>
            </w:r>
          </w:p>
        </w:tc>
        <w:tc>
          <w:tcPr>
            <w:tcW w:w="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700" w:type="dxa"/>
            <w:vAlign w:val="bottom"/>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(860,683 )</w:t>
            </w: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Net income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42,117</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28,662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28,662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Issuances of Class A common stock</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591,118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Deemed contributons from former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parent</w:t>
            </w:r>
          </w:p>
        </w:tc>
        <w:tc>
          <w:tcPr>
            <w:tcW w:w="10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2,687</w:t>
            </w:r>
          </w:p>
        </w:tc>
        <w:tc>
          <w:tcPr>
            <w:tcW w:w="220" w:type="dxa"/>
            <w:vAlign w:val="bottom"/>
          </w:tcPr>
          <w:p>
            <w:pPr>
              <w:spacing w:after="0"/>
              <w:rPr>
                <w:sz w:val="13"/>
                <w:szCs w:val="13"/>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Calibri" w:cs="Calibri" w:eastAsia="Calibri" w:hAnsi="Calibri"/>
                <w:sz w:val="13"/>
                <w:szCs w:val="13"/>
                <w:color w:val="auto"/>
              </w:rPr>
              <w:t>1,824</w:t>
            </w:r>
          </w:p>
        </w:tc>
        <w:tc>
          <w:tcPr>
            <w:tcW w:w="2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1,824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FF0FC"/>
          </w:tcPr>
          <w:p>
            <w:pPr>
              <w:ind w:left="20"/>
              <w:spacing w:after="0" w:line="154" w:lineRule="exact"/>
              <w:rPr>
                <w:sz w:val="20"/>
                <w:szCs w:val="20"/>
                <w:color w:val="auto"/>
              </w:rPr>
            </w:pPr>
            <w:r>
              <w:rPr>
                <w:rFonts w:ascii="Calibri" w:cs="Calibri" w:eastAsia="Calibri" w:hAnsi="Calibri"/>
                <w:sz w:val="13"/>
                <w:szCs w:val="13"/>
                <w:color w:val="auto"/>
              </w:rPr>
              <w:t>Equity-based compensaton</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88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4"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4" w:lineRule="exact"/>
              <w:rPr>
                <w:sz w:val="20"/>
                <w:szCs w:val="20"/>
                <w:color w:val="auto"/>
              </w:rPr>
            </w:pPr>
            <w:r>
              <w:rPr>
                <w:rFonts w:ascii="Calibri" w:cs="Calibri" w:eastAsia="Calibri" w:hAnsi="Calibri"/>
                <w:sz w:val="13"/>
                <w:szCs w:val="13"/>
                <w:color w:val="auto"/>
              </w:rPr>
              <w:t>14,621</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4" w:lineRule="exact"/>
              <w:rPr>
                <w:sz w:val="20"/>
                <w:szCs w:val="20"/>
                <w:color w:val="auto"/>
              </w:rPr>
            </w:pPr>
            <w:r>
              <w:rPr>
                <w:rFonts w:ascii="Calibri" w:cs="Calibri" w:eastAsia="Calibri" w:hAnsi="Calibri"/>
                <w:sz w:val="13"/>
                <w:szCs w:val="13"/>
                <w:color w:val="auto"/>
              </w:rPr>
              <w:t>14,621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Calibri" w:cs="Calibri" w:eastAsia="Calibri" w:hAnsi="Calibri"/>
                <w:sz w:val="13"/>
                <w:szCs w:val="13"/>
                <w:color w:val="auto"/>
              </w:rPr>
              <w:t>(4,342,47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Repurchases of Class A common stock</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7 )</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w w:val="97"/>
              </w:rPr>
              <w:t>(32,494 )</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(32,494 )</w:t>
            </w: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0"/>
              <w:spacing w:after="0" w:line="143" w:lineRule="exact"/>
              <w:rPr>
                <w:sz w:val="20"/>
                <w:szCs w:val="20"/>
                <w:color w:val="auto"/>
              </w:rPr>
            </w:pPr>
            <w:r>
              <w:rPr>
                <w:rFonts w:ascii="Calibri" w:cs="Calibri" w:eastAsia="Calibri" w:hAnsi="Calibri"/>
                <w:sz w:val="13"/>
                <w:szCs w:val="13"/>
                <w:color w:val="auto"/>
              </w:rPr>
              <w:t>Tax distributons to redeemable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noncontrolling interests</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(5,245 )</w:t>
            </w:r>
          </w:p>
        </w:tc>
        <w:tc>
          <w:tcPr>
            <w:tcW w:w="88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Reclassifcaton of contngent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consideraton</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Calibri" w:cs="Calibri" w:eastAsia="Calibri" w:hAnsi="Calibri"/>
                <w:sz w:val="13"/>
                <w:szCs w:val="13"/>
                <w:color w:val="auto"/>
              </w:rPr>
              <w:t>2,657</w:t>
            </w:r>
          </w:p>
        </w:tc>
        <w:tc>
          <w:tcPr>
            <w:tcW w:w="2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2,657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0"/>
              <w:spacing w:after="0" w:line="143" w:lineRule="exact"/>
              <w:rPr>
                <w:sz w:val="20"/>
                <w:szCs w:val="20"/>
                <w:color w:val="auto"/>
              </w:rPr>
            </w:pPr>
            <w:r>
              <w:rPr>
                <w:rFonts w:ascii="Calibri" w:cs="Calibri" w:eastAsia="Calibri" w:hAnsi="Calibri"/>
                <w:sz w:val="13"/>
                <w:szCs w:val="13"/>
                <w:color w:val="auto"/>
              </w:rPr>
              <w:t>Increase in Class A common stock</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outstanding following warrant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exchange</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2,727,785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Subsequent remeasurement of</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Calibri" w:cs="Calibri" w:eastAsia="Calibri" w:hAnsi="Calibri"/>
                <w:sz w:val="13"/>
                <w:szCs w:val="13"/>
                <w:color w:val="auto"/>
              </w:rPr>
              <w:t>(462,715 )</w:t>
            </w:r>
          </w:p>
        </w:tc>
        <w:tc>
          <w:tcPr>
            <w:tcW w:w="88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0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3"/>
                <w:szCs w:val="13"/>
                <w:color w:val="auto"/>
              </w:rPr>
              <w:t>462,715</w:t>
            </w:r>
          </w:p>
        </w:tc>
        <w:tc>
          <w:tcPr>
            <w:tcW w:w="2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Calibri" w:cs="Calibri" w:eastAsia="Calibri" w:hAnsi="Calibri"/>
                <w:sz w:val="13"/>
                <w:szCs w:val="13"/>
                <w:color w:val="auto"/>
              </w:rPr>
              <w:t>462,715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tcPr>
          <w:p>
            <w:pPr>
              <w:ind w:left="20"/>
              <w:spacing w:after="0" w:line="146" w:lineRule="exact"/>
              <w:rPr>
                <w:sz w:val="20"/>
                <w:szCs w:val="20"/>
                <w:color w:val="auto"/>
              </w:rPr>
            </w:pPr>
            <w:r>
              <w:rPr>
                <w:rFonts w:ascii="Calibri" w:cs="Calibri" w:eastAsia="Calibri" w:hAnsi="Calibri"/>
                <w:sz w:val="13"/>
                <w:szCs w:val="13"/>
                <w:color w:val="auto"/>
              </w:rPr>
              <w:t>redeemable noncontrolling interests</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1" w:lineRule="exact"/>
              <w:rPr>
                <w:sz w:val="20"/>
                <w:szCs w:val="20"/>
                <w:color w:val="auto"/>
              </w:rPr>
            </w:pPr>
            <w:r>
              <w:rPr>
                <w:rFonts w:ascii="Calibri" w:cs="Calibri" w:eastAsia="Calibri" w:hAnsi="Calibri"/>
                <w:sz w:val="13"/>
                <w:szCs w:val="13"/>
                <w:b w:val="1"/>
                <w:bCs w:val="1"/>
                <w:color w:val="auto"/>
              </w:rPr>
              <w:t>82,410,77</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31" w:lineRule="exact"/>
              <w:rPr>
                <w:sz w:val="20"/>
                <w:szCs w:val="20"/>
                <w:color w:val="auto"/>
              </w:rPr>
            </w:pPr>
            <w:r>
              <w:rPr>
                <w:rFonts w:ascii="Calibri" w:cs="Calibri" w:eastAsia="Calibri" w:hAnsi="Calibri"/>
                <w:sz w:val="13"/>
                <w:szCs w:val="13"/>
                <w:b w:val="1"/>
                <w:bCs w:val="1"/>
                <w:color w:val="auto"/>
              </w:rPr>
              <w:t>118,200,0</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31" w:lineRule="exact"/>
              <w:rPr>
                <w:sz w:val="20"/>
                <w:szCs w:val="20"/>
                <w:color w:val="auto"/>
              </w:rPr>
            </w:pPr>
            <w:r>
              <w:rPr>
                <w:rFonts w:ascii="Calibri" w:cs="Calibri" w:eastAsia="Calibri" w:hAnsi="Calibri"/>
                <w:sz w:val="13"/>
                <w:szCs w:val="13"/>
                <w:b w:val="1"/>
                <w:bCs w:val="1"/>
                <w:color w:val="auto"/>
              </w:rPr>
              <w:t>(4,342,47</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line="131" w:lineRule="exact"/>
              <w:rPr>
                <w:sz w:val="20"/>
                <w:szCs w:val="20"/>
                <w:color w:val="auto"/>
              </w:rPr>
            </w:pPr>
            <w:r>
              <w:rPr>
                <w:rFonts w:ascii="Calibri" w:cs="Calibri" w:eastAsia="Calibri" w:hAnsi="Calibri"/>
                <w:sz w:val="13"/>
                <w:szCs w:val="13"/>
                <w:b w:val="1"/>
                <w:bCs w:val="1"/>
                <w:color w:val="auto"/>
              </w:rPr>
              <w:t>(1,014,13</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b w:val="1"/>
                <w:bCs w:val="1"/>
                <w:color w:val="auto"/>
              </w:rPr>
              <w:t>Balances at December 31, 2022</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862,860</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900" w:type="dxa"/>
            <w:vAlign w:val="bottom"/>
            <w:gridSpan w:val="2"/>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00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12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b w:val="1"/>
                <w:bCs w:val="1"/>
                <w:color w:val="auto"/>
              </w:rPr>
              <w:t>663,908</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(32,494 )</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b w:val="1"/>
                <w:bCs w:val="1"/>
                <w:color w:val="auto"/>
              </w:rPr>
              <w:t>2 )</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b w:val="1"/>
                <w:bCs w:val="1"/>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b w:val="1"/>
                <w:bCs w:val="1"/>
                <w:color w:val="auto"/>
              </w:rPr>
              <w:t>(382,698 )</w:t>
            </w: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Net income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38,605</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74,536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74,536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Issuances of Class A common stock</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1,228,279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Deemed contributons from former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parent</w:t>
            </w:r>
          </w:p>
        </w:tc>
        <w:tc>
          <w:tcPr>
            <w:tcW w:w="10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1,898</w:t>
            </w:r>
          </w:p>
        </w:tc>
        <w:tc>
          <w:tcPr>
            <w:tcW w:w="220" w:type="dxa"/>
            <w:vAlign w:val="bottom"/>
          </w:tcPr>
          <w:p>
            <w:pPr>
              <w:spacing w:after="0"/>
              <w:rPr>
                <w:sz w:val="13"/>
                <w:szCs w:val="13"/>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Calibri" w:cs="Calibri" w:eastAsia="Calibri" w:hAnsi="Calibri"/>
                <w:sz w:val="13"/>
                <w:szCs w:val="13"/>
                <w:color w:val="auto"/>
              </w:rPr>
              <w:t>1,598</w:t>
            </w:r>
          </w:p>
        </w:tc>
        <w:tc>
          <w:tcPr>
            <w:tcW w:w="2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1,598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FF0FC"/>
          </w:tcPr>
          <w:p>
            <w:pPr>
              <w:ind w:left="20"/>
              <w:spacing w:after="0" w:line="154" w:lineRule="exact"/>
              <w:rPr>
                <w:sz w:val="20"/>
                <w:szCs w:val="20"/>
                <w:color w:val="auto"/>
              </w:rPr>
            </w:pPr>
            <w:r>
              <w:rPr>
                <w:rFonts w:ascii="Calibri" w:cs="Calibri" w:eastAsia="Calibri" w:hAnsi="Calibri"/>
                <w:sz w:val="13"/>
                <w:szCs w:val="13"/>
                <w:color w:val="auto"/>
              </w:rPr>
              <w:t>Equity-based compensaton</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88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4"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4" w:lineRule="exact"/>
              <w:rPr>
                <w:sz w:val="20"/>
                <w:szCs w:val="20"/>
                <w:color w:val="auto"/>
              </w:rPr>
            </w:pPr>
            <w:r>
              <w:rPr>
                <w:rFonts w:ascii="Calibri" w:cs="Calibri" w:eastAsia="Calibri" w:hAnsi="Calibri"/>
                <w:sz w:val="13"/>
                <w:szCs w:val="13"/>
                <w:color w:val="auto"/>
              </w:rPr>
              <w:t>24,546</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4" w:lineRule="exact"/>
              <w:rPr>
                <w:sz w:val="20"/>
                <w:szCs w:val="20"/>
                <w:color w:val="auto"/>
              </w:rPr>
            </w:pPr>
            <w:r>
              <w:rPr>
                <w:rFonts w:ascii="Calibri" w:cs="Calibri" w:eastAsia="Calibri" w:hAnsi="Calibri"/>
                <w:sz w:val="13"/>
                <w:szCs w:val="13"/>
                <w:color w:val="auto"/>
              </w:rPr>
              <w:t>24,546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Calibri" w:cs="Calibri" w:eastAsia="Calibri" w:hAnsi="Calibri"/>
                <w:sz w:val="13"/>
                <w:szCs w:val="13"/>
                <w:color w:val="auto"/>
              </w:rPr>
              <w:t>(2,949,02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Repurchases of Class A common stock</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0 )</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w w:val="97"/>
              </w:rPr>
              <w:t>(20,092 )</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(20,092 )</w:t>
            </w: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0"/>
              <w:spacing w:after="0" w:line="143" w:lineRule="exact"/>
              <w:rPr>
                <w:sz w:val="20"/>
                <w:szCs w:val="20"/>
                <w:color w:val="auto"/>
              </w:rPr>
            </w:pPr>
            <w:r>
              <w:rPr>
                <w:rFonts w:ascii="Calibri" w:cs="Calibri" w:eastAsia="Calibri" w:hAnsi="Calibri"/>
                <w:sz w:val="13"/>
                <w:szCs w:val="13"/>
                <w:color w:val="auto"/>
              </w:rPr>
              <w:t>Tax distributons to redeemable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noncontrolling interests</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(14,304 )</w:t>
            </w:r>
          </w:p>
        </w:tc>
        <w:tc>
          <w:tcPr>
            <w:tcW w:w="88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Other comprehensive income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601</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color w:val="auto"/>
              </w:rPr>
              <w:t>747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747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8" w:lineRule="exact"/>
              <w:rPr>
                <w:sz w:val="20"/>
                <w:szCs w:val="20"/>
                <w:color w:val="auto"/>
              </w:rPr>
            </w:pPr>
            <w:r>
              <w:rPr>
                <w:rFonts w:ascii="Calibri" w:cs="Calibri" w:eastAsia="Calibri" w:hAnsi="Calibri"/>
                <w:sz w:val="13"/>
                <w:szCs w:val="13"/>
                <w:color w:val="auto"/>
              </w:rPr>
              <w:t>41,975,00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line="138" w:lineRule="exact"/>
              <w:rPr>
                <w:sz w:val="20"/>
                <w:szCs w:val="20"/>
                <w:color w:val="auto"/>
              </w:rPr>
            </w:pPr>
            <w:r>
              <w:rPr>
                <w:rFonts w:ascii="Calibri" w:cs="Calibri" w:eastAsia="Calibri" w:hAnsi="Calibri"/>
                <w:sz w:val="13"/>
                <w:szCs w:val="13"/>
                <w:color w:val="auto"/>
              </w:rPr>
              <w:t>(41,975,0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2023 Secondary Oferings</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(307,732 )</w:t>
            </w:r>
          </w:p>
        </w:tc>
        <w:tc>
          <w:tcPr>
            <w:tcW w:w="6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4</w:t>
            </w:r>
          </w:p>
        </w:tc>
        <w:tc>
          <w:tcPr>
            <w:tcW w:w="1120" w:type="dxa"/>
            <w:vAlign w:val="bottom"/>
            <w:gridSpan w:val="3"/>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00 )</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(4 )</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307,732</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307,732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Establishment of liabilites under TRA,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net of tax and other tax impact of 2023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Secondary Oferings (Note 20)</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(95,849 )</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(95,849 )</w:t>
            </w: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0"/>
              <w:spacing w:after="0" w:line="143" w:lineRule="exact"/>
              <w:rPr>
                <w:sz w:val="20"/>
                <w:szCs w:val="20"/>
                <w:color w:val="auto"/>
              </w:rPr>
            </w:pPr>
            <w:r>
              <w:rPr>
                <w:rFonts w:ascii="Calibri" w:cs="Calibri" w:eastAsia="Calibri" w:hAnsi="Calibri"/>
                <w:sz w:val="13"/>
                <w:szCs w:val="13"/>
                <w:color w:val="auto"/>
              </w:rPr>
              <w:t>Issuance of Class A common stock</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Calibri" w:cs="Calibri" w:eastAsia="Calibri" w:hAnsi="Calibri"/>
                <w:sz w:val="13"/>
                <w:szCs w:val="13"/>
                <w:color w:val="auto"/>
              </w:rPr>
              <w:t>15,553,25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related to acquisiton</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95,495</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95,497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Terminaton of Opton Contngent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Warrants</w:t>
            </w:r>
          </w:p>
        </w:tc>
        <w:tc>
          <w:tcPr>
            <w:tcW w:w="10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color w:val="auto"/>
              </w:rPr>
              <w:t>1,094</w:t>
            </w:r>
          </w:p>
        </w:tc>
        <w:tc>
          <w:tcPr>
            <w:tcW w:w="220" w:type="dxa"/>
            <w:vAlign w:val="bottom"/>
          </w:tcPr>
          <w:p>
            <w:pPr>
              <w:spacing w:after="0"/>
              <w:rPr>
                <w:sz w:val="13"/>
                <w:szCs w:val="13"/>
                <w:color w:val="auto"/>
              </w:rPr>
            </w:pP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0"/>
              <w:spacing w:after="0" w:line="143" w:lineRule="exact"/>
              <w:rPr>
                <w:sz w:val="20"/>
                <w:szCs w:val="20"/>
                <w:color w:val="auto"/>
              </w:rPr>
            </w:pPr>
            <w:r>
              <w:rPr>
                <w:rFonts w:ascii="Calibri" w:cs="Calibri" w:eastAsia="Calibri" w:hAnsi="Calibri"/>
                <w:sz w:val="13"/>
                <w:szCs w:val="13"/>
                <w:color w:val="auto"/>
              </w:rPr>
              <w:t>Subsequent remeasurement of</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redeemable noncontrolling interests,</w:t>
            </w: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3"/>
                <w:szCs w:val="13"/>
                <w:color w:val="auto"/>
              </w:rPr>
              <w:t>(101,280 )</w:t>
            </w:r>
          </w:p>
        </w:tc>
        <w:tc>
          <w:tcPr>
            <w:tcW w:w="88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2"/>
                <w:szCs w:val="12"/>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99,000</w:t>
            </w:r>
          </w:p>
        </w:tc>
        <w:tc>
          <w:tcPr>
            <w:tcW w:w="2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99,000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shd w:val="clear" w:color="auto" w:fill="CFF0FC"/>
          </w:tcPr>
          <w:p>
            <w:pPr>
              <w:ind w:left="20"/>
              <w:spacing w:after="0" w:line="146" w:lineRule="exact"/>
              <w:rPr>
                <w:sz w:val="20"/>
                <w:szCs w:val="20"/>
                <w:color w:val="auto"/>
              </w:rPr>
            </w:pPr>
            <w:r>
              <w:rPr>
                <w:rFonts w:ascii="Calibri" w:cs="Calibri" w:eastAsia="Calibri" w:hAnsi="Calibri"/>
                <w:sz w:val="13"/>
                <w:szCs w:val="13"/>
                <w:color w:val="auto"/>
              </w:rPr>
              <w:t>net of tax impacts</w:t>
            </w:r>
          </w:p>
        </w:tc>
        <w:tc>
          <w:tcPr>
            <w:tcW w:w="10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141,167,3</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76,225,00</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1,096,4</w:t>
            </w:r>
          </w:p>
        </w:tc>
        <w:tc>
          <w:tcPr>
            <w:tcW w:w="20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(7,291,49</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tcPr>
          <w:p>
            <w:pPr>
              <w:ind w:left="20"/>
              <w:spacing w:after="0"/>
              <w:rPr>
                <w:sz w:val="20"/>
                <w:szCs w:val="20"/>
                <w:color w:val="auto"/>
              </w:rPr>
            </w:pPr>
            <w:r>
              <w:rPr>
                <w:rFonts w:ascii="Calibri" w:cs="Calibri" w:eastAsia="Calibri" w:hAnsi="Calibri"/>
                <w:sz w:val="13"/>
                <w:szCs w:val="13"/>
                <w:b w:val="1"/>
                <w:bCs w:val="1"/>
                <w:color w:val="auto"/>
              </w:rPr>
              <w:t>Balances at December 31, 2023</w:t>
            </w:r>
          </w:p>
        </w:tc>
        <w:tc>
          <w:tcPr>
            <w:tcW w:w="10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481,742</w:t>
            </w:r>
          </w:p>
        </w:tc>
        <w:tc>
          <w:tcPr>
            <w:tcW w:w="22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22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30</w:t>
            </w: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7 )</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(52,586 )</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(939,596 )</w:t>
            </w:r>
          </w:p>
        </w:tc>
        <w:tc>
          <w:tcPr>
            <w:tcW w:w="12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747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105,017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FF0FC"/>
          </w:tcPr>
          <w:p>
            <w:pPr>
              <w:ind w:left="20"/>
              <w:spacing w:after="0" w:line="142" w:lineRule="exact"/>
              <w:rPr>
                <w:sz w:val="20"/>
                <w:szCs w:val="20"/>
                <w:color w:val="auto"/>
              </w:rPr>
            </w:pPr>
            <w:r>
              <w:rPr>
                <w:rFonts w:ascii="Calibri" w:cs="Calibri" w:eastAsia="Calibri" w:hAnsi="Calibri"/>
                <w:sz w:val="13"/>
                <w:szCs w:val="13"/>
                <w:color w:val="auto"/>
              </w:rPr>
              <w:t>Net income</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4,877</w:t>
            </w:r>
          </w:p>
        </w:tc>
        <w:tc>
          <w:tcPr>
            <w:tcW w:w="22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9,425</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Calibri" w:cs="Calibri" w:eastAsia="Calibri" w:hAnsi="Calibri"/>
                <w:sz w:val="13"/>
                <w:szCs w:val="13"/>
                <w:color w:val="auto"/>
              </w:rPr>
              <w:t>9,425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Issuances of Class A common stock</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2,859,871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38"/>
        </w:trPr>
        <w:tc>
          <w:tcPr>
            <w:tcW w:w="2180" w:type="dxa"/>
            <w:vAlign w:val="bottom"/>
            <w:shd w:val="clear" w:color="auto" w:fill="CFF0FC"/>
          </w:tcPr>
          <w:p>
            <w:pPr>
              <w:ind w:left="20"/>
              <w:spacing w:after="0" w:line="138" w:lineRule="exact"/>
              <w:rPr>
                <w:sz w:val="20"/>
                <w:szCs w:val="20"/>
                <w:color w:val="auto"/>
              </w:rPr>
            </w:pPr>
            <w:r>
              <w:rPr>
                <w:rFonts w:ascii="Calibri" w:cs="Calibri" w:eastAsia="Calibri" w:hAnsi="Calibri"/>
                <w:sz w:val="13"/>
                <w:szCs w:val="13"/>
                <w:color w:val="auto"/>
              </w:rPr>
              <w:t>Deemed contributons from former</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parent</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3,512</w:t>
            </w: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6,073</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6,073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Equity-based compensaton</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Calibri" w:cs="Calibri" w:eastAsia="Calibri" w:hAnsi="Calibri"/>
                <w:sz w:val="13"/>
                <w:szCs w:val="13"/>
                <w:color w:val="auto"/>
              </w:rPr>
              <w:t>41,604</w:t>
            </w:r>
          </w:p>
        </w:tc>
        <w:tc>
          <w:tcPr>
            <w:tcW w:w="2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Calibri" w:cs="Calibri" w:eastAsia="Calibri" w:hAnsi="Calibri"/>
                <w:sz w:val="13"/>
                <w:szCs w:val="13"/>
                <w:color w:val="auto"/>
              </w:rPr>
              <w:t>41,604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shd w:val="clear" w:color="auto" w:fill="CFF0FC"/>
          </w:tcPr>
          <w:p>
            <w:pPr>
              <w:ind w:left="20"/>
              <w:spacing w:after="0" w:line="138" w:lineRule="exact"/>
              <w:rPr>
                <w:sz w:val="20"/>
                <w:szCs w:val="20"/>
                <w:color w:val="auto"/>
              </w:rPr>
            </w:pPr>
            <w:r>
              <w:rPr>
                <w:rFonts w:ascii="Calibri" w:cs="Calibri" w:eastAsia="Calibri" w:hAnsi="Calibri"/>
                <w:sz w:val="13"/>
                <w:szCs w:val="13"/>
                <w:color w:val="auto"/>
              </w:rPr>
              <w:t>Repurchases of Class A common stock,</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8" w:lineRule="exact"/>
              <w:rPr>
                <w:sz w:val="20"/>
                <w:szCs w:val="20"/>
                <w:color w:val="auto"/>
              </w:rPr>
            </w:pPr>
            <w:r>
              <w:rPr>
                <w:rFonts w:ascii="Calibri" w:cs="Calibri" w:eastAsia="Calibri" w:hAnsi="Calibri"/>
                <w:sz w:val="13"/>
                <w:szCs w:val="13"/>
                <w:color w:val="auto"/>
              </w:rPr>
              <w:t>(4,142,25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net of tax impacts</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(1,952 )</w:t>
            </w:r>
          </w:p>
        </w:tc>
        <w:tc>
          <w:tcPr>
            <w:tcW w:w="90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2 )</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w w:val="97"/>
              </w:rPr>
              <w:t>(22,982 )</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(24,934 )</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Tax distributons to redeemable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noncontrolling interests</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(10,014 )</w:t>
            </w:r>
          </w:p>
        </w:tc>
        <w:tc>
          <w:tcPr>
            <w:tcW w:w="88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4"/>
        </w:trPr>
        <w:tc>
          <w:tcPr>
            <w:tcW w:w="2180" w:type="dxa"/>
            <w:vAlign w:val="bottom"/>
            <w:shd w:val="clear" w:color="auto" w:fill="CFF0FC"/>
          </w:tcPr>
          <w:p>
            <w:pPr>
              <w:ind w:left="20"/>
              <w:spacing w:after="0" w:line="154" w:lineRule="exact"/>
              <w:rPr>
                <w:sz w:val="20"/>
                <w:szCs w:val="20"/>
                <w:color w:val="auto"/>
              </w:rPr>
            </w:pPr>
            <w:r>
              <w:rPr>
                <w:rFonts w:ascii="Calibri" w:cs="Calibri" w:eastAsia="Calibri" w:hAnsi="Calibri"/>
                <w:sz w:val="13"/>
                <w:szCs w:val="13"/>
                <w:color w:val="auto"/>
              </w:rPr>
              <w:t>Other comprehensive loss</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line="154" w:lineRule="exact"/>
              <w:rPr>
                <w:sz w:val="20"/>
                <w:szCs w:val="20"/>
                <w:color w:val="auto"/>
              </w:rPr>
            </w:pPr>
            <w:r>
              <w:rPr>
                <w:rFonts w:ascii="Calibri" w:cs="Calibri" w:eastAsia="Calibri" w:hAnsi="Calibri"/>
                <w:sz w:val="13"/>
                <w:szCs w:val="13"/>
                <w:color w:val="auto"/>
              </w:rPr>
              <w:t>(926 )</w:t>
            </w:r>
          </w:p>
        </w:tc>
        <w:tc>
          <w:tcPr>
            <w:tcW w:w="88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4"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90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40"/>
              <w:spacing w:after="0" w:line="154"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line="154" w:lineRule="exact"/>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line="154" w:lineRule="exact"/>
              <w:rPr>
                <w:sz w:val="20"/>
                <w:szCs w:val="20"/>
                <w:color w:val="auto"/>
              </w:rPr>
            </w:pPr>
            <w:r>
              <w:rPr>
                <w:rFonts w:ascii="Calibri" w:cs="Calibri" w:eastAsia="Calibri" w:hAnsi="Calibri"/>
                <w:sz w:val="13"/>
                <w:szCs w:val="13"/>
                <w:color w:val="auto"/>
              </w:rPr>
              <w:t>(1,627 )</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54" w:lineRule="exact"/>
              <w:rPr>
                <w:sz w:val="20"/>
                <w:szCs w:val="20"/>
                <w:color w:val="auto"/>
              </w:rPr>
            </w:pPr>
            <w:r>
              <w:rPr>
                <w:rFonts w:ascii="Calibri" w:cs="Calibri" w:eastAsia="Calibri" w:hAnsi="Calibri"/>
                <w:sz w:val="13"/>
                <w:szCs w:val="13"/>
                <w:color w:val="auto"/>
              </w:rPr>
              <w:t>(1,627 )</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Calibri" w:cs="Calibri" w:eastAsia="Calibri" w:hAnsi="Calibri"/>
                <w:sz w:val="13"/>
                <w:szCs w:val="13"/>
                <w:color w:val="auto"/>
              </w:rPr>
              <w:t>Net setlement of equity incentve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line="149" w:lineRule="exact"/>
              <w:rPr>
                <w:sz w:val="20"/>
                <w:szCs w:val="20"/>
                <w:color w:val="auto"/>
              </w:rPr>
            </w:pPr>
            <w:r>
              <w:rPr>
                <w:rFonts w:ascii="Calibri" w:cs="Calibri" w:eastAsia="Calibri" w:hAnsi="Calibri"/>
                <w:sz w:val="13"/>
                <w:szCs w:val="13"/>
                <w:color w:val="auto"/>
              </w:rPr>
              <w:t>awards</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(207,685 )</w:t>
            </w:r>
          </w:p>
        </w:tc>
        <w:tc>
          <w:tcPr>
            <w:tcW w:w="14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(714 )</w:t>
            </w: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(714 )</w:t>
            </w: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0"/>
              <w:spacing w:after="0" w:line="143" w:lineRule="exact"/>
              <w:rPr>
                <w:sz w:val="20"/>
                <w:szCs w:val="20"/>
                <w:color w:val="auto"/>
              </w:rPr>
            </w:pPr>
            <w:r>
              <w:rPr>
                <w:rFonts w:ascii="Calibri" w:cs="Calibri" w:eastAsia="Calibri" w:hAnsi="Calibri"/>
                <w:sz w:val="13"/>
                <w:szCs w:val="13"/>
                <w:color w:val="auto"/>
              </w:rPr>
              <w:t>Subsequent remeasurement of</w:t>
            </w: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3"/>
                <w:szCs w:val="13"/>
                <w:color w:val="auto"/>
              </w:rPr>
              <w:t>(126,269 )</w:t>
            </w:r>
          </w:p>
        </w:tc>
        <w:tc>
          <w:tcPr>
            <w:tcW w:w="88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2"/>
                <w:szCs w:val="12"/>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126,269</w:t>
            </w:r>
          </w:p>
        </w:tc>
        <w:tc>
          <w:tcPr>
            <w:tcW w:w="2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126,269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shd w:val="clear" w:color="auto" w:fill="CFF0FC"/>
          </w:tcPr>
          <w:p>
            <w:pPr>
              <w:ind w:left="20"/>
              <w:spacing w:after="0" w:line="146" w:lineRule="exact"/>
              <w:rPr>
                <w:sz w:val="20"/>
                <w:szCs w:val="20"/>
                <w:color w:val="auto"/>
              </w:rPr>
            </w:pPr>
            <w:r>
              <w:rPr>
                <w:rFonts w:ascii="Calibri" w:cs="Calibri" w:eastAsia="Calibri" w:hAnsi="Calibri"/>
                <w:sz w:val="13"/>
                <w:szCs w:val="13"/>
                <w:color w:val="auto"/>
              </w:rPr>
              <w:t>redeemable noncontrolling interests</w:t>
            </w:r>
          </w:p>
        </w:tc>
        <w:tc>
          <w:tcPr>
            <w:tcW w:w="10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143,819,4</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76,225,00</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1,267,7</w:t>
            </w:r>
          </w:p>
        </w:tc>
        <w:tc>
          <w:tcPr>
            <w:tcW w:w="20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(11,433,7</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tcPr>
          <w:p>
            <w:pPr>
              <w:ind w:left="20"/>
              <w:spacing w:after="0" w:line="139" w:lineRule="exact"/>
              <w:rPr>
                <w:sz w:val="20"/>
                <w:szCs w:val="20"/>
                <w:color w:val="auto"/>
              </w:rPr>
            </w:pPr>
            <w:r>
              <w:rPr>
                <w:rFonts w:ascii="Calibri" w:cs="Calibri" w:eastAsia="Calibri" w:hAnsi="Calibri"/>
                <w:sz w:val="13"/>
                <w:szCs w:val="13"/>
                <w:b w:val="1"/>
                <w:bCs w:val="1"/>
                <w:color w:val="auto"/>
              </w:rPr>
              <w:t>Balances at December 31, 2024</w:t>
            </w:r>
          </w:p>
        </w:tc>
        <w:tc>
          <w:tcPr>
            <w:tcW w:w="10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5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352,922</w:t>
            </w:r>
          </w:p>
        </w:tc>
        <w:tc>
          <w:tcPr>
            <w:tcW w:w="22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97</w:t>
            </w:r>
          </w:p>
        </w:tc>
        <w:tc>
          <w:tcPr>
            <w:tcW w:w="220" w:type="dxa"/>
            <w:vAlign w:val="bottom"/>
          </w:tcPr>
          <w:p>
            <w:pPr>
              <w:spacing w:after="0"/>
              <w:rPr>
                <w:sz w:val="13"/>
                <w:szCs w:val="13"/>
                <w:color w:val="auto"/>
              </w:rPr>
            </w:pPr>
          </w:p>
        </w:tc>
        <w:tc>
          <w:tcPr>
            <w:tcW w:w="14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14</w:t>
            </w:r>
          </w:p>
        </w:tc>
        <w:tc>
          <w:tcPr>
            <w:tcW w:w="900" w:type="dxa"/>
            <w:vAlign w:val="bottom"/>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0</w:t>
            </w:r>
          </w:p>
        </w:tc>
        <w:tc>
          <w:tcPr>
            <w:tcW w:w="220" w:type="dxa"/>
            <w:vAlign w:val="bottom"/>
          </w:tcPr>
          <w:p>
            <w:pPr>
              <w:spacing w:after="0"/>
              <w:rPr>
                <w:sz w:val="13"/>
                <w:szCs w:val="13"/>
                <w:color w:val="auto"/>
              </w:rPr>
            </w:pPr>
          </w:p>
        </w:tc>
        <w:tc>
          <w:tcPr>
            <w:tcW w:w="140" w:type="dxa"/>
            <w:vAlign w:val="bottom"/>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2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8</w:t>
            </w:r>
          </w:p>
        </w:tc>
        <w:tc>
          <w:tcPr>
            <w:tcW w:w="220" w:type="dxa"/>
            <w:vAlign w:val="bottom"/>
          </w:tcPr>
          <w:p>
            <w:pPr>
              <w:spacing w:after="0"/>
              <w:rPr>
                <w:sz w:val="13"/>
                <w:szCs w:val="13"/>
                <w:color w:val="auto"/>
              </w:rPr>
            </w:pPr>
          </w:p>
        </w:tc>
        <w:tc>
          <w:tcPr>
            <w:tcW w:w="10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w w:val="90"/>
              </w:rPr>
              <w:t>$</w:t>
            </w:r>
          </w:p>
        </w:tc>
        <w:tc>
          <w:tcPr>
            <w:tcW w:w="4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10</w:t>
            </w: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49 )</w:t>
            </w:r>
          </w:p>
        </w:tc>
        <w:tc>
          <w:tcPr>
            <w:tcW w:w="10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(75,568 )</w:t>
            </w:r>
          </w:p>
        </w:tc>
        <w:tc>
          <w:tcPr>
            <w:tcW w:w="100" w:type="dxa"/>
            <w:vAlign w:val="bottom"/>
          </w:tcPr>
          <w:p>
            <w:pPr>
              <w:spacing w:after="0" w:line="149" w:lineRule="exact"/>
              <w:rPr>
                <w:sz w:val="20"/>
                <w:szCs w:val="20"/>
                <w:color w:val="auto"/>
              </w:rPr>
            </w:pPr>
            <w:r>
              <w:rPr>
                <w:rFonts w:ascii="Calibri" w:cs="Calibri" w:eastAsia="Calibri" w:hAnsi="Calibri"/>
                <w:sz w:val="13"/>
                <w:szCs w:val="13"/>
                <w:b w:val="1"/>
                <w:bCs w:val="1"/>
                <w:color w:val="auto"/>
              </w:rPr>
              <w:t>$</w:t>
            </w: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(930,171 )</w:t>
            </w:r>
          </w:p>
        </w:tc>
        <w:tc>
          <w:tcPr>
            <w:tcW w:w="12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w:t>
            </w:r>
          </w:p>
        </w:tc>
        <w:tc>
          <w:tcPr>
            <w:tcW w:w="9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b w:val="1"/>
                <w:bCs w:val="1"/>
                <w:color w:val="auto"/>
              </w:rPr>
              <w:t>(880 )</w:t>
            </w:r>
          </w:p>
        </w:tc>
        <w:tc>
          <w:tcPr>
            <w:tcW w:w="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w w:val="90"/>
              </w:rPr>
              <w:t>$</w:t>
            </w:r>
          </w:p>
        </w:tc>
        <w:tc>
          <w:tcPr>
            <w:tcW w:w="60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261,113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-1739265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-1739265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-1739265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-1739265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-1739265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-1739265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-1739265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-1739265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-1739265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-1739265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-222250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-222250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-222250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-222250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-222250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-222250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-222250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-222250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-222250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-222250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5" w:name="page66"/>
    <w:bookmarkEnd w:id="6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08"/>
              <w:spacing w:after="0"/>
              <w:rPr>
                <w:sz w:val="20"/>
                <w:szCs w:val="20"/>
                <w:color w:val="auto"/>
              </w:rPr>
            </w:pPr>
            <w:r>
              <w:rPr>
                <w:rFonts w:ascii="Calibri" w:cs="Calibri" w:eastAsia="Calibri" w:hAnsi="Calibri"/>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7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8"/>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r>
      <w:tr>
        <w:trPr>
          <w:trHeight w:val="33"/>
        </w:trPr>
        <w:tc>
          <w:tcPr>
            <w:tcW w:w="7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7580" w:type="dxa"/>
            <w:vAlign w:val="bottom"/>
            <w:shd w:val="clear" w:color="auto" w:fill="CFF0FC"/>
          </w:tcPr>
          <w:p>
            <w:pPr>
              <w:ind w:left="20"/>
              <w:spacing w:after="0" w:line="169" w:lineRule="exact"/>
              <w:rPr>
                <w:sz w:val="20"/>
                <w:szCs w:val="20"/>
                <w:color w:val="auto"/>
              </w:rPr>
            </w:pPr>
            <w:r>
              <w:rPr>
                <w:rFonts w:ascii="Calibri" w:cs="Calibri" w:eastAsia="Calibri" w:hAnsi="Calibri"/>
                <w:sz w:val="14"/>
                <w:szCs w:val="14"/>
                <w:b w:val="1"/>
                <w:bCs w:val="1"/>
                <w:color w:val="auto"/>
              </w:rPr>
              <w:t>Cash fows from operatng actvites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Net income</w:t>
            </w:r>
          </w:p>
        </w:tc>
        <w:tc>
          <w:tcPr>
            <w:tcW w:w="240" w:type="dxa"/>
            <w:vAlign w:val="bottom"/>
          </w:tcPr>
          <w:p>
            <w:pPr>
              <w:jc w:val="right"/>
              <w:ind w:right="88"/>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14,302</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color w:val="auto"/>
                <w:w w:val="83"/>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113,141</w:t>
            </w:r>
          </w:p>
        </w:tc>
        <w:tc>
          <w:tcPr>
            <w:tcW w:w="2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70,779</w:t>
            </w:r>
          </w:p>
        </w:tc>
        <w:tc>
          <w:tcPr>
            <w:tcW w:w="100" w:type="dxa"/>
            <w:vAlign w:val="bottom"/>
          </w:tcPr>
          <w:p>
            <w:pPr>
              <w:spacing w:after="0"/>
              <w:rPr>
                <w:sz w:val="15"/>
                <w:szCs w:val="15"/>
                <w:color w:val="auto"/>
              </w:rPr>
            </w:pP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Adjustments to reconcile net income to net cash provided by operatng actvites: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Depreciaton and amortzaton</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44,238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17,178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7,732</w:t>
            </w:r>
          </w:p>
        </w:tc>
        <w:tc>
          <w:tcPr>
            <w:tcW w:w="100" w:type="dxa"/>
            <w:vAlign w:val="bottom"/>
          </w:tcPr>
          <w:p>
            <w:pPr>
              <w:spacing w:after="0"/>
              <w:rPr>
                <w:sz w:val="15"/>
                <w:szCs w:val="15"/>
                <w:color w:val="auto"/>
              </w:rPr>
            </w:pP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Amortzaton of leases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1,697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818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2,170</w:t>
            </w: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Amortzaton of deferred fnancing costs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988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924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1,052</w:t>
            </w:r>
          </w:p>
        </w:tc>
        <w:tc>
          <w:tcPr>
            <w:tcW w:w="100" w:type="dxa"/>
            <w:vAlign w:val="bottom"/>
          </w:tcPr>
          <w:p>
            <w:pPr>
              <w:spacing w:after="0"/>
              <w:rPr>
                <w:sz w:val="15"/>
                <w:szCs w:val="15"/>
                <w:color w:val="auto"/>
              </w:rPr>
            </w:pP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Equity-based compensaton</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50,429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27,614</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19,053</w:t>
            </w: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Change in fair value of warrants</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(4,044 )</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(971 )</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(8,227 )</w:t>
            </w: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Loss on asset disposals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277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685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369</w:t>
            </w: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Change in fair value of derivatve asset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800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(536 )</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Deferred income tax expense (beneft)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1,246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(44,859 )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Non-cash interest income – net</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(890 )</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(261 )</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Unrealized foreign currency loss (gain)</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4,056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(2,177 )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Adjustment of liabilites under TRA</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(6,166 )</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574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Change in fair value of contngent consideraton</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(998 )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(2,065 )</w:t>
            </w: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Loss on extnguishment of debt</w:t>
            </w:r>
          </w:p>
        </w:tc>
        <w:tc>
          <w:tcPr>
            <w:tcW w:w="24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4,285</w:t>
            </w:r>
          </w:p>
        </w:tc>
        <w:tc>
          <w:tcPr>
            <w:tcW w:w="100" w:type="dxa"/>
            <w:vAlign w:val="bottom"/>
          </w:tcPr>
          <w:p>
            <w:pPr>
              <w:spacing w:after="0"/>
              <w:rPr>
                <w:sz w:val="15"/>
                <w:szCs w:val="15"/>
                <w:color w:val="auto"/>
              </w:rPr>
            </w:pP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Changes in operatng assets and liabilites: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Accounts receivable – net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9,776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(17,129 )</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(329 )</w:t>
            </w: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Inventory – net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1,413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(8,184 )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(1,010 )</w:t>
            </w: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Prepaid expenses and other current assets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1,161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(1,176 )</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42,894</w:t>
            </w:r>
          </w:p>
        </w:tc>
        <w:tc>
          <w:tcPr>
            <w:tcW w:w="100" w:type="dxa"/>
            <w:vAlign w:val="bottom"/>
          </w:tcPr>
          <w:p>
            <w:pPr>
              <w:spacing w:after="0"/>
              <w:rPr>
                <w:sz w:val="15"/>
                <w:szCs w:val="15"/>
                <w:color w:val="auto"/>
              </w:rPr>
            </w:pP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Accounts payable</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(23,691 )</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53,817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(30,779 )</w:t>
            </w: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Accrued expenses and other current liabilites</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(30,164 )</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1,336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(94,415 )</w:t>
            </w:r>
          </w:p>
        </w:tc>
      </w:tr>
      <w:tr>
        <w:trPr>
          <w:trHeight w:val="178"/>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Deferred revenue</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(10,870 )</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827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6,844</w:t>
            </w: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100"/>
              <w:spacing w:after="0"/>
              <w:rPr>
                <w:sz w:val="20"/>
                <w:szCs w:val="20"/>
                <w:color w:val="auto"/>
              </w:rPr>
            </w:pPr>
            <w:r>
              <w:rPr>
                <w:rFonts w:ascii="Calibri" w:cs="Calibri" w:eastAsia="Calibri" w:hAnsi="Calibri"/>
                <w:sz w:val="14"/>
                <w:szCs w:val="14"/>
                <w:color w:val="auto"/>
              </w:rPr>
              <w:t>Long-term lease liabilites</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(994 )</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176"/>
        </w:trPr>
        <w:tc>
          <w:tcPr>
            <w:tcW w:w="758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Other assets and liabilites – net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358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6,697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(3,978 )</w:t>
            </w:r>
          </w:p>
        </w:tc>
      </w:tr>
      <w:tr>
        <w:trPr>
          <w:trHeight w:val="169"/>
        </w:trPr>
        <w:tc>
          <w:tcPr>
            <w:tcW w:w="7580" w:type="dxa"/>
            <w:vAlign w:val="bottom"/>
            <w:tcBorders>
              <w:top w:val="single" w:sz="8" w:color="CFF0FC"/>
            </w:tcBorders>
          </w:tcPr>
          <w:p>
            <w:pPr>
              <w:ind w:left="160"/>
              <w:spacing w:after="0" w:line="169" w:lineRule="exact"/>
              <w:rPr>
                <w:sz w:val="20"/>
                <w:szCs w:val="20"/>
                <w:color w:val="auto"/>
              </w:rPr>
            </w:pPr>
            <w:r>
              <w:rPr>
                <w:rFonts w:ascii="Calibri" w:cs="Calibri" w:eastAsia="Calibri" w:hAnsi="Calibri"/>
                <w:sz w:val="14"/>
                <w:szCs w:val="14"/>
                <w:b w:val="1"/>
                <w:bCs w:val="1"/>
                <w:color w:val="auto"/>
              </w:rPr>
              <w:t>Net cash provided by operatng actvites</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rPr>
              <w:t>53,922</w:t>
            </w:r>
          </w:p>
        </w:tc>
        <w:tc>
          <w:tcPr>
            <w:tcW w:w="26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rPr>
              <w:t>147,320</w:t>
            </w: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rPr>
              <w:t>14,375</w:t>
            </w:r>
          </w:p>
        </w:tc>
        <w:tc>
          <w:tcPr>
            <w:tcW w:w="100" w:type="dxa"/>
            <w:vAlign w:val="bottom"/>
            <w:tcBorders>
              <w:top w:val="single" w:sz="8" w:color="CFF0FC"/>
            </w:tcBorders>
          </w:tcPr>
          <w:p>
            <w:pPr>
              <w:spacing w:after="0"/>
              <w:rPr>
                <w:sz w:val="14"/>
                <w:szCs w:val="14"/>
                <w:color w:val="auto"/>
              </w:rPr>
            </w:pP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Cash fows from investng actvites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Purchases of property and equipment</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(4,227 )</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(895 )</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(3,558 )</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Purchases of personal seat licenses</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(737 )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(542 )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(165 )</w:t>
            </w: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Investments in developed technology</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(19,014 )</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(11,339 )</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(11,684 )</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Purchases of seat images</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(347 )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Disbursement of 2024 Sponsorship Loan</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(2,000 )</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Payments of Acquired Domain Name Obligaton</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(417 )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Transfer of cash consideraton during Acquisitons, net of cash acquired</w:t>
            </w:r>
          </w:p>
        </w:tc>
        <w:tc>
          <w:tcPr>
            <w:tcW w:w="24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(206,865 )</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(8 )</w:t>
            </w:r>
          </w:p>
        </w:tc>
      </w:tr>
      <w:tr>
        <w:trPr>
          <w:trHeight w:val="175"/>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Investment in Note and Warrant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(6,000 )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20"/>
        </w:trPr>
        <w:tc>
          <w:tcPr>
            <w:tcW w:w="7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580" w:type="dxa"/>
            <w:vAlign w:val="bottom"/>
          </w:tcPr>
          <w:p>
            <w:pPr>
              <w:ind w:left="160"/>
              <w:spacing w:after="0" w:line="169" w:lineRule="exact"/>
              <w:rPr>
                <w:sz w:val="20"/>
                <w:szCs w:val="20"/>
                <w:color w:val="auto"/>
              </w:rPr>
            </w:pPr>
            <w:r>
              <w:rPr>
                <w:rFonts w:ascii="Calibri" w:cs="Calibri" w:eastAsia="Calibri" w:hAnsi="Calibri"/>
                <w:sz w:val="14"/>
                <w:szCs w:val="14"/>
                <w:b w:val="1"/>
                <w:bCs w:val="1"/>
                <w:color w:val="auto"/>
              </w:rPr>
              <w:t>Net cash used in investng actvites</w:t>
            </w:r>
          </w:p>
        </w:tc>
        <w:tc>
          <w:tcPr>
            <w:tcW w:w="240" w:type="dxa"/>
            <w:vAlign w:val="bottom"/>
          </w:tcPr>
          <w:p>
            <w:pPr>
              <w:spacing w:after="0"/>
              <w:rPr>
                <w:sz w:val="14"/>
                <w:szCs w:val="14"/>
                <w:color w:val="auto"/>
              </w:rPr>
            </w:pPr>
          </w:p>
        </w:tc>
        <w:tc>
          <w:tcPr>
            <w:tcW w:w="1060" w:type="dxa"/>
            <w:vAlign w:val="bottom"/>
            <w:gridSpan w:val="2"/>
          </w:tcPr>
          <w:p>
            <w:pPr>
              <w:jc w:val="right"/>
              <w:ind w:right="200"/>
              <w:spacing w:after="0" w:line="169" w:lineRule="exact"/>
              <w:rPr>
                <w:sz w:val="20"/>
                <w:szCs w:val="20"/>
                <w:color w:val="auto"/>
              </w:rPr>
            </w:pPr>
            <w:r>
              <w:rPr>
                <w:rFonts w:ascii="Calibri" w:cs="Calibri" w:eastAsia="Calibri" w:hAnsi="Calibri"/>
                <w:sz w:val="14"/>
                <w:szCs w:val="14"/>
                <w:b w:val="1"/>
                <w:bCs w:val="1"/>
                <w:color w:val="auto"/>
              </w:rPr>
              <w:t>(26,742 )</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9" w:lineRule="exact"/>
              <w:rPr>
                <w:sz w:val="20"/>
                <w:szCs w:val="20"/>
                <w:color w:val="auto"/>
              </w:rPr>
            </w:pPr>
            <w:r>
              <w:rPr>
                <w:rFonts w:ascii="Calibri" w:cs="Calibri" w:eastAsia="Calibri" w:hAnsi="Calibri"/>
                <w:sz w:val="14"/>
                <w:szCs w:val="14"/>
                <w:b w:val="1"/>
                <w:bCs w:val="1"/>
                <w:color w:val="auto"/>
              </w:rPr>
              <w:t>(225,641 )</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Calibri" w:cs="Calibri" w:eastAsia="Calibri" w:hAnsi="Calibri"/>
                <w:sz w:val="14"/>
                <w:szCs w:val="14"/>
                <w:b w:val="1"/>
                <w:bCs w:val="1"/>
                <w:color w:val="auto"/>
              </w:rPr>
              <w:t>(15,415 )</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Cash fows from fnancing actvites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Payments of 2017 Term Loans</w:t>
            </w:r>
          </w:p>
        </w:tc>
        <w:tc>
          <w:tcPr>
            <w:tcW w:w="24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(465,712 )</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Proceeds from 2022 First Lien Loan</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275,000</w:t>
            </w:r>
          </w:p>
        </w:tc>
        <w:tc>
          <w:tcPr>
            <w:tcW w:w="100" w:type="dxa"/>
            <w:vAlign w:val="bottom"/>
            <w:shd w:val="clear" w:color="auto" w:fill="CFF0FC"/>
          </w:tcPr>
          <w:p>
            <w:pPr>
              <w:spacing w:after="0"/>
              <w:rPr>
                <w:sz w:val="15"/>
                <w:szCs w:val="15"/>
                <w:color w:val="auto"/>
              </w:rPr>
            </w:pP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Payments of 2022 First Lien Loan</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(689 )</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(2,750 )</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(2,062 )</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Repurchases of Class A common stock</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(22,982 )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(20,092 )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(32,494 )</w:t>
            </w: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Tax distributons to redeemable noncontrolling interests</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(10,014 )</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(14,304 )</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(5,245 )</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Payments of Shoko Chukin Bank Loan</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(2,655 )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(279 )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Payments of deferred fnancing costs and other debt-related expenses</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(315 )</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(4,856 )</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Proceeds from 2024 First Lien Loan</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125,500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Payments of 2024 First Lien Loan</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(1,975 )</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178"/>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Payments of taxes related to net setlement of equity incentve awards</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(714 )</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3"/>
        </w:trPr>
        <w:tc>
          <w:tcPr>
            <w:tcW w:w="7580" w:type="dxa"/>
            <w:vAlign w:val="bottom"/>
          </w:tcPr>
          <w:p>
            <w:pPr>
              <w:ind w:left="20"/>
              <w:spacing w:after="0"/>
              <w:rPr>
                <w:sz w:val="20"/>
                <w:szCs w:val="20"/>
                <w:color w:val="auto"/>
              </w:rPr>
            </w:pPr>
            <w:r>
              <w:rPr>
                <w:rFonts w:ascii="Calibri" w:cs="Calibri" w:eastAsia="Calibri" w:hAnsi="Calibri"/>
                <w:sz w:val="14"/>
                <w:szCs w:val="14"/>
                <w:color w:val="auto"/>
              </w:rPr>
              <w:t>Payment of liabilites under TRA</w:t>
            </w:r>
          </w:p>
        </w:tc>
        <w:tc>
          <w:tcPr>
            <w:tcW w:w="2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(77 )</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176"/>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Cash paid for milestone payments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(6,005 )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(1,111 )</w:t>
            </w:r>
          </w:p>
        </w:tc>
      </w:tr>
      <w:tr>
        <w:trPr>
          <w:trHeight w:val="20"/>
        </w:trPr>
        <w:tc>
          <w:tcPr>
            <w:tcW w:w="7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580" w:type="dxa"/>
            <w:vAlign w:val="bottom"/>
          </w:tcPr>
          <w:p>
            <w:pPr>
              <w:ind w:left="160"/>
              <w:spacing w:after="0" w:line="169" w:lineRule="exact"/>
              <w:rPr>
                <w:sz w:val="20"/>
                <w:szCs w:val="20"/>
                <w:color w:val="auto"/>
              </w:rPr>
            </w:pPr>
            <w:r>
              <w:rPr>
                <w:rFonts w:ascii="Calibri" w:cs="Calibri" w:eastAsia="Calibri" w:hAnsi="Calibri"/>
                <w:sz w:val="14"/>
                <w:szCs w:val="14"/>
                <w:b w:val="1"/>
                <w:bCs w:val="1"/>
                <w:color w:val="auto"/>
              </w:rPr>
              <w:t>Net cash provided by (used in) fnancing actvites</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86,079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9" w:lineRule="exact"/>
              <w:rPr>
                <w:sz w:val="20"/>
                <w:szCs w:val="20"/>
                <w:color w:val="auto"/>
              </w:rPr>
            </w:pPr>
            <w:r>
              <w:rPr>
                <w:rFonts w:ascii="Calibri" w:cs="Calibri" w:eastAsia="Calibri" w:hAnsi="Calibri"/>
                <w:sz w:val="14"/>
                <w:szCs w:val="14"/>
                <w:b w:val="1"/>
                <w:bCs w:val="1"/>
                <w:color w:val="auto"/>
              </w:rPr>
              <w:t>(43,430 )</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Calibri" w:cs="Calibri" w:eastAsia="Calibri" w:hAnsi="Calibri"/>
                <w:sz w:val="14"/>
                <w:szCs w:val="14"/>
                <w:b w:val="1"/>
                <w:bCs w:val="1"/>
                <w:color w:val="auto"/>
              </w:rPr>
              <w:t>(236,480 )</w:t>
            </w:r>
          </w:p>
        </w:tc>
      </w:tr>
      <w:tr>
        <w:trPr>
          <w:trHeight w:val="175"/>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Efect of exchange rate changes on cash, cash equivalents, and restricted cash</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4"/>
                <w:szCs w:val="14"/>
                <w:color w:val="auto"/>
              </w:rPr>
              <w:t>(1,045 )</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1,895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20"/>
        </w:trPr>
        <w:tc>
          <w:tcPr>
            <w:tcW w:w="7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Net increase (decrease) in cash, cash equivalents, and restricted cash</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112,214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80"/>
              <w:spacing w:after="0" w:line="169" w:lineRule="exact"/>
              <w:rPr>
                <w:sz w:val="20"/>
                <w:szCs w:val="20"/>
                <w:color w:val="auto"/>
              </w:rPr>
            </w:pPr>
            <w:r>
              <w:rPr>
                <w:rFonts w:ascii="Calibri" w:cs="Calibri" w:eastAsia="Calibri" w:hAnsi="Calibri"/>
                <w:sz w:val="14"/>
                <w:szCs w:val="14"/>
                <w:b w:val="1"/>
                <w:bCs w:val="1"/>
                <w:color w:val="auto"/>
              </w:rPr>
              <w:t>(119,856 )</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Calibri" w:cs="Calibri" w:eastAsia="Calibri" w:hAnsi="Calibri"/>
                <w:sz w:val="14"/>
                <w:szCs w:val="14"/>
                <w:b w:val="1"/>
                <w:bCs w:val="1"/>
                <w:color w:val="auto"/>
              </w:rPr>
              <w:t>(237,520 )</w:t>
            </w:r>
          </w:p>
        </w:tc>
      </w:tr>
      <w:tr>
        <w:trPr>
          <w:trHeight w:val="169"/>
        </w:trPr>
        <w:tc>
          <w:tcPr>
            <w:tcW w:w="7580" w:type="dxa"/>
            <w:vAlign w:val="bottom"/>
            <w:tcBorders>
              <w:bottom w:val="single" w:sz="8" w:color="CFF0FC"/>
            </w:tcBorders>
            <w:shd w:val="clear" w:color="auto" w:fill="CFF0FC"/>
          </w:tcPr>
          <w:p>
            <w:pPr>
              <w:ind w:left="20"/>
              <w:spacing w:after="0" w:line="169" w:lineRule="exact"/>
              <w:rPr>
                <w:sz w:val="20"/>
                <w:szCs w:val="20"/>
                <w:color w:val="auto"/>
              </w:rPr>
            </w:pPr>
            <w:r>
              <w:rPr>
                <w:rFonts w:ascii="Calibri" w:cs="Calibri" w:eastAsia="Calibri" w:hAnsi="Calibri"/>
                <w:sz w:val="14"/>
                <w:szCs w:val="14"/>
                <w:b w:val="1"/>
                <w:bCs w:val="1"/>
                <w:color w:val="auto"/>
              </w:rPr>
              <w:t>Cash, cash equivalents, and restricted cash – beginning of period</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132,434</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252,290</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489,810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72"/>
        </w:trPr>
        <w:tc>
          <w:tcPr>
            <w:tcW w:w="7580" w:type="dxa"/>
            <w:vAlign w:val="bottom"/>
          </w:tcPr>
          <w:p>
            <w:pPr>
              <w:ind w:left="20"/>
              <w:spacing w:after="0"/>
              <w:rPr>
                <w:sz w:val="20"/>
                <w:szCs w:val="20"/>
                <w:color w:val="auto"/>
              </w:rPr>
            </w:pPr>
            <w:r>
              <w:rPr>
                <w:rFonts w:ascii="Calibri" w:cs="Calibri" w:eastAsia="Calibri" w:hAnsi="Calibri"/>
                <w:sz w:val="14"/>
                <w:szCs w:val="14"/>
                <w:b w:val="1"/>
                <w:bCs w:val="1"/>
                <w:color w:val="auto"/>
              </w:rPr>
              <w:t>Cash, cash equivalents, and restricted cash – end of period</w:t>
            </w:r>
          </w:p>
        </w:tc>
        <w:tc>
          <w:tcPr>
            <w:tcW w:w="240" w:type="dxa"/>
            <w:vAlign w:val="bottom"/>
            <w:tcBorders>
              <w:bottom w:val="single" w:sz="8" w:color="auto"/>
            </w:tcBorders>
          </w:tcPr>
          <w:p>
            <w:pPr>
              <w:jc w:val="right"/>
              <w:ind w:right="88"/>
              <w:spacing w:after="0"/>
              <w:rPr>
                <w:sz w:val="20"/>
                <w:szCs w:val="20"/>
                <w:color w:val="auto"/>
              </w:rPr>
            </w:pPr>
            <w:r>
              <w:rPr>
                <w:rFonts w:ascii="Calibri" w:cs="Calibri" w:eastAsia="Calibri" w:hAnsi="Calibri"/>
                <w:sz w:val="14"/>
                <w:szCs w:val="14"/>
                <w:b w:val="1"/>
                <w:bCs w:val="1"/>
                <w:color w:val="auto"/>
                <w:w w:val="83"/>
              </w:rPr>
              <w:t>$</w:t>
            </w: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244,648</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132,434</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252,290</w:t>
            </w:r>
          </w:p>
        </w:tc>
        <w:tc>
          <w:tcPr>
            <w:tcW w:w="100" w:type="dxa"/>
            <w:vAlign w:val="bottom"/>
          </w:tcPr>
          <w:p>
            <w:pPr>
              <w:spacing w:after="0"/>
              <w:rPr>
                <w:sz w:val="14"/>
                <w:szCs w:val="14"/>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-3308350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-3308350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-2185670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-2185670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-616585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-616585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-385445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-385445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-145415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-145415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6" w:name="page67"/>
    <w:bookmarkEnd w:id="6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Supplemental disclosures of cash fow informaton</w:t>
            </w: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580" w:type="dxa"/>
            <w:vAlign w:val="bottom"/>
          </w:tcPr>
          <w:p>
            <w:pPr>
              <w:ind w:left="20"/>
              <w:spacing w:after="0"/>
              <w:rPr>
                <w:sz w:val="20"/>
                <w:szCs w:val="20"/>
                <w:color w:val="auto"/>
              </w:rPr>
            </w:pPr>
            <w:r>
              <w:rPr>
                <w:rFonts w:ascii="Calibri" w:cs="Calibri" w:eastAsia="Calibri" w:hAnsi="Calibri"/>
                <w:sz w:val="14"/>
                <w:szCs w:val="14"/>
                <w:color w:val="auto"/>
              </w:rPr>
              <w:t>Cash paid for interest</w:t>
            </w:r>
          </w:p>
        </w:tc>
        <w:tc>
          <w:tcPr>
            <w:tcW w:w="360" w:type="dxa"/>
            <w:vAlign w:val="bottom"/>
          </w:tcPr>
          <w:p>
            <w:pPr>
              <w:jc w:val="right"/>
              <w:ind w:right="20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19,498</w:t>
            </w:r>
          </w:p>
        </w:tc>
        <w:tc>
          <w:tcPr>
            <w:tcW w:w="56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19,330</w:t>
            </w:r>
          </w:p>
        </w:tc>
        <w:tc>
          <w:tcPr>
            <w:tcW w:w="580" w:type="dxa"/>
            <w:vAlign w:val="bottom"/>
            <w:gridSpan w:val="2"/>
          </w:tcPr>
          <w:p>
            <w:pPr>
              <w:jc w:val="right"/>
              <w:ind w:right="18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14,794</w:t>
            </w:r>
          </w:p>
        </w:tc>
        <w:tc>
          <w:tcPr>
            <w:tcW w:w="100" w:type="dxa"/>
            <w:vAlign w:val="bottom"/>
          </w:tcPr>
          <w:p>
            <w:pPr>
              <w:spacing w:after="0"/>
              <w:rPr>
                <w:sz w:val="15"/>
                <w:szCs w:val="15"/>
                <w:color w:val="auto"/>
              </w:rPr>
            </w:pPr>
          </w:p>
        </w:tc>
      </w:tr>
      <w:tr>
        <w:trPr>
          <w:trHeight w:val="20"/>
        </w:trPr>
        <w:tc>
          <w:tcPr>
            <w:tcW w:w="7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80" w:type="dxa"/>
            <w:vAlign w:val="bottom"/>
            <w:tcBorders>
              <w:bottom w:val="single" w:sz="8" w:color="CFF0FC"/>
            </w:tcBorders>
            <w:shd w:val="clear" w:color="auto" w:fill="CFF0FC"/>
          </w:tcPr>
          <w:p>
            <w:pPr>
              <w:ind w:left="20"/>
              <w:spacing w:after="0" w:line="156" w:lineRule="exact"/>
              <w:rPr>
                <w:sz w:val="20"/>
                <w:szCs w:val="20"/>
                <w:color w:val="auto"/>
              </w:rPr>
            </w:pPr>
            <w:r>
              <w:rPr>
                <w:rFonts w:ascii="Calibri" w:cs="Calibri" w:eastAsia="Calibri" w:hAnsi="Calibri"/>
                <w:sz w:val="14"/>
                <w:szCs w:val="14"/>
                <w:color w:val="auto"/>
              </w:rPr>
              <w:t>Cash paid for income taxes</w:t>
            </w:r>
          </w:p>
        </w:tc>
        <w:tc>
          <w:tcPr>
            <w:tcW w:w="360" w:type="dxa"/>
            <w:vAlign w:val="bottom"/>
            <w:tcBorders>
              <w:bottom w:val="single" w:sz="8" w:color="auto"/>
            </w:tcBorders>
            <w:shd w:val="clear" w:color="auto" w:fill="CFF0FC"/>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5,469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4,021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580" w:type="dxa"/>
            <w:vAlign w:val="bottom"/>
          </w:tcPr>
          <w:p>
            <w:pPr>
              <w:ind w:left="20"/>
              <w:spacing w:after="0" w:line="156" w:lineRule="exact"/>
              <w:rPr>
                <w:sz w:val="20"/>
                <w:szCs w:val="20"/>
                <w:color w:val="auto"/>
              </w:rPr>
            </w:pPr>
            <w:r>
              <w:rPr>
                <w:rFonts w:ascii="Calibri" w:cs="Calibri" w:eastAsia="Calibri" w:hAnsi="Calibri"/>
                <w:sz w:val="14"/>
                <w:szCs w:val="14"/>
                <w:color w:val="auto"/>
              </w:rPr>
              <w:t>Cash paid for operatng lease liabilites</w:t>
            </w:r>
          </w:p>
        </w:tc>
        <w:tc>
          <w:tcPr>
            <w:tcW w:w="360" w:type="dxa"/>
            <w:vAlign w:val="bottom"/>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line="156" w:lineRule="exact"/>
              <w:rPr>
                <w:sz w:val="20"/>
                <w:szCs w:val="20"/>
                <w:color w:val="auto"/>
              </w:rPr>
            </w:pPr>
            <w:r>
              <w:rPr>
                <w:rFonts w:ascii="Calibri" w:cs="Calibri" w:eastAsia="Calibri" w:hAnsi="Calibri"/>
                <w:sz w:val="14"/>
                <w:szCs w:val="14"/>
                <w:color w:val="auto"/>
              </w:rPr>
              <w:t>3,377</w:t>
            </w:r>
          </w:p>
        </w:tc>
        <w:tc>
          <w:tcPr>
            <w:tcW w:w="560" w:type="dxa"/>
            <w:vAlign w:val="bottom"/>
            <w:gridSpan w:val="2"/>
          </w:tcPr>
          <w:p>
            <w:pPr>
              <w:jc w:val="right"/>
              <w:ind w:right="148"/>
              <w:spacing w:after="0" w:line="156"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56" w:lineRule="exact"/>
              <w:rPr>
                <w:sz w:val="20"/>
                <w:szCs w:val="20"/>
                <w:color w:val="auto"/>
              </w:rPr>
            </w:pPr>
            <w:r>
              <w:rPr>
                <w:rFonts w:ascii="Calibri" w:cs="Calibri" w:eastAsia="Calibri" w:hAnsi="Calibri"/>
                <w:sz w:val="14"/>
                <w:szCs w:val="14"/>
                <w:color w:val="auto"/>
              </w:rPr>
              <w:t>1,165</w:t>
            </w:r>
          </w:p>
        </w:tc>
        <w:tc>
          <w:tcPr>
            <w:tcW w:w="580" w:type="dxa"/>
            <w:vAlign w:val="bottom"/>
            <w:gridSpan w:val="2"/>
          </w:tcPr>
          <w:p>
            <w:pPr>
              <w:jc w:val="right"/>
              <w:ind w:right="188"/>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56" w:lineRule="exact"/>
              <w:rPr>
                <w:sz w:val="20"/>
                <w:szCs w:val="20"/>
                <w:color w:val="auto"/>
              </w:rPr>
            </w:pPr>
            <w:r>
              <w:rPr>
                <w:rFonts w:ascii="Calibri" w:cs="Calibri" w:eastAsia="Calibri" w:hAnsi="Calibri"/>
                <w:sz w:val="14"/>
                <w:szCs w:val="14"/>
                <w:color w:val="auto"/>
              </w:rPr>
              <w:t>3,113</w:t>
            </w:r>
          </w:p>
        </w:tc>
        <w:tc>
          <w:tcPr>
            <w:tcW w:w="100" w:type="dxa"/>
            <w:vAlign w:val="bottom"/>
          </w:tcPr>
          <w:p>
            <w:pPr>
              <w:spacing w:after="0"/>
              <w:rPr>
                <w:sz w:val="13"/>
                <w:szCs w:val="13"/>
                <w:color w:val="auto"/>
              </w:rPr>
            </w:pPr>
          </w:p>
        </w:tc>
      </w:tr>
      <w:tr>
        <w:trPr>
          <w:trHeight w:val="20"/>
        </w:trPr>
        <w:tc>
          <w:tcPr>
            <w:tcW w:w="7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580" w:type="dxa"/>
            <w:vAlign w:val="bottom"/>
            <w:shd w:val="clear" w:color="auto" w:fill="CFF0FC"/>
          </w:tcPr>
          <w:p>
            <w:pPr>
              <w:ind w:left="20"/>
              <w:spacing w:after="0" w:line="156" w:lineRule="exact"/>
              <w:rPr>
                <w:sz w:val="20"/>
                <w:szCs w:val="20"/>
                <w:color w:val="auto"/>
              </w:rPr>
            </w:pPr>
            <w:r>
              <w:rPr>
                <w:rFonts w:ascii="Calibri" w:cs="Calibri" w:eastAsia="Calibri" w:hAnsi="Calibri"/>
                <w:sz w:val="14"/>
                <w:szCs w:val="14"/>
                <w:b w:val="1"/>
                <w:bCs w:val="1"/>
                <w:color w:val="auto"/>
              </w:rPr>
              <w:t>Supplemental disclosures of non-cash investng and fnancing actvites</w:t>
            </w:r>
          </w:p>
        </w:tc>
        <w:tc>
          <w:tcPr>
            <w:tcW w:w="3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580" w:type="dxa"/>
            <w:vAlign w:val="bottom"/>
          </w:tcPr>
          <w:p>
            <w:pPr>
              <w:ind w:left="20"/>
              <w:spacing w:after="0"/>
              <w:rPr>
                <w:sz w:val="20"/>
                <w:szCs w:val="20"/>
                <w:color w:val="auto"/>
              </w:rPr>
            </w:pPr>
            <w:r>
              <w:rPr>
                <w:rFonts w:ascii="Calibri" w:cs="Calibri" w:eastAsia="Calibri" w:hAnsi="Calibri"/>
                <w:sz w:val="14"/>
                <w:szCs w:val="14"/>
                <w:color w:val="auto"/>
              </w:rPr>
              <w:t>Equity-based compensaton expense related to capitalized development costs</w:t>
            </w:r>
          </w:p>
        </w:tc>
        <w:tc>
          <w:tcPr>
            <w:tcW w:w="360" w:type="dxa"/>
            <w:vAlign w:val="bottom"/>
          </w:tcPr>
          <w:p>
            <w:pPr>
              <w:jc w:val="right"/>
              <w:ind w:right="20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766</w:t>
            </w:r>
          </w:p>
        </w:tc>
        <w:tc>
          <w:tcPr>
            <w:tcW w:w="56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428</w:t>
            </w:r>
          </w:p>
        </w:tc>
        <w:tc>
          <w:tcPr>
            <w:tcW w:w="580" w:type="dxa"/>
            <w:vAlign w:val="bottom"/>
            <w:gridSpan w:val="2"/>
          </w:tcPr>
          <w:p>
            <w:pPr>
              <w:jc w:val="right"/>
              <w:ind w:right="18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79</w:t>
            </w:r>
          </w:p>
        </w:tc>
        <w:tc>
          <w:tcPr>
            <w:tcW w:w="100" w:type="dxa"/>
            <w:vAlign w:val="bottom"/>
          </w:tcPr>
          <w:p>
            <w:pPr>
              <w:spacing w:after="0"/>
              <w:rPr>
                <w:sz w:val="15"/>
                <w:szCs w:val="15"/>
                <w:color w:val="auto"/>
              </w:rPr>
            </w:pPr>
          </w:p>
        </w:tc>
      </w:tr>
      <w:tr>
        <w:trPr>
          <w:trHeight w:val="20"/>
        </w:trPr>
        <w:tc>
          <w:tcPr>
            <w:tcW w:w="7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80" w:type="dxa"/>
            <w:vAlign w:val="bottom"/>
            <w:tcBorders>
              <w:bottom w:val="single" w:sz="8" w:color="CFF0FC"/>
            </w:tcBorders>
            <w:shd w:val="clear" w:color="auto" w:fill="CFF0FC"/>
          </w:tcPr>
          <w:p>
            <w:pPr>
              <w:ind w:left="20"/>
              <w:spacing w:after="0" w:line="156" w:lineRule="exact"/>
              <w:rPr>
                <w:sz w:val="20"/>
                <w:szCs w:val="20"/>
                <w:color w:val="auto"/>
              </w:rPr>
            </w:pPr>
            <w:r>
              <w:rPr>
                <w:rFonts w:ascii="Calibri" w:cs="Calibri" w:eastAsia="Calibri" w:hAnsi="Calibri"/>
                <w:sz w:val="14"/>
                <w:szCs w:val="14"/>
                <w:color w:val="auto"/>
              </w:rPr>
              <w:t>Right-of-use assets obtained in exchange for operatng lease liabilites</w:t>
            </w:r>
          </w:p>
        </w:tc>
        <w:tc>
          <w:tcPr>
            <w:tcW w:w="360" w:type="dxa"/>
            <w:vAlign w:val="bottom"/>
            <w:tcBorders>
              <w:bottom w:val="single" w:sz="8" w:color="auto"/>
            </w:tcBorders>
            <w:shd w:val="clear" w:color="auto" w:fill="CFF0FC"/>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4,663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3,406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580" w:type="dxa"/>
            <w:vAlign w:val="bottom"/>
          </w:tcPr>
          <w:p>
            <w:pPr>
              <w:ind w:left="20"/>
              <w:spacing w:after="0" w:line="156" w:lineRule="exact"/>
              <w:rPr>
                <w:sz w:val="20"/>
                <w:szCs w:val="20"/>
                <w:color w:val="auto"/>
              </w:rPr>
            </w:pPr>
            <w:r>
              <w:rPr>
                <w:rFonts w:ascii="Calibri" w:cs="Calibri" w:eastAsia="Calibri" w:hAnsi="Calibri"/>
                <w:sz w:val="14"/>
                <w:szCs w:val="14"/>
                <w:color w:val="auto"/>
              </w:rPr>
              <w:t>Property and equipment obtained through tenant improvement allowance</w:t>
            </w:r>
          </w:p>
        </w:tc>
        <w:tc>
          <w:tcPr>
            <w:tcW w:w="360" w:type="dxa"/>
            <w:vAlign w:val="bottom"/>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line="156" w:lineRule="exact"/>
              <w:rPr>
                <w:sz w:val="20"/>
                <w:szCs w:val="20"/>
                <w:color w:val="auto"/>
              </w:rPr>
            </w:pPr>
            <w:r>
              <w:rPr>
                <w:rFonts w:ascii="Calibri" w:cs="Calibri" w:eastAsia="Calibri" w:hAnsi="Calibri"/>
                <w:sz w:val="14"/>
                <w:szCs w:val="14"/>
                <w:color w:val="auto"/>
              </w:rPr>
              <w:t>651</w:t>
            </w:r>
          </w:p>
        </w:tc>
        <w:tc>
          <w:tcPr>
            <w:tcW w:w="560" w:type="dxa"/>
            <w:vAlign w:val="bottom"/>
            <w:gridSpan w:val="2"/>
          </w:tcPr>
          <w:p>
            <w:pPr>
              <w:jc w:val="right"/>
              <w:ind w:right="148"/>
              <w:spacing w:after="0" w:line="156"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580" w:type="dxa"/>
            <w:vAlign w:val="bottom"/>
            <w:gridSpan w:val="2"/>
          </w:tcPr>
          <w:p>
            <w:pPr>
              <w:jc w:val="right"/>
              <w:ind w:right="188"/>
              <w:spacing w:after="0" w:line="156"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56" w:lineRule="exact"/>
              <w:rPr>
                <w:sz w:val="20"/>
                <w:szCs w:val="20"/>
                <w:color w:val="auto"/>
              </w:rPr>
            </w:pPr>
            <w:r>
              <w:rPr>
                <w:rFonts w:ascii="Calibri" w:cs="Calibri" w:eastAsia="Calibri" w:hAnsi="Calibri"/>
                <w:sz w:val="14"/>
                <w:szCs w:val="14"/>
                <w:color w:val="auto"/>
              </w:rPr>
              <w:t>6,472</w:t>
            </w:r>
          </w:p>
        </w:tc>
        <w:tc>
          <w:tcPr>
            <w:tcW w:w="100" w:type="dxa"/>
            <w:vAlign w:val="bottom"/>
          </w:tcPr>
          <w:p>
            <w:pPr>
              <w:spacing w:after="0"/>
              <w:rPr>
                <w:sz w:val="13"/>
                <w:szCs w:val="13"/>
                <w:color w:val="auto"/>
              </w:rPr>
            </w:pPr>
          </w:p>
        </w:tc>
      </w:tr>
      <w:tr>
        <w:trPr>
          <w:trHeight w:val="20"/>
        </w:trPr>
        <w:tc>
          <w:tcPr>
            <w:tcW w:w="7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80" w:type="dxa"/>
            <w:vAlign w:val="bottom"/>
            <w:tcBorders>
              <w:bottom w:val="single" w:sz="8" w:color="CFF0FC"/>
            </w:tcBorders>
            <w:shd w:val="clear" w:color="auto" w:fill="CFF0FC"/>
          </w:tcPr>
          <w:p>
            <w:pPr>
              <w:ind w:left="20"/>
              <w:spacing w:after="0" w:line="156" w:lineRule="exact"/>
              <w:rPr>
                <w:sz w:val="20"/>
                <w:szCs w:val="20"/>
                <w:color w:val="auto"/>
              </w:rPr>
            </w:pPr>
            <w:r>
              <w:rPr>
                <w:rFonts w:ascii="Calibri" w:cs="Calibri" w:eastAsia="Calibri" w:hAnsi="Calibri"/>
                <w:sz w:val="14"/>
                <w:szCs w:val="14"/>
                <w:color w:val="auto"/>
              </w:rPr>
              <w:t>Domain obtained through Acquired Domain Name Obligaton</w:t>
            </w:r>
          </w:p>
        </w:tc>
        <w:tc>
          <w:tcPr>
            <w:tcW w:w="360" w:type="dxa"/>
            <w:vAlign w:val="bottom"/>
            <w:tcBorders>
              <w:bottom w:val="single" w:sz="8" w:color="auto"/>
            </w:tcBorders>
            <w:shd w:val="clear" w:color="auto" w:fill="CFF0FC"/>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17,348</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580" w:type="dxa"/>
            <w:vAlign w:val="bottom"/>
          </w:tcPr>
          <w:p>
            <w:pPr>
              <w:ind w:left="20"/>
              <w:spacing w:after="0" w:line="156" w:lineRule="exact"/>
              <w:rPr>
                <w:sz w:val="20"/>
                <w:szCs w:val="20"/>
                <w:color w:val="auto"/>
              </w:rPr>
            </w:pPr>
            <w:r>
              <w:rPr>
                <w:rFonts w:ascii="Calibri" w:cs="Calibri" w:eastAsia="Calibri" w:hAnsi="Calibri"/>
                <w:sz w:val="14"/>
                <w:szCs w:val="14"/>
                <w:color w:val="auto"/>
              </w:rPr>
              <w:t>Reducton of deferred tax assets under the repurchases of Class A common stock, net of tax impacts</w:t>
            </w:r>
          </w:p>
        </w:tc>
        <w:tc>
          <w:tcPr>
            <w:tcW w:w="360" w:type="dxa"/>
            <w:vAlign w:val="bottom"/>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line="156" w:lineRule="exact"/>
              <w:rPr>
                <w:sz w:val="20"/>
                <w:szCs w:val="20"/>
                <w:color w:val="auto"/>
              </w:rPr>
            </w:pPr>
            <w:r>
              <w:rPr>
                <w:rFonts w:ascii="Calibri" w:cs="Calibri" w:eastAsia="Calibri" w:hAnsi="Calibri"/>
                <w:sz w:val="14"/>
                <w:szCs w:val="14"/>
                <w:color w:val="auto"/>
              </w:rPr>
              <w:t>1,952</w:t>
            </w:r>
          </w:p>
        </w:tc>
        <w:tc>
          <w:tcPr>
            <w:tcW w:w="560" w:type="dxa"/>
            <w:vAlign w:val="bottom"/>
            <w:gridSpan w:val="2"/>
          </w:tcPr>
          <w:p>
            <w:pPr>
              <w:jc w:val="right"/>
              <w:ind w:right="148"/>
              <w:spacing w:after="0" w:line="156"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580" w:type="dxa"/>
            <w:vAlign w:val="bottom"/>
            <w:gridSpan w:val="2"/>
          </w:tcPr>
          <w:p>
            <w:pPr>
              <w:jc w:val="right"/>
              <w:ind w:right="188"/>
              <w:spacing w:after="0" w:line="156" w:lineRule="exact"/>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ind w:right="120"/>
              <w:spacing w:after="0" w:line="156" w:lineRule="exact"/>
              <w:rPr>
                <w:sz w:val="20"/>
                <w:szCs w:val="20"/>
                <w:color w:val="auto"/>
              </w:rPr>
            </w:pPr>
            <w:r>
              <w:rPr>
                <w:rFonts w:ascii="Calibri" w:cs="Calibri" w:eastAsia="Calibri" w:hAnsi="Calibri"/>
                <w:sz w:val="14"/>
                <w:szCs w:val="14"/>
                <w:color w:val="auto"/>
              </w:rPr>
              <w:t>—</w:t>
            </w:r>
          </w:p>
        </w:tc>
      </w:tr>
      <w:tr>
        <w:trPr>
          <w:trHeight w:val="20"/>
        </w:trPr>
        <w:tc>
          <w:tcPr>
            <w:tcW w:w="7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80" w:type="dxa"/>
            <w:vAlign w:val="bottom"/>
            <w:tcBorders>
              <w:bottom w:val="single" w:sz="8" w:color="CFF0FC"/>
            </w:tcBorders>
            <w:shd w:val="clear" w:color="auto" w:fill="CFF0FC"/>
          </w:tcPr>
          <w:p>
            <w:pPr>
              <w:ind w:left="20"/>
              <w:spacing w:after="0" w:line="156" w:lineRule="exact"/>
              <w:rPr>
                <w:sz w:val="20"/>
                <w:szCs w:val="20"/>
                <w:color w:val="auto"/>
              </w:rPr>
            </w:pPr>
            <w:r>
              <w:rPr>
                <w:rFonts w:ascii="Calibri" w:cs="Calibri" w:eastAsia="Calibri" w:hAnsi="Calibri"/>
                <w:sz w:val="14"/>
                <w:szCs w:val="14"/>
                <w:color w:val="auto"/>
              </w:rPr>
              <w:t>Transfer of non-cash consideraton during Vegas.com Acquisiton</w:t>
            </w:r>
          </w:p>
        </w:tc>
        <w:tc>
          <w:tcPr>
            <w:tcW w:w="360" w:type="dxa"/>
            <w:vAlign w:val="bottom"/>
            <w:tcBorders>
              <w:bottom w:val="single" w:sz="8" w:color="auto"/>
            </w:tcBorders>
            <w:shd w:val="clear" w:color="auto" w:fill="CFF0FC"/>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95,497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580" w:type="dxa"/>
            <w:vAlign w:val="bottom"/>
          </w:tcPr>
          <w:p>
            <w:pPr>
              <w:ind w:left="20"/>
              <w:spacing w:after="0" w:line="156" w:lineRule="exact"/>
              <w:rPr>
                <w:sz w:val="20"/>
                <w:szCs w:val="20"/>
                <w:color w:val="auto"/>
              </w:rPr>
            </w:pPr>
            <w:r>
              <w:rPr>
                <w:rFonts w:ascii="Calibri" w:cs="Calibri" w:eastAsia="Calibri" w:hAnsi="Calibri"/>
                <w:sz w:val="14"/>
                <w:szCs w:val="14"/>
                <w:color w:val="auto"/>
              </w:rPr>
              <w:t>Establishment of liabilites under TRA</w:t>
            </w:r>
          </w:p>
        </w:tc>
        <w:tc>
          <w:tcPr>
            <w:tcW w:w="360" w:type="dxa"/>
            <w:vAlign w:val="bottom"/>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560" w:type="dxa"/>
            <w:vAlign w:val="bottom"/>
            <w:gridSpan w:val="2"/>
          </w:tcPr>
          <w:p>
            <w:pPr>
              <w:jc w:val="right"/>
              <w:ind w:right="148"/>
              <w:spacing w:after="0" w:line="156"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56" w:lineRule="exact"/>
              <w:rPr>
                <w:sz w:val="20"/>
                <w:szCs w:val="20"/>
                <w:color w:val="auto"/>
              </w:rPr>
            </w:pPr>
            <w:r>
              <w:rPr>
                <w:rFonts w:ascii="Calibri" w:cs="Calibri" w:eastAsia="Calibri" w:hAnsi="Calibri"/>
                <w:sz w:val="14"/>
                <w:szCs w:val="14"/>
                <w:color w:val="auto"/>
              </w:rPr>
              <w:t>165,202</w:t>
            </w:r>
          </w:p>
        </w:tc>
        <w:tc>
          <w:tcPr>
            <w:tcW w:w="580" w:type="dxa"/>
            <w:vAlign w:val="bottom"/>
            <w:gridSpan w:val="2"/>
          </w:tcPr>
          <w:p>
            <w:pPr>
              <w:jc w:val="right"/>
              <w:ind w:right="188"/>
              <w:spacing w:after="0" w:line="156" w:lineRule="exact"/>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ind w:right="120"/>
              <w:spacing w:after="0" w:line="156" w:lineRule="exact"/>
              <w:rPr>
                <w:sz w:val="20"/>
                <w:szCs w:val="20"/>
                <w:color w:val="auto"/>
              </w:rPr>
            </w:pPr>
            <w:r>
              <w:rPr>
                <w:rFonts w:ascii="Calibri" w:cs="Calibri" w:eastAsia="Calibri" w:hAnsi="Calibri"/>
                <w:sz w:val="14"/>
                <w:szCs w:val="14"/>
                <w:color w:val="auto"/>
              </w:rPr>
              <w:t>—</w:t>
            </w:r>
          </w:p>
        </w:tc>
      </w:tr>
      <w:tr>
        <w:trPr>
          <w:trHeight w:val="20"/>
        </w:trPr>
        <w:tc>
          <w:tcPr>
            <w:tcW w:w="7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80" w:type="dxa"/>
            <w:vAlign w:val="bottom"/>
            <w:tcBorders>
              <w:bottom w:val="single" w:sz="8" w:color="CFF0FC"/>
            </w:tcBorders>
            <w:shd w:val="clear" w:color="auto" w:fill="CFF0FC"/>
          </w:tcPr>
          <w:p>
            <w:pPr>
              <w:ind w:left="20"/>
              <w:spacing w:after="0" w:line="156" w:lineRule="exact"/>
              <w:rPr>
                <w:sz w:val="20"/>
                <w:szCs w:val="20"/>
                <w:color w:val="auto"/>
              </w:rPr>
            </w:pPr>
            <w:r>
              <w:rPr>
                <w:rFonts w:ascii="Calibri" w:cs="Calibri" w:eastAsia="Calibri" w:hAnsi="Calibri"/>
                <w:sz w:val="14"/>
                <w:szCs w:val="14"/>
                <w:color w:val="auto"/>
              </w:rPr>
              <w:t>Establishment of deferred tax assets under 2023 Secondary Oferings and other equity transactons</w:t>
            </w:r>
          </w:p>
        </w:tc>
        <w:tc>
          <w:tcPr>
            <w:tcW w:w="360" w:type="dxa"/>
            <w:vAlign w:val="bottom"/>
            <w:tcBorders>
              <w:bottom w:val="single" w:sz="8" w:color="auto"/>
            </w:tcBorders>
            <w:shd w:val="clear" w:color="auto" w:fill="CFF0FC"/>
          </w:tcPr>
          <w:p>
            <w:pPr>
              <w:jc w:val="right"/>
              <w:ind w:right="20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Calibri" w:cs="Calibri" w:eastAsia="Calibri" w:hAnsi="Calibri"/>
                <w:sz w:val="14"/>
                <w:szCs w:val="14"/>
                <w:color w:val="auto"/>
                <w:w w:val="83"/>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67,073</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auto"/>
            </w:tcBorders>
            <w:shd w:val="clear" w:color="auto" w:fill="CFF0FC"/>
          </w:tcPr>
          <w:p>
            <w:pPr>
              <w:jc w:val="right"/>
              <w:spacing w:after="0" w:line="156"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-1370965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-1353820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-1370965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-1353820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-847725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-830580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-847725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-830580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-573405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-556895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-573405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-556895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-299720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-281940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-281940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7" w:name="page68"/>
    <w:bookmarkEnd w:id="6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and Basis of Presentation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Vivid Seats Inc. (“VSI”) and its subsidiaries, including Hoya Intermediate, LLC (“Hoya Intermediate”), Hoya Midco, LLC, and Vivid Seats LLC (collectvely, the “Company,” “us,” “we,” and “our”), provide an online tcket marketplace that enables tcket buyers to easily discover and purchase tckets to live events and atractons and book hotel rooms and packages in the United States, Canada, and Japan. In our Marketplace segment, we primarily act as an intermediary between tcket buyers, sellers, and partners within our online tcket marketplace, while enabling tcket sellers and partners to seamlessly manage their operatons. In our Resale segment, we primarily acquire tckets to resell on secondary tcket marketplaces, including our own.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prepared these consolidated fnancial statements in accordance with accountng principles generally accepted in the United States of America (“U.S. GAAP”). These consolidated fnancial statements include all of our accounts, including those of our consolidated subsidiaries. All intercompany transactons and balances have been eliminated in consolidaton.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VSI was incorporated in Delaware on March 29, 2021 as a wholly owned subsidiary of Hoya Intermediate for the purpose of completng the transactons (collectvely, the “Merger Transacton”) contemplated by the transacton agreement, dated April 21, 2021, among VSI, Horizon Acquisiton Corporaton, a publicly traded special purpose acquisiton company (“Horizon”), Hoya Intermediate, Horizon Sponsor, LLC (“Horizon Sponsor”), and Hoya Topco, LLC (“Hoya Topco”).</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The Merger Transacton and PIPE Financing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Merger Transacton, which was consummated on October 18, 2021, was accounted for as a reverse recapitalizaton, with Hoya Intermediate treated as the accountng acquirer. Accordingly, our consolidated fnancial statements represent a contnuaton of Hoya Intermediate’s fnancial statements with the net assets of Hoya Intermediate stated at historical cost.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In connecton with the Merger Transacton, we:</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29,431,260 shares of Class A common stock to former shareholders of Horizon, whereby $293.2 million in cash and cash equivalents (afer the payment of $18.7 million in transacton costs incurred by Horizon) of Horizon became available to VSI, and subsequently paid an additonal $15.5 million in transacton costs incurred by Horizon using such cash and cash equivalents;</w:t>
      </w:r>
    </w:p>
    <w:p>
      <w:pPr>
        <w:spacing w:after="0" w:line="124"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118,200,000 shares of Class B common stock and warrants to purchase 6,000,000 shares of Class B common stock at an exercise price of $0.001 per share, which are only exercisable upon the exercise of a corresponding Intermediate Warrant (as defned below), to Hoya Topco in exchange for its outstanding Intermediate Units (as defned below);</w:t>
      </w:r>
    </w:p>
    <w:p>
      <w:pPr>
        <w:spacing w:after="0" w:line="124"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to certain investors, including Horizon Sponsor, 47,517,173 shares of Class A common stock in exchange for $475.2 million in aggregate consideraton, pursuant to a private investment in public equity (the “PIPE Financing”);</w:t>
      </w:r>
    </w:p>
    <w:p>
      <w:pPr>
        <w:spacing w:after="0" w:line="12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used the proceeds from the transactons described above to pay (i) $482.4 million towards our outstanding debt, (ii) $236.0 million to facilitate the redempton of preferred units of Hoya Intermediate and (iii) $54.3 million for transacton fees incurred in connecton with the Merger Transacton;</w:t>
      </w:r>
    </w:p>
    <w:p>
      <w:pPr>
        <w:spacing w:after="0" w:line="124"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9"/>
        </w:numPr>
        <w:rPr>
          <w:rFonts w:ascii="Times New Roman" w:cs="Times New Roman" w:eastAsia="Times New Roman" w:hAnsi="Times New Roman"/>
          <w:sz w:val="17"/>
          <w:szCs w:val="17"/>
          <w:color w:val="auto"/>
        </w:rPr>
      </w:pPr>
      <w:r>
        <w:rPr>
          <w:rFonts w:ascii="Calibri" w:cs="Calibri" w:eastAsia="Calibri" w:hAnsi="Calibri"/>
          <w:sz w:val="17"/>
          <w:szCs w:val="17"/>
          <w:color w:val="auto"/>
        </w:rPr>
        <w:t>issued to Horizon Sponsor (i) 50,000 shares of Class A common stock, (ii) warrants to purchase 17,000,000 shares of Class A common stock at an exercise price of $10.00 per share (the “$10 Exercise Warrants”), (iii) warrants to purchase 17,000,000 shares of Class A common stock at an exercise of $15.00 per share (the “$15 Exercise Warrants” and, together with the $10 Exercise Warrants, the “Exercise Warrants”), and (iv) warrants to purchase 6,519,791 shares of Class A common stock at an exercise price of $11.50 per share (the “Private Warrants”);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8" w:name="page69"/>
    <w:bookmarkEnd w:id="6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01" w:lineRule="exact"/>
        <w:rPr>
          <w:sz w:val="20"/>
          <w:szCs w:val="20"/>
          <w:color w:val="auto"/>
        </w:rPr>
      </w:pPr>
    </w:p>
    <w:p>
      <w:pPr>
        <w:ind w:left="1020" w:hanging="503"/>
        <w:spacing w:after="0" w:line="235" w:lineRule="auto"/>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to former warrant holders of Horizon (including Horizon Sponsor) warrants to purchase 18,132,776 shares of Class A common stock at an exercise price of $11.50 per share (the “Public Warrants”).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Hoya Intermediate issued to Hoya Topco warrants to purchase 3,000,000 common units of Hoya Intermediate (“Intermediate Units”) at an exercise price of $10.00 per unit (the “$10 Intermediate Warrants“) and warrants to purchase 3,000,000 Intermediate Units at an exercise of $15.00 per unit (the “$15 Intermediate Warrants“ and, together with the $10 Intermediate Warrants, the “Intermediate Warrants”). A porton of the Intermediate Warrants, consistng of 1,000,000 $10 Intermediate Warrants and 1,000,000 $15 Intermediate Warrants (together, the “Opton Contngent Warrants”), were issued in tandem with stock optons we issued to members of our management team and would only become exercisable by Hoya Topco if such a stock opton was forfeited or expired unexercised. On December 7, 2023, Hoya Topco voluntarily terminated all of the Opton Contngent Warrants.</w:t>
      </w:r>
    </w:p>
    <w:p>
      <w:pPr>
        <w:spacing w:after="0" w:line="1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Immediately following the Merger Transacton, the legacy unitholders of Hoya Intermediate owned a controlling interest in VSI through their ownership of Class B common stock.</w:t>
      </w:r>
    </w:p>
    <w:p>
      <w:pPr>
        <w:spacing w:after="0" w:line="110"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 xml:space="preserve">The numbers of outstanding warrants, units and shares have changed subsequent to the transactons described above. For additonal details regarding the issuance of warrants in connecton with the Merger Transacton, as well as amounts outstanding on December 31, 2024, see Note 15, </w:t>
      </w:r>
      <w:r>
        <w:rPr>
          <w:rFonts w:ascii="Calibri" w:cs="Calibri" w:eastAsia="Calibri" w:hAnsi="Calibri"/>
          <w:sz w:val="17"/>
          <w:szCs w:val="17"/>
          <w:i w:val="1"/>
          <w:iCs w:val="1"/>
          <w:color w:val="auto"/>
        </w:rPr>
        <w:t>Financial Instruments</w:t>
      </w:r>
      <w:r>
        <w:rPr>
          <w:rFonts w:ascii="Calibri" w:cs="Calibri" w:eastAsia="Calibri" w:hAnsi="Calibri"/>
          <w:sz w:val="17"/>
          <w:szCs w:val="17"/>
          <w:color w:val="auto"/>
        </w:rPr>
        <w:t>.</w:t>
      </w:r>
    </w:p>
    <w:p>
      <w:pPr>
        <w:spacing w:after="0" w:line="94" w:lineRule="exact"/>
        <w:rPr>
          <w:sz w:val="20"/>
          <w:szCs w:val="20"/>
          <w:color w:val="auto"/>
        </w:rPr>
      </w:pPr>
    </w:p>
    <w:p>
      <w:pPr>
        <w:ind w:right="7620" w:firstLine="8"/>
        <w:spacing w:after="0" w:line="348" w:lineRule="auto"/>
        <w:tabs>
          <w:tab w:leader="none" w:pos="175" w:val="left"/>
        </w:tabs>
        <w:numPr>
          <w:ilvl w:val="0"/>
          <w:numId w:val="3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Summary of Significant Accounting Policies Use of Estmates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estmates and assumptons in the preparaton of our consolidated fnancial statements in accordance with U.S. GAAP. These estmates and assumptons afect the reported amounts of assets and liabilites at the date of the fnancial statements, and the reported amounts of revenues and expenses during the reportng period. Actual fnancial results could difer signifcantly from these estmates. The signifcant estmates underlying our consolidated fnancial statements include: the accrual for future customer compensaton and the related recovery of our future customer compensaton asset; breakage rates related to customer credits; usage assumptons for our rewards loyalty program (the “Vivid Seats Rewards Program”); inventory valuaton; valuaton of equity-based compensaton; valuaton of certain fnancial instruments; valuaton of acquired intangible assets and goodwill; valuaton of earnouts issued in connecton with our acquisitons of Betcha Sports, Inc. (“Betcha,” which we rebranded as “Vivid Picks”); useful life of defnite-lived intangible assets and other long-lived assets; recoverability of goodwill, indefnite-lived intangible assets, defnite-lived intangible assets and long-lived assets; income taxes and valuaton allowances.</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and Cash Equivalents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and cash equivalents include all cash balances and highly liquid investments purchased with original maturites of three months or less. Our cash and cash equivalents consist primarily of domestc and foreign bank accounts, interest-bearing deposit accounts and money market accounts managed by third-party fnancial insttutons. Cash and cash equivalents are valued by us based on quoted prices in an actve market, which represent a Level 1 measurement within the fair value hierarchy.</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Cash and cash equivalents held in bank accounts may exceed the Federal Deposit Insurance Corporaton insurance limits. To reduce credit risk, we monitor the credit standing of the fnancial insttutons that hold our cash and cash equivalents. However, balances could be impacted in the future if the underlying fnancial insttutons fail. As of December 31, 2024 and 2023, we have not experienced any loss or lack of access to our cash and cash equivalents.</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Restricted Cash</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Restricted cash includes cash and cash equivalents that are restricted through legal contracts or regulatons, including funds reserved for Vivid Picks users, and leters of credit required by certain vendors.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9" w:name="page70"/>
    <w:bookmarkEnd w:id="6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 Translaton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reportng currency is the U.S. dollar. Assets and liabilites of foreign operatons denominated in local currencies are translated at the spot rate in efect at the applicable reportng date. Revenues and expenses of foreign operatons are translated at the weighted average rate of exchange during the applicable period. The resultng cumulatve foreign currency translaton adjustment is recorded in the Consolidated Balance Sheets as a component of Accumulated other comprehensive income (loss) within Shareholders' equity. Unrealized foreign currency gains and losses generated by transactons denominated in a currency diferent from the functonal currency of the applicable entty are recorded in Other income – net in the Consolidated Statements of Operatons in the period in which they occur.</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Business Combinatons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business combinatons using the acquisiton method. Under this method, the purchase price of an acquisiton is allocated to the acquired tangible and identfable intangible assets and assumed liabilites based on their estmated fair values at the tme of the acquisiton. This allocaton involves a number of assumptons, estmates, and judgments that could materially afect the tming or amounts recognized in our consolidated fnancial statements. As a result, we may record adjustments to the fair values of assets acquired and liabilites assumed within the measurement period (up to one year from the acquisiton date) with the corresponding ofset to goodwill. Critcal estmates in valuing certain intangible assets include but are not limited to future expected cash fows from customer and buyer relatonships, trade names, acquired developed technology and discount rates.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Acquisiton-related costs, including advisory, legal, accountng, valuaton, and other similar costs, are expensed in the periods in which they are incurred. The results of operatons of acquired businesses are included in our consolidated fnancial statements from the acquisiton date.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Accounts Receivable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receivable consist primarily of uncollateralized payment processor obligatons due under normal trade terms typically requiring payment within three business days, amounts due from marketplace sellers and distributon partners for canceled events and commissions due from insurance purchased by tcket buyers. Credit risk with respect to accounts receivable from payment processing enttes is limited due to the consolidaton of those receivables with large fnancial insttutons and the frequency with which the receivables turn over. Accounts receivable balances are stated net of allowance for credit losses and bad debt expense is presented as a reducton of Revenues in the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Inventory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Inventory consists primarily of tckets to live events purchased by our Resale segment. All inventory is valued at the lower of cost or net realizable value, determined by the specifc identfcaton method. A provision is recorded to adjust inventory to its estmated realizable value when inventory is determined to be in excess of antcipated demand. During the years ended December 31, 2024, 2023, and 2022, we incurred inventory write-downs of $7.0 million, $4.7 million, and $5.0 million, respectvely, which are recorded in Cost of revenues in the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Property and Equipment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Property and equipment are stated at cost, net of depreciaton. Depreciaton is computed using the straight-line method over the following estmated useful lives: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Asset Class</w:t>
            </w:r>
          </w:p>
        </w:tc>
        <w:tc>
          <w:tcPr>
            <w:tcW w:w="44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Calibri" w:cs="Calibri" w:eastAsia="Calibri" w:hAnsi="Calibri"/>
                <w:sz w:val="18"/>
                <w:szCs w:val="18"/>
                <w:b w:val="1"/>
                <w:bCs w:val="1"/>
                <w:color w:val="auto"/>
              </w:rPr>
              <w:t>Estmated Useful Life</w:t>
            </w:r>
          </w:p>
        </w:tc>
      </w:tr>
      <w:tr>
        <w:trPr>
          <w:trHeight w:val="23"/>
        </w:trPr>
        <w:tc>
          <w:tcPr>
            <w:tcW w:w="5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09"/>
        </w:trPr>
        <w:tc>
          <w:tcPr>
            <w:tcW w:w="582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7"/>
              </w:rPr>
              <w:t>Computer equipment</w:t>
            </w:r>
          </w:p>
        </w:tc>
        <w:tc>
          <w:tcPr>
            <w:tcW w:w="440" w:type="dxa"/>
            <w:vAlign w:val="bottom"/>
            <w:shd w:val="clear" w:color="auto" w:fill="CFF0FC"/>
          </w:tcPr>
          <w:p>
            <w:pPr>
              <w:spacing w:after="0"/>
              <w:rPr>
                <w:sz w:val="18"/>
                <w:szCs w:val="18"/>
                <w:color w:val="auto"/>
              </w:rPr>
            </w:pPr>
          </w:p>
        </w:tc>
        <w:tc>
          <w:tcPr>
            <w:tcW w:w="498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5"/>
              </w:rPr>
              <w:t>5 years</w:t>
            </w:r>
          </w:p>
        </w:tc>
      </w:tr>
      <w:tr>
        <w:trPr>
          <w:trHeight w:val="215"/>
        </w:trPr>
        <w:tc>
          <w:tcPr>
            <w:tcW w:w="5820" w:type="dxa"/>
            <w:vAlign w:val="bottom"/>
          </w:tcPr>
          <w:p>
            <w:pPr>
              <w:jc w:val="center"/>
              <w:spacing w:after="0" w:line="215" w:lineRule="exact"/>
              <w:rPr>
                <w:sz w:val="20"/>
                <w:szCs w:val="20"/>
                <w:color w:val="auto"/>
              </w:rPr>
            </w:pPr>
            <w:r>
              <w:rPr>
                <w:rFonts w:ascii="Calibri" w:cs="Calibri" w:eastAsia="Calibri" w:hAnsi="Calibri"/>
                <w:sz w:val="18"/>
                <w:szCs w:val="18"/>
                <w:color w:val="auto"/>
              </w:rPr>
              <w:t>Purchased sofware</w:t>
            </w:r>
          </w:p>
        </w:tc>
        <w:tc>
          <w:tcPr>
            <w:tcW w:w="440" w:type="dxa"/>
            <w:vAlign w:val="bottom"/>
          </w:tcPr>
          <w:p>
            <w:pPr>
              <w:spacing w:after="0"/>
              <w:rPr>
                <w:sz w:val="18"/>
                <w:szCs w:val="18"/>
                <w:color w:val="auto"/>
              </w:rPr>
            </w:pPr>
          </w:p>
        </w:tc>
        <w:tc>
          <w:tcPr>
            <w:tcW w:w="49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3 years</w:t>
            </w:r>
          </w:p>
        </w:tc>
      </w:tr>
      <w:tr>
        <w:trPr>
          <w:trHeight w:val="217"/>
        </w:trPr>
        <w:tc>
          <w:tcPr>
            <w:tcW w:w="58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Furniture and fxtures</w:t>
            </w:r>
          </w:p>
        </w:tc>
        <w:tc>
          <w:tcPr>
            <w:tcW w:w="440" w:type="dxa"/>
            <w:vAlign w:val="bottom"/>
            <w:shd w:val="clear" w:color="auto" w:fill="CFF0FC"/>
          </w:tcPr>
          <w:p>
            <w:pPr>
              <w:spacing w:after="0"/>
              <w:rPr>
                <w:sz w:val="18"/>
                <w:szCs w:val="18"/>
                <w:color w:val="auto"/>
              </w:rPr>
            </w:pPr>
          </w:p>
        </w:tc>
        <w:tc>
          <w:tcPr>
            <w:tcW w:w="49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5"/>
              </w:rPr>
              <w:t>7 years</w:t>
            </w:r>
          </w:p>
        </w:tc>
      </w:tr>
    </w:tbl>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color w:val="auto"/>
        </w:rPr>
        <w:t>Leasehold improvements are amortzed over the shorter of the term of the lease or the improvements’ estmated useful lives.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0" w:name="page71"/>
    <w:bookmarkEnd w:id="7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Leases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determine if an arrangement is or contains a lease at incepton and classify each lease as operatng or fnancing. Right-of-use (“ROU”) assets represent our right to use an underlying asset for the lease term and lease liabilites represent our obligaton to make lease payments arising from the lease. ROU assets and lease liabilites are recognized at the lease commencement date based on the present value of lease payments over the lease term. As most of our leases do not provide an implicit interest rate, we use the incremental borrowing rate based on the informaton available at the lease commencement date in determining the present value of lease payments. Leases with an inital term of 12 months or less are not recorded in the Consolidated Balance Sheets and rent expense for these short-term leases is recorded in General and administratve expenses in the Consolidated Statements of Operatons on a straight-line basis over the lease term. We have applied the practcal expedient which allows us to not separate lease and non-lease components for all leases.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Goodwill – Net and Intangible Assets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represents the excess purchase price over the fair value of the net assets acquired. Intangible assets other than goodwill primarily consists of customer and supplier relatonships, acquired developed technology, capitalized development costs, and trademarks.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evaluate goodwill and our indefnite-lived intangible assets for impairment annually on October 31 or more frequently if events or changes in circumstances indicate the carrying value may not be recoverable. We have the opton to assess goodwill and our indefnite-lived intangible assets for impairment by frst performing a qualitatve assessment to determine whether it is more-likely-than-not that the fair value of a reportng unit or the indefnite-lived intangible assets is less than its carrying value. If it is determined that the reportng unit’s or the indefnite-lived intangible assets’ fair value is more-likely-than-not less than its carrying value, or if we do not elect the opton to perform an inital qualitatve assessment, we perform a quanttatve assessment of the reportng unit’s or the indefnite-lived intangible assets’ fair value. If the fair value of the reportng unit or the indefnite-lived intangible assets is in excess of its carrying value, the related goodwill or the indefnite-lived intangible assets are not impaired. If the fair value of the reportng unit is less than the carrying value, we recognize an impairment equal to the diference between the carrying value of the reportng unit and its fair value, not to exceed the carrying value of goodwill. If the fair value of the indefnite-lived intangible assets is less than the carrying value, we recognize an impairment equal to the diference. No impairment triggering events to our goodwill and indefnite-lived intangible assets were identfed during the years ended December 31, 2024, 2023, and 2022.</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review our defnite-lived intangible assets for impairment whenever events or changes in circumstances indicate the carrying amount of an asset or asset group may not be recoverable. If circumstances require a defnite-lived intangible asset or its asset group to be held and used be tested for possible impairment, we frst compare the undiscounted cash fows expected to be generated by that defnite-lived intangible asset or asset group to the corresponding carrying amount. If the carrying amount of the defnite-lived intangible asset or asset group is not recoverable on an undiscounted cash fow basis, an impairment is recognized to the extent that the carrying amount exceeds fair value. No impairment triggering events to our defnite-lived intangible assets were identfed during the years ended December 31, 2024, 2023, and 2022.</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Defnite-lived intangible assets are amortzed on a straight-line basis over their estmated period of beneft, over the following estmated useful lives: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80" w:type="dxa"/>
            <w:vAlign w:val="bottom"/>
          </w:tcPr>
          <w:p>
            <w:pPr>
              <w:jc w:val="center"/>
              <w:ind w:left="1490"/>
              <w:spacing w:after="0"/>
              <w:rPr>
                <w:sz w:val="20"/>
                <w:szCs w:val="20"/>
                <w:color w:val="auto"/>
              </w:rPr>
            </w:pPr>
            <w:r>
              <w:rPr>
                <w:rFonts w:ascii="Calibri" w:cs="Calibri" w:eastAsia="Calibri" w:hAnsi="Calibri"/>
                <w:sz w:val="18"/>
                <w:szCs w:val="18"/>
                <w:b w:val="1"/>
                <w:bCs w:val="1"/>
                <w:color w:val="auto"/>
                <w:w w:val="97"/>
              </w:rPr>
              <w:t>Asset Class</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Calibri" w:cs="Calibri" w:eastAsia="Calibri" w:hAnsi="Calibri"/>
                <w:sz w:val="18"/>
                <w:szCs w:val="18"/>
                <w:b w:val="1"/>
                <w:bCs w:val="1"/>
                <w:color w:val="auto"/>
              </w:rPr>
              <w:t>Estmated Useful Life</w:t>
            </w:r>
          </w:p>
        </w:tc>
      </w:tr>
      <w:tr>
        <w:trPr>
          <w:trHeight w:val="23"/>
        </w:trPr>
        <w:tc>
          <w:tcPr>
            <w:tcW w:w="4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9"/>
        </w:trPr>
        <w:tc>
          <w:tcPr>
            <w:tcW w:w="4980" w:type="dxa"/>
            <w:vAlign w:val="bottom"/>
            <w:shd w:val="clear" w:color="auto" w:fill="CFF0FC"/>
          </w:tcPr>
          <w:p>
            <w:pPr>
              <w:jc w:val="center"/>
              <w:ind w:left="1510"/>
              <w:spacing w:after="0" w:line="209" w:lineRule="exact"/>
              <w:rPr>
                <w:sz w:val="20"/>
                <w:szCs w:val="20"/>
                <w:color w:val="auto"/>
              </w:rPr>
            </w:pPr>
            <w:r>
              <w:rPr>
                <w:rFonts w:ascii="Calibri" w:cs="Calibri" w:eastAsia="Calibri" w:hAnsi="Calibri"/>
                <w:sz w:val="18"/>
                <w:szCs w:val="18"/>
                <w:color w:val="auto"/>
                <w:w w:val="99"/>
              </w:rPr>
              <w:t>Supplier relatonships</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34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8"/>
              </w:rPr>
              <w:t>4-5 years</w:t>
            </w:r>
          </w:p>
        </w:tc>
      </w:tr>
      <w:tr>
        <w:trPr>
          <w:trHeight w:val="215"/>
        </w:trPr>
        <w:tc>
          <w:tcPr>
            <w:tcW w:w="4980" w:type="dxa"/>
            <w:vAlign w:val="bottom"/>
          </w:tcPr>
          <w:p>
            <w:pPr>
              <w:jc w:val="center"/>
              <w:ind w:left="1490"/>
              <w:spacing w:after="0" w:line="215" w:lineRule="exact"/>
              <w:rPr>
                <w:sz w:val="20"/>
                <w:szCs w:val="20"/>
                <w:color w:val="auto"/>
              </w:rPr>
            </w:pPr>
            <w:r>
              <w:rPr>
                <w:rFonts w:ascii="Calibri" w:cs="Calibri" w:eastAsia="Calibri" w:hAnsi="Calibri"/>
                <w:sz w:val="18"/>
                <w:szCs w:val="18"/>
                <w:color w:val="auto"/>
                <w:w w:val="99"/>
              </w:rPr>
              <w:t>Customer relatonships</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2-5 years</w:t>
            </w:r>
          </w:p>
        </w:tc>
      </w:tr>
      <w:tr>
        <w:trPr>
          <w:trHeight w:val="217"/>
        </w:trPr>
        <w:tc>
          <w:tcPr>
            <w:tcW w:w="4980" w:type="dxa"/>
            <w:vAlign w:val="bottom"/>
            <w:shd w:val="clear" w:color="auto" w:fill="CFF0FC"/>
          </w:tcPr>
          <w:p>
            <w:pPr>
              <w:jc w:val="center"/>
              <w:ind w:left="1510"/>
              <w:spacing w:after="0" w:line="216" w:lineRule="exact"/>
              <w:rPr>
                <w:sz w:val="20"/>
                <w:szCs w:val="20"/>
                <w:color w:val="auto"/>
              </w:rPr>
            </w:pPr>
            <w:r>
              <w:rPr>
                <w:rFonts w:ascii="Calibri" w:cs="Calibri" w:eastAsia="Calibri" w:hAnsi="Calibri"/>
                <w:sz w:val="18"/>
                <w:szCs w:val="18"/>
                <w:color w:val="auto"/>
                <w:w w:val="97"/>
              </w:rPr>
              <w:t>Acquired developed technology</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34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3-5 years</w:t>
            </w:r>
          </w:p>
        </w:tc>
      </w:tr>
      <w:tr>
        <w:trPr>
          <w:trHeight w:val="215"/>
        </w:trPr>
        <w:tc>
          <w:tcPr>
            <w:tcW w:w="4980" w:type="dxa"/>
            <w:vAlign w:val="bottom"/>
          </w:tcPr>
          <w:p>
            <w:pPr>
              <w:jc w:val="center"/>
              <w:ind w:left="1510"/>
              <w:spacing w:after="0" w:line="215" w:lineRule="exact"/>
              <w:rPr>
                <w:sz w:val="20"/>
                <w:szCs w:val="20"/>
                <w:color w:val="auto"/>
              </w:rPr>
            </w:pPr>
            <w:r>
              <w:rPr>
                <w:rFonts w:ascii="Calibri" w:cs="Calibri" w:eastAsia="Calibri" w:hAnsi="Calibri"/>
                <w:sz w:val="18"/>
                <w:szCs w:val="18"/>
                <w:color w:val="auto"/>
                <w:w w:val="97"/>
              </w:rPr>
              <w:t>Capitalized development costs</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3 years</w:t>
            </w:r>
          </w:p>
        </w:tc>
      </w:tr>
      <w:tr>
        <w:trPr>
          <w:trHeight w:val="217"/>
        </w:trPr>
        <w:tc>
          <w:tcPr>
            <w:tcW w:w="4980" w:type="dxa"/>
            <w:vAlign w:val="bottom"/>
            <w:shd w:val="clear" w:color="auto" w:fill="CFF0FC"/>
          </w:tcPr>
          <w:p>
            <w:pPr>
              <w:jc w:val="center"/>
              <w:ind w:left="1490"/>
              <w:spacing w:after="0" w:line="216" w:lineRule="exact"/>
              <w:rPr>
                <w:sz w:val="20"/>
                <w:szCs w:val="20"/>
                <w:color w:val="auto"/>
              </w:rPr>
            </w:pPr>
            <w:r>
              <w:rPr>
                <w:rFonts w:ascii="Calibri" w:cs="Calibri" w:eastAsia="Calibri" w:hAnsi="Calibri"/>
                <w:sz w:val="18"/>
                <w:szCs w:val="18"/>
                <w:color w:val="auto"/>
                <w:w w:val="98"/>
              </w:rPr>
              <w:t>Acquired domain name</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34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15 years</w:t>
            </w:r>
          </w:p>
        </w:tc>
      </w:tr>
      <w:tr>
        <w:trPr>
          <w:trHeight w:val="215"/>
        </w:trPr>
        <w:tc>
          <w:tcPr>
            <w:tcW w:w="4980" w:type="dxa"/>
            <w:vAlign w:val="bottom"/>
          </w:tcPr>
          <w:p>
            <w:pPr>
              <w:jc w:val="center"/>
              <w:ind w:left="1510"/>
              <w:spacing w:after="0" w:line="215" w:lineRule="exact"/>
              <w:rPr>
                <w:sz w:val="20"/>
                <w:szCs w:val="20"/>
                <w:color w:val="auto"/>
              </w:rPr>
            </w:pPr>
            <w:r>
              <w:rPr>
                <w:rFonts w:ascii="Calibri" w:cs="Calibri" w:eastAsia="Calibri" w:hAnsi="Calibri"/>
                <w:sz w:val="18"/>
                <w:szCs w:val="18"/>
                <w:color w:val="auto"/>
                <w:w w:val="98"/>
              </w:rPr>
              <w:t>Seat images</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3 years</w:t>
            </w:r>
          </w:p>
        </w:tc>
      </w:tr>
      <w:tr>
        <w:trPr>
          <w:trHeight w:val="842"/>
        </w:trPr>
        <w:tc>
          <w:tcPr>
            <w:tcW w:w="4980" w:type="dxa"/>
            <w:vAlign w:val="bottom"/>
          </w:tcPr>
          <w:p>
            <w:pPr>
              <w:spacing w:after="0"/>
              <w:rPr>
                <w:sz w:val="24"/>
                <w:szCs w:val="24"/>
                <w:color w:val="auto"/>
              </w:rPr>
            </w:pPr>
          </w:p>
        </w:tc>
        <w:tc>
          <w:tcPr>
            <w:tcW w:w="1580" w:type="dxa"/>
            <w:vAlign w:val="bottom"/>
          </w:tcPr>
          <w:p>
            <w:pPr>
              <w:jc w:val="right"/>
              <w:ind w:right="750"/>
              <w:spacing w:after="0"/>
              <w:rPr>
                <w:sz w:val="20"/>
                <w:szCs w:val="20"/>
                <w:color w:val="auto"/>
              </w:rPr>
            </w:pPr>
            <w:r>
              <w:rPr>
                <w:rFonts w:ascii="Calibri" w:cs="Calibri" w:eastAsia="Calibri" w:hAnsi="Calibri"/>
                <w:sz w:val="18"/>
                <w:szCs w:val="18"/>
                <w:color w:val="auto"/>
              </w:rPr>
              <w:t>69</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86"/>
        </w:trPr>
        <w:tc>
          <w:tcPr>
            <w:tcW w:w="4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1" w:name="page72"/>
    <w:bookmarkEnd w:id="7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Capitalized Development Costs and Cloud Computng Arrangements Implementaton Costs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incur costs related to internal-use sofware and website development. Costs incurred in both the preliminary project and post-implementaton stages of development are expensed as incurred. Qualifying development costs, including those incurred for upgrades and enhancements that result in additonal functonality to existng sofware, are capitalized. Capitalized development costs are recorded in Intangible assets – net in the Consolidated Balance Sheets and are amortzed using the straight-line method over the three-year useful life of the applicable sofware. The accompanying amortzaton is recorded in Depreciaton and amortzaton in the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Accounts Payable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payable primarily consists of amounts due to tcket sellers across our platorm. These amounts are recorded at the tme the Marketplace orders are confrmed and are payable following the event, or as otherwise agreed upon.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Accrued Customer Credits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issue credits to customers for cancelled events or travel services that can be applied to future purchases on our marketplace. The amount recorded in Accrued expenses and other current liabilites in the Consolidated Balance Sheets represents the balance of credits issued to these customers. Breakage income from customer credits that are not expected to be used, and are not subject to escheatment, is estmated and recognized as revenue in proporton to the patern of redempton for the customer credits that are used. We estmate breakage based on historical usage trends for credits issued by us and available data on comparable programs. These estmates could be impacted by changes in credit usage rates, or in the determinaton of which credits are subject to escheatment, the efects of which could be material to our consolidated fnancial statements. When customer credits are used to make a purchase, revenue is recognized for the new transacton.</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Accrued Future Customer Compensaton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Provisions for accrued future customer compensaton are included in Accrued expenses and other current liabilites in the Consolidated Balance Sheets and represent compensaton to be paid to customers for event cancellatons or other service issues related to previously recorded sales transactons. The expected recoveries of these obligatons are recorded in Prepaid expenses and other current assets in the Consolidated Balance Sheets. These provisions, which are based on historic experience, revenue volumes for future events, and management’s estmate of the likelihood of future event cancellatons, are recognized as a component of Revenues in the Consolidated Statements of Operatons. This estmated accrual could be impacted by future actvity difering from our estmates, the efects of which could be material to our consolidated fnancial statements.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0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Hoya Intermediate is treated as a partnership for U.S. federal and most applicable state and local income tax purposes. As a partnership, Hoya Intermediate’s taxable income was passed through to and included in the taxable income of its members, including VSI, for periods following the Merger Transacton.</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Following the Merger Transacton, our legal parent entty is VSI. We are subject to income taxes at the U.S. federal, state, and local levels for income tax purposes, including with respect to our allocable share of any taxable income of Hoya Intermediate. Income taxes are accounted for using the asset and liability method of accountng. Under this method, deferred tax assets and liabilites are recognized for the expected future tax consequences on diferences between the carrying amounts of assets and liabilites and their respectve tax basis, using tax rates in efect for the year in which the diferences are expected to reverse. The efect on deferred assets and liabilites of a change in tax rates is recognized in income in the period when the change is enacted. Deferred tax assets are reduced by a valuaton allowance when it is more-likely-than not that some porton or all of the deferred tax assets will not be realized. The realizaton of the deferred tax assets is dependent on the amount of our future taxable income.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2" w:name="page73"/>
    <w:bookmarkEnd w:id="7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17"/>
          <w:szCs w:val="17"/>
          <w:color w:val="auto"/>
        </w:rPr>
        <w:t>We recognize interest and penaltes related to underpayment of income taxes in Income tax expense (beneft) in the Consolidated Statements of Operatons.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To date, the interest or penaltes incurred related to income taxes have not been material.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Tax Receivable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entered into a Tax Receivable Agreement (the “TRA”) with the existng Hoya Intermediate unitholders that provides for our payment to such unitholders of 85% of the amount of any tax savings that we realize (or, under certain circumstances, are deemed to realize) as a result of, or atributable to, (i) increases in the tax basis of assets owned directly or indirectly by Hoya Intermediate or its subsidiaries from, among other things, any redemptons or exchanges of Intermediate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us making payments under the TRA.</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Long-Term Debt – Net</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Long-term debt is carried at the outstanding principal balance, less debt issuance costs and any unamortzed discount or premium. Deferred borrowing costs and discounts are amortzed over the terms of the respectve borrowings using the efectve interest method and are recorded in Interest expense – net in the Consolidated Statements of Operatons. Upon the repayment of our term debt in 2022, we expensed all applicable prepayment penaltes and wrote-of all unamortzed borrowing costs and discounts, both of which are recorded in Loss on extnguishment of debt in the Consolidated Statements of Operatons.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Fair Value Measurements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measure certain assets and liabilites at fair value in accordance with Accountng Standards Codifcaton (“ASC”) Topic 820, </w:t>
      </w:r>
      <w:r>
        <w:rPr>
          <w:rFonts w:ascii="Calibri" w:cs="Calibri" w:eastAsia="Calibri" w:hAnsi="Calibri"/>
          <w:sz w:val="18"/>
          <w:szCs w:val="18"/>
          <w:i w:val="1"/>
          <w:iCs w:val="1"/>
          <w:color w:val="auto"/>
        </w:rPr>
        <w:t>Fair Value Measurements</w:t>
      </w:r>
      <w:r>
        <w:rPr>
          <w:rFonts w:ascii="Calibri" w:cs="Calibri" w:eastAsia="Calibri" w:hAnsi="Calibri"/>
          <w:sz w:val="18"/>
          <w:szCs w:val="18"/>
          <w:color w:val="auto"/>
        </w:rPr>
        <w:t xml:space="preserve"> (“ASC 820”), which defnes fair value as the price that would be received to sell an asset or paid to transfer a liability in an orderly transacton between market partcipants at the measurement date, establishes a framework for measuring fair value in U.S. GAAP, and expands disclosures about fair value measurements. To increase consistency and comparability in fair value measurements, ASC 820 establishes a fair value hierarchy that prioritzes the inputs to valuaton techniques used to measure fair value into three levels as follows:</w:t>
      </w:r>
    </w:p>
    <w:p>
      <w:pPr>
        <w:spacing w:after="0" w:line="12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Level 1 </w:t>
      </w:r>
      <w:r>
        <w:rPr>
          <w:rFonts w:ascii="Calibri" w:cs="Calibri" w:eastAsia="Calibri" w:hAnsi="Calibri"/>
          <w:sz w:val="18"/>
          <w:szCs w:val="18"/>
          <w:color w:val="auto"/>
        </w:rPr>
        <w:t>— Measurements that refect quoted prices (unadjusted) for identcal assets or liabilites in actve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Level 2 </w:t>
      </w:r>
      <w:r>
        <w:rPr>
          <w:rFonts w:ascii="Calibri" w:cs="Calibri" w:eastAsia="Calibri" w:hAnsi="Calibri"/>
          <w:sz w:val="18"/>
          <w:szCs w:val="18"/>
          <w:color w:val="auto"/>
        </w:rPr>
        <w:t>— Measurements that include other inputs that are directly or indirectly observable in the marketplace.</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Level 3 </w:t>
      </w:r>
      <w:r>
        <w:rPr>
          <w:rFonts w:ascii="Calibri" w:cs="Calibri" w:eastAsia="Calibri" w:hAnsi="Calibri"/>
          <w:sz w:val="18"/>
          <w:szCs w:val="18"/>
          <w:color w:val="auto"/>
        </w:rPr>
        <w:t>— Measurements derived from valuaton techniques in which one or more signifcant inputs or signifcant value drivers 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unobservable. These fair value measurements require signifcant judgment.</w:t>
      </w:r>
    </w:p>
    <w:p>
      <w:pPr>
        <w:spacing w:after="0" w:line="11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Our assets and liabilites measured at fair value on a recurring basis are presented in Note 11, </w:t>
      </w:r>
      <w:r>
        <w:rPr>
          <w:rFonts w:ascii="Calibri" w:cs="Calibri" w:eastAsia="Calibri" w:hAnsi="Calibri"/>
          <w:sz w:val="17"/>
          <w:szCs w:val="17"/>
          <w:i w:val="1"/>
          <w:iCs w:val="1"/>
          <w:color w:val="auto"/>
        </w:rPr>
        <w:t>Investments</w:t>
      </w:r>
      <w:r>
        <w:rPr>
          <w:rFonts w:ascii="Calibri" w:cs="Calibri" w:eastAsia="Calibri" w:hAnsi="Calibri"/>
          <w:sz w:val="17"/>
          <w:szCs w:val="17"/>
          <w:color w:val="auto"/>
        </w:rPr>
        <w:t xml:space="preserve">, Note 13, </w:t>
      </w:r>
      <w:r>
        <w:rPr>
          <w:rFonts w:ascii="Calibri" w:cs="Calibri" w:eastAsia="Calibri" w:hAnsi="Calibri"/>
          <w:sz w:val="17"/>
          <w:szCs w:val="17"/>
          <w:i w:val="1"/>
          <w:iCs w:val="1"/>
          <w:color w:val="auto"/>
        </w:rPr>
        <w:t>Long-Term Debt – Net,</w:t>
      </w:r>
      <w:r>
        <w:rPr>
          <w:rFonts w:ascii="Calibri" w:cs="Calibri" w:eastAsia="Calibri" w:hAnsi="Calibri"/>
          <w:sz w:val="17"/>
          <w:szCs w:val="17"/>
          <w:color w:val="auto"/>
        </w:rPr>
        <w:t xml:space="preserve"> and Note 15, </w:t>
      </w:r>
      <w:r>
        <w:rPr>
          <w:rFonts w:ascii="Calibri" w:cs="Calibri" w:eastAsia="Calibri" w:hAnsi="Calibri"/>
          <w:sz w:val="17"/>
          <w:szCs w:val="17"/>
          <w:i w:val="1"/>
          <w:iCs w:val="1"/>
          <w:color w:val="auto"/>
        </w:rPr>
        <w:t>Financial Instruments</w:t>
      </w:r>
      <w:r>
        <w:rPr>
          <w:rFonts w:ascii="Calibri" w:cs="Calibri" w:eastAsia="Calibri" w:hAnsi="Calibri"/>
          <w:sz w:val="17"/>
          <w:szCs w:val="17"/>
          <w:color w:val="auto"/>
        </w:rPr>
        <w:t>. Our non-fnancial assets, such as Goodwill – Net, Intangible assets – Net, and various long-lived assets, which are measured at fair</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 xml:space="preserve">value on a nonrecurring basis, utlizing Level 3 inputs, are presented in Note 10, </w:t>
      </w:r>
      <w:r>
        <w:rPr>
          <w:rFonts w:ascii="Calibri" w:cs="Calibri" w:eastAsia="Calibri" w:hAnsi="Calibri"/>
          <w:sz w:val="17"/>
          <w:szCs w:val="17"/>
          <w:i w:val="1"/>
          <w:iCs w:val="1"/>
          <w:color w:val="auto"/>
        </w:rPr>
        <w:t>Goodwill – Net and Intangible Assets – Net</w:t>
      </w:r>
      <w:r>
        <w:rPr>
          <w:rFonts w:ascii="Calibri" w:cs="Calibri" w:eastAsia="Calibri" w:hAnsi="Calibri"/>
          <w:sz w:val="17"/>
          <w:szCs w:val="17"/>
          <w:color w:val="auto"/>
        </w:rPr>
        <w:t>. Other fnancial instruments, including Accounts receivable – Net and Accounts payable, are carried at cost, which approximates their fair value because of the short-term nature of these instruments. We did not have any transfers of fnancial instruments between valuaton levels during the years ended December 31, 2024, 2023, and 2022.</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Merger Transacton, we issued several types of warrants. We separately evaluate the terms for each of these outstanding warrants in accordance with ASC Topic 480, </w:t>
      </w:r>
      <w:r>
        <w:rPr>
          <w:rFonts w:ascii="Calibri" w:cs="Calibri" w:eastAsia="Calibri" w:hAnsi="Calibri"/>
          <w:sz w:val="18"/>
          <w:szCs w:val="18"/>
          <w:i w:val="1"/>
          <w:iCs w:val="1"/>
          <w:color w:val="auto"/>
        </w:rPr>
        <w:t>Distnguishing Liabilites from Equity</w:t>
      </w:r>
      <w:r>
        <w:rPr>
          <w:rFonts w:ascii="Calibri" w:cs="Calibri" w:eastAsia="Calibri" w:hAnsi="Calibri"/>
          <w:sz w:val="18"/>
          <w:szCs w:val="18"/>
          <w:color w:val="auto"/>
        </w:rPr>
        <w:t xml:space="preserve"> (“ASC 480”), and ASC Topic 815</w:t>
      </w:r>
      <w:r>
        <w:rPr>
          <w:rFonts w:ascii="Calibri" w:cs="Calibri" w:eastAsia="Calibri" w:hAnsi="Calibri"/>
          <w:sz w:val="18"/>
          <w:szCs w:val="18"/>
          <w:i w:val="1"/>
          <w:iCs w:val="1"/>
          <w:color w:val="auto"/>
        </w:rPr>
        <w:t>, Derivatves and Hedging</w:t>
      </w:r>
      <w:r>
        <w:rPr>
          <w:rFonts w:ascii="Calibri" w:cs="Calibri" w:eastAsia="Calibri" w:hAnsi="Calibri"/>
          <w:sz w:val="18"/>
          <w:szCs w:val="18"/>
          <w:color w:val="auto"/>
        </w:rPr>
        <w:t xml:space="preserve"> (“ASC 815”), to determine the appropriate classifcaton and accountng treatment. The Public Warrants, the Private Warrants and the Exercise Warrants meet the criteria to be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3" w:name="page74"/>
    <w:bookmarkEnd w:id="7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classifed as equity instruments. Because the Intermediate Warrants are exercisable for Intermediate Units, which allow for a potental cash redempton at the discreton of the unitholder, they are recorded in Other liabilites in the Consolidated Balance Sheets. The warrant liability is subject to a fair value remeasurement each period with an ofsetng adjustment recorded in Other income – net in the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Redeemable Noncontrolling Interests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VSI holds a 63.4% interest in Hoya Intermediate, with the remainder held by Hoya Topco. Hoya Topco’s interest in Hoya Intermediate represents a redeemable noncontrolling interest. At its discreton, Hoya Topco has the right to exchange its Intermediate Units for shares of Class A common stock on a one-to-one basis or for cash proceeds of equal value at the tme of redempton. See Note 16, </w:t>
      </w:r>
      <w:r>
        <w:rPr>
          <w:rFonts w:ascii="Calibri" w:cs="Calibri" w:eastAsia="Calibri" w:hAnsi="Calibri"/>
          <w:sz w:val="18"/>
          <w:szCs w:val="18"/>
          <w:i w:val="1"/>
          <w:iCs w:val="1"/>
          <w:color w:val="auto"/>
        </w:rPr>
        <w:t>Redeemable Noncontrolling Interests</w:t>
      </w:r>
      <w:r>
        <w:rPr>
          <w:rFonts w:ascii="Calibri" w:cs="Calibri" w:eastAsia="Calibri" w:hAnsi="Calibri"/>
          <w:sz w:val="18"/>
          <w:szCs w:val="18"/>
          <w:color w:val="auto"/>
        </w:rPr>
        <w:t>, for additonal detail on Hoya Topco’s right to exchange its Intermediate Units.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the redeemable noncontrolling interests are redeemable upon the occurrence of an event that is not solely within our control, we classify them as temporary equity. Our redeemable noncontrolling interests were initally measured at Hoya Topco’s share in the net assets of Hoya Intermediate upon consummaton of the Merger Transacton. Subsequent remeasurements of our redeemable noncontrolling interests are recorded as a deemed dividend each reportng period, which reduces Retained earnings, if any, or Additonal paid-in capital in the Consolidated Balance Sheets. Remeasurements of our redeemable noncontrolling interests are based on the fair value of the Class A common stock.</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Equity-Based Compensaton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restricted stock units (“RSUs”) and stock optons at their grant date fair value. We award RSUs to our employees, directors, and certain consultants. We award stock optons to certain of our employees and consultants. We account for forfeitures of outstanding but unvested grants in the period they occur. The awards are subject to the recipient’s contnued service through the applicable vestng date. The grant-date fair value of stock optons is estmated using an opton pricing model, which requires us to make assumptons and judgments about the variables used in the calculaton, related to the expected term, volatlity of our common stock, risk-free interest rate, and dividend yield. Expenses related to grants of equity-based awards are recognized as equity-based compensaton and are recorded in General and administratve expenses in the Consolidated Statements of Operatons.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Prior to the Merger Transacton, certain members of management received profts interests in Hoya Topco and phantom units in a cash bonus pool funded by Hoya Topco. Under ASC 480 and ASC Topic 718, </w:t>
      </w:r>
      <w:r>
        <w:rPr>
          <w:rFonts w:ascii="Calibri" w:cs="Calibri" w:eastAsia="Calibri" w:hAnsi="Calibri"/>
          <w:sz w:val="18"/>
          <w:szCs w:val="18"/>
          <w:i w:val="1"/>
          <w:iCs w:val="1"/>
          <w:color w:val="auto"/>
        </w:rPr>
        <w:t>Compensaton – Stock Compensaton</w:t>
      </w:r>
      <w:r>
        <w:rPr>
          <w:rFonts w:ascii="Calibri" w:cs="Calibri" w:eastAsia="Calibri" w:hAnsi="Calibri"/>
          <w:sz w:val="18"/>
          <w:szCs w:val="18"/>
          <w:color w:val="auto"/>
        </w:rPr>
        <w:t>, the grants of profts interests meet the criteria to be recognized as equity-classifed awards, whereas the grants of phantom units meet the criteria to be recognized as liability-classifed awards.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profts interests and phantom units, we used a market-based approach to determine the total equity value of Hoya Topco and allocated the resultng value between share classes using the Black-Scholes model to determine the grant date fair value of employee grants. The exercise prices used are based on various scenarios considering the waterfall payout structure of the units that exists at the Hoya Topco level. For phantom units with service and performance conditons, we recognize a liability for the fair value of the outstanding units only when we conclude it is probable that the performance conditon will be achieved.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June 10, 2024, the Board of Managers of Hoya Topco (the “Hoya Topco Board”) approved the redempton, repurchase and cancellaton by Hoya Topco (using Hoya Topco’s funds) of all of its outstanding profts interests held by our employees (including the Class B-1, Class D, and Class E Units discussed elsewhere in this Annual Report on Form 10-K). Accordingly, we recognized equity-based compensaton expense related to the profts interests of $4.6 million for the year ended December 31, 2024. See Note 21, </w:t>
      </w:r>
      <w:r>
        <w:rPr>
          <w:rFonts w:ascii="Calibri" w:cs="Calibri" w:eastAsia="Calibri" w:hAnsi="Calibri"/>
          <w:sz w:val="18"/>
          <w:szCs w:val="18"/>
          <w:i w:val="1"/>
          <w:iCs w:val="1"/>
          <w:color w:val="auto"/>
        </w:rPr>
        <w:t>Equity-Based Compensaton</w:t>
      </w:r>
      <w:r>
        <w:rPr>
          <w:rFonts w:ascii="Calibri" w:cs="Calibri" w:eastAsia="Calibri" w:hAnsi="Calibri"/>
          <w:sz w:val="18"/>
          <w:szCs w:val="18"/>
          <w:color w:val="auto"/>
        </w:rPr>
        <w:t>, for more detail.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10, 2024, the Hoya Topco Board also approved the repurchase and cancellaton by Hoya Topco (using Hoya Topco’s funds) of all of its outstanding phantom units held by our employees. The phantom units held service and performance conditons, requiring us to recognize a liability for the fair value the outstanding phantom units only when we conclude it is probable that the performance conditons will be achieved. Accordingly, we recognized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4" w:name="page75"/>
    <w:bookmarkEnd w:id="7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equity-based compensaton expense related to the phantom units of $5.0 million for the year ended December 31, 2024. There was no equity-based compensaton expense previously recognized related to the phantom units.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Topco had no outstanding profts interests or phantom units held by our employees, and we had no unrecognized equity-based compensaton expense related thereto, as of December 31, 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 Recogniton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recognize revenue in accordance with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xml:space="preserve"> (“ASC 606“). We report revenue on a gross or net basis based on our assessment of whether we are actng as a principal or agent in the transacton. Revenue is reported net of sales taxes. The tming of revenue recogniton, and the determinaton of whether we are actng as a principal or an agent in a transacton, is based on the evaluaton of control over the asset being transferred.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Marketplace Segment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act as an intermediary between buyers, sellers, and partners in our online platorm. Revenue primarily consists of service and delivery fees and is reduced by incentves provided to buyers.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performance obligaton for marketplace transactons is facilitatng the transacton between buyers, sellers, and partners. For live event tckets, our performance obligaton is satsfed at the tme the order is confrmed, as control of the tcket, and the related rights of ownership, transfer to the buyer at that tme. For hotels and tours, our performance obligaton is satsfed at the tme of check-in, as the buyer is unable to control the asset untl that point. In all of these transactons, we act as an agent as we do not control the asset prior to facilitatng the transfer to the buyer.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Payment from the tcket buyer is generally due at the tme of sale. Our sales terms generally provide that we will compensate the tcket buyer for the total amount of the purchase if an event is cancelled, the tcket is invalid or the tcket is delivered afer the promised tme. In certain circumstances for travel reservatons, we may allow buyers to initate returns or cancel. We have determined this is considered a stand-ready obligaton to provide a return that is not a separate performance obligaton, but is an element of variable consideraton, which results in a reducton to revenue. The revenue reversal is refected within Accrued expenses and other current liabilites in the Consolidated Balance Sheets when the buyer has yet to be compensated. We estmate the customer compensaton liability, and corresponding charge against revenue, using the expected value method, which best predicts customer compensaton for future cancellatons. To the extent we estmate that a porton of the refund is recoverable from tcket sellers or partners, we record the recovery as revenue to align with the net presentaton of the original transacton. In extreme circumstances, such as the COVID-related shutdowns during 2020, the tming of event cancellatons vs. new sales transactons can result in customer compensaton costs exceeding current period sales resultng in negatve Marketplace revenue for that period.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certain instances, tcket buyers are compensated with credit to be used on future purchases. When a credit is redeemed, revenue is recognized for the newly placed order. Breakage income from customer credits that are not expected to be used, and not subject to escheatment, is estmated and recognized as revenue in proporton to the patern of redempton for the customer credits that are used.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also earn referral commissions on purchases of third-party insurance services by tcket buyers at the tme of sale of the associated tcket on the Marketplace platorm. Referral commissions are recognized as revenue when the tcket buyer makes a purchase from the third-party insurance provider during customer checkout. Payment from the third-party provider is due to us within 30 days from being invoiced. This revenue is included within all categories of Marketplace disaggregated revenue described in Note 4, </w:t>
      </w:r>
      <w:r>
        <w:rPr>
          <w:rFonts w:ascii="Calibri" w:cs="Calibri" w:eastAsia="Calibri" w:hAnsi="Calibri"/>
          <w:sz w:val="18"/>
          <w:szCs w:val="18"/>
          <w:i w:val="1"/>
          <w:iCs w:val="1"/>
          <w:color w:val="auto"/>
        </w:rPr>
        <w:t>Revenue Recogniton</w:t>
      </w:r>
      <w:r>
        <w:rPr>
          <w:rFonts w:ascii="Calibri" w:cs="Calibri" w:eastAsia="Calibri" w:hAnsi="Calibri"/>
          <w:sz w:val="18"/>
          <w:szCs w:val="18"/>
          <w:color w:val="auto"/>
        </w:rPr>
        <w: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earn revenue from online display advertsing, which revenue is recognized when an advertsement is displayed as that is when we have fulflled our obligaton.</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revenue we earn from our Vivid Picks daily fantasy sports ofering is the diference between cash entry fees collected and cash amounts paid out to users for winning picks, less customer promotons and incentves.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5" w:name="page76"/>
    <w:bookmarkEnd w:id="7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Resale Segment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sell tckets we own on secondary tcket marketplaces. The Resale business has one performance obligaton, which is to transfer control of a live event tcket to a tcket buyer once an order has been confrmed.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act as a principal in these transactons as we own the tcket and therefore control the tcket prior to transferring it to the customer. Revenue is recorded on a gross basis based on the value of the tcket and is recognized when an order is confrmed in the secondary tcket marketplace. Payment from the marketplace is typically due upon delivery of the tcket or afer the event has passed.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Secondary tcket marketplace terms and conditons require sellers to repay amounts received for events that are cancelled or tckets that are invalid or delivered afer the promised tme. We have determined that this is considered a stand-ready obligaton to provide a return that is not a separate performance obligaton, but is an element of variable consideraton, which results in a reducton to revenue. We recognize a liability for known and estmated cancellaton charges within Accrued expenses and other current liabilites in the Consolidated Balance Sheets. We estmate the future customer compensaton liability, and corresponding charge against revenue, using the expected value method. To the extent we estmate that a porton of the charge is recoverable from the event host, we record the estmated recovery asset to Prepaid expenses and other current assets.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When our Resale business sells a tcket on our own marketplace, the service fee is recorded in Marketplace revenues and the sales price of the tcket is recorded in Resale revenues.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Deferred Revenue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Deferred revenue consists of fees received related to unsatsfed performance obligatons at the end of the period. The majority of unsatsfed performance obligatons are related to the Vivid Seats Rewards Program, which allows enrolled Vivid Seats tcket buyers to earn stamps for each tcket purchased. These buyers can convert those stamps into credits upon reaching certain thresholds and then redeem those credits on future transactons. The credits earned in the program represent a material right to the tcket buyer and consttute an additonal performance obligaton for us. As such, we defer revenue based on expected future usage and recognize the Deferred revenue as credits are redeemed.</w:t>
      </w:r>
    </w:p>
    <w:p>
      <w:pPr>
        <w:spacing w:after="0" w:line="11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Deferred revenue also consists of service fees on hotel and tour transactons where check-in has not yet occurred. In additon, revenue from sales of contngent events, such as postseason sportng events, is initally recorded as Deferred revenue in the Consolidated Balance Sheets and is recognized when the contngency is resolved.</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Sales and Indirect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Sales and indirect taxes are imposed by country, state, county, and city governmental authorites. In most jurisdictons, we collect sales and indirect taxes from tcket buyers in our Marketplace segment where required and remit to the appropriate governmental agency. For these jurisdictons where we collect and remit taxes, they are recorded as a liability untl remited and there is no impact on the Consolidated Statements of Operatons as revenues are recorded net of sales taxes. We also remit sales and indirect taxes on certain Resale segment transactons. Sales and indirect taxes that are recorded in General and administratve expenses in the Consolidated Statements of Operatons represent estmated liabilites for jurisdictons for which we are not yet collectng and remitng taxes.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Advertsing Costs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utlize various forms of advertsing, including paid search, brand partnerships, e-mail marketng and other forms of media. Advertsing costs, which are expensed as incurred and recorded in Marketng and selling expenses in the Consolidated Statements of Operatons, were $284.7 million, $273.5 million, and $247.3 million for the years ended December 31, 2024, 2023, and 2022, respectvely.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6" w:name="page77"/>
    <w:bookmarkEnd w:id="7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Shipping and Handling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Shipping and handling charges to customers are included in Revenues in the Consolidated Statements of Operatons. Shipping and handling costs incurred by us are treated as fulfllment actvites, and as such are included in Cost of revenues in the Consolidated Statements of Operatons. These costs are accrued upon the recogniton of revenue.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an “emerging growth company” under the Jumpstart Our Business Startups Act of 2012, we are provided the opton to comply with new or revised accountng guidance within the same tme periods as those applicable to either public or non-public companies, including early adopton when permissible. The following provides a brief descripton of recent accountng pronouncements that could have a material efect on our consolidated fnancial statements: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Adopted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Instruments – Credit Losses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June 2016, the Financial Accountng Standards Board (the “FASB”) issued Accountng Standard Update (“ASU”) 2016-13, </w:t>
      </w:r>
      <w:r>
        <w:rPr>
          <w:rFonts w:ascii="Calibri" w:cs="Calibri" w:eastAsia="Calibri" w:hAnsi="Calibri"/>
          <w:sz w:val="18"/>
          <w:szCs w:val="18"/>
          <w:i w:val="1"/>
          <w:iCs w:val="1"/>
          <w:color w:val="auto"/>
        </w:rPr>
        <w:t>Financial Instruments – Credit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Losses (Topic 326): Measurement of Credit Losses on Financial Instruments</w:t>
      </w:r>
      <w:r>
        <w:rPr>
          <w:rFonts w:ascii="Calibri" w:cs="Calibri" w:eastAsia="Calibri" w:hAnsi="Calibri"/>
          <w:sz w:val="18"/>
          <w:szCs w:val="18"/>
          <w:color w:val="auto"/>
        </w:rPr>
        <w:t>, which changes how enttes will measure credit losses for fnancial assets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certain other instruments that are not measured at fair value through net income. The new expected credit loss impairment model requires immediate recogniton of estmated credit losses expected to occur. Additonal disclosures are required regarding assumptons, models, and methods for estmatng the credit losses. ASU 2019-10, </w:t>
      </w:r>
      <w:r>
        <w:rPr>
          <w:rFonts w:ascii="Calibri" w:cs="Calibri" w:eastAsia="Calibri" w:hAnsi="Calibri"/>
          <w:sz w:val="18"/>
          <w:szCs w:val="18"/>
          <w:i w:val="1"/>
          <w:iCs w:val="1"/>
          <w:color w:val="auto"/>
        </w:rPr>
        <w:t>Financial Instruments-Credit Losses (Topic 326), Derivatves and Hedging (Topic 815), and Leases (Topic 842): Efectve Dates</w:t>
      </w:r>
      <w:r>
        <w:rPr>
          <w:rFonts w:ascii="Calibri" w:cs="Calibri" w:eastAsia="Calibri" w:hAnsi="Calibri"/>
          <w:sz w:val="18"/>
          <w:szCs w:val="18"/>
          <w:color w:val="auto"/>
        </w:rPr>
        <w:t>, deferred the efectve date for non-public companies. The standard is efectve for non-public companies for fscal years beginning afer December 15, 2022. We adopted these requirements as of January 1, 2023 with no material impact on our consolidated fnancial statements.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Reference Rate Reform</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2020, the FASB issued ASU 2020-04, </w:t>
      </w:r>
      <w:r>
        <w:rPr>
          <w:rFonts w:ascii="Calibri" w:cs="Calibri" w:eastAsia="Calibri" w:hAnsi="Calibri"/>
          <w:sz w:val="18"/>
          <w:szCs w:val="18"/>
          <w:i w:val="1"/>
          <w:iCs w:val="1"/>
          <w:color w:val="auto"/>
        </w:rPr>
        <w:t>Reference Rate Reform (Topic 848), Facilitaton of the Efects of Reference Rate Reform on Financial Reportng</w:t>
      </w:r>
      <w:r>
        <w:rPr>
          <w:rFonts w:ascii="Calibri" w:cs="Calibri" w:eastAsia="Calibri" w:hAnsi="Calibri"/>
          <w:sz w:val="18"/>
          <w:szCs w:val="18"/>
          <w:color w:val="auto"/>
        </w:rPr>
        <w:t>, as modifed in January 2021. The ASU is intended to help stakeholders during the global market-wide reference rate transiton period. The new guidance provides optonal expedients and exceptons for applying U.S GAAP to contract modifcatons and hedging relatonships, subject to meetng certain criteria, that reference the London Inter-Bank Ofered Rate (“LIBOR”) or another reference rate expected to be discontnued. The guidance also establishes (1) a general contract modifcaton principle that enttes can apply in other areas that may be afected by reference rate reform and (2) certain electve hedge accountng expedients. We adopted these requirements as of January 1, 2023 with no material impact on our consolidated fnancial statements.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Acquired Contract Assets and Contract Liabilites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October 2021, the FASB issued ASU 2021-08, </w:t>
      </w:r>
      <w:r>
        <w:rPr>
          <w:rFonts w:ascii="Calibri" w:cs="Calibri" w:eastAsia="Calibri" w:hAnsi="Calibri"/>
          <w:sz w:val="18"/>
          <w:szCs w:val="18"/>
          <w:i w:val="1"/>
          <w:iCs w:val="1"/>
          <w:color w:val="auto"/>
        </w:rPr>
        <w:t>Business Combinatons (Topic 805): Accountng for Contract Assets and Contract Liabilites from Contracts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with Customers. </w:t>
      </w:r>
      <w:r>
        <w:rPr>
          <w:rFonts w:ascii="Calibri" w:cs="Calibri" w:eastAsia="Calibri" w:hAnsi="Calibri"/>
          <w:sz w:val="18"/>
          <w:szCs w:val="18"/>
          <w:color w:val="auto"/>
        </w:rPr>
        <w:t>The ASU requires contract assets and contract liabilites acquired in a business combinaton to be recognized and measured by the acquirer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on the acquisiton date in accordance with ASC 606, as if it had originated the contracts. Under the previous guidance, such assets and liabilites were recognized by the acquirer at fair value on the acquisiton date. The ASU allows for immediate adopton on a retrospectve basis for all business combinatons that have occurred since the beginning of the annual period that includes the interim period of adopton. We elected to adopt these requirements during the three months ended December 31, 2023 with no material impact on our consolidated fnancial statements.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Segment Reportng – Improvements to Reportable Segment Disclosures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2023, the FASB issued ASU 2023-07, </w:t>
      </w:r>
      <w:r>
        <w:rPr>
          <w:rFonts w:ascii="Calibri" w:cs="Calibri" w:eastAsia="Calibri" w:hAnsi="Calibri"/>
          <w:sz w:val="18"/>
          <w:szCs w:val="18"/>
          <w:i w:val="1"/>
          <w:iCs w:val="1"/>
          <w:color w:val="auto"/>
        </w:rPr>
        <w:t>Segment Reportng (Topic 280): Improvements to Reportable Segment Disclosures</w:t>
      </w:r>
      <w:r>
        <w:rPr>
          <w:rFonts w:ascii="Calibri" w:cs="Calibri" w:eastAsia="Calibri" w:hAnsi="Calibri"/>
          <w:sz w:val="18"/>
          <w:szCs w:val="18"/>
          <w:color w:val="auto"/>
        </w:rPr>
        <w:t>, which updates reportable segment disclosure requirements primarily through enhanced disclosures about signifcant segment expenses. The amendments should be applied retrospectvely to all prior periods presented in the fnancial statements. We adopted these requirements during the year ended December 31,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7" w:name="page78"/>
    <w:bookmarkEnd w:id="7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2024 with no material impact on our consolidated fnancial statements, other than the impact of the required changes to our Segment Reportng Note. See Note 5, </w:t>
      </w:r>
      <w:r>
        <w:rPr>
          <w:rFonts w:ascii="Calibri" w:cs="Calibri" w:eastAsia="Calibri" w:hAnsi="Calibri"/>
          <w:sz w:val="18"/>
          <w:szCs w:val="18"/>
          <w:i w:val="1"/>
          <w:iCs w:val="1"/>
          <w:color w:val="auto"/>
        </w:rPr>
        <w:t>Segment Reportng</w:t>
      </w:r>
      <w:r>
        <w:rPr>
          <w:rFonts w:ascii="Calibri" w:cs="Calibri" w:eastAsia="Calibri" w:hAnsi="Calibri"/>
          <w:sz w:val="18"/>
          <w:szCs w:val="18"/>
          <w:color w:val="auto"/>
        </w:rPr>
        <w:t>, for more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Issued Accountng Standards Not Yet Adopted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the FASB issued ASU 2023-09</w:t>
      </w:r>
      <w:r>
        <w:rPr>
          <w:rFonts w:ascii="Calibri" w:cs="Calibri" w:eastAsia="Calibri" w:hAnsi="Calibri"/>
          <w:sz w:val="18"/>
          <w:szCs w:val="18"/>
          <w:i w:val="1"/>
          <w:iCs w:val="1"/>
          <w:color w:val="auto"/>
        </w:rPr>
        <w:t>, Income Taxes (Topic 740): Improvements to Income Tax Disclosures,</w:t>
      </w:r>
      <w:r>
        <w:rPr>
          <w:rFonts w:ascii="Calibri" w:cs="Calibri" w:eastAsia="Calibri" w:hAnsi="Calibri"/>
          <w:sz w:val="18"/>
          <w:szCs w:val="18"/>
          <w:color w:val="auto"/>
        </w:rPr>
        <w:t xml:space="preserve"> which requires that an entty, on an annual basis, disclose additonal income tax informaton, primarily related to the rate reconciliaton and income taxes paid. The amendments are intended to enhance the transparency and decision usefulness of income tax disclosures. The amendments will be efectve for annual reportng periods beginning afer December 15, 2024. We are currently evaluatng the impact of adoptng the amendments, which are expected to result in enhanced disclosures, on our future consolidated fnancial statements.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Disaggregaton of Income Statement Expenses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2024, the FASB issued ASU 2024-03, </w:t>
      </w:r>
      <w:r>
        <w:rPr>
          <w:rFonts w:ascii="Calibri" w:cs="Calibri" w:eastAsia="Calibri" w:hAnsi="Calibri"/>
          <w:sz w:val="18"/>
          <w:szCs w:val="18"/>
          <w:i w:val="1"/>
          <w:iCs w:val="1"/>
          <w:color w:val="auto"/>
        </w:rPr>
        <w:t>Income Statement Reportng—Comprehensive Income-Expense Disaggregaton Disclosures (Subtopic 220-40), Disaggregaton of Income Statement Expenses</w:t>
      </w:r>
      <w:r>
        <w:rPr>
          <w:rFonts w:ascii="Calibri" w:cs="Calibri" w:eastAsia="Calibri" w:hAnsi="Calibri"/>
          <w:sz w:val="18"/>
          <w:szCs w:val="18"/>
          <w:color w:val="auto"/>
        </w:rPr>
        <w:t>. The standard update improves the disclosures about a public business entty’s expenses by requiring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more detailed informaton about the types of expenses (including purchases of inventory, employee compensaton, depreciaton, and amortzaton) included within income statement expense captons. The amendments will be efectve for annual reportng periods beginning afer December 15, 2026, and interim reportng periods beginning afer December 15, 2027. Early adopton is permited for both interim and annual fnancial statements that have not yet been issued or made available for issuance. The amendments are to be applied prospectvely with the opton for retrospectve applicaton. We are currently evaluatng the impact of adoptng the amendments on our future consolidated fnancial statements.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Business Acquisitions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2023, we acquired VDC Holdco, LLC, the parent company of Vegas.com, LLC (together, “Vegas.com”), and WD Holdings Co., Ltd., the parent company of Wavedash Co., Ltd. (together, “Wavedash”). These transactons have been accounted for under the acquisiton method of accountng in accordance with ASC Topic 805</w:t>
      </w:r>
      <w:r>
        <w:rPr>
          <w:rFonts w:ascii="Calibri" w:cs="Calibri" w:eastAsia="Calibri" w:hAnsi="Calibri"/>
          <w:sz w:val="18"/>
          <w:szCs w:val="18"/>
          <w:i w:val="1"/>
          <w:iCs w:val="1"/>
          <w:color w:val="auto"/>
        </w:rPr>
        <w:t>, Business Combinatons</w:t>
      </w:r>
      <w:r>
        <w:rPr>
          <w:rFonts w:ascii="Calibri" w:cs="Calibri" w:eastAsia="Calibri" w:hAnsi="Calibri"/>
          <w:sz w:val="18"/>
          <w:szCs w:val="18"/>
          <w:color w:val="auto"/>
        </w:rPr>
        <w: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Vegas.com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3, 2023 (the “Vegas.com Acquisiton Date”), we acquired 100% of the outstanding shares of Vegas.com, an online tcket marketplace headquartered in Las Vegas, Nevada (the “Vegas.com Acquisiton”). The purchase price was $248.3 million, consistng of $152.8 million in cash and $95.5 million in equity (for which we issued 15.6 million shares of our Class A common stock). We fnanced the cash porton of the purchase price at closing with cash on hand, as well as cash balances acquired. The acquisiton was accounted for as an acquisiton of a business in accordance with the acquisiton method of accountng.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goodwill acquired in the Vegas.com Acquisiton is not deductble for income tax purposes. The goodwill, which is included in our Marketplace segment, is primarily atributable to revenue opportunites with the Vegas.com service oferings and the assembled workforce.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2023, we recognized an expense of $1.9 million for direct costs incurred in relaton to the Vegas.com Acquisiton, which is recorded in General and administratve expenses in the Consolidated Statements of Operatons.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8" w:name="page79"/>
    <w:bookmarkEnd w:id="7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the fnal allocaton (described in further detail below) of the purchase price amongst Vegas.com’s tangible and intangible assets and liabilites as of the Vegas.com Acquisiton Date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Cash and cash equivalents</w:t>
            </w:r>
          </w:p>
        </w:tc>
        <w:tc>
          <w:tcPr>
            <w:tcW w:w="980" w:type="dxa"/>
            <w:vAlign w:val="bottom"/>
            <w:shd w:val="clear" w:color="auto" w:fill="CFF0FC"/>
          </w:tcPr>
          <w:p>
            <w:pPr>
              <w:jc w:val="right"/>
              <w:ind w:right="790"/>
              <w:spacing w:after="0"/>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1,868</w:t>
            </w:r>
          </w:p>
        </w:tc>
        <w:tc>
          <w:tcPr>
            <w:tcW w:w="100" w:type="dxa"/>
            <w:vAlign w:val="bottom"/>
            <w:shd w:val="clear" w:color="auto" w:fill="CFF0FC"/>
          </w:tcPr>
          <w:p>
            <w:pPr>
              <w:spacing w:after="0"/>
              <w:rPr>
                <w:sz w:val="19"/>
                <w:szCs w:val="19"/>
                <w:color w:val="auto"/>
              </w:rPr>
            </w:pPr>
          </w:p>
        </w:tc>
      </w:tr>
      <w:tr>
        <w:trPr>
          <w:trHeight w:val="215"/>
        </w:trPr>
        <w:tc>
          <w:tcPr>
            <w:tcW w:w="870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receivable</w:t>
            </w:r>
          </w:p>
        </w:tc>
        <w:tc>
          <w:tcPr>
            <w:tcW w:w="9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2,469</w:t>
            </w:r>
          </w:p>
        </w:tc>
        <w:tc>
          <w:tcPr>
            <w:tcW w:w="100" w:type="dxa"/>
            <w:vAlign w:val="bottom"/>
          </w:tcPr>
          <w:p>
            <w:pPr>
              <w:spacing w:after="0"/>
              <w:rPr>
                <w:sz w:val="18"/>
                <w:szCs w:val="18"/>
                <w:color w:val="auto"/>
              </w:rPr>
            </w:pPr>
          </w:p>
        </w:tc>
      </w:tr>
      <w:tr>
        <w:trPr>
          <w:trHeight w:val="217"/>
        </w:trPr>
        <w:tc>
          <w:tcPr>
            <w:tcW w:w="8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2,175</w:t>
            </w:r>
          </w:p>
        </w:tc>
        <w:tc>
          <w:tcPr>
            <w:tcW w:w="100" w:type="dxa"/>
            <w:vAlign w:val="bottom"/>
            <w:shd w:val="clear" w:color="auto" w:fill="CFF0FC"/>
          </w:tcPr>
          <w:p>
            <w:pPr>
              <w:spacing w:after="0"/>
              <w:rPr>
                <w:sz w:val="18"/>
                <w:szCs w:val="18"/>
                <w:color w:val="auto"/>
              </w:rPr>
            </w:pPr>
          </w:p>
        </w:tc>
      </w:tr>
      <w:tr>
        <w:trPr>
          <w:trHeight w:val="215"/>
        </w:trPr>
        <w:tc>
          <w:tcPr>
            <w:tcW w:w="870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and equipment</w:t>
            </w:r>
          </w:p>
        </w:tc>
        <w:tc>
          <w:tcPr>
            <w:tcW w:w="9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264</w:t>
            </w:r>
          </w:p>
        </w:tc>
        <w:tc>
          <w:tcPr>
            <w:tcW w:w="100" w:type="dxa"/>
            <w:vAlign w:val="bottom"/>
          </w:tcPr>
          <w:p>
            <w:pPr>
              <w:spacing w:after="0"/>
              <w:rPr>
                <w:sz w:val="18"/>
                <w:szCs w:val="18"/>
                <w:color w:val="auto"/>
              </w:rPr>
            </w:pPr>
          </w:p>
        </w:tc>
      </w:tr>
      <w:tr>
        <w:trPr>
          <w:trHeight w:val="217"/>
        </w:trPr>
        <w:tc>
          <w:tcPr>
            <w:tcW w:w="8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Intangible assets</w:t>
            </w:r>
          </w:p>
        </w:tc>
        <w:tc>
          <w:tcPr>
            <w:tcW w:w="9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130,549</w:t>
            </w:r>
          </w:p>
        </w:tc>
        <w:tc>
          <w:tcPr>
            <w:tcW w:w="100" w:type="dxa"/>
            <w:vAlign w:val="bottom"/>
            <w:shd w:val="clear" w:color="auto" w:fill="CFF0FC"/>
          </w:tcPr>
          <w:p>
            <w:pPr>
              <w:spacing w:after="0"/>
              <w:rPr>
                <w:sz w:val="18"/>
                <w:szCs w:val="18"/>
                <w:color w:val="auto"/>
              </w:rPr>
            </w:pPr>
          </w:p>
        </w:tc>
      </w:tr>
      <w:tr>
        <w:trPr>
          <w:trHeight w:val="215"/>
        </w:trPr>
        <w:tc>
          <w:tcPr>
            <w:tcW w:w="870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9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185,276</w:t>
            </w:r>
          </w:p>
        </w:tc>
        <w:tc>
          <w:tcPr>
            <w:tcW w:w="100" w:type="dxa"/>
            <w:vAlign w:val="bottom"/>
          </w:tcPr>
          <w:p>
            <w:pPr>
              <w:spacing w:after="0"/>
              <w:rPr>
                <w:sz w:val="18"/>
                <w:szCs w:val="18"/>
                <w:color w:val="auto"/>
              </w:rPr>
            </w:pPr>
          </w:p>
        </w:tc>
      </w:tr>
      <w:tr>
        <w:trPr>
          <w:trHeight w:val="217"/>
        </w:trPr>
        <w:tc>
          <w:tcPr>
            <w:tcW w:w="8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Right-of-use assets</w:t>
            </w:r>
          </w:p>
        </w:tc>
        <w:tc>
          <w:tcPr>
            <w:tcW w:w="9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779</w:t>
            </w:r>
          </w:p>
        </w:tc>
        <w:tc>
          <w:tcPr>
            <w:tcW w:w="100" w:type="dxa"/>
            <w:vAlign w:val="bottom"/>
            <w:shd w:val="clear" w:color="auto" w:fill="CFF0FC"/>
          </w:tcPr>
          <w:p>
            <w:pPr>
              <w:spacing w:after="0"/>
              <w:rPr>
                <w:sz w:val="18"/>
                <w:szCs w:val="18"/>
                <w:color w:val="auto"/>
              </w:rPr>
            </w:pPr>
          </w:p>
        </w:tc>
      </w:tr>
      <w:tr>
        <w:trPr>
          <w:trHeight w:val="215"/>
        </w:trPr>
        <w:tc>
          <w:tcPr>
            <w:tcW w:w="870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9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449</w:t>
            </w:r>
          </w:p>
        </w:tc>
        <w:tc>
          <w:tcPr>
            <w:tcW w:w="100" w:type="dxa"/>
            <w:vAlign w:val="bottom"/>
          </w:tcPr>
          <w:p>
            <w:pPr>
              <w:spacing w:after="0"/>
              <w:rPr>
                <w:sz w:val="18"/>
                <w:szCs w:val="18"/>
                <w:color w:val="auto"/>
              </w:rPr>
            </w:pPr>
          </w:p>
        </w:tc>
      </w:tr>
      <w:tr>
        <w:trPr>
          <w:trHeight w:val="217"/>
        </w:trPr>
        <w:tc>
          <w:tcPr>
            <w:tcW w:w="8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Accounts payable</w:t>
            </w:r>
          </w:p>
        </w:tc>
        <w:tc>
          <w:tcPr>
            <w:tcW w:w="9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(34,589 )</w:t>
            </w:r>
          </w:p>
        </w:tc>
      </w:tr>
      <w:tr>
        <w:trPr>
          <w:trHeight w:val="215"/>
        </w:trPr>
        <w:tc>
          <w:tcPr>
            <w:tcW w:w="870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980" w:type="dxa"/>
            <w:vAlign w:val="bottom"/>
          </w:tcPr>
          <w:p>
            <w:pPr>
              <w:spacing w:after="0"/>
              <w:rPr>
                <w:sz w:val="18"/>
                <w:szCs w:val="18"/>
                <w:color w:val="auto"/>
              </w:rPr>
            </w:pP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(11,291 )</w:t>
            </w:r>
          </w:p>
        </w:tc>
      </w:tr>
      <w:tr>
        <w:trPr>
          <w:trHeight w:val="217"/>
        </w:trPr>
        <w:tc>
          <w:tcPr>
            <w:tcW w:w="8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revenue</w:t>
            </w:r>
          </w:p>
        </w:tc>
        <w:tc>
          <w:tcPr>
            <w:tcW w:w="9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(1,864 )</w:t>
            </w:r>
          </w:p>
        </w:tc>
      </w:tr>
      <w:tr>
        <w:trPr>
          <w:trHeight w:val="215"/>
        </w:trPr>
        <w:tc>
          <w:tcPr>
            <w:tcW w:w="870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lease liabilites</w:t>
            </w:r>
          </w:p>
        </w:tc>
        <w:tc>
          <w:tcPr>
            <w:tcW w:w="980" w:type="dxa"/>
            <w:vAlign w:val="bottom"/>
          </w:tcPr>
          <w:p>
            <w:pPr>
              <w:spacing w:after="0"/>
              <w:rPr>
                <w:sz w:val="18"/>
                <w:szCs w:val="18"/>
                <w:color w:val="auto"/>
              </w:rPr>
            </w:pP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(69 )</w:t>
            </w:r>
          </w:p>
        </w:tc>
      </w:tr>
      <w:tr>
        <w:trPr>
          <w:trHeight w:val="216"/>
        </w:trPr>
        <w:tc>
          <w:tcPr>
            <w:tcW w:w="8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tax liability</w:t>
            </w:r>
          </w:p>
        </w:tc>
        <w:tc>
          <w:tcPr>
            <w:tcW w:w="9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(27,721 )</w:t>
            </w:r>
          </w:p>
        </w:tc>
      </w:tr>
      <w:tr>
        <w:trPr>
          <w:trHeight w:val="210"/>
        </w:trPr>
        <w:tc>
          <w:tcPr>
            <w:tcW w:w="870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Purchase price</w:t>
            </w:r>
          </w:p>
        </w:tc>
        <w:tc>
          <w:tcPr>
            <w:tcW w:w="980" w:type="dxa"/>
            <w:vAlign w:val="bottom"/>
            <w:tcBorders>
              <w:top w:val="single" w:sz="8" w:color="auto"/>
              <w:bottom w:val="single" w:sz="8" w:color="auto"/>
            </w:tcBorders>
          </w:tcPr>
          <w:p>
            <w:pPr>
              <w:jc w:val="right"/>
              <w:ind w:right="790"/>
              <w:spacing w:after="0" w:line="210"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248,295</w:t>
            </w:r>
          </w:p>
        </w:tc>
        <w:tc>
          <w:tcPr>
            <w:tcW w:w="100" w:type="dxa"/>
            <w:vAlign w:val="bottom"/>
            <w:tcBorders>
              <w:top w:val="single" w:sz="8" w:color="CFF0FC"/>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2024, we fnalized the purchase price allocaton of the Vegas.com Acquisiton upon the expiraton of the one-year remeasurement period that began on the Vegas.com Acquisiton Date. The sole diference between the preliminary purchase price allocaton and the fnal purchase price allocaton presented above relates to a reclassifcaton adjustment that increased the balance of Goodwill – net by $0.5 million and decreased the balance of Prepaid expenses and other current assets by $0.5 million.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components of identfable intangible assets acquired (in thousands) and their estmated useful lives (in years) as of the</w:t>
      </w:r>
    </w:p>
    <w:p>
      <w:pPr>
        <w:spacing w:after="0" w:line="235" w:lineRule="auto"/>
        <w:rPr>
          <w:sz w:val="20"/>
          <w:szCs w:val="20"/>
          <w:color w:val="auto"/>
        </w:rPr>
      </w:pPr>
      <w:r>
        <w:rPr>
          <w:rFonts w:ascii="Calibri" w:cs="Calibri" w:eastAsia="Calibri" w:hAnsi="Calibri"/>
          <w:sz w:val="18"/>
          <w:szCs w:val="18"/>
          <w:color w:val="auto"/>
        </w:rPr>
        <w:t>Vegas.com Acquisiton Date: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b w:val="1"/>
                <w:bCs w:val="1"/>
                <w:color w:val="auto"/>
              </w:rPr>
              <w:t>Cost</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Calibri" w:cs="Calibri" w:eastAsia="Calibri" w:hAnsi="Calibri"/>
                <w:sz w:val="18"/>
                <w:szCs w:val="18"/>
                <w:b w:val="1"/>
                <w:bCs w:val="1"/>
                <w:color w:val="auto"/>
              </w:rPr>
              <w:t>Estmated Useful Life</w:t>
            </w:r>
          </w:p>
        </w:tc>
      </w:tr>
      <w:tr>
        <w:trPr>
          <w:trHeight w:val="23"/>
        </w:trPr>
        <w:tc>
          <w:tcPr>
            <w:tcW w:w="6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09"/>
        </w:trPr>
        <w:tc>
          <w:tcPr>
            <w:tcW w:w="63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Trade name</w:t>
            </w:r>
          </w:p>
        </w:tc>
        <w:tc>
          <w:tcPr>
            <w:tcW w:w="1100" w:type="dxa"/>
            <w:vAlign w:val="bottom"/>
            <w:shd w:val="clear" w:color="auto" w:fill="CFF0FC"/>
          </w:tcPr>
          <w:p>
            <w:pPr>
              <w:jc w:val="right"/>
              <w:ind w:right="890"/>
              <w:spacing w:after="0" w:line="209" w:lineRule="exact"/>
              <w:rPr>
                <w:sz w:val="20"/>
                <w:szCs w:val="20"/>
                <w:color w:val="auto"/>
              </w:rPr>
            </w:pPr>
            <w:r>
              <w:rPr>
                <w:rFonts w:ascii="Calibri" w:cs="Calibri" w:eastAsia="Calibri" w:hAnsi="Calibri"/>
                <w:sz w:val="18"/>
                <w:szCs w:val="18"/>
                <w:color w:val="auto"/>
              </w:rPr>
              <w:t>$</w:t>
            </w:r>
          </w:p>
        </w:tc>
        <w:tc>
          <w:tcPr>
            <w:tcW w:w="6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43,669</w:t>
            </w:r>
          </w:p>
        </w:tc>
        <w:tc>
          <w:tcPr>
            <w:tcW w:w="320" w:type="dxa"/>
            <w:vAlign w:val="bottom"/>
            <w:shd w:val="clear" w:color="auto" w:fill="CFF0FC"/>
          </w:tcPr>
          <w:p>
            <w:pPr>
              <w:spacing w:after="0"/>
              <w:rPr>
                <w:sz w:val="18"/>
                <w:szCs w:val="18"/>
                <w:color w:val="auto"/>
              </w:rPr>
            </w:pPr>
          </w:p>
        </w:tc>
        <w:tc>
          <w:tcPr>
            <w:tcW w:w="280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rPr>
              <w:t>Indefnite</w:t>
            </w:r>
          </w:p>
        </w:tc>
      </w:tr>
      <w:tr>
        <w:trPr>
          <w:trHeight w:val="215"/>
        </w:trPr>
        <w:tc>
          <w:tcPr>
            <w:tcW w:w="6360" w:type="dxa"/>
            <w:vAlign w:val="bottom"/>
          </w:tcPr>
          <w:p>
            <w:pPr>
              <w:ind w:left="20"/>
              <w:spacing w:after="0" w:line="215" w:lineRule="exact"/>
              <w:rPr>
                <w:sz w:val="20"/>
                <w:szCs w:val="20"/>
                <w:color w:val="auto"/>
              </w:rPr>
            </w:pPr>
            <w:r>
              <w:rPr>
                <w:rFonts w:ascii="Calibri" w:cs="Calibri" w:eastAsia="Calibri" w:hAnsi="Calibri"/>
                <w:sz w:val="18"/>
                <w:szCs w:val="18"/>
                <w:color w:val="auto"/>
              </w:rPr>
              <w:t>Supplier relatonships</w:t>
            </w:r>
          </w:p>
        </w:tc>
        <w:tc>
          <w:tcPr>
            <w:tcW w:w="110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37,160</w:t>
            </w:r>
          </w:p>
        </w:tc>
        <w:tc>
          <w:tcPr>
            <w:tcW w:w="320" w:type="dxa"/>
            <w:vAlign w:val="bottom"/>
          </w:tcPr>
          <w:p>
            <w:pPr>
              <w:spacing w:after="0"/>
              <w:rPr>
                <w:sz w:val="18"/>
                <w:szCs w:val="18"/>
                <w:color w:val="auto"/>
              </w:rPr>
            </w:pPr>
          </w:p>
        </w:tc>
        <w:tc>
          <w:tcPr>
            <w:tcW w:w="28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4 years</w:t>
            </w:r>
          </w:p>
        </w:tc>
      </w:tr>
      <w:tr>
        <w:trPr>
          <w:trHeight w:val="217"/>
        </w:trPr>
        <w:tc>
          <w:tcPr>
            <w:tcW w:w="63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Customer relatonships</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27,590</w:t>
            </w:r>
          </w:p>
        </w:tc>
        <w:tc>
          <w:tcPr>
            <w:tcW w:w="320" w:type="dxa"/>
            <w:vAlign w:val="bottom"/>
            <w:shd w:val="clear" w:color="auto" w:fill="CFF0FC"/>
          </w:tcPr>
          <w:p>
            <w:pPr>
              <w:spacing w:after="0"/>
              <w:rPr>
                <w:sz w:val="18"/>
                <w:szCs w:val="18"/>
                <w:color w:val="auto"/>
              </w:rPr>
            </w:pPr>
          </w:p>
        </w:tc>
        <w:tc>
          <w:tcPr>
            <w:tcW w:w="28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3 years</w:t>
            </w:r>
          </w:p>
        </w:tc>
      </w:tr>
      <w:tr>
        <w:trPr>
          <w:trHeight w:val="215"/>
        </w:trPr>
        <w:tc>
          <w:tcPr>
            <w:tcW w:w="6360" w:type="dxa"/>
            <w:vAlign w:val="bottom"/>
          </w:tcPr>
          <w:p>
            <w:pPr>
              <w:ind w:left="20"/>
              <w:spacing w:after="0" w:line="215" w:lineRule="exact"/>
              <w:rPr>
                <w:sz w:val="20"/>
                <w:szCs w:val="20"/>
                <w:color w:val="auto"/>
              </w:rPr>
            </w:pPr>
            <w:r>
              <w:rPr>
                <w:rFonts w:ascii="Calibri" w:cs="Calibri" w:eastAsia="Calibri" w:hAnsi="Calibri"/>
                <w:sz w:val="18"/>
                <w:szCs w:val="18"/>
                <w:color w:val="auto"/>
              </w:rPr>
              <w:t>Acquired developed technology</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22,130</w:t>
            </w:r>
          </w:p>
        </w:tc>
        <w:tc>
          <w:tcPr>
            <w:tcW w:w="320" w:type="dxa"/>
            <w:vAlign w:val="bottom"/>
          </w:tcPr>
          <w:p>
            <w:pPr>
              <w:spacing w:after="0"/>
              <w:rPr>
                <w:sz w:val="18"/>
                <w:szCs w:val="18"/>
                <w:color w:val="auto"/>
              </w:rPr>
            </w:pPr>
          </w:p>
        </w:tc>
        <w:tc>
          <w:tcPr>
            <w:tcW w:w="28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4 years</w:t>
            </w:r>
          </w:p>
        </w:tc>
      </w:tr>
      <w:tr>
        <w:trPr>
          <w:trHeight w:val="250"/>
        </w:trPr>
        <w:tc>
          <w:tcPr>
            <w:tcW w:w="63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Acquired intangible assets</w:t>
            </w:r>
          </w:p>
        </w:tc>
        <w:tc>
          <w:tcPr>
            <w:tcW w:w="1100" w:type="dxa"/>
            <w:vAlign w:val="bottom"/>
            <w:tcBorders>
              <w:bottom w:val="single" w:sz="8" w:color="auto"/>
            </w:tcBorders>
            <w:shd w:val="clear" w:color="auto" w:fill="CFF0FC"/>
          </w:tcPr>
          <w:p>
            <w:pPr>
              <w:jc w:val="right"/>
              <w:ind w:right="890"/>
              <w:spacing w:after="0" w:line="210" w:lineRule="exact"/>
              <w:rPr>
                <w:sz w:val="20"/>
                <w:szCs w:val="20"/>
                <w:color w:val="auto"/>
              </w:rPr>
            </w:pPr>
            <w:r>
              <w:rPr>
                <w:rFonts w:ascii="Calibri" w:cs="Calibri" w:eastAsia="Calibri" w:hAnsi="Calibri"/>
                <w:sz w:val="18"/>
                <w:szCs w:val="18"/>
                <w:b w:val="1"/>
                <w:bCs w:val="1"/>
                <w:color w:val="auto"/>
              </w:rPr>
              <w:t>$</w:t>
            </w:r>
          </w:p>
        </w:tc>
        <w:tc>
          <w:tcPr>
            <w:tcW w:w="6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130,549</w:t>
            </w:r>
          </w:p>
        </w:tc>
        <w:tc>
          <w:tcPr>
            <w:tcW w:w="320" w:type="dxa"/>
            <w:vAlign w:val="bottom"/>
            <w:tcBorders>
              <w:bottom w:val="single" w:sz="8" w:color="CFF0FC"/>
            </w:tcBorders>
            <w:shd w:val="clear" w:color="auto" w:fill="CFF0FC"/>
          </w:tcPr>
          <w:p>
            <w:pPr>
              <w:spacing w:after="0"/>
              <w:rPr>
                <w:sz w:val="21"/>
                <w:szCs w:val="21"/>
                <w:color w:val="auto"/>
              </w:rPr>
            </w:pPr>
          </w:p>
        </w:tc>
        <w:tc>
          <w:tcPr>
            <w:tcW w:w="28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Unaudited Pro forma Financial Informaton</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on an unaudited pro forma basis, the condensed consolidated results of our operatons for the years ended December 31,</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2023 and 2022, assuming the Vegas.com Acquisiton had occurred on January 1, 2022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60" w:type="dxa"/>
            <w:vAlign w:val="bottom"/>
            <w:gridSpan w:val="3"/>
          </w:tcPr>
          <w:p>
            <w:pPr>
              <w:jc w:val="right"/>
              <w:ind w:right="20"/>
              <w:spacing w:after="0"/>
              <w:rPr>
                <w:sz w:val="20"/>
                <w:szCs w:val="20"/>
                <w:color w:val="auto"/>
              </w:rPr>
            </w:pPr>
            <w:r>
              <w:rPr>
                <w:rFonts w:ascii="Calibri" w:cs="Calibri" w:eastAsia="Calibri" w:hAnsi="Calibri"/>
                <w:sz w:val="18"/>
                <w:szCs w:val="18"/>
                <w:b w:val="1"/>
                <w:bCs w:val="1"/>
                <w:color w:val="auto"/>
                <w:w w:val="96"/>
              </w:rPr>
              <w:t>Years Ended December 31,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6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1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0"/>
              <w:spacing w:after="0" w:line="209" w:lineRule="exact"/>
              <w:rPr>
                <w:sz w:val="20"/>
                <w:szCs w:val="20"/>
                <w:color w:val="auto"/>
              </w:rPr>
            </w:pPr>
            <w:r>
              <w:rPr>
                <w:rFonts w:ascii="Calibri" w:cs="Calibri" w:eastAsia="Calibri" w:hAnsi="Calibri"/>
                <w:sz w:val="18"/>
                <w:szCs w:val="18"/>
                <w:b w:val="1"/>
                <w:bCs w:val="1"/>
                <w:color w:val="auto"/>
                <w:w w:val="93"/>
              </w:rPr>
              <w:t>2022</w:t>
            </w:r>
          </w:p>
        </w:tc>
        <w:tc>
          <w:tcPr>
            <w:tcW w:w="100" w:type="dxa"/>
            <w:vAlign w:val="bottom"/>
          </w:tcPr>
          <w:p>
            <w:pPr>
              <w:spacing w:after="0"/>
              <w:rPr>
                <w:sz w:val="18"/>
                <w:szCs w:val="18"/>
                <w:color w:val="auto"/>
              </w:rPr>
            </w:pPr>
          </w:p>
        </w:tc>
      </w:tr>
      <w:tr>
        <w:trPr>
          <w:trHeight w:val="210"/>
        </w:trPr>
        <w:tc>
          <w:tcPr>
            <w:tcW w:w="6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1160" w:type="dxa"/>
            <w:vAlign w:val="bottom"/>
            <w:shd w:val="clear" w:color="auto" w:fill="CFF0FC"/>
          </w:tcPr>
          <w:p>
            <w:pPr>
              <w:jc w:val="right"/>
              <w:ind w:right="970"/>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797,879</w:t>
            </w:r>
          </w:p>
        </w:tc>
        <w:tc>
          <w:tcPr>
            <w:tcW w:w="1160" w:type="dxa"/>
            <w:vAlign w:val="bottom"/>
            <w:gridSpan w:val="2"/>
            <w:shd w:val="clear" w:color="auto" w:fill="CFF0FC"/>
          </w:tcPr>
          <w:p>
            <w:pPr>
              <w:jc w:val="right"/>
              <w:ind w:right="680"/>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688,629</w:t>
            </w:r>
          </w:p>
        </w:tc>
        <w:tc>
          <w:tcPr>
            <w:tcW w:w="100" w:type="dxa"/>
            <w:vAlign w:val="bottom"/>
            <w:shd w:val="clear" w:color="auto" w:fill="CFF0FC"/>
          </w:tcPr>
          <w:p>
            <w:pPr>
              <w:spacing w:after="0"/>
              <w:rPr>
                <w:sz w:val="18"/>
                <w:szCs w:val="18"/>
                <w:color w:val="auto"/>
              </w:rPr>
            </w:pPr>
          </w:p>
        </w:tc>
      </w:tr>
      <w:tr>
        <w:trPr>
          <w:trHeight w:val="215"/>
        </w:trPr>
        <w:tc>
          <w:tcPr>
            <w:tcW w:w="6860" w:type="dxa"/>
            <w:vAlign w:val="bottom"/>
          </w:tcPr>
          <w:p>
            <w:pPr>
              <w:ind w:left="20"/>
              <w:spacing w:after="0" w:line="215" w:lineRule="exact"/>
              <w:rPr>
                <w:sz w:val="20"/>
                <w:szCs w:val="20"/>
                <w:color w:val="auto"/>
              </w:rPr>
            </w:pPr>
            <w:r>
              <w:rPr>
                <w:rFonts w:ascii="Calibri" w:cs="Calibri" w:eastAsia="Calibri" w:hAnsi="Calibri"/>
                <w:sz w:val="18"/>
                <w:szCs w:val="18"/>
                <w:color w:val="auto"/>
              </w:rPr>
              <w:t>Income before income taxes</w:t>
            </w:r>
          </w:p>
        </w:tc>
        <w:tc>
          <w:tcPr>
            <w:tcW w:w="116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79,007</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74,026</w:t>
            </w:r>
          </w:p>
        </w:tc>
        <w:tc>
          <w:tcPr>
            <w:tcW w:w="100" w:type="dxa"/>
            <w:vAlign w:val="bottom"/>
          </w:tcPr>
          <w:p>
            <w:pPr>
              <w:spacing w:after="0"/>
              <w:rPr>
                <w:sz w:val="18"/>
                <w:szCs w:val="18"/>
                <w:color w:val="auto"/>
              </w:rPr>
            </w:pPr>
          </w:p>
        </w:tc>
      </w:tr>
    </w:tbl>
    <w:p>
      <w:pPr>
        <w:spacing w:after="0" w:line="8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unaudited pro forma fnancial informaton presented above is for informatonal purposes only and is not necessarily indicatve of the actual results of operatons that might have occurred had the Vegas.com Acquisiton occurred on January 1, 2022, nor are they necessarily indicatve of future results. The unaudited pro forma informaton for all periods presented above refects the following adjustments, where applicable, assuming the Vegas.com Acquisiton had occurred on January 1, 2022: (i) incremental amortzaton expense related to the long-lived intangible assets acquired in the Vegas.com Acquisiton; (ii) reclassifcaton of transacton costs incurred in connecton to the Vegas.com Acquisiton to the earliest year presented; (iii) alignment of Vegas.com’s revenue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9" w:name="page80"/>
    <w:bookmarkEnd w:id="7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6" w:lineRule="exact"/>
        <w:rPr>
          <w:sz w:val="20"/>
          <w:szCs w:val="20"/>
          <w:color w:val="auto"/>
        </w:rPr>
      </w:pPr>
    </w:p>
    <w:p>
      <w:pPr>
        <w:ind w:right="2120"/>
        <w:spacing w:after="0" w:line="348" w:lineRule="auto"/>
        <w:rPr>
          <w:sz w:val="20"/>
          <w:szCs w:val="20"/>
          <w:color w:val="auto"/>
        </w:rPr>
      </w:pPr>
      <w:r>
        <w:rPr>
          <w:rFonts w:ascii="Calibri" w:cs="Calibri" w:eastAsia="Calibri" w:hAnsi="Calibri"/>
          <w:sz w:val="18"/>
          <w:szCs w:val="18"/>
          <w:color w:val="auto"/>
        </w:rPr>
        <w:t xml:space="preserve">recogniton with our policies; and (iv) eliminaton of interest expense incurred by Vegas.com prior to the Vegas.com Acquisiton. </w:t>
      </w:r>
      <w:r>
        <w:rPr>
          <w:rFonts w:ascii="Calibri" w:cs="Calibri" w:eastAsia="Calibri" w:hAnsi="Calibri"/>
          <w:sz w:val="18"/>
          <w:szCs w:val="18"/>
          <w:b w:val="1"/>
          <w:bCs w:val="1"/>
          <w:color w:val="auto"/>
        </w:rPr>
        <w:t>Wavedash Acquisiton</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(the “Wavedash Acquisiton Date”), we acquired 100% of the outstanding shares of Wavedash, an online tcket marketplace headquartered in Tokyo, Japan (the “Wavedash Acquisiton” and, together with the Vegas.com Acquisiton, the “2023 Acquisitons”). The purchase price was JPY 10,946.1 million, or approximately $74.3 million based on the exchange rate in efect on the Wavedash Acquisiton Date, before considering the net efect of cash acquired equal to the amount in the table below. We fnanced the purchase price at closing with cash on hand. The acquisiton was accounted for as an acquisiton of a business in accordance with the acquisiton method of accountng.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Wavedash Acquisiton, we also assumed long-term debt owed to Shoko Chukin Bank (the “Shoko Chukin Bank Loan”) of JPY 458.3 mil (approximately $3.1 million), which had an original maturity date of June 24, 2026 and was subject to a fxed interest rate of 1.27% per annum. On April 4, 2024, we paid of the Shoko Chukin Bank Loan balance in its entrety. See Note 13, </w:t>
      </w:r>
      <w:r>
        <w:rPr>
          <w:rFonts w:ascii="Calibri" w:cs="Calibri" w:eastAsia="Calibri" w:hAnsi="Calibri"/>
          <w:sz w:val="18"/>
          <w:szCs w:val="18"/>
          <w:i w:val="1"/>
          <w:iCs w:val="1"/>
          <w:color w:val="auto"/>
        </w:rPr>
        <w:t>Long-Term Debt – Net,</w:t>
      </w:r>
      <w:r>
        <w:rPr>
          <w:rFonts w:ascii="Calibri" w:cs="Calibri" w:eastAsia="Calibri" w:hAnsi="Calibri"/>
          <w:sz w:val="18"/>
          <w:szCs w:val="18"/>
          <w:color w:val="auto"/>
        </w:rPr>
        <w:t xml:space="preserve"> for more informaton.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goodwill recognized in the Wavedash Acquisiton is not deductble for income tax purposes. The goodwill, which is included in our Marketplace segment, is primarily atributable to revenue opportunites associated with Wavedash’s service oferings and assembled workforce.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2023, we recognized an expense of $2.7 million for direct costs incurred in relaton to the Wavedash Acquisiton, which is recorded in General and administratve expenses in the Consolidated Statements of Operatons.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the fnal allocaton (described in further detail below) of the purchase price amongst Wavedash’s tangible and intangible assets and liabilites as of the Wavedash Acquisiton Date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Cash and cash equivalents</w:t>
            </w:r>
          </w:p>
        </w:tc>
        <w:tc>
          <w:tcPr>
            <w:tcW w:w="1000" w:type="dxa"/>
            <w:vAlign w:val="bottom"/>
            <w:shd w:val="clear" w:color="auto" w:fill="CFF0FC"/>
          </w:tcPr>
          <w:p>
            <w:pPr>
              <w:jc w:val="right"/>
              <w:ind w:right="790"/>
              <w:spacing w:after="0"/>
              <w:rPr>
                <w:sz w:val="20"/>
                <w:szCs w:val="20"/>
                <w:color w:val="auto"/>
              </w:rPr>
            </w:pPr>
            <w:r>
              <w:rPr>
                <w:rFonts w:ascii="Calibri" w:cs="Calibri" w:eastAsia="Calibri" w:hAnsi="Calibri"/>
                <w:sz w:val="18"/>
                <w:szCs w:val="18"/>
                <w:color w:val="auto"/>
              </w:rPr>
              <w:t>$</w:t>
            </w:r>
          </w:p>
        </w:tc>
        <w:tc>
          <w:tcPr>
            <w:tcW w:w="14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18,390</w:t>
            </w:r>
          </w:p>
        </w:tc>
        <w:tc>
          <w:tcPr>
            <w:tcW w:w="100" w:type="dxa"/>
            <w:vAlign w:val="bottom"/>
            <w:shd w:val="clear" w:color="auto" w:fill="CFF0FC"/>
          </w:tcPr>
          <w:p>
            <w:pPr>
              <w:spacing w:after="0"/>
              <w:rPr>
                <w:sz w:val="19"/>
                <w:szCs w:val="19"/>
                <w:color w:val="auto"/>
              </w:rPr>
            </w:pPr>
          </w:p>
        </w:tc>
      </w:tr>
      <w:tr>
        <w:trPr>
          <w:trHeight w:val="215"/>
        </w:trPr>
        <w:tc>
          <w:tcPr>
            <w:tcW w:w="868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receivable</w:t>
            </w:r>
          </w:p>
        </w:tc>
        <w:tc>
          <w:tcPr>
            <w:tcW w:w="10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2,182</w:t>
            </w:r>
          </w:p>
        </w:tc>
        <w:tc>
          <w:tcPr>
            <w:tcW w:w="100" w:type="dxa"/>
            <w:vAlign w:val="bottom"/>
          </w:tcPr>
          <w:p>
            <w:pPr>
              <w:spacing w:after="0"/>
              <w:rPr>
                <w:sz w:val="18"/>
                <w:szCs w:val="18"/>
                <w:color w:val="auto"/>
              </w:rPr>
            </w:pPr>
          </w:p>
        </w:tc>
      </w:tr>
      <w:tr>
        <w:trPr>
          <w:trHeight w:val="217"/>
        </w:trPr>
        <w:tc>
          <w:tcPr>
            <w:tcW w:w="8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Inventory</w:t>
            </w:r>
          </w:p>
        </w:tc>
        <w:tc>
          <w:tcPr>
            <w:tcW w:w="10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49</w:t>
            </w:r>
          </w:p>
        </w:tc>
        <w:tc>
          <w:tcPr>
            <w:tcW w:w="100" w:type="dxa"/>
            <w:vAlign w:val="bottom"/>
            <w:shd w:val="clear" w:color="auto" w:fill="CFF0FC"/>
          </w:tcPr>
          <w:p>
            <w:pPr>
              <w:spacing w:after="0"/>
              <w:rPr>
                <w:sz w:val="18"/>
                <w:szCs w:val="18"/>
                <w:color w:val="auto"/>
              </w:rPr>
            </w:pPr>
          </w:p>
        </w:tc>
      </w:tr>
      <w:tr>
        <w:trPr>
          <w:trHeight w:val="215"/>
        </w:trPr>
        <w:tc>
          <w:tcPr>
            <w:tcW w:w="868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0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259</w:t>
            </w:r>
          </w:p>
        </w:tc>
        <w:tc>
          <w:tcPr>
            <w:tcW w:w="100" w:type="dxa"/>
            <w:vAlign w:val="bottom"/>
          </w:tcPr>
          <w:p>
            <w:pPr>
              <w:spacing w:after="0"/>
              <w:rPr>
                <w:sz w:val="18"/>
                <w:szCs w:val="18"/>
                <w:color w:val="auto"/>
              </w:rPr>
            </w:pPr>
          </w:p>
        </w:tc>
      </w:tr>
      <w:tr>
        <w:trPr>
          <w:trHeight w:val="217"/>
        </w:trPr>
        <w:tc>
          <w:tcPr>
            <w:tcW w:w="8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and equipment</w:t>
            </w:r>
          </w:p>
        </w:tc>
        <w:tc>
          <w:tcPr>
            <w:tcW w:w="10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67</w:t>
            </w:r>
          </w:p>
        </w:tc>
        <w:tc>
          <w:tcPr>
            <w:tcW w:w="100" w:type="dxa"/>
            <w:vAlign w:val="bottom"/>
            <w:shd w:val="clear" w:color="auto" w:fill="CFF0FC"/>
          </w:tcPr>
          <w:p>
            <w:pPr>
              <w:spacing w:after="0"/>
              <w:rPr>
                <w:sz w:val="18"/>
                <w:szCs w:val="18"/>
                <w:color w:val="auto"/>
              </w:rPr>
            </w:pPr>
          </w:p>
        </w:tc>
      </w:tr>
      <w:tr>
        <w:trPr>
          <w:trHeight w:val="215"/>
        </w:trPr>
        <w:tc>
          <w:tcPr>
            <w:tcW w:w="868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w:t>
            </w:r>
          </w:p>
        </w:tc>
        <w:tc>
          <w:tcPr>
            <w:tcW w:w="10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1,927</w:t>
            </w:r>
          </w:p>
        </w:tc>
        <w:tc>
          <w:tcPr>
            <w:tcW w:w="100" w:type="dxa"/>
            <w:vAlign w:val="bottom"/>
          </w:tcPr>
          <w:p>
            <w:pPr>
              <w:spacing w:after="0"/>
              <w:rPr>
                <w:sz w:val="18"/>
                <w:szCs w:val="18"/>
                <w:color w:val="auto"/>
              </w:rPr>
            </w:pPr>
          </w:p>
        </w:tc>
      </w:tr>
      <w:tr>
        <w:trPr>
          <w:trHeight w:val="217"/>
        </w:trPr>
        <w:tc>
          <w:tcPr>
            <w:tcW w:w="8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assets</w:t>
            </w:r>
          </w:p>
        </w:tc>
        <w:tc>
          <w:tcPr>
            <w:tcW w:w="10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675</w:t>
            </w:r>
          </w:p>
        </w:tc>
        <w:tc>
          <w:tcPr>
            <w:tcW w:w="100" w:type="dxa"/>
            <w:vAlign w:val="bottom"/>
            <w:shd w:val="clear" w:color="auto" w:fill="CFF0FC"/>
          </w:tcPr>
          <w:p>
            <w:pPr>
              <w:spacing w:after="0"/>
              <w:rPr>
                <w:sz w:val="18"/>
                <w:szCs w:val="18"/>
                <w:color w:val="auto"/>
              </w:rPr>
            </w:pPr>
          </w:p>
        </w:tc>
      </w:tr>
      <w:tr>
        <w:trPr>
          <w:trHeight w:val="215"/>
        </w:trPr>
        <w:tc>
          <w:tcPr>
            <w:tcW w:w="868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w:t>
            </w:r>
          </w:p>
        </w:tc>
        <w:tc>
          <w:tcPr>
            <w:tcW w:w="10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31,846</w:t>
            </w:r>
          </w:p>
        </w:tc>
        <w:tc>
          <w:tcPr>
            <w:tcW w:w="100" w:type="dxa"/>
            <w:vAlign w:val="bottom"/>
          </w:tcPr>
          <w:p>
            <w:pPr>
              <w:spacing w:after="0"/>
              <w:rPr>
                <w:sz w:val="18"/>
                <w:szCs w:val="18"/>
                <w:color w:val="auto"/>
              </w:rPr>
            </w:pPr>
          </w:p>
        </w:tc>
      </w:tr>
      <w:tr>
        <w:trPr>
          <w:trHeight w:val="217"/>
        </w:trPr>
        <w:tc>
          <w:tcPr>
            <w:tcW w:w="8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Goodwill</w:t>
            </w:r>
          </w:p>
        </w:tc>
        <w:tc>
          <w:tcPr>
            <w:tcW w:w="10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45,351</w:t>
            </w:r>
          </w:p>
        </w:tc>
        <w:tc>
          <w:tcPr>
            <w:tcW w:w="100" w:type="dxa"/>
            <w:vAlign w:val="bottom"/>
            <w:shd w:val="clear" w:color="auto" w:fill="CFF0FC"/>
          </w:tcPr>
          <w:p>
            <w:pPr>
              <w:spacing w:after="0"/>
              <w:rPr>
                <w:sz w:val="18"/>
                <w:szCs w:val="18"/>
                <w:color w:val="auto"/>
              </w:rPr>
            </w:pPr>
          </w:p>
        </w:tc>
      </w:tr>
      <w:tr>
        <w:trPr>
          <w:trHeight w:val="215"/>
        </w:trPr>
        <w:tc>
          <w:tcPr>
            <w:tcW w:w="868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payable</w:t>
            </w:r>
          </w:p>
        </w:tc>
        <w:tc>
          <w:tcPr>
            <w:tcW w:w="1000" w:type="dxa"/>
            <w:vAlign w:val="bottom"/>
          </w:tcPr>
          <w:p>
            <w:pPr>
              <w:spacing w:after="0"/>
              <w:rPr>
                <w:sz w:val="18"/>
                <w:szCs w:val="18"/>
                <w:color w:val="auto"/>
              </w:rPr>
            </w:pP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(7,427 )</w:t>
            </w:r>
          </w:p>
        </w:tc>
      </w:tr>
      <w:tr>
        <w:trPr>
          <w:trHeight w:val="217"/>
        </w:trPr>
        <w:tc>
          <w:tcPr>
            <w:tcW w:w="8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expenses and other current liabilites</w:t>
            </w:r>
          </w:p>
        </w:tc>
        <w:tc>
          <w:tcPr>
            <w:tcW w:w="10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(3,901 )</w:t>
            </w:r>
          </w:p>
        </w:tc>
      </w:tr>
      <w:tr>
        <w:trPr>
          <w:trHeight w:val="215"/>
        </w:trPr>
        <w:tc>
          <w:tcPr>
            <w:tcW w:w="86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maturites of long-term debt</w:t>
            </w:r>
          </w:p>
        </w:tc>
        <w:tc>
          <w:tcPr>
            <w:tcW w:w="1000" w:type="dxa"/>
            <w:vAlign w:val="bottom"/>
          </w:tcPr>
          <w:p>
            <w:pPr>
              <w:spacing w:after="0"/>
              <w:rPr>
                <w:sz w:val="18"/>
                <w:szCs w:val="18"/>
                <w:color w:val="auto"/>
              </w:rPr>
            </w:pP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(566 )</w:t>
            </w:r>
          </w:p>
        </w:tc>
      </w:tr>
      <w:tr>
        <w:trPr>
          <w:trHeight w:val="217"/>
        </w:trPr>
        <w:tc>
          <w:tcPr>
            <w:tcW w:w="8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Long-term debt</w:t>
            </w:r>
          </w:p>
        </w:tc>
        <w:tc>
          <w:tcPr>
            <w:tcW w:w="10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(2,546 )</w:t>
            </w:r>
          </w:p>
        </w:tc>
      </w:tr>
      <w:tr>
        <w:trPr>
          <w:trHeight w:val="215"/>
        </w:trPr>
        <w:tc>
          <w:tcPr>
            <w:tcW w:w="8680" w:type="dxa"/>
            <w:vAlign w:val="bottom"/>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1000" w:type="dxa"/>
            <w:vAlign w:val="bottom"/>
          </w:tcPr>
          <w:p>
            <w:pPr>
              <w:spacing w:after="0"/>
              <w:rPr>
                <w:sz w:val="18"/>
                <w:szCs w:val="18"/>
                <w:color w:val="auto"/>
              </w:rPr>
            </w:pPr>
          </w:p>
        </w:tc>
        <w:tc>
          <w:tcPr>
            <w:tcW w:w="15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(11,981 )</w:t>
            </w:r>
          </w:p>
        </w:tc>
      </w:tr>
      <w:tr>
        <w:trPr>
          <w:trHeight w:val="250"/>
        </w:trPr>
        <w:tc>
          <w:tcPr>
            <w:tcW w:w="868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Purchase price</w:t>
            </w:r>
          </w:p>
        </w:tc>
        <w:tc>
          <w:tcPr>
            <w:tcW w:w="1000" w:type="dxa"/>
            <w:vAlign w:val="bottom"/>
            <w:tcBorders>
              <w:top w:val="single" w:sz="8" w:color="auto"/>
              <w:bottom w:val="single" w:sz="8" w:color="auto"/>
            </w:tcBorders>
            <w:shd w:val="clear" w:color="auto" w:fill="CFF0FC"/>
          </w:tcPr>
          <w:p>
            <w:pPr>
              <w:jc w:val="right"/>
              <w:ind w:right="790"/>
              <w:spacing w:after="0" w:line="210" w:lineRule="exact"/>
              <w:rPr>
                <w:sz w:val="20"/>
                <w:szCs w:val="20"/>
                <w:color w:val="auto"/>
              </w:rPr>
            </w:pPr>
            <w:r>
              <w:rPr>
                <w:rFonts w:ascii="Calibri" w:cs="Calibri" w:eastAsia="Calibri" w:hAnsi="Calibri"/>
                <w:sz w:val="18"/>
                <w:szCs w:val="18"/>
                <w:b w:val="1"/>
                <w:bCs w:val="1"/>
                <w:color w:val="auto"/>
              </w:rPr>
              <w:t>$</w:t>
            </w:r>
          </w:p>
        </w:tc>
        <w:tc>
          <w:tcPr>
            <w:tcW w:w="14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74,325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2024, we fnalized the purchase price allocaton of the Wavedash Acquisiton upon the expiraton of the one-year remeasurement period that began on the Wavedash Acquisiton Date. There were no diferences between the preliminary purchase price allocaton and the fnal purchase price allocaton presented above.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0" w:name="page81"/>
    <w:bookmarkEnd w:id="8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components of identfable intangible assets acquired (in thousands) and their estmated useful lives (in years) as of the</w:t>
      </w:r>
    </w:p>
    <w:p>
      <w:pPr>
        <w:spacing w:after="0" w:line="235" w:lineRule="auto"/>
        <w:rPr>
          <w:sz w:val="20"/>
          <w:szCs w:val="20"/>
          <w:color w:val="auto"/>
        </w:rPr>
      </w:pPr>
      <w:r>
        <w:rPr>
          <w:rFonts w:ascii="Calibri" w:cs="Calibri" w:eastAsia="Calibri" w:hAnsi="Calibri"/>
          <w:sz w:val="18"/>
          <w:szCs w:val="18"/>
          <w:color w:val="auto"/>
        </w:rPr>
        <w:t>Wavedash Acquisiton Date: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Cost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Calibri" w:cs="Calibri" w:eastAsia="Calibri" w:hAnsi="Calibri"/>
                <w:sz w:val="18"/>
                <w:szCs w:val="18"/>
                <w:b w:val="1"/>
                <w:bCs w:val="1"/>
                <w:color w:val="auto"/>
              </w:rPr>
              <w:t>Estmated Useful Life</w:t>
            </w:r>
          </w:p>
        </w:tc>
      </w:tr>
      <w:tr>
        <w:trPr>
          <w:trHeight w:val="23"/>
        </w:trPr>
        <w:tc>
          <w:tcPr>
            <w:tcW w:w="63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Trade name</w:t>
            </w:r>
          </w:p>
        </w:tc>
        <w:tc>
          <w:tcPr>
            <w:tcW w:w="1160" w:type="dxa"/>
            <w:vAlign w:val="bottom"/>
            <w:shd w:val="clear" w:color="auto" w:fill="CFF0FC"/>
          </w:tcPr>
          <w:p>
            <w:pPr>
              <w:jc w:val="right"/>
              <w:ind w:right="950"/>
              <w:spacing w:after="0" w:line="209"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2,173</w:t>
            </w:r>
          </w:p>
        </w:tc>
        <w:tc>
          <w:tcPr>
            <w:tcW w:w="28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rPr>
              <w:t>Indefnite</w:t>
            </w:r>
          </w:p>
        </w:tc>
      </w:tr>
      <w:tr>
        <w:trPr>
          <w:trHeight w:val="215"/>
        </w:trPr>
        <w:tc>
          <w:tcPr>
            <w:tcW w:w="6360" w:type="dxa"/>
            <w:vAlign w:val="bottom"/>
          </w:tcPr>
          <w:p>
            <w:pPr>
              <w:ind w:left="20"/>
              <w:spacing w:after="0" w:line="215" w:lineRule="exact"/>
              <w:rPr>
                <w:sz w:val="20"/>
                <w:szCs w:val="20"/>
                <w:color w:val="auto"/>
              </w:rPr>
            </w:pPr>
            <w:r>
              <w:rPr>
                <w:rFonts w:ascii="Calibri" w:cs="Calibri" w:eastAsia="Calibri" w:hAnsi="Calibri"/>
                <w:sz w:val="18"/>
                <w:szCs w:val="18"/>
                <w:color w:val="auto"/>
              </w:rPr>
              <w:t>Supplier relatonships</w:t>
            </w:r>
          </w:p>
        </w:tc>
        <w:tc>
          <w:tcPr>
            <w:tcW w:w="116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19,963</w:t>
            </w:r>
          </w:p>
        </w:tc>
        <w:tc>
          <w:tcPr>
            <w:tcW w:w="280" w:type="dxa"/>
            <w:vAlign w:val="bottom"/>
          </w:tcPr>
          <w:p>
            <w:pPr>
              <w:spacing w:after="0"/>
              <w:rPr>
                <w:sz w:val="18"/>
                <w:szCs w:val="18"/>
                <w:color w:val="auto"/>
              </w:rPr>
            </w:pPr>
          </w:p>
        </w:tc>
        <w:tc>
          <w:tcPr>
            <w:tcW w:w="28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5 years</w:t>
            </w:r>
          </w:p>
        </w:tc>
      </w:tr>
      <w:tr>
        <w:trPr>
          <w:trHeight w:val="217"/>
        </w:trPr>
        <w:tc>
          <w:tcPr>
            <w:tcW w:w="63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Customer relatonships</w:t>
            </w: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5,500</w:t>
            </w:r>
          </w:p>
        </w:tc>
        <w:tc>
          <w:tcPr>
            <w:tcW w:w="28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4 years</w:t>
            </w:r>
          </w:p>
        </w:tc>
      </w:tr>
      <w:tr>
        <w:trPr>
          <w:trHeight w:val="215"/>
        </w:trPr>
        <w:tc>
          <w:tcPr>
            <w:tcW w:w="6360" w:type="dxa"/>
            <w:vAlign w:val="bottom"/>
          </w:tcPr>
          <w:p>
            <w:pPr>
              <w:ind w:left="20"/>
              <w:spacing w:after="0" w:line="215" w:lineRule="exact"/>
              <w:rPr>
                <w:sz w:val="20"/>
                <w:szCs w:val="20"/>
                <w:color w:val="auto"/>
              </w:rPr>
            </w:pPr>
            <w:r>
              <w:rPr>
                <w:rFonts w:ascii="Calibri" w:cs="Calibri" w:eastAsia="Calibri" w:hAnsi="Calibri"/>
                <w:sz w:val="18"/>
                <w:szCs w:val="18"/>
                <w:color w:val="auto"/>
              </w:rPr>
              <w:t>Acquired developed technology</w:t>
            </w: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4,210</w:t>
            </w:r>
          </w:p>
        </w:tc>
        <w:tc>
          <w:tcPr>
            <w:tcW w:w="280" w:type="dxa"/>
            <w:vAlign w:val="bottom"/>
          </w:tcPr>
          <w:p>
            <w:pPr>
              <w:spacing w:after="0"/>
              <w:rPr>
                <w:sz w:val="18"/>
                <w:szCs w:val="18"/>
                <w:color w:val="auto"/>
              </w:rPr>
            </w:pPr>
          </w:p>
        </w:tc>
        <w:tc>
          <w:tcPr>
            <w:tcW w:w="28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3 years</w:t>
            </w:r>
          </w:p>
        </w:tc>
      </w:tr>
      <w:tr>
        <w:trPr>
          <w:trHeight w:val="250"/>
        </w:trPr>
        <w:tc>
          <w:tcPr>
            <w:tcW w:w="63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Acquired intangible assets</w:t>
            </w:r>
          </w:p>
        </w:tc>
        <w:tc>
          <w:tcPr>
            <w:tcW w:w="1160" w:type="dxa"/>
            <w:vAlign w:val="bottom"/>
            <w:tcBorders>
              <w:bottom w:val="single" w:sz="8" w:color="auto"/>
            </w:tcBorders>
            <w:shd w:val="clear" w:color="auto" w:fill="CFF0FC"/>
          </w:tcPr>
          <w:p>
            <w:pPr>
              <w:jc w:val="right"/>
              <w:ind w:right="950"/>
              <w:spacing w:after="0" w:line="210" w:lineRule="exact"/>
              <w:rPr>
                <w:sz w:val="20"/>
                <w:szCs w:val="20"/>
                <w:color w:val="auto"/>
              </w:rPr>
            </w:pPr>
            <w:r>
              <w:rPr>
                <w:rFonts w:ascii="Calibri" w:cs="Calibri" w:eastAsia="Calibri" w:hAnsi="Calibri"/>
                <w:sz w:val="18"/>
                <w:szCs w:val="18"/>
                <w:b w:val="1"/>
                <w:bCs w:val="1"/>
                <w:color w:val="auto"/>
              </w:rPr>
              <w:t>$</w:t>
            </w:r>
          </w:p>
        </w:tc>
        <w:tc>
          <w:tcPr>
            <w:tcW w:w="6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31,846</w:t>
            </w:r>
          </w:p>
        </w:tc>
        <w:tc>
          <w:tcPr>
            <w:tcW w:w="280" w:type="dxa"/>
            <w:vAlign w:val="bottom"/>
            <w:tcBorders>
              <w:bottom w:val="single" w:sz="8" w:color="CFF0FC"/>
            </w:tcBorders>
            <w:shd w:val="clear" w:color="auto" w:fill="CFF0FC"/>
          </w:tcPr>
          <w:p>
            <w:pPr>
              <w:spacing w:after="0"/>
              <w:rPr>
                <w:sz w:val="21"/>
                <w:szCs w:val="21"/>
                <w:color w:val="auto"/>
              </w:rPr>
            </w:pPr>
          </w:p>
        </w:tc>
        <w:tc>
          <w:tcPr>
            <w:tcW w:w="28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 forma fnancial informaton for the Wavedash Acquisiton was not considered material to our consolidated fnancial statements and has not been presented.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Vivid Picks Acquisiton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13, 2021 (the “Vivid Picks Acquisiton Date“), we acquired 100% ownership of Betcha (the “Vivid Picks Acquisiton” and, together with the 2023 Acquisitons, the “Acquisitons”). In August 2022, we rebranded Betcha as Vivid Picks. Vivid Picks is a real money daily fantasy sports app with social and gamifcaton features that enhance fans’ connecton with their favorite live sports. The Vivid Picks Acquisiton was accounted for as an acquisiton of a business in accordance with the acquisiton method of accountng.</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2022, we recognized an immaterial expense for direct costs incurred in relaton to the Vivid Picks Acquisiton, which is recorded in General and administratve expenses in the Consolidated Statements of Operatons.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Vivid Picks Acquisiton Date fair value of the consideraton consisted of $0.8 million in cash and 2.1 million shares of Class A common stock.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total consideraton included cash earnouts of $3.4 million (the “Vivid Picks Earnouts”) as of the Vivid Picks Acquisiton Date representng the estmated fair value that we would be obligated to pay if Vivid Picks met certain earnings objectves. The Vivid Picks Earnouts are measured at fair value using a Monte Carlo simulaton model. The change in fair value of the Vivid Picks Earnouts is recorded in Change in fair value of contngent consideraton in the Consolidated Statements of Operatons. As of December 31, 2024, the estmated fair value of the Vivid Picks Earnouts was zero. For the years ended December 31, 2024, 2023, and 2022, the estmated fair value of the Vivid Picks Earnouts decreased by zero, $1.0 million, and $2.1 million, respectvely. We made no payments related to the Vivid Picks Earnouts during the years ended December 31, 2024, 2023, and 2022.</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the consideraton included future milestone payments of $9.5 million (collectvely, the “Vivid Picks Milestone Payments”) as of the Vivid Picks Acquisiton Date representng the estmated fair value that we would be obligated to pay upon the achievement of certain integraton objectves For the years ended December 31, 2024, 2023, and 2022, we paid Vivid Picks Milestone Payments of zero, $6.0 million, and $1.1 million, respectvely. During the year ended December 31, 2022, we also issued 0.3 million shares of Class A common stock such that the total Vivid Picks Milestone Payment consisted of $1.1 million cash and 0.3 million shares of Class A common stock. As of December 31, 2023, the integraton objectves were fully met and we had no further liabilites related to the Vivid Picks Milestone Payments.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Vivid Picks Acquisiton, we agreed to pay cash bonuses to certain Vivid Picks employees over three years following the anniversary of the employee start date. The payouts are subject to contnued service, and therefore treated as compensaton and expensed.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1" w:name="page82"/>
    <w:bookmarkEnd w:id="8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Revenue Recognition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the years ended December 31, 2024, 2023, and 2022, Marketplace revenues by business model consisted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60" w:type="dxa"/>
            <w:vAlign w:val="bottom"/>
            <w:gridSpan w:val="4"/>
          </w:tcPr>
          <w:p>
            <w:pPr>
              <w:ind w:left="180"/>
              <w:spacing w:after="0"/>
              <w:rPr>
                <w:sz w:val="20"/>
                <w:szCs w:val="20"/>
                <w:color w:val="auto"/>
              </w:rPr>
            </w:pPr>
            <w:r>
              <w:rPr>
                <w:rFonts w:ascii="Calibri" w:cs="Calibri" w:eastAsia="Calibri" w:hAnsi="Calibri"/>
                <w:sz w:val="18"/>
                <w:szCs w:val="18"/>
                <w:b w:val="1"/>
                <w:bCs w:val="1"/>
                <w:color w:val="auto"/>
              </w:rPr>
              <w:t>Years Ended December 31,</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55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line="209"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Owned Propertes revenues</w:t>
            </w:r>
          </w:p>
        </w:tc>
        <w:tc>
          <w:tcPr>
            <w:tcW w:w="1020" w:type="dxa"/>
            <w:vAlign w:val="bottom"/>
            <w:shd w:val="clear" w:color="auto" w:fill="CFF0FC"/>
          </w:tcPr>
          <w:p>
            <w:pPr>
              <w:jc w:val="right"/>
              <w:ind w:right="81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533,086</w:t>
            </w:r>
          </w:p>
        </w:tc>
        <w:tc>
          <w:tcPr>
            <w:tcW w:w="680" w:type="dxa"/>
            <w:vAlign w:val="bottom"/>
            <w:gridSpan w:val="2"/>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462,263</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400,413</w:t>
            </w:r>
          </w:p>
        </w:tc>
        <w:tc>
          <w:tcPr>
            <w:tcW w:w="100" w:type="dxa"/>
            <w:vAlign w:val="bottom"/>
            <w:shd w:val="clear" w:color="auto" w:fill="CFF0FC"/>
          </w:tcPr>
          <w:p>
            <w:pPr>
              <w:spacing w:after="0"/>
              <w:rPr>
                <w:sz w:val="18"/>
                <w:szCs w:val="18"/>
                <w:color w:val="auto"/>
              </w:rPr>
            </w:pP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Private Label Ofering revenues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114,805</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135,125</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110,681</w:t>
            </w:r>
          </w:p>
        </w:tc>
        <w:tc>
          <w:tcPr>
            <w:tcW w:w="100" w:type="dxa"/>
            <w:vAlign w:val="bottom"/>
          </w:tcPr>
          <w:p>
            <w:pPr>
              <w:spacing w:after="0"/>
              <w:rPr>
                <w:sz w:val="18"/>
                <w:szCs w:val="18"/>
                <w:color w:val="auto"/>
              </w:rPr>
            </w:pPr>
          </w:p>
        </w:tc>
      </w:tr>
      <w:tr>
        <w:trPr>
          <w:trHeight w:val="250"/>
        </w:trPr>
        <w:tc>
          <w:tcPr>
            <w:tcW w:w="55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Marketplace revenues</w:t>
            </w:r>
          </w:p>
        </w:tc>
        <w:tc>
          <w:tcPr>
            <w:tcW w:w="1020" w:type="dxa"/>
            <w:vAlign w:val="bottom"/>
            <w:tcBorders>
              <w:bottom w:val="single" w:sz="8" w:color="auto"/>
            </w:tcBorders>
            <w:shd w:val="clear" w:color="auto" w:fill="CFF0FC"/>
          </w:tcPr>
          <w:p>
            <w:pPr>
              <w:jc w:val="right"/>
              <w:ind w:right="810"/>
              <w:spacing w:after="0" w:line="209" w:lineRule="exact"/>
              <w:rPr>
                <w:sz w:val="20"/>
                <w:szCs w:val="20"/>
                <w:color w:val="auto"/>
              </w:rPr>
            </w:pPr>
            <w:r>
              <w:rPr>
                <w:rFonts w:ascii="Calibri" w:cs="Calibri" w:eastAsia="Calibri" w:hAnsi="Calibri"/>
                <w:sz w:val="18"/>
                <w:szCs w:val="18"/>
                <w:b w:val="1"/>
                <w:bCs w:val="1"/>
                <w:color w:val="auto"/>
              </w:rPr>
              <w:t>$</w:t>
            </w:r>
          </w:p>
        </w:tc>
        <w:tc>
          <w:tcPr>
            <w:tcW w:w="6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647,891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line="209" w:lineRule="exact"/>
              <w:rPr>
                <w:sz w:val="20"/>
                <w:szCs w:val="20"/>
                <w:color w:val="auto"/>
              </w:rPr>
            </w:pPr>
            <w:r>
              <w:rPr>
                <w:rFonts w:ascii="Calibri" w:cs="Calibri" w:eastAsia="Calibri" w:hAnsi="Calibri"/>
                <w:sz w:val="18"/>
                <w:szCs w:val="18"/>
                <w:b w:val="1"/>
                <w:bCs w:val="1"/>
                <w:color w:val="auto"/>
                <w:w w:val="87"/>
              </w:rPr>
              <w:t>$</w:t>
            </w:r>
          </w:p>
        </w:tc>
        <w:tc>
          <w:tcPr>
            <w:tcW w:w="12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597,388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line="209"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511,094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the years ended December 31, 2024, 2023, and 2022, Marketplace revenues consisted of the following event categories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60" w:type="dxa"/>
            <w:vAlign w:val="bottom"/>
            <w:gridSpan w:val="4"/>
          </w:tcPr>
          <w:p>
            <w:pPr>
              <w:ind w:left="180"/>
              <w:spacing w:after="0"/>
              <w:rPr>
                <w:sz w:val="20"/>
                <w:szCs w:val="20"/>
                <w:color w:val="auto"/>
              </w:rPr>
            </w:pPr>
            <w:r>
              <w:rPr>
                <w:rFonts w:ascii="Calibri" w:cs="Calibri" w:eastAsia="Calibri" w:hAnsi="Calibri"/>
                <w:sz w:val="18"/>
                <w:szCs w:val="18"/>
                <w:b w:val="1"/>
                <w:bCs w:val="1"/>
                <w:color w:val="auto"/>
              </w:rPr>
              <w:t>Years Ended December 31,</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55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line="209"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Concert revenues</w:t>
            </w:r>
          </w:p>
        </w:tc>
        <w:tc>
          <w:tcPr>
            <w:tcW w:w="1020" w:type="dxa"/>
            <w:vAlign w:val="bottom"/>
            <w:shd w:val="clear" w:color="auto" w:fill="CFF0FC"/>
          </w:tcPr>
          <w:p>
            <w:pPr>
              <w:jc w:val="right"/>
              <w:ind w:right="810"/>
              <w:spacing w:after="0" w:line="210"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283,192</w:t>
            </w:r>
          </w:p>
        </w:tc>
        <w:tc>
          <w:tcPr>
            <w:tcW w:w="680" w:type="dxa"/>
            <w:vAlign w:val="bottom"/>
            <w:gridSpan w:val="2"/>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308,507</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251,423</w:t>
            </w:r>
          </w:p>
        </w:tc>
        <w:tc>
          <w:tcPr>
            <w:tcW w:w="100" w:type="dxa"/>
            <w:vAlign w:val="bottom"/>
            <w:shd w:val="clear" w:color="auto" w:fill="CFF0FC"/>
          </w:tcPr>
          <w:p>
            <w:pPr>
              <w:spacing w:after="0"/>
              <w:rPr>
                <w:sz w:val="18"/>
                <w:szCs w:val="18"/>
                <w:color w:val="auto"/>
              </w:rPr>
            </w:pP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Sport revenues</w:t>
            </w:r>
          </w:p>
        </w:tc>
        <w:tc>
          <w:tcPr>
            <w:tcW w:w="102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202,220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199,837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196,467</w:t>
            </w:r>
          </w:p>
        </w:tc>
        <w:tc>
          <w:tcPr>
            <w:tcW w:w="100" w:type="dxa"/>
            <w:vAlign w:val="bottom"/>
          </w:tcPr>
          <w:p>
            <w:pPr>
              <w:spacing w:after="0"/>
              <w:rPr>
                <w:sz w:val="18"/>
                <w:szCs w:val="18"/>
                <w:color w:val="auto"/>
              </w:rPr>
            </w:pPr>
          </w:p>
        </w:tc>
      </w:tr>
      <w:tr>
        <w:trPr>
          <w:trHeight w:val="217"/>
        </w:trPr>
        <w:tc>
          <w:tcPr>
            <w:tcW w:w="5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Theater revenues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137,715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83,273</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61,483</w:t>
            </w:r>
          </w:p>
        </w:tc>
        <w:tc>
          <w:tcPr>
            <w:tcW w:w="100" w:type="dxa"/>
            <w:vAlign w:val="bottom"/>
            <w:shd w:val="clear" w:color="auto" w:fill="CFF0FC"/>
          </w:tcPr>
          <w:p>
            <w:pPr>
              <w:spacing w:after="0"/>
              <w:rPr>
                <w:sz w:val="18"/>
                <w:szCs w:val="18"/>
                <w:color w:val="auto"/>
              </w:rPr>
            </w:pPr>
          </w:p>
        </w:tc>
      </w:tr>
      <w:tr>
        <w:trPr>
          <w:trHeight w:val="215"/>
        </w:trPr>
        <w:tc>
          <w:tcPr>
            <w:tcW w:w="5560" w:type="dxa"/>
            <w:vAlign w:val="bottom"/>
          </w:tcPr>
          <w:p>
            <w:pPr>
              <w:ind w:left="20"/>
              <w:spacing w:after="0" w:line="215" w:lineRule="exact"/>
              <w:rPr>
                <w:sz w:val="20"/>
                <w:szCs w:val="20"/>
                <w:color w:val="auto"/>
              </w:rPr>
            </w:pPr>
            <w:r>
              <w:rPr>
                <w:rFonts w:ascii="Calibri" w:cs="Calibri" w:eastAsia="Calibri" w:hAnsi="Calibri"/>
                <w:sz w:val="18"/>
                <w:szCs w:val="18"/>
                <w:color w:val="auto"/>
              </w:rPr>
              <w:t>Other revenues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24,764</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5,771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1,721</w:t>
            </w:r>
          </w:p>
        </w:tc>
        <w:tc>
          <w:tcPr>
            <w:tcW w:w="100" w:type="dxa"/>
            <w:vAlign w:val="bottom"/>
          </w:tcPr>
          <w:p>
            <w:pPr>
              <w:spacing w:after="0"/>
              <w:rPr>
                <w:sz w:val="18"/>
                <w:szCs w:val="18"/>
                <w:color w:val="auto"/>
              </w:rPr>
            </w:pPr>
          </w:p>
        </w:tc>
      </w:tr>
      <w:tr>
        <w:trPr>
          <w:trHeight w:val="250"/>
        </w:trPr>
        <w:tc>
          <w:tcPr>
            <w:tcW w:w="55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Marketplace revenues</w:t>
            </w:r>
          </w:p>
        </w:tc>
        <w:tc>
          <w:tcPr>
            <w:tcW w:w="1020" w:type="dxa"/>
            <w:vAlign w:val="bottom"/>
            <w:tcBorders>
              <w:bottom w:val="single" w:sz="8" w:color="auto"/>
            </w:tcBorders>
            <w:shd w:val="clear" w:color="auto" w:fill="CFF0FC"/>
          </w:tcPr>
          <w:p>
            <w:pPr>
              <w:jc w:val="right"/>
              <w:ind w:right="810"/>
              <w:spacing w:after="0" w:line="209" w:lineRule="exact"/>
              <w:rPr>
                <w:sz w:val="20"/>
                <w:szCs w:val="20"/>
                <w:color w:val="auto"/>
              </w:rPr>
            </w:pPr>
            <w:r>
              <w:rPr>
                <w:rFonts w:ascii="Calibri" w:cs="Calibri" w:eastAsia="Calibri" w:hAnsi="Calibri"/>
                <w:sz w:val="18"/>
                <w:szCs w:val="18"/>
                <w:b w:val="1"/>
                <w:bCs w:val="1"/>
                <w:color w:val="auto"/>
              </w:rPr>
              <w:t>$</w:t>
            </w:r>
          </w:p>
        </w:tc>
        <w:tc>
          <w:tcPr>
            <w:tcW w:w="6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647,891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line="209" w:lineRule="exact"/>
              <w:rPr>
                <w:sz w:val="20"/>
                <w:szCs w:val="20"/>
                <w:color w:val="auto"/>
              </w:rPr>
            </w:pPr>
            <w:r>
              <w:rPr>
                <w:rFonts w:ascii="Calibri" w:cs="Calibri" w:eastAsia="Calibri" w:hAnsi="Calibri"/>
                <w:sz w:val="18"/>
                <w:szCs w:val="18"/>
                <w:b w:val="1"/>
                <w:bCs w:val="1"/>
                <w:color w:val="auto"/>
                <w:w w:val="87"/>
              </w:rPr>
              <w:t>$</w:t>
            </w:r>
          </w:p>
        </w:tc>
        <w:tc>
          <w:tcPr>
            <w:tcW w:w="12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597,388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line="209"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511,094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primarily acquire tckets to resell on secondary tcket marketplaces, including our own. Resale segment revenues were $127.7 million, $115.5 million, and $89.2 million during the years ended December 31, 2024, 2023, and 2022, respectvely.</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At December 31, 2024, Deferred revenue in the Consolidated Balance Sheets was $23.8 million, which primarily relates to the Vivid Seats Rewards Program.</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Stamps earned under the loyalty program expire in two to three years, if not converted to credits, and credits expire in two to four years, if not redeemed.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We expect to recognize all outstanding Deferred revenue within the next seven years.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$34.7 million was recorded as Deferred revenue in the Consolidated Balance Sheets, of which $25.8 million was recognized as revenue during the year ended December 31, 2024. At December 31, 2022, $32.0 million was recorded as Deferred revenue in the Consolidated Balance Sheets, of which $17.6 million was recognized as revenue during the year ended December 31, 2023.</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Segment Reporting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Operatng segments are defned as components of an entty for which discrete fnancial informaton is available and is regularly reviewed by the Chief Operatng Decision Maker (the “CODM”) in making decisions regarding resource allocaton and performance assessment. The CODM is our Chief Executve Ofcer (“CEO”). We have determined that we have two operatng and reportable segments: Marketplace and Resale.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Marketplace segment, we primarily act as an intermediary between tcket buyers, sellers, and partners through which we earn revenue processing tcket sales for live events and atractons and from facilitatng the booking of hotel rooms and packages. In our Resale segment, we primarily acquire tckets to resell on secondary tcket marketplaces, including our own.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CODM evaluates the performance of the segments and allocates resources to them based on contributon margin (defned as revenues less cost of revenues and marketng and selling expenses). Cost of revenues consists largely of payment processing fees for our Marketplace segment and tcket costs for our Resale segment. Marketng and selling expenses, which exclusively relate to our Marketplace segment, almost exclusively consist of online and ofine advertsing costs. For all segments, the CODM uses contributon margin in the annual budgetng and forecastng process, as well as when reviewing forecast-to-actual variances while making decisions about the allocaton of operatng and capital resources to each segment.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2" w:name="page83"/>
    <w:bookmarkEnd w:id="8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do not report assets, capital expenditures, general and administratve expenses, or depreciaton and amortzaton expenses by segment because the CODM does not use this informaton to evaluate the performance of our operatng segments.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our segment informaton for the year ended December 31, 2024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28"/>
              <w:spacing w:after="0"/>
              <w:rPr>
                <w:sz w:val="20"/>
                <w:szCs w:val="20"/>
                <w:color w:val="auto"/>
              </w:rPr>
            </w:pPr>
            <w:r>
              <w:rPr>
                <w:rFonts w:ascii="Calibri" w:cs="Calibri" w:eastAsia="Calibri" w:hAnsi="Calibri"/>
                <w:sz w:val="14"/>
                <w:szCs w:val="14"/>
                <w:b w:val="1"/>
                <w:bCs w:val="1"/>
                <w:color w:val="auto"/>
              </w:rPr>
              <w:t>Year Ended December 31, 2024</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Marketplace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Calibri" w:cs="Calibri" w:eastAsia="Calibri" w:hAnsi="Calibri"/>
                <w:sz w:val="14"/>
                <w:szCs w:val="14"/>
                <w:b w:val="1"/>
                <w:bCs w:val="1"/>
                <w:color w:val="auto"/>
              </w:rPr>
              <w:t>Resale</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5"/>
                <w:szCs w:val="15"/>
                <w:color w:val="auto"/>
              </w:rPr>
            </w:pP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0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647,891</w:t>
            </w:r>
          </w:p>
        </w:tc>
        <w:tc>
          <w:tcPr>
            <w:tcW w:w="5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127,695</w:t>
            </w:r>
          </w:p>
        </w:tc>
        <w:tc>
          <w:tcPr>
            <w:tcW w:w="560" w:type="dxa"/>
            <w:vAlign w:val="bottom"/>
            <w:gridSpan w:val="2"/>
            <w:shd w:val="clear" w:color="auto" w:fill="CFF0FC"/>
          </w:tcPr>
          <w:p>
            <w:pPr>
              <w:jc w:val="right"/>
              <w:ind w:right="108"/>
              <w:spacing w:after="0"/>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775,586</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Cost of revenues (exclusive of depreciaton and amortzaton shown separately below)</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99,460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102,394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201,854</w:t>
            </w:r>
          </w:p>
        </w:tc>
        <w:tc>
          <w:tcPr>
            <w:tcW w:w="120" w:type="dxa"/>
            <w:vAlign w:val="bottom"/>
          </w:tcPr>
          <w:p>
            <w:pPr>
              <w:spacing w:after="0"/>
              <w:rPr>
                <w:sz w:val="15"/>
                <w:szCs w:val="15"/>
                <w:color w:val="auto"/>
              </w:rPr>
            </w:pPr>
          </w:p>
        </w:tc>
      </w:tr>
      <w:tr>
        <w:trPr>
          <w:trHeight w:val="178"/>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Marketng and selling:</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3"/>
        </w:trPr>
        <w:tc>
          <w:tcPr>
            <w:tcW w:w="6940" w:type="dxa"/>
            <w:vAlign w:val="bottom"/>
          </w:tcPr>
          <w:p>
            <w:pPr>
              <w:ind w:left="100"/>
              <w:spacing w:after="0"/>
              <w:rPr>
                <w:sz w:val="20"/>
                <w:szCs w:val="20"/>
                <w:color w:val="auto"/>
              </w:rPr>
            </w:pPr>
            <w:r>
              <w:rPr>
                <w:rFonts w:ascii="Calibri" w:cs="Calibri" w:eastAsia="Calibri" w:hAnsi="Calibri"/>
                <w:sz w:val="14"/>
                <w:szCs w:val="14"/>
                <w:color w:val="auto"/>
              </w:rPr>
              <w:t>Online</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261,188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261,188</w:t>
            </w:r>
          </w:p>
        </w:tc>
        <w:tc>
          <w:tcPr>
            <w:tcW w:w="120" w:type="dxa"/>
            <w:vAlign w:val="bottom"/>
          </w:tcPr>
          <w:p>
            <w:pPr>
              <w:spacing w:after="0"/>
              <w:rPr>
                <w:sz w:val="15"/>
                <w:szCs w:val="15"/>
                <w:color w:val="auto"/>
              </w:rPr>
            </w:pPr>
          </w:p>
        </w:tc>
      </w:tr>
      <w:tr>
        <w:trPr>
          <w:trHeight w:val="175"/>
        </w:trPr>
        <w:tc>
          <w:tcPr>
            <w:tcW w:w="694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Ofine</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23,958</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23,958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6940" w:type="dxa"/>
            <w:vAlign w:val="bottom"/>
          </w:tcPr>
          <w:p>
            <w:pPr>
              <w:ind w:left="160"/>
              <w:spacing w:after="0" w:line="169" w:lineRule="exact"/>
              <w:rPr>
                <w:sz w:val="20"/>
                <w:szCs w:val="20"/>
                <w:color w:val="auto"/>
              </w:rPr>
            </w:pPr>
            <w:r>
              <w:rPr>
                <w:rFonts w:ascii="Calibri" w:cs="Calibri" w:eastAsia="Calibri" w:hAnsi="Calibri"/>
                <w:sz w:val="14"/>
                <w:szCs w:val="14"/>
                <w:color w:val="auto"/>
              </w:rPr>
              <w:t>Total marketng and selling</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285,146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285,146</w:t>
            </w:r>
          </w:p>
        </w:tc>
        <w:tc>
          <w:tcPr>
            <w:tcW w:w="120" w:type="dxa"/>
            <w:vAlign w:val="bottom"/>
          </w:tcPr>
          <w:p>
            <w:pPr>
              <w:spacing w:after="0"/>
              <w:rPr>
                <w:sz w:val="14"/>
                <w:szCs w:val="14"/>
                <w:color w:val="auto"/>
              </w:rPr>
            </w:pP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Contributon margin</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263,285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25,301</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288,586</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General and administratve</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202,123</w:t>
            </w:r>
          </w:p>
        </w:tc>
        <w:tc>
          <w:tcPr>
            <w:tcW w:w="120" w:type="dxa"/>
            <w:vAlign w:val="bottom"/>
          </w:tcPr>
          <w:p>
            <w:pPr>
              <w:spacing w:after="0"/>
              <w:rPr>
                <w:sz w:val="15"/>
                <w:szCs w:val="15"/>
                <w:color w:val="auto"/>
              </w:rPr>
            </w:pPr>
          </w:p>
        </w:tc>
      </w:tr>
      <w:tr>
        <w:trPr>
          <w:trHeight w:val="176"/>
        </w:trPr>
        <w:tc>
          <w:tcPr>
            <w:tcW w:w="69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Depreciaton and amortzaton</w:t>
            </w:r>
          </w:p>
        </w:tc>
        <w:tc>
          <w:tcPr>
            <w:tcW w:w="16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44,238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694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Income from operatons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42,225</w:t>
            </w:r>
          </w:p>
        </w:tc>
        <w:tc>
          <w:tcPr>
            <w:tcW w:w="120" w:type="dxa"/>
            <w:vAlign w:val="bottom"/>
          </w:tcPr>
          <w:p>
            <w:pPr>
              <w:spacing w:after="0"/>
              <w:rPr>
                <w:sz w:val="14"/>
                <w:szCs w:val="14"/>
                <w:color w:val="auto"/>
              </w:rPr>
            </w:pPr>
          </w:p>
        </w:tc>
      </w:tr>
      <w:tr>
        <w:trPr>
          <w:trHeight w:val="178"/>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Interest expense – net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23,172</w:t>
            </w:r>
          </w:p>
        </w:tc>
        <w:tc>
          <w:tcPr>
            <w:tcW w:w="120" w:type="dxa"/>
            <w:vAlign w:val="bottom"/>
            <w:shd w:val="clear" w:color="auto" w:fill="CFF0FC"/>
          </w:tcPr>
          <w:p>
            <w:pPr>
              <w:spacing w:after="0"/>
              <w:rPr>
                <w:sz w:val="15"/>
                <w:szCs w:val="15"/>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Other income – net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Calibri" w:cs="Calibri" w:eastAsia="Calibri" w:hAnsi="Calibri"/>
                <w:sz w:val="14"/>
                <w:szCs w:val="14"/>
                <w:color w:val="auto"/>
              </w:rPr>
              <w:t>(3,666 )</w:t>
            </w:r>
          </w:p>
        </w:tc>
      </w:tr>
      <w:tr>
        <w:trPr>
          <w:trHeight w:val="209"/>
        </w:trPr>
        <w:tc>
          <w:tcPr>
            <w:tcW w:w="6940" w:type="dxa"/>
            <w:vAlign w:val="bottom"/>
            <w:tcBorders>
              <w:bottom w:val="single" w:sz="8" w:color="CFF0FC"/>
            </w:tcBorders>
            <w:shd w:val="clear" w:color="auto" w:fill="CFF0FC"/>
          </w:tcPr>
          <w:p>
            <w:pPr>
              <w:ind w:left="20"/>
              <w:spacing w:after="0" w:line="169" w:lineRule="exact"/>
              <w:rPr>
                <w:sz w:val="20"/>
                <w:szCs w:val="20"/>
                <w:color w:val="auto"/>
              </w:rPr>
            </w:pPr>
            <w:r>
              <w:rPr>
                <w:rFonts w:ascii="Calibri" w:cs="Calibri" w:eastAsia="Calibri" w:hAnsi="Calibri"/>
                <w:sz w:val="14"/>
                <w:szCs w:val="14"/>
                <w:b w:val="1"/>
                <w:bCs w:val="1"/>
                <w:color w:val="auto"/>
              </w:rPr>
              <w:t>Income before income taxes</w:t>
            </w:r>
          </w:p>
        </w:tc>
        <w:tc>
          <w:tcPr>
            <w:tcW w:w="1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08"/>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22,719</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-950595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-950595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-950595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-487680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our segment informaton for the year ended December 31, 2023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28"/>
              <w:spacing w:after="0"/>
              <w:rPr>
                <w:sz w:val="20"/>
                <w:szCs w:val="20"/>
                <w:color w:val="auto"/>
              </w:rPr>
            </w:pPr>
            <w:r>
              <w:rPr>
                <w:rFonts w:ascii="Calibri" w:cs="Calibri" w:eastAsia="Calibri" w:hAnsi="Calibri"/>
                <w:sz w:val="14"/>
                <w:szCs w:val="14"/>
                <w:b w:val="1"/>
                <w:bCs w:val="1"/>
                <w:color w:val="auto"/>
              </w:rPr>
              <w:t>Year Ended December 31, 2023</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Marketplace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Calibri" w:cs="Calibri" w:eastAsia="Calibri" w:hAnsi="Calibri"/>
                <w:sz w:val="14"/>
                <w:szCs w:val="14"/>
                <w:b w:val="1"/>
                <w:bCs w:val="1"/>
                <w:color w:val="auto"/>
              </w:rPr>
              <w:t>Resale</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5"/>
                <w:szCs w:val="15"/>
                <w:color w:val="auto"/>
              </w:rPr>
            </w:pP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0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597,388</w:t>
            </w:r>
          </w:p>
        </w:tc>
        <w:tc>
          <w:tcPr>
            <w:tcW w:w="5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115,491</w:t>
            </w:r>
          </w:p>
        </w:tc>
        <w:tc>
          <w:tcPr>
            <w:tcW w:w="560" w:type="dxa"/>
            <w:vAlign w:val="bottom"/>
            <w:gridSpan w:val="2"/>
            <w:shd w:val="clear" w:color="auto" w:fill="CFF0FC"/>
          </w:tcPr>
          <w:p>
            <w:pPr>
              <w:jc w:val="right"/>
              <w:ind w:right="108"/>
              <w:spacing w:after="0"/>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712,879</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Cost of revenues (exclusive of depreciaton and amortzaton shown separately below)</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94,557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87,627</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182,184</w:t>
            </w:r>
          </w:p>
        </w:tc>
        <w:tc>
          <w:tcPr>
            <w:tcW w:w="120" w:type="dxa"/>
            <w:vAlign w:val="bottom"/>
          </w:tcPr>
          <w:p>
            <w:pPr>
              <w:spacing w:after="0"/>
              <w:rPr>
                <w:sz w:val="15"/>
                <w:szCs w:val="15"/>
                <w:color w:val="auto"/>
              </w:rPr>
            </w:pPr>
          </w:p>
        </w:tc>
      </w:tr>
      <w:tr>
        <w:trPr>
          <w:trHeight w:val="178"/>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Marketng and selling:</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3"/>
        </w:trPr>
        <w:tc>
          <w:tcPr>
            <w:tcW w:w="6940" w:type="dxa"/>
            <w:vAlign w:val="bottom"/>
          </w:tcPr>
          <w:p>
            <w:pPr>
              <w:ind w:left="100"/>
              <w:spacing w:after="0"/>
              <w:rPr>
                <w:sz w:val="20"/>
                <w:szCs w:val="20"/>
                <w:color w:val="auto"/>
              </w:rPr>
            </w:pPr>
            <w:r>
              <w:rPr>
                <w:rFonts w:ascii="Calibri" w:cs="Calibri" w:eastAsia="Calibri" w:hAnsi="Calibri"/>
                <w:sz w:val="14"/>
                <w:szCs w:val="14"/>
                <w:color w:val="auto"/>
              </w:rPr>
              <w:t>Online</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239,335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239,335</w:t>
            </w:r>
          </w:p>
        </w:tc>
        <w:tc>
          <w:tcPr>
            <w:tcW w:w="120" w:type="dxa"/>
            <w:vAlign w:val="bottom"/>
          </w:tcPr>
          <w:p>
            <w:pPr>
              <w:spacing w:after="0"/>
              <w:rPr>
                <w:sz w:val="15"/>
                <w:szCs w:val="15"/>
                <w:color w:val="auto"/>
              </w:rPr>
            </w:pPr>
          </w:p>
        </w:tc>
      </w:tr>
      <w:tr>
        <w:trPr>
          <w:trHeight w:val="175"/>
        </w:trPr>
        <w:tc>
          <w:tcPr>
            <w:tcW w:w="694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Ofine</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34,761</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34,761</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6940" w:type="dxa"/>
            <w:vAlign w:val="bottom"/>
          </w:tcPr>
          <w:p>
            <w:pPr>
              <w:ind w:left="100"/>
              <w:spacing w:after="0" w:line="169" w:lineRule="exact"/>
              <w:rPr>
                <w:sz w:val="20"/>
                <w:szCs w:val="20"/>
                <w:color w:val="auto"/>
              </w:rPr>
            </w:pPr>
            <w:r>
              <w:rPr>
                <w:rFonts w:ascii="Calibri" w:cs="Calibri" w:eastAsia="Calibri" w:hAnsi="Calibri"/>
                <w:sz w:val="14"/>
                <w:szCs w:val="14"/>
                <w:color w:val="auto"/>
              </w:rPr>
              <w:t>Total marketng and selling</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274,096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274,096</w:t>
            </w:r>
          </w:p>
        </w:tc>
        <w:tc>
          <w:tcPr>
            <w:tcW w:w="120" w:type="dxa"/>
            <w:vAlign w:val="bottom"/>
          </w:tcPr>
          <w:p>
            <w:pPr>
              <w:spacing w:after="0"/>
              <w:rPr>
                <w:sz w:val="14"/>
                <w:szCs w:val="14"/>
                <w:color w:val="auto"/>
              </w:rPr>
            </w:pP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Contributon margin</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228,735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27,864</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256,599</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General and administratve</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159,081</w:t>
            </w:r>
          </w:p>
        </w:tc>
        <w:tc>
          <w:tcPr>
            <w:tcW w:w="120" w:type="dxa"/>
            <w:vAlign w:val="bottom"/>
          </w:tcPr>
          <w:p>
            <w:pPr>
              <w:spacing w:after="0"/>
              <w:rPr>
                <w:sz w:val="15"/>
                <w:szCs w:val="15"/>
                <w:color w:val="auto"/>
              </w:rPr>
            </w:pPr>
          </w:p>
        </w:tc>
      </w:tr>
      <w:tr>
        <w:trPr>
          <w:trHeight w:val="178"/>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Depreciaton and amortzaton</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17,178</w:t>
            </w:r>
          </w:p>
        </w:tc>
        <w:tc>
          <w:tcPr>
            <w:tcW w:w="120" w:type="dxa"/>
            <w:vAlign w:val="bottom"/>
            <w:shd w:val="clear" w:color="auto" w:fill="CFF0FC"/>
          </w:tcPr>
          <w:p>
            <w:pPr>
              <w:spacing w:after="0"/>
              <w:rPr>
                <w:sz w:val="15"/>
                <w:szCs w:val="15"/>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Change in fair value of contngent consideraton</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Calibri" w:cs="Calibri" w:eastAsia="Calibri" w:hAnsi="Calibri"/>
                <w:sz w:val="14"/>
                <w:szCs w:val="14"/>
                <w:color w:val="auto"/>
              </w:rPr>
              <w:t>(998 )</w:t>
            </w: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81,338</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13,505</w:t>
            </w:r>
          </w:p>
        </w:tc>
        <w:tc>
          <w:tcPr>
            <w:tcW w:w="120" w:type="dxa"/>
            <w:vAlign w:val="bottom"/>
          </w:tcPr>
          <w:p>
            <w:pPr>
              <w:spacing w:after="0"/>
              <w:rPr>
                <w:sz w:val="15"/>
                <w:szCs w:val="15"/>
                <w:color w:val="auto"/>
              </w:rPr>
            </w:pPr>
          </w:p>
        </w:tc>
      </w:tr>
      <w:tr>
        <w:trPr>
          <w:trHeight w:val="175"/>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 income – net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(3,109 )</w:t>
            </w:r>
          </w:p>
        </w:tc>
      </w:tr>
      <w:tr>
        <w:trPr>
          <w:trHeight w:val="169"/>
        </w:trPr>
        <w:tc>
          <w:tcPr>
            <w:tcW w:w="6940" w:type="dxa"/>
            <w:vAlign w:val="bottom"/>
            <w:tcBorders>
              <w:top w:val="single" w:sz="8" w:color="CFF0FC"/>
            </w:tcBorders>
          </w:tcPr>
          <w:p>
            <w:pPr>
              <w:ind w:left="20"/>
              <w:spacing w:after="0" w:line="169" w:lineRule="exact"/>
              <w:rPr>
                <w:sz w:val="20"/>
                <w:szCs w:val="20"/>
                <w:color w:val="auto"/>
              </w:rPr>
            </w:pPr>
            <w:r>
              <w:rPr>
                <w:rFonts w:ascii="Calibri" w:cs="Calibri" w:eastAsia="Calibri" w:hAnsi="Calibri"/>
                <w:sz w:val="14"/>
                <w:szCs w:val="14"/>
                <w:b w:val="1"/>
                <w:bCs w:val="1"/>
                <w:color w:val="auto"/>
              </w:rPr>
              <w:t>Income before income taxes</w:t>
            </w:r>
          </w:p>
        </w:tc>
        <w:tc>
          <w:tcPr>
            <w:tcW w:w="16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96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8"/>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Borders>
              <w:top w:val="single" w:sz="8" w:color="auto"/>
              <w:bottom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rPr>
              <w:t>70,942</w:t>
            </w:r>
          </w:p>
        </w:tc>
        <w:tc>
          <w:tcPr>
            <w:tcW w:w="120" w:type="dxa"/>
            <w:vAlign w:val="bottom"/>
            <w:tcBorders>
              <w:top w:val="single" w:sz="8" w:color="CFF0FC"/>
            </w:tcBorders>
          </w:tcPr>
          <w:p>
            <w:pPr>
              <w:spacing w:after="0"/>
              <w:rPr>
                <w:sz w:val="14"/>
                <w:szCs w:val="14"/>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-1062355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-1062355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-145415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our segment informaton for the year ended December 31, 2022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28"/>
              <w:spacing w:after="0"/>
              <w:rPr>
                <w:sz w:val="20"/>
                <w:szCs w:val="20"/>
                <w:color w:val="auto"/>
              </w:rPr>
            </w:pPr>
            <w:r>
              <w:rPr>
                <w:rFonts w:ascii="Calibri" w:cs="Calibri" w:eastAsia="Calibri" w:hAnsi="Calibri"/>
                <w:sz w:val="14"/>
                <w:szCs w:val="14"/>
                <w:b w:val="1"/>
                <w:bCs w:val="1"/>
                <w:color w:val="auto"/>
              </w:rPr>
              <w:t>Year Ended December 31, 2022</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Marketplace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Calibri" w:cs="Calibri" w:eastAsia="Calibri" w:hAnsi="Calibri"/>
                <w:sz w:val="14"/>
                <w:szCs w:val="14"/>
                <w:b w:val="1"/>
                <w:bCs w:val="1"/>
                <w:color w:val="auto"/>
              </w:rPr>
              <w:t>Resale</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5"/>
                <w:szCs w:val="15"/>
                <w:color w:val="auto"/>
              </w:rPr>
            </w:pP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10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511,094</w:t>
            </w:r>
          </w:p>
        </w:tc>
        <w:tc>
          <w:tcPr>
            <w:tcW w:w="5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89,180</w:t>
            </w:r>
          </w:p>
        </w:tc>
        <w:tc>
          <w:tcPr>
            <w:tcW w:w="560" w:type="dxa"/>
            <w:vAlign w:val="bottom"/>
            <w:gridSpan w:val="2"/>
            <w:shd w:val="clear" w:color="auto" w:fill="CFF0FC"/>
          </w:tcPr>
          <w:p>
            <w:pPr>
              <w:jc w:val="right"/>
              <w:ind w:right="108"/>
              <w:spacing w:after="0"/>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600,274</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Cost of revenues (exclusive of depreciaton and amortzaton shown separately below)</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73,126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67,382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140,508</w:t>
            </w:r>
          </w:p>
        </w:tc>
        <w:tc>
          <w:tcPr>
            <w:tcW w:w="120" w:type="dxa"/>
            <w:vAlign w:val="bottom"/>
          </w:tcPr>
          <w:p>
            <w:pPr>
              <w:spacing w:after="0"/>
              <w:rPr>
                <w:sz w:val="15"/>
                <w:szCs w:val="15"/>
                <w:color w:val="auto"/>
              </w:rPr>
            </w:pPr>
          </w:p>
        </w:tc>
      </w:tr>
      <w:tr>
        <w:trPr>
          <w:trHeight w:val="178"/>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Marketng and selling:</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3"/>
        </w:trPr>
        <w:tc>
          <w:tcPr>
            <w:tcW w:w="6940" w:type="dxa"/>
            <w:vAlign w:val="bottom"/>
          </w:tcPr>
          <w:p>
            <w:pPr>
              <w:ind w:left="100"/>
              <w:spacing w:after="0"/>
              <w:rPr>
                <w:sz w:val="20"/>
                <w:szCs w:val="20"/>
                <w:color w:val="auto"/>
              </w:rPr>
            </w:pPr>
            <w:r>
              <w:rPr>
                <w:rFonts w:ascii="Calibri" w:cs="Calibri" w:eastAsia="Calibri" w:hAnsi="Calibri"/>
                <w:sz w:val="14"/>
                <w:szCs w:val="14"/>
                <w:color w:val="auto"/>
              </w:rPr>
              <w:t>Online</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224,872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224,872</w:t>
            </w:r>
          </w:p>
        </w:tc>
        <w:tc>
          <w:tcPr>
            <w:tcW w:w="120" w:type="dxa"/>
            <w:vAlign w:val="bottom"/>
          </w:tcPr>
          <w:p>
            <w:pPr>
              <w:spacing w:after="0"/>
              <w:rPr>
                <w:sz w:val="15"/>
                <w:szCs w:val="15"/>
                <w:color w:val="auto"/>
              </w:rPr>
            </w:pPr>
          </w:p>
        </w:tc>
      </w:tr>
      <w:tr>
        <w:trPr>
          <w:trHeight w:val="175"/>
        </w:trPr>
        <w:tc>
          <w:tcPr>
            <w:tcW w:w="694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4"/>
                <w:szCs w:val="14"/>
                <w:color w:val="auto"/>
              </w:rPr>
              <w:t>Ofine</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23,503</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23,503</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6940" w:type="dxa"/>
            <w:vAlign w:val="bottom"/>
          </w:tcPr>
          <w:p>
            <w:pPr>
              <w:ind w:left="100"/>
              <w:spacing w:after="0" w:line="169" w:lineRule="exact"/>
              <w:rPr>
                <w:sz w:val="20"/>
                <w:szCs w:val="20"/>
                <w:color w:val="auto"/>
              </w:rPr>
            </w:pPr>
            <w:r>
              <w:rPr>
                <w:rFonts w:ascii="Calibri" w:cs="Calibri" w:eastAsia="Calibri" w:hAnsi="Calibri"/>
                <w:sz w:val="14"/>
                <w:szCs w:val="14"/>
                <w:color w:val="auto"/>
              </w:rPr>
              <w:t>Total marketng and selling</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248,375</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248,375</w:t>
            </w:r>
          </w:p>
        </w:tc>
        <w:tc>
          <w:tcPr>
            <w:tcW w:w="120" w:type="dxa"/>
            <w:vAlign w:val="bottom"/>
          </w:tcPr>
          <w:p>
            <w:pPr>
              <w:spacing w:after="0"/>
              <w:rPr>
                <w:sz w:val="14"/>
                <w:szCs w:val="14"/>
                <w:color w:val="auto"/>
              </w:rPr>
            </w:pP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Contributon margin</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189,593</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21,798</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rPr>
              <w:t>211,391</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General and administratve</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127,619</w:t>
            </w:r>
          </w:p>
        </w:tc>
        <w:tc>
          <w:tcPr>
            <w:tcW w:w="120" w:type="dxa"/>
            <w:vAlign w:val="bottom"/>
          </w:tcPr>
          <w:p>
            <w:pPr>
              <w:spacing w:after="0"/>
              <w:rPr>
                <w:sz w:val="15"/>
                <w:szCs w:val="15"/>
                <w:color w:val="auto"/>
              </w:rPr>
            </w:pPr>
          </w:p>
        </w:tc>
      </w:tr>
      <w:tr>
        <w:trPr>
          <w:trHeight w:val="178"/>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Depreciaton and amortzaton</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7,732</w:t>
            </w:r>
          </w:p>
        </w:tc>
        <w:tc>
          <w:tcPr>
            <w:tcW w:w="120" w:type="dxa"/>
            <w:vAlign w:val="bottom"/>
            <w:shd w:val="clear" w:color="auto" w:fill="CFF0FC"/>
          </w:tcPr>
          <w:p>
            <w:pPr>
              <w:spacing w:after="0"/>
              <w:rPr>
                <w:sz w:val="15"/>
                <w:szCs w:val="15"/>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Change in fair value of contngent consideraton</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Calibri" w:cs="Calibri" w:eastAsia="Calibri" w:hAnsi="Calibri"/>
                <w:sz w:val="14"/>
                <w:szCs w:val="14"/>
                <w:color w:val="auto"/>
              </w:rPr>
              <w:t>(2,065 )</w:t>
            </w:r>
          </w:p>
        </w:tc>
      </w:tr>
      <w:tr>
        <w:trPr>
          <w:trHeight w:val="172"/>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78,105</w:t>
            </w:r>
          </w:p>
        </w:tc>
        <w:tc>
          <w:tcPr>
            <w:tcW w:w="120" w:type="dxa"/>
            <w:vAlign w:val="bottom"/>
            <w:shd w:val="clear" w:color="auto" w:fill="CFF0FC"/>
          </w:tcPr>
          <w:p>
            <w:pPr>
              <w:spacing w:after="0"/>
              <w:rPr>
                <w:sz w:val="14"/>
                <w:szCs w:val="14"/>
                <w:color w:val="auto"/>
              </w:rPr>
            </w:pP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12,858</w:t>
            </w:r>
          </w:p>
        </w:tc>
        <w:tc>
          <w:tcPr>
            <w:tcW w:w="120" w:type="dxa"/>
            <w:vAlign w:val="bottom"/>
          </w:tcPr>
          <w:p>
            <w:pPr>
              <w:spacing w:after="0"/>
              <w:rPr>
                <w:sz w:val="15"/>
                <w:szCs w:val="15"/>
                <w:color w:val="auto"/>
              </w:rPr>
            </w:pPr>
          </w:p>
        </w:tc>
      </w:tr>
      <w:tr>
        <w:trPr>
          <w:trHeight w:val="178"/>
        </w:trPr>
        <w:tc>
          <w:tcPr>
            <w:tcW w:w="69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 income – net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(8,227 )</w:t>
            </w:r>
          </w:p>
        </w:tc>
      </w:tr>
      <w:tr>
        <w:trPr>
          <w:trHeight w:val="173"/>
        </w:trPr>
        <w:tc>
          <w:tcPr>
            <w:tcW w:w="6940" w:type="dxa"/>
            <w:vAlign w:val="bottom"/>
          </w:tcPr>
          <w:p>
            <w:pPr>
              <w:ind w:left="20"/>
              <w:spacing w:after="0"/>
              <w:rPr>
                <w:sz w:val="20"/>
                <w:szCs w:val="20"/>
                <w:color w:val="auto"/>
              </w:rPr>
            </w:pPr>
            <w:r>
              <w:rPr>
                <w:rFonts w:ascii="Calibri" w:cs="Calibri" w:eastAsia="Calibri" w:hAnsi="Calibri"/>
                <w:sz w:val="14"/>
                <w:szCs w:val="14"/>
                <w:color w:val="auto"/>
              </w:rPr>
              <w:t>Loss on extnguishment of debt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4,285</w:t>
            </w:r>
          </w:p>
        </w:tc>
        <w:tc>
          <w:tcPr>
            <w:tcW w:w="120" w:type="dxa"/>
            <w:vAlign w:val="bottom"/>
          </w:tcPr>
          <w:p>
            <w:pPr>
              <w:spacing w:after="0"/>
              <w:rPr>
                <w:sz w:val="15"/>
                <w:szCs w:val="15"/>
                <w:color w:val="auto"/>
              </w:rPr>
            </w:pPr>
          </w:p>
        </w:tc>
      </w:tr>
      <w:tr>
        <w:trPr>
          <w:trHeight w:val="209"/>
        </w:trPr>
        <w:tc>
          <w:tcPr>
            <w:tcW w:w="6940" w:type="dxa"/>
            <w:vAlign w:val="bottom"/>
            <w:tcBorders>
              <w:bottom w:val="single" w:sz="8" w:color="CFF0FC"/>
            </w:tcBorders>
            <w:shd w:val="clear" w:color="auto" w:fill="CFF0FC"/>
          </w:tcPr>
          <w:p>
            <w:pPr>
              <w:ind w:left="20"/>
              <w:spacing w:after="0" w:line="169" w:lineRule="exact"/>
              <w:rPr>
                <w:sz w:val="20"/>
                <w:szCs w:val="20"/>
                <w:color w:val="auto"/>
              </w:rPr>
            </w:pPr>
            <w:r>
              <w:rPr>
                <w:rFonts w:ascii="Calibri" w:cs="Calibri" w:eastAsia="Calibri" w:hAnsi="Calibri"/>
                <w:sz w:val="14"/>
                <w:szCs w:val="14"/>
                <w:b w:val="1"/>
                <w:bCs w:val="1"/>
                <w:color w:val="auto"/>
              </w:rPr>
              <w:t>Income before income taxes</w:t>
            </w:r>
          </w:p>
        </w:tc>
        <w:tc>
          <w:tcPr>
            <w:tcW w:w="1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08"/>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69,189</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-1173480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-1173480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3" w:name="page84"/>
    <w:bookmarkEnd w:id="8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Marketng and selling expenses primarily consist of online costs aimed towards acquiring new customers, which include paid search engine marketng, fees paid to our advertsing afliates and distributors, and other online marketng actvites. To a lesser extent, marketng and selling expenses also consist of ofine costs towards acquiring new customers, which include spending on traditonal media channels, advertsing agency costs, and partnership expenses with teams and other media partners.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Accounts Receivable – Net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accounts receivable balance, net of allowance for credit losses as of December 31, 2024 and 2023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660"/>
              <w:spacing w:after="0"/>
              <w:rPr>
                <w:sz w:val="20"/>
                <w:szCs w:val="20"/>
                <w:color w:val="auto"/>
              </w:rPr>
            </w:pPr>
            <w:r>
              <w:rPr>
                <w:rFonts w:ascii="Calibri" w:cs="Calibri" w:eastAsia="Calibri" w:hAnsi="Calibri"/>
                <w:sz w:val="18"/>
                <w:szCs w:val="18"/>
                <w:b w:val="1"/>
                <w:bCs w:val="1"/>
                <w:color w:val="auto"/>
              </w:rPr>
              <w:t>December 31,</w:t>
            </w:r>
          </w:p>
        </w:tc>
        <w:tc>
          <w:tcPr>
            <w:tcW w:w="22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90"/>
              <w:spacing w:after="0" w:line="216"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59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Uncollateralized payment processor obligatons</w:t>
            </w: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5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28,740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5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32,810</w:t>
            </w:r>
          </w:p>
        </w:tc>
        <w:tc>
          <w:tcPr>
            <w:tcW w:w="100" w:type="dxa"/>
            <w:vAlign w:val="bottom"/>
            <w:shd w:val="clear" w:color="auto" w:fill="CFF0FC"/>
          </w:tcPr>
          <w:p>
            <w:pPr>
              <w:spacing w:after="0"/>
              <w:rPr>
                <w:sz w:val="18"/>
                <w:szCs w:val="18"/>
                <w:color w:val="auto"/>
              </w:rPr>
            </w:pPr>
          </w:p>
        </w:tc>
      </w:tr>
      <w:tr>
        <w:trPr>
          <w:trHeight w:val="215"/>
        </w:trPr>
        <w:tc>
          <w:tcPr>
            <w:tcW w:w="7400" w:type="dxa"/>
            <w:vAlign w:val="bottom"/>
          </w:tcPr>
          <w:p>
            <w:pPr>
              <w:ind w:left="20"/>
              <w:spacing w:after="0" w:line="215" w:lineRule="exact"/>
              <w:rPr>
                <w:sz w:val="20"/>
                <w:szCs w:val="20"/>
                <w:color w:val="auto"/>
              </w:rPr>
            </w:pPr>
            <w:r>
              <w:rPr>
                <w:rFonts w:ascii="Calibri" w:cs="Calibri" w:eastAsia="Calibri" w:hAnsi="Calibri"/>
                <w:sz w:val="18"/>
                <w:szCs w:val="18"/>
                <w:color w:val="auto"/>
              </w:rPr>
              <w:t>Due from tcket sellers for cancellaton charges</w:t>
            </w:r>
          </w:p>
        </w:tc>
        <w:tc>
          <w:tcPr>
            <w:tcW w:w="2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6,835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5,632</w:t>
            </w:r>
          </w:p>
        </w:tc>
        <w:tc>
          <w:tcPr>
            <w:tcW w:w="100" w:type="dxa"/>
            <w:vAlign w:val="bottom"/>
          </w:tcPr>
          <w:p>
            <w:pPr>
              <w:spacing w:after="0"/>
              <w:rPr>
                <w:sz w:val="18"/>
                <w:szCs w:val="18"/>
                <w:color w:val="auto"/>
              </w:rPr>
            </w:pPr>
          </w:p>
        </w:tc>
      </w:tr>
      <w:tr>
        <w:trPr>
          <w:trHeight w:val="217"/>
        </w:trPr>
        <w:tc>
          <w:tcPr>
            <w:tcW w:w="74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Due from distributon partners for cancellaton charges</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13,308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12,736</w:t>
            </w:r>
          </w:p>
        </w:tc>
        <w:tc>
          <w:tcPr>
            <w:tcW w:w="100" w:type="dxa"/>
            <w:vAlign w:val="bottom"/>
            <w:shd w:val="clear" w:color="auto" w:fill="CFF0FC"/>
          </w:tcPr>
          <w:p>
            <w:pPr>
              <w:spacing w:after="0"/>
              <w:rPr>
                <w:sz w:val="18"/>
                <w:szCs w:val="18"/>
                <w:color w:val="auto"/>
              </w:rPr>
            </w:pPr>
          </w:p>
        </w:tc>
      </w:tr>
      <w:tr>
        <w:trPr>
          <w:trHeight w:val="215"/>
        </w:trPr>
        <w:tc>
          <w:tcPr>
            <w:tcW w:w="7400" w:type="dxa"/>
            <w:vAlign w:val="bottom"/>
          </w:tcPr>
          <w:p>
            <w:pPr>
              <w:ind w:left="20"/>
              <w:spacing w:after="0" w:line="215" w:lineRule="exact"/>
              <w:rPr>
                <w:sz w:val="20"/>
                <w:szCs w:val="20"/>
                <w:color w:val="auto"/>
              </w:rPr>
            </w:pPr>
            <w:r>
              <w:rPr>
                <w:rFonts w:ascii="Calibri" w:cs="Calibri" w:eastAsia="Calibri" w:hAnsi="Calibri"/>
                <w:sz w:val="18"/>
                <w:szCs w:val="18"/>
                <w:color w:val="auto"/>
              </w:rPr>
              <w:t>Event insurance and other commissions receivable</w:t>
            </w:r>
          </w:p>
        </w:tc>
        <w:tc>
          <w:tcPr>
            <w:tcW w:w="2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4,980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11,414</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6,437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5,963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Accounts receivable</w:t>
            </w:r>
          </w:p>
        </w:tc>
        <w:tc>
          <w:tcPr>
            <w:tcW w:w="220" w:type="dxa"/>
            <w:vAlign w:val="bottom"/>
          </w:tcPr>
          <w:p>
            <w:pPr>
              <w:spacing w:after="0"/>
              <w:rPr>
                <w:sz w:val="18"/>
                <w:szCs w:val="18"/>
                <w:color w:val="auto"/>
              </w:rPr>
            </w:pPr>
          </w:p>
        </w:tc>
        <w:tc>
          <w:tcPr>
            <w:tcW w:w="15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60,300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68,555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allowance for credit losses</w:t>
            </w:r>
          </w:p>
        </w:tc>
        <w:tc>
          <w:tcPr>
            <w:tcW w:w="2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(11,985 )</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(10,074 )</w:t>
            </w:r>
          </w:p>
        </w:tc>
      </w:tr>
      <w:tr>
        <w:trPr>
          <w:trHeight w:val="209"/>
        </w:trPr>
        <w:tc>
          <w:tcPr>
            <w:tcW w:w="740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Accounts receivable – net</w:t>
            </w:r>
          </w:p>
        </w:tc>
        <w:tc>
          <w:tcPr>
            <w:tcW w:w="220" w:type="dxa"/>
            <w:vAlign w:val="bottom"/>
            <w:tcBorders>
              <w:top w:val="single" w:sz="8" w:color="auto"/>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48,315</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58,481</w:t>
            </w:r>
          </w:p>
        </w:tc>
        <w:tc>
          <w:tcPr>
            <w:tcW w:w="100" w:type="dxa"/>
            <w:vAlign w:val="bottom"/>
            <w:tcBorders>
              <w:top w:val="single" w:sz="8" w:color="CFF0FC"/>
            </w:tcBorders>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-454025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recorded an allowance for credit losses of $12.0 million and $10.0 million at December 31, 2024 and 2023, respectvely, to refect potental challenges in collectng funds from distributon partners and tcket sellers, partcularly for amounts due upon usage of store credit previously issued to buyers. The allowance for credit losses increased during the year to refect larger amounts due from distributon partners that are unlikely to be collected based on actual store credit usage.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Write-ofs were $0.2 million, $0.3 million, and $4.9 million for the years ended December 31, 2024, 2023, and 2022, respectvely.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Prepaid Expenses and Other Current Assets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Prepaid expenses and other current assets consisted of the following at December 31, 2024 and 2023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December 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670"/>
              <w:spacing w:after="0" w:line="216"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1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Recovery of future customer compensaton</w:t>
            </w:r>
          </w:p>
        </w:tc>
        <w:tc>
          <w:tcPr>
            <w:tcW w:w="280" w:type="dxa"/>
            <w:vAlign w:val="bottom"/>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6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20,335</w:t>
            </w:r>
          </w:p>
        </w:tc>
        <w:tc>
          <w:tcPr>
            <w:tcW w:w="56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w:t>
            </w:r>
          </w:p>
        </w:tc>
        <w:tc>
          <w:tcPr>
            <w:tcW w:w="16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25,750</w:t>
            </w:r>
          </w:p>
        </w:tc>
        <w:tc>
          <w:tcPr>
            <w:tcW w:w="100" w:type="dxa"/>
            <w:vAlign w:val="bottom"/>
            <w:shd w:val="clear" w:color="auto" w:fill="CFF0FC"/>
          </w:tcPr>
          <w:p>
            <w:pPr>
              <w:spacing w:after="0"/>
              <w:rPr>
                <w:sz w:val="18"/>
                <w:szCs w:val="18"/>
                <w:color w:val="auto"/>
              </w:rPr>
            </w:pPr>
          </w:p>
        </w:tc>
      </w:tr>
      <w:tr>
        <w:trPr>
          <w:trHeight w:val="215"/>
        </w:trPr>
        <w:tc>
          <w:tcPr>
            <w:tcW w:w="710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w:t>
            </w:r>
          </w:p>
        </w:tc>
        <w:tc>
          <w:tcPr>
            <w:tcW w:w="2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7,388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8,218</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4,884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Prepaid expenses and other current assets</w:t>
            </w:r>
          </w:p>
        </w:tc>
        <w:tc>
          <w:tcPr>
            <w:tcW w:w="280" w:type="dxa"/>
            <w:vAlign w:val="bottom"/>
          </w:tcPr>
          <w:p>
            <w:pPr>
              <w:jc w:val="right"/>
              <w:ind w:right="70"/>
              <w:spacing w:after="0" w:line="210" w:lineRule="exact"/>
              <w:rPr>
                <w:sz w:val="20"/>
                <w:szCs w:val="20"/>
                <w:color w:val="auto"/>
              </w:rPr>
            </w:pPr>
            <w:r>
              <w:rPr>
                <w:rFonts w:ascii="Calibri" w:cs="Calibri" w:eastAsia="Calibri" w:hAnsi="Calibri"/>
                <w:sz w:val="18"/>
                <w:szCs w:val="18"/>
                <w:b w:val="1"/>
                <w:bCs w:val="1"/>
                <w:color w:val="auto"/>
              </w:rPr>
              <w:t>$</w:t>
            </w:r>
          </w:p>
        </w:tc>
        <w:tc>
          <w:tcPr>
            <w:tcW w:w="160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32,607</w:t>
            </w:r>
          </w:p>
        </w:tc>
        <w:tc>
          <w:tcPr>
            <w:tcW w:w="56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b w:val="1"/>
                <w:bCs w:val="1"/>
                <w:color w:val="auto"/>
              </w:rPr>
              <w:t>$</w:t>
            </w:r>
          </w:p>
        </w:tc>
        <w:tc>
          <w:tcPr>
            <w:tcW w:w="160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34,061</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Recovery of future customer compensaton represents expected recoveries of compensaton to be paid to customers for event cancellatons or other service issues related to previously recorded sales transactons. Recovery of future customer compensaton costs decreased by $5.4 million at December 31, 2024 compared to December 31, 2023, primarily due to a decrease in estmated future cancellatons driven by lower sales volumes for future events. A related provision for expected compensaton to customers is recorded in Accrued expenses and other current liabilites in the Consolidated Balance Sheets.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4" w:name="page85"/>
    <w:bookmarkEnd w:id="8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Property and Equipment – Net</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following table summarizes our major classes of property and equipment, net of accumulated depreciaton as of December 31, 2024 and 2023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2"/>
          </w:tcPr>
          <w:p>
            <w:pPr>
              <w:jc w:val="right"/>
              <w:ind w:right="68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6460" w:type="dxa"/>
            <w:vAlign w:val="bottom"/>
          </w:tcPr>
          <w:p>
            <w:pPr>
              <w:spacing w:after="0"/>
              <w:rPr>
                <w:sz w:val="18"/>
                <w:szCs w:val="18"/>
                <w:color w:val="auto"/>
              </w:rPr>
            </w:pPr>
          </w:p>
        </w:tc>
        <w:tc>
          <w:tcPr>
            <w:tcW w:w="1620" w:type="dxa"/>
            <w:vAlign w:val="bottom"/>
          </w:tcPr>
          <w:p>
            <w:pPr>
              <w:jc w:val="right"/>
              <w:ind w:right="270"/>
              <w:spacing w:after="0" w:line="216" w:lineRule="exact"/>
              <w:rPr>
                <w:sz w:val="20"/>
                <w:szCs w:val="20"/>
                <w:color w:val="auto"/>
              </w:rPr>
            </w:pPr>
            <w:r>
              <w:rPr>
                <w:rFonts w:ascii="Calibri" w:cs="Calibri" w:eastAsia="Calibri" w:hAnsi="Calibri"/>
                <w:sz w:val="18"/>
                <w:szCs w:val="18"/>
                <w:b w:val="1"/>
                <w:bCs w:val="1"/>
                <w:color w:val="auto"/>
              </w:rPr>
              <w:t>2024</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8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64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4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Computer equipment</w:t>
            </w:r>
          </w:p>
        </w:tc>
        <w:tc>
          <w:tcPr>
            <w:tcW w:w="1620" w:type="dxa"/>
            <w:vAlign w:val="bottom"/>
            <w:shd w:val="clear" w:color="auto" w:fill="CFF0FC"/>
          </w:tcPr>
          <w:p>
            <w:pPr>
              <w:jc w:val="right"/>
              <w:ind w:right="1430"/>
              <w:spacing w:after="0" w:line="209" w:lineRule="exact"/>
              <w:rPr>
                <w:sz w:val="20"/>
                <w:szCs w:val="20"/>
                <w:color w:val="auto"/>
              </w:rPr>
            </w:pPr>
            <w:r>
              <w:rPr>
                <w:rFonts w:ascii="Calibri" w:cs="Calibri" w:eastAsia="Calibri" w:hAnsi="Calibri"/>
                <w:sz w:val="18"/>
                <w:szCs w:val="18"/>
                <w:color w:val="auto"/>
                <w:w w:val="87"/>
              </w:rPr>
              <w:t>$</w:t>
            </w:r>
          </w:p>
        </w:tc>
        <w:tc>
          <w:tcPr>
            <w:tcW w:w="5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3,145</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2,792</w:t>
            </w:r>
          </w:p>
        </w:tc>
        <w:tc>
          <w:tcPr>
            <w:tcW w:w="100" w:type="dxa"/>
            <w:vAlign w:val="bottom"/>
            <w:shd w:val="clear" w:color="auto" w:fill="CFF0FC"/>
          </w:tcPr>
          <w:p>
            <w:pPr>
              <w:spacing w:after="0"/>
              <w:rPr>
                <w:sz w:val="18"/>
                <w:szCs w:val="18"/>
                <w:color w:val="auto"/>
              </w:rPr>
            </w:pPr>
          </w:p>
        </w:tc>
      </w:tr>
      <w:tr>
        <w:trPr>
          <w:trHeight w:val="215"/>
        </w:trPr>
        <w:tc>
          <w:tcPr>
            <w:tcW w:w="6460" w:type="dxa"/>
            <w:vAlign w:val="bottom"/>
          </w:tcPr>
          <w:p>
            <w:pPr>
              <w:ind w:left="20"/>
              <w:spacing w:after="0" w:line="215" w:lineRule="exact"/>
              <w:rPr>
                <w:sz w:val="20"/>
                <w:szCs w:val="20"/>
                <w:color w:val="auto"/>
              </w:rPr>
            </w:pPr>
            <w:r>
              <w:rPr>
                <w:rFonts w:ascii="Calibri" w:cs="Calibri" w:eastAsia="Calibri" w:hAnsi="Calibri"/>
                <w:sz w:val="18"/>
                <w:szCs w:val="18"/>
                <w:color w:val="auto"/>
              </w:rPr>
              <w:t>Furniture</w:t>
            </w:r>
          </w:p>
        </w:tc>
        <w:tc>
          <w:tcPr>
            <w:tcW w:w="162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1,996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1,705</w:t>
            </w:r>
          </w:p>
        </w:tc>
        <w:tc>
          <w:tcPr>
            <w:tcW w:w="100" w:type="dxa"/>
            <w:vAlign w:val="bottom"/>
          </w:tcPr>
          <w:p>
            <w:pPr>
              <w:spacing w:after="0"/>
              <w:rPr>
                <w:sz w:val="18"/>
                <w:szCs w:val="18"/>
                <w:color w:val="auto"/>
              </w:rPr>
            </w:pPr>
          </w:p>
        </w:tc>
      </w:tr>
      <w:tr>
        <w:trPr>
          <w:trHeight w:val="217"/>
        </w:trPr>
        <w:tc>
          <w:tcPr>
            <w:tcW w:w="6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Leasehold improvements</w:t>
            </w:r>
          </w:p>
        </w:tc>
        <w:tc>
          <w:tcPr>
            <w:tcW w:w="16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8,692</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7,655</w:t>
            </w:r>
          </w:p>
        </w:tc>
        <w:tc>
          <w:tcPr>
            <w:tcW w:w="100" w:type="dxa"/>
            <w:vAlign w:val="bottom"/>
            <w:shd w:val="clear" w:color="auto" w:fill="CFF0FC"/>
          </w:tcPr>
          <w:p>
            <w:pPr>
              <w:spacing w:after="0"/>
              <w:rPr>
                <w:sz w:val="18"/>
                <w:szCs w:val="18"/>
                <w:color w:val="auto"/>
              </w:rPr>
            </w:pPr>
          </w:p>
        </w:tc>
      </w:tr>
      <w:tr>
        <w:trPr>
          <w:trHeight w:val="215"/>
        </w:trPr>
        <w:tc>
          <w:tcPr>
            <w:tcW w:w="6460" w:type="dxa"/>
            <w:vAlign w:val="bottom"/>
          </w:tcPr>
          <w:p>
            <w:pPr>
              <w:ind w:left="20"/>
              <w:spacing w:after="0" w:line="215" w:lineRule="exact"/>
              <w:rPr>
                <w:sz w:val="20"/>
                <w:szCs w:val="20"/>
                <w:color w:val="auto"/>
              </w:rPr>
            </w:pPr>
            <w:r>
              <w:rPr>
                <w:rFonts w:ascii="Calibri" w:cs="Calibri" w:eastAsia="Calibri" w:hAnsi="Calibri"/>
                <w:sz w:val="18"/>
                <w:szCs w:val="18"/>
                <w:color w:val="auto"/>
              </w:rPr>
              <w:t>Constructon in progress</w:t>
            </w:r>
          </w:p>
        </w:tc>
        <w:tc>
          <w:tcPr>
            <w:tcW w:w="1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2,165</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r>
        <w:trPr>
          <w:trHeight w:val="210"/>
        </w:trPr>
        <w:tc>
          <w:tcPr>
            <w:tcW w:w="6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Property and equipment</w:t>
            </w:r>
          </w:p>
        </w:tc>
        <w:tc>
          <w:tcPr>
            <w:tcW w:w="16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15,998</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12,152</w:t>
            </w:r>
          </w:p>
        </w:tc>
        <w:tc>
          <w:tcPr>
            <w:tcW w:w="100" w:type="dxa"/>
            <w:vAlign w:val="bottom"/>
            <w:shd w:val="clear" w:color="auto" w:fill="CFF0FC"/>
          </w:tcPr>
          <w:p>
            <w:pPr>
              <w:spacing w:after="0"/>
              <w:rPr>
                <w:sz w:val="18"/>
                <w:szCs w:val="18"/>
                <w:color w:val="auto"/>
              </w:rPr>
            </w:pPr>
          </w:p>
        </w:tc>
      </w:tr>
      <w:tr>
        <w:trPr>
          <w:trHeight w:val="215"/>
        </w:trPr>
        <w:tc>
          <w:tcPr>
            <w:tcW w:w="6460" w:type="dxa"/>
            <w:vAlign w:val="bottom"/>
          </w:tcPr>
          <w:p>
            <w:pPr>
              <w:ind w:left="20"/>
              <w:spacing w:after="0" w:line="215" w:lineRule="exact"/>
              <w:rPr>
                <w:sz w:val="20"/>
                <w:szCs w:val="20"/>
                <w:color w:val="auto"/>
              </w:rPr>
            </w:pPr>
            <w:r>
              <w:rPr>
                <w:rFonts w:ascii="Calibri" w:cs="Calibri" w:eastAsia="Calibri" w:hAnsi="Calibri"/>
                <w:sz w:val="18"/>
                <w:szCs w:val="18"/>
                <w:color w:val="auto"/>
              </w:rPr>
              <w:t>Less: accumulated depreciaton</w:t>
            </w:r>
          </w:p>
        </w:tc>
        <w:tc>
          <w:tcPr>
            <w:tcW w:w="1620" w:type="dxa"/>
            <w:vAlign w:val="bottom"/>
          </w:tcPr>
          <w:p>
            <w:pPr>
              <w:spacing w:after="0"/>
              <w:rPr>
                <w:sz w:val="18"/>
                <w:szCs w:val="18"/>
                <w:color w:val="auto"/>
              </w:rPr>
            </w:pPr>
          </w:p>
        </w:tc>
        <w:tc>
          <w:tcPr>
            <w:tcW w:w="90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(3,431 )</w:t>
            </w:r>
          </w:p>
        </w:tc>
        <w:tc>
          <w:tcPr>
            <w:tcW w:w="340" w:type="dxa"/>
            <w:vAlign w:val="bottom"/>
          </w:tcPr>
          <w:p>
            <w:pPr>
              <w:spacing w:after="0"/>
              <w:rPr>
                <w:sz w:val="18"/>
                <w:szCs w:val="18"/>
                <w:color w:val="auto"/>
              </w:rPr>
            </w:pPr>
          </w:p>
        </w:tc>
        <w:tc>
          <w:tcPr>
            <w:tcW w:w="1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(1,996 )</w:t>
            </w:r>
          </w:p>
        </w:tc>
      </w:tr>
      <w:tr>
        <w:trPr>
          <w:trHeight w:val="249"/>
        </w:trPr>
        <w:tc>
          <w:tcPr>
            <w:tcW w:w="64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Property and equipment – net</w:t>
            </w:r>
          </w:p>
        </w:tc>
        <w:tc>
          <w:tcPr>
            <w:tcW w:w="1620" w:type="dxa"/>
            <w:vAlign w:val="bottom"/>
            <w:tcBorders>
              <w:top w:val="single" w:sz="8" w:color="auto"/>
              <w:bottom w:val="single" w:sz="8" w:color="auto"/>
            </w:tcBorders>
            <w:shd w:val="clear" w:color="auto" w:fill="CFF0FC"/>
          </w:tcPr>
          <w:p>
            <w:pPr>
              <w:jc w:val="right"/>
              <w:ind w:right="1430"/>
              <w:spacing w:after="0" w:line="209" w:lineRule="exact"/>
              <w:rPr>
                <w:sz w:val="20"/>
                <w:szCs w:val="20"/>
                <w:color w:val="auto"/>
              </w:rPr>
            </w:pPr>
            <w:r>
              <w:rPr>
                <w:rFonts w:ascii="Calibri" w:cs="Calibri" w:eastAsia="Calibri" w:hAnsi="Calibri"/>
                <w:sz w:val="18"/>
                <w:szCs w:val="18"/>
                <w:b w:val="1"/>
                <w:bCs w:val="1"/>
                <w:color w:val="auto"/>
                <w:w w:val="87"/>
              </w:rPr>
              <w:t>$</w:t>
            </w:r>
          </w:p>
        </w:tc>
        <w:tc>
          <w:tcPr>
            <w:tcW w:w="5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12,567</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line="209" w:lineRule="exact"/>
              <w:rPr>
                <w:sz w:val="20"/>
                <w:szCs w:val="20"/>
                <w:color w:val="auto"/>
              </w:rPr>
            </w:pPr>
            <w:r>
              <w:rPr>
                <w:rFonts w:ascii="Calibri" w:cs="Calibri" w:eastAsia="Calibri" w:hAnsi="Calibri"/>
                <w:sz w:val="18"/>
                <w:szCs w:val="18"/>
                <w:b w:val="1"/>
                <w:bCs w:val="1"/>
                <w:color w:val="auto"/>
                <w:w w:val="87"/>
              </w:rPr>
              <w:t>$</w:t>
            </w:r>
          </w:p>
        </w:tc>
        <w:tc>
          <w:tcPr>
            <w:tcW w:w="18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10,156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expense related to property and equipment for the years ended December 31, 2024, 2023, and 2022 was $1.7 million, $1.4 million, and $0.6 million, respectvely, all of which is recorded in Depreciaton and amortzaton in the Consolidated Statements of Operatons. There were no impairment charges during the years ended December 31, 2024, 2023, and 2022. In each of the years ended December 31, 2024, 2023, and 2022, we recorded an expense of $0.1 million for losses incurred on property and equipment-related asset disposals, which is recorded in General and administratve expenses in the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Leases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the lease-related assets and liabilites in the Consolidated Balance Sheets as of December 31, 2024 and 2023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ind w:left="26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6320" w:type="dxa"/>
            <w:vAlign w:val="bottom"/>
          </w:tcPr>
          <w:p>
            <w:pPr>
              <w:spacing w:after="0"/>
              <w:rPr>
                <w:sz w:val="18"/>
                <w:szCs w:val="18"/>
                <w:color w:val="auto"/>
              </w:rPr>
            </w:pPr>
          </w:p>
        </w:tc>
        <w:tc>
          <w:tcPr>
            <w:tcW w:w="168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right"/>
              <w:ind w:right="85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6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Right-of-use assets – net</w:t>
            </w:r>
          </w:p>
        </w:tc>
        <w:tc>
          <w:tcPr>
            <w:tcW w:w="1680" w:type="dxa"/>
            <w:vAlign w:val="bottom"/>
            <w:shd w:val="clear" w:color="auto" w:fill="CFF0FC"/>
          </w:tcPr>
          <w:p>
            <w:pPr>
              <w:jc w:val="right"/>
              <w:ind w:right="1490"/>
              <w:spacing w:after="0" w:line="209"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12,008</w:t>
            </w:r>
          </w:p>
        </w:tc>
        <w:tc>
          <w:tcPr>
            <w:tcW w:w="700" w:type="dxa"/>
            <w:vAlign w:val="bottom"/>
            <w:gridSpan w:val="2"/>
            <w:shd w:val="clear" w:color="auto" w:fill="CFF0FC"/>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9,826</w:t>
            </w:r>
          </w:p>
        </w:tc>
        <w:tc>
          <w:tcPr>
            <w:tcW w:w="100" w:type="dxa"/>
            <w:vAlign w:val="bottom"/>
            <w:shd w:val="clear" w:color="auto" w:fill="CFF0FC"/>
          </w:tcPr>
          <w:p>
            <w:pPr>
              <w:spacing w:after="0"/>
              <w:rPr>
                <w:sz w:val="21"/>
                <w:szCs w:val="21"/>
                <w:color w:val="auto"/>
              </w:rPr>
            </w:pPr>
          </w:p>
        </w:tc>
      </w:tr>
      <w:tr>
        <w:trPr>
          <w:trHeight w:val="197"/>
        </w:trPr>
        <w:tc>
          <w:tcPr>
            <w:tcW w:w="6320" w:type="dxa"/>
            <w:vAlign w:val="bottom"/>
            <w:tcBorders>
              <w:top w:val="single" w:sz="8" w:color="CFF0FC"/>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94"/>
        </w:trPr>
        <w:tc>
          <w:tcPr>
            <w:tcW w:w="632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Current operatng lease liabilites included in Accrued expenses and other current</w:t>
            </w:r>
          </w:p>
        </w:tc>
        <w:tc>
          <w:tcPr>
            <w:tcW w:w="1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63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liabilites</w:t>
            </w:r>
          </w:p>
        </w:tc>
        <w:tc>
          <w:tcPr>
            <w:tcW w:w="1680" w:type="dxa"/>
            <w:vAlign w:val="bottom"/>
            <w:tcBorders>
              <w:bottom w:val="single" w:sz="8" w:color="CFF0FC"/>
            </w:tcBorders>
            <w:shd w:val="clear" w:color="auto" w:fill="CFF0FC"/>
          </w:tcPr>
          <w:p>
            <w:pPr>
              <w:jc w:val="right"/>
              <w:ind w:right="149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1,973</w:t>
            </w:r>
          </w:p>
        </w:tc>
        <w:tc>
          <w:tcPr>
            <w:tcW w:w="70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32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lease liabilites</w:t>
            </w: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18,731</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16,215</w:t>
            </w:r>
          </w:p>
        </w:tc>
        <w:tc>
          <w:tcPr>
            <w:tcW w:w="100" w:type="dxa"/>
            <w:vAlign w:val="bottom"/>
          </w:tcPr>
          <w:p>
            <w:pPr>
              <w:spacing w:after="0"/>
              <w:rPr>
                <w:sz w:val="18"/>
                <w:szCs w:val="18"/>
                <w:color w:val="auto"/>
              </w:rPr>
            </w:pPr>
          </w:p>
        </w:tc>
      </w:tr>
      <w:tr>
        <w:trPr>
          <w:trHeight w:val="250"/>
        </w:trPr>
        <w:tc>
          <w:tcPr>
            <w:tcW w:w="63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Operatng lease liabilites</w:t>
            </w:r>
          </w:p>
        </w:tc>
        <w:tc>
          <w:tcPr>
            <w:tcW w:w="1680" w:type="dxa"/>
            <w:vAlign w:val="bottom"/>
            <w:tcBorders>
              <w:bottom w:val="single" w:sz="8" w:color="auto"/>
            </w:tcBorders>
            <w:shd w:val="clear" w:color="auto" w:fill="CFF0FC"/>
          </w:tcPr>
          <w:p>
            <w:pPr>
              <w:jc w:val="right"/>
              <w:ind w:right="1490"/>
              <w:spacing w:after="0" w:line="210"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20,704</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8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18,274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-745490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-728345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entered into all of our lease contracts as a lessee. We are not actng as a lessor under any of our leasing arrangements. The vast majority of our lease contracts are real estate leases for ofce space. All of our leases are classifed as operatng. None of our leases contain any material residual value guarantees or restrictve covenants.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Most leases have one or more optons to renew, with renewal terms that can initally extend the lease term for various periods up to fve years. The exercise of renewal optons is at our discreton and are included if they are reasonably certain to be exercised.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the weighted average remaining minimum lease term and the weighted average incremental borrowing rate as of December 31, 2024 and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December 31,</w:t>
            </w:r>
          </w:p>
        </w:tc>
        <w:tc>
          <w:tcPr>
            <w:tcW w:w="22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December 31,</w:t>
            </w:r>
          </w:p>
        </w:tc>
      </w:tr>
      <w:tr>
        <w:trPr>
          <w:trHeight w:val="216"/>
        </w:trPr>
        <w:tc>
          <w:tcPr>
            <w:tcW w:w="6080" w:type="dxa"/>
            <w:vAlign w:val="bottom"/>
          </w:tcPr>
          <w:p>
            <w:pPr>
              <w:spacing w:after="0"/>
              <w:rPr>
                <w:sz w:val="18"/>
                <w:szCs w:val="18"/>
                <w:color w:val="auto"/>
              </w:rPr>
            </w:pPr>
          </w:p>
        </w:tc>
        <w:tc>
          <w:tcPr>
            <w:tcW w:w="24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2024</w:t>
            </w:r>
          </w:p>
        </w:tc>
        <w:tc>
          <w:tcPr>
            <w:tcW w:w="2700" w:type="dxa"/>
            <w:vAlign w:val="bottom"/>
            <w:gridSpan w:val="2"/>
          </w:tcPr>
          <w:p>
            <w:pPr>
              <w:jc w:val="center"/>
              <w:ind w:left="130"/>
              <w:spacing w:after="0" w:line="216" w:lineRule="exact"/>
              <w:rPr>
                <w:sz w:val="20"/>
                <w:szCs w:val="20"/>
                <w:color w:val="auto"/>
              </w:rPr>
            </w:pPr>
            <w:r>
              <w:rPr>
                <w:rFonts w:ascii="Calibri" w:cs="Calibri" w:eastAsia="Calibri" w:hAnsi="Calibri"/>
                <w:sz w:val="18"/>
                <w:szCs w:val="18"/>
                <w:b w:val="1"/>
                <w:bCs w:val="1"/>
                <w:color w:val="auto"/>
                <w:w w:val="98"/>
              </w:rPr>
              <w:t>2023</w:t>
            </w:r>
          </w:p>
        </w:tc>
      </w:tr>
      <w:tr>
        <w:trPr>
          <w:trHeight w:val="23"/>
        </w:trPr>
        <w:tc>
          <w:tcPr>
            <w:tcW w:w="608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10"/>
        </w:trPr>
        <w:tc>
          <w:tcPr>
            <w:tcW w:w="60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Weighted average remaining minimum lease term</w:t>
            </w:r>
          </w:p>
        </w:tc>
        <w:tc>
          <w:tcPr>
            <w:tcW w:w="246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7"/>
              </w:rPr>
              <w:t>8.2 years</w:t>
            </w:r>
          </w:p>
        </w:tc>
        <w:tc>
          <w:tcPr>
            <w:tcW w:w="2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7"/>
              </w:rPr>
              <w:t>8.1 years</w:t>
            </w:r>
          </w:p>
        </w:tc>
      </w:tr>
      <w:tr>
        <w:trPr>
          <w:trHeight w:val="215"/>
        </w:trPr>
        <w:tc>
          <w:tcPr>
            <w:tcW w:w="608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incremental borrowing rate</w:t>
            </w:r>
          </w:p>
        </w:tc>
        <w:tc>
          <w:tcPr>
            <w:tcW w:w="246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8.5%</w:t>
            </w:r>
          </w:p>
        </w:tc>
        <w:tc>
          <w:tcPr>
            <w:tcW w:w="2700" w:type="dxa"/>
            <w:vAlign w:val="bottom"/>
            <w:gridSpan w:val="2"/>
          </w:tcPr>
          <w:p>
            <w:pPr>
              <w:jc w:val="center"/>
              <w:ind w:left="150"/>
              <w:spacing w:after="0" w:line="215" w:lineRule="exact"/>
              <w:rPr>
                <w:sz w:val="20"/>
                <w:szCs w:val="20"/>
                <w:color w:val="auto"/>
              </w:rPr>
            </w:pPr>
            <w:r>
              <w:rPr>
                <w:rFonts w:ascii="Calibri" w:cs="Calibri" w:eastAsia="Calibri" w:hAnsi="Calibri"/>
                <w:sz w:val="18"/>
                <w:szCs w:val="18"/>
                <w:color w:val="auto"/>
                <w:w w:val="95"/>
              </w:rPr>
              <w:t>7.4%</w:t>
            </w:r>
          </w:p>
        </w:tc>
      </w:tr>
    </w:tbl>
    <w:p>
      <w:pPr>
        <w:spacing w:after="0" w:line="8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2021, we entered into a lease agreement for our new corporate headquarters in Chicago, Illinois. The lease commenced in the frst quarter of 2022 when we obtained control of the premises, and runs through December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5" w:name="page86"/>
    <w:bookmarkEnd w:id="8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alibri" w:cs="Calibri" w:eastAsia="Calibri" w:hAnsi="Calibri"/>
          <w:sz w:val="18"/>
          <w:szCs w:val="18"/>
          <w:color w:val="auto"/>
        </w:rPr>
        <w:t>31, 2033 with a fve-year renewal opton. The aggregate lease payments for the inital term were approximately $16.2 million, with no rent due untl March</w:t>
      </w:r>
    </w:p>
    <w:p>
      <w:pPr>
        <w:spacing w:after="0" w:line="235" w:lineRule="auto"/>
        <w:rPr>
          <w:sz w:val="20"/>
          <w:szCs w:val="20"/>
          <w:color w:val="auto"/>
        </w:rPr>
      </w:pPr>
      <w:r>
        <w:rPr>
          <w:rFonts w:ascii="Calibri" w:cs="Calibri" w:eastAsia="Calibri" w:hAnsi="Calibri"/>
          <w:sz w:val="18"/>
          <w:szCs w:val="18"/>
          <w:color w:val="auto"/>
        </w:rPr>
        <w:t>2024.</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lease agreement provides for a tenant improvement allowance from the landlord in an amount equal to $6.5 million towards the design and constructon on the leased premises. As of December 31, 2022, we incurred leasehold improvement costs of $6.5 million related to the tenant improvement allowance. This amount is recorded in Property and equipment </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net in the Consolidated Balance Sheets. On the commencement date, we recognized the ROU asset and corresponding lease liability of $3.4 million in Right-of-use assets — net and Long-term lease liabilites, respectvely, in the Consolidated Balance Sheets.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April 2024, we amended our lease agreement to provide for the expansion of our corporate headquarters. The amendment commenced in the fourth quarter of 2024 when we obtained control of the new premises, and runs through December 31, 2033 with a fve-year renewal opton. The aggregate lease payments for the inital term are approximately $1.5 million with no rent due untl November 2025.</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lease agreement provides for a tenant improvement allowance from the landlord in an amount equal to $0.6 million towards the design and constructon on the leased premises. As of December 31, 2024, we incurred leasehold improvement costs of $0.6 million related to the tenant improvement allowance. This amount is recorded in Property and equipment </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net in the Consolidated Balance Sheets. On the commencement date, we recognized the ROU asset and corresponding lease liability of $0.3 million in Right-of-use assets — net and Long-term lease liabilites, respectvely, in the Consolidated Balance Sheets.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Lease expense for operatng leases is recognized on a straight-line basis over the lease term and is recorded in General and administratve expenses in the Consolidated Statements of Operatons. Operatng and variable lease expenses for the years ended December 31, 2024, 2023, and 2022 were $3.0 million, $2.0 million, and $3.6 million,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payments for operatng lease liabilites, which are presented as a component of cash fows from operatng actvites within the Consolidated Statements of Cash Flows, were $3.4 million, $1.2 million, and $3.1 million during the years ended December 31, 2024, 2023, and 2022,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present value of our operatng lease liabilites as of December 31, 2024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20" w:type="dxa"/>
            <w:vAlign w:val="bottom"/>
            <w:gridSpan w:val="2"/>
          </w:tcPr>
          <w:p>
            <w:pPr>
              <w:jc w:val="right"/>
              <w:ind w:right="980"/>
              <w:spacing w:after="0"/>
              <w:rPr>
                <w:sz w:val="20"/>
                <w:szCs w:val="20"/>
                <w:color w:val="auto"/>
              </w:rPr>
            </w:pPr>
            <w:r>
              <w:rPr>
                <w:rFonts w:ascii="Calibri" w:cs="Calibri" w:eastAsia="Calibri" w:hAnsi="Calibri"/>
                <w:sz w:val="18"/>
                <w:szCs w:val="18"/>
                <w:b w:val="1"/>
                <w:bCs w:val="1"/>
                <w:color w:val="auto"/>
              </w:rPr>
              <w:t>Operatng Leases</w:t>
            </w:r>
          </w:p>
        </w:tc>
      </w:tr>
      <w:tr>
        <w:trPr>
          <w:trHeight w:val="23"/>
        </w:trPr>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39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2025</w:t>
            </w:r>
          </w:p>
        </w:tc>
        <w:tc>
          <w:tcPr>
            <w:tcW w:w="4700" w:type="dxa"/>
            <w:vAlign w:val="bottom"/>
            <w:gridSpan w:val="2"/>
            <w:shd w:val="clear" w:color="auto" w:fill="CFF0FC"/>
          </w:tcPr>
          <w:p>
            <w:pPr>
              <w:jc w:val="right"/>
              <w:ind w:right="290"/>
              <w:spacing w:after="0" w:line="209" w:lineRule="exact"/>
              <w:rPr>
                <w:sz w:val="20"/>
                <w:szCs w:val="20"/>
                <w:color w:val="auto"/>
              </w:rPr>
            </w:pPr>
            <w:r>
              <w:rPr>
                <w:rFonts w:ascii="Calibri" w:cs="Calibri" w:eastAsia="Calibri" w:hAnsi="Calibri"/>
                <w:sz w:val="18"/>
                <w:szCs w:val="18"/>
                <w:color w:val="auto"/>
              </w:rPr>
              <w:t>$</w:t>
            </w:r>
          </w:p>
        </w:tc>
        <w:tc>
          <w:tcPr>
            <w:tcW w:w="25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3,483</w:t>
            </w:r>
          </w:p>
        </w:tc>
        <w:tc>
          <w:tcPr>
            <w:tcW w:w="100" w:type="dxa"/>
            <w:vAlign w:val="bottom"/>
            <w:shd w:val="clear" w:color="auto" w:fill="CFF0FC"/>
          </w:tcPr>
          <w:p>
            <w:pPr>
              <w:spacing w:after="0"/>
              <w:rPr>
                <w:sz w:val="18"/>
                <w:szCs w:val="18"/>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20" w:type="dxa"/>
            <w:vAlign w:val="bottom"/>
          </w:tcPr>
          <w:p>
            <w:pPr>
              <w:jc w:val="right"/>
              <w:spacing w:after="0" w:line="215" w:lineRule="exact"/>
              <w:rPr>
                <w:sz w:val="20"/>
                <w:szCs w:val="20"/>
                <w:color w:val="auto"/>
              </w:rPr>
            </w:pPr>
            <w:r>
              <w:rPr>
                <w:rFonts w:ascii="Calibri" w:cs="Calibri" w:eastAsia="Calibri" w:hAnsi="Calibri"/>
                <w:sz w:val="18"/>
                <w:szCs w:val="18"/>
                <w:color w:val="auto"/>
              </w:rPr>
              <w:t>3,627</w:t>
            </w:r>
          </w:p>
        </w:tc>
        <w:tc>
          <w:tcPr>
            <w:tcW w:w="100" w:type="dxa"/>
            <w:vAlign w:val="bottom"/>
          </w:tcPr>
          <w:p>
            <w:pPr>
              <w:spacing w:after="0"/>
              <w:rPr>
                <w:sz w:val="18"/>
                <w:szCs w:val="18"/>
                <w:color w:val="auto"/>
              </w:rPr>
            </w:pPr>
          </w:p>
        </w:tc>
      </w:tr>
      <w:tr>
        <w:trPr>
          <w:trHeight w:val="217"/>
        </w:trPr>
        <w:tc>
          <w:tcPr>
            <w:tcW w:w="3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4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3,453</w:t>
            </w:r>
          </w:p>
        </w:tc>
        <w:tc>
          <w:tcPr>
            <w:tcW w:w="100" w:type="dxa"/>
            <w:vAlign w:val="bottom"/>
            <w:shd w:val="clear" w:color="auto" w:fill="CFF0FC"/>
          </w:tcPr>
          <w:p>
            <w:pPr>
              <w:spacing w:after="0"/>
              <w:rPr>
                <w:sz w:val="18"/>
                <w:szCs w:val="18"/>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20" w:type="dxa"/>
            <w:vAlign w:val="bottom"/>
          </w:tcPr>
          <w:p>
            <w:pPr>
              <w:jc w:val="right"/>
              <w:spacing w:after="0" w:line="215" w:lineRule="exact"/>
              <w:rPr>
                <w:sz w:val="20"/>
                <w:szCs w:val="20"/>
                <w:color w:val="auto"/>
              </w:rPr>
            </w:pPr>
            <w:r>
              <w:rPr>
                <w:rFonts w:ascii="Calibri" w:cs="Calibri" w:eastAsia="Calibri" w:hAnsi="Calibri"/>
                <w:sz w:val="18"/>
                <w:szCs w:val="18"/>
                <w:color w:val="auto"/>
              </w:rPr>
              <w:t>3,240</w:t>
            </w:r>
          </w:p>
        </w:tc>
        <w:tc>
          <w:tcPr>
            <w:tcW w:w="100" w:type="dxa"/>
            <w:vAlign w:val="bottom"/>
          </w:tcPr>
          <w:p>
            <w:pPr>
              <w:spacing w:after="0"/>
              <w:rPr>
                <w:sz w:val="18"/>
                <w:szCs w:val="18"/>
                <w:color w:val="auto"/>
              </w:rPr>
            </w:pPr>
          </w:p>
        </w:tc>
      </w:tr>
      <w:tr>
        <w:trPr>
          <w:trHeight w:val="217"/>
        </w:trPr>
        <w:tc>
          <w:tcPr>
            <w:tcW w:w="3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4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3,311</w:t>
            </w:r>
          </w:p>
        </w:tc>
        <w:tc>
          <w:tcPr>
            <w:tcW w:w="100" w:type="dxa"/>
            <w:vAlign w:val="bottom"/>
            <w:shd w:val="clear" w:color="auto" w:fill="CFF0FC"/>
          </w:tcPr>
          <w:p>
            <w:pPr>
              <w:spacing w:after="0"/>
              <w:rPr>
                <w:sz w:val="18"/>
                <w:szCs w:val="18"/>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4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10,997</w:t>
            </w:r>
          </w:p>
        </w:tc>
        <w:tc>
          <w:tcPr>
            <w:tcW w:w="100" w:type="dxa"/>
            <w:vAlign w:val="bottom"/>
          </w:tcPr>
          <w:p>
            <w:pPr>
              <w:spacing w:after="0"/>
              <w:rPr>
                <w:sz w:val="18"/>
                <w:szCs w:val="18"/>
                <w:color w:val="auto"/>
              </w:rPr>
            </w:pPr>
          </w:p>
        </w:tc>
      </w:tr>
      <w:tr>
        <w:trPr>
          <w:trHeight w:val="210"/>
        </w:trPr>
        <w:tc>
          <w:tcPr>
            <w:tcW w:w="39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future lease payments</w:t>
            </w:r>
          </w:p>
        </w:tc>
        <w:tc>
          <w:tcPr>
            <w:tcW w:w="4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28,111</w:t>
            </w:r>
          </w:p>
        </w:tc>
        <w:tc>
          <w:tcPr>
            <w:tcW w:w="100" w:type="dxa"/>
            <w:vAlign w:val="bottom"/>
            <w:shd w:val="clear" w:color="auto" w:fill="CFF0FC"/>
          </w:tcPr>
          <w:p>
            <w:pPr>
              <w:spacing w:after="0"/>
              <w:rPr>
                <w:sz w:val="18"/>
                <w:szCs w:val="18"/>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Less: imputed interest</w:t>
            </w: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(7,407 )</w:t>
            </w:r>
          </w:p>
        </w:tc>
      </w:tr>
      <w:tr>
        <w:trPr>
          <w:trHeight w:val="250"/>
        </w:trPr>
        <w:tc>
          <w:tcPr>
            <w:tcW w:w="39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Present value of lease liabilites</w:t>
            </w:r>
          </w:p>
        </w:tc>
        <w:tc>
          <w:tcPr>
            <w:tcW w:w="4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line="210" w:lineRule="exact"/>
              <w:rPr>
                <w:sz w:val="20"/>
                <w:szCs w:val="20"/>
                <w:color w:val="auto"/>
              </w:rPr>
            </w:pPr>
            <w:r>
              <w:rPr>
                <w:rFonts w:ascii="Calibri" w:cs="Calibri" w:eastAsia="Calibri" w:hAnsi="Calibri"/>
                <w:sz w:val="18"/>
                <w:szCs w:val="18"/>
                <w:b w:val="1"/>
                <w:bCs w:val="1"/>
                <w:color w:val="auto"/>
                <w:w w:val="87"/>
              </w:rPr>
              <w:t>$</w:t>
            </w:r>
          </w:p>
        </w:tc>
        <w:tc>
          <w:tcPr>
            <w:tcW w:w="25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20,704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21"/>
        </w:trPr>
        <w:tc>
          <w:tcPr>
            <w:tcW w:w="3920" w:type="dxa"/>
            <w:vAlign w:val="bottom"/>
          </w:tcPr>
          <w:p>
            <w:pPr>
              <w:spacing w:after="0"/>
              <w:rPr>
                <w:sz w:val="24"/>
                <w:szCs w:val="24"/>
                <w:color w:val="auto"/>
              </w:rPr>
            </w:pPr>
          </w:p>
        </w:tc>
        <w:tc>
          <w:tcPr>
            <w:tcW w:w="4220" w:type="dxa"/>
            <w:vAlign w:val="bottom"/>
          </w:tcPr>
          <w:p>
            <w:pPr>
              <w:jc w:val="right"/>
              <w:ind w:right="2330"/>
              <w:spacing w:after="0"/>
              <w:rPr>
                <w:sz w:val="20"/>
                <w:szCs w:val="20"/>
                <w:color w:val="auto"/>
              </w:rPr>
            </w:pPr>
            <w:r>
              <w:rPr>
                <w:rFonts w:ascii="Calibri" w:cs="Calibri" w:eastAsia="Calibri" w:hAnsi="Calibri"/>
                <w:sz w:val="18"/>
                <w:szCs w:val="18"/>
                <w:color w:val="auto"/>
              </w:rPr>
              <w:t>84</w:t>
            </w: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6"/>
        </w:trPr>
        <w:tc>
          <w:tcPr>
            <w:tcW w:w="39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6" w:name="page87"/>
    <w:bookmarkEnd w:id="86"/>
    <w:p>
      <w:pPr>
        <w:jc w:val="center"/>
        <w:ind w:right="-19"/>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ind w:right="7640" w:firstLine="8"/>
        <w:spacing w:after="0" w:line="348" w:lineRule="auto"/>
        <w:tabs>
          <w:tab w:leader="none" w:pos="264" w:val="left"/>
        </w:tabs>
        <w:numPr>
          <w:ilvl w:val="0"/>
          <w:numId w:val="3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Goodwill – Net and Intangible Assets – Net Goodwill – Net</w:t>
      </w:r>
    </w:p>
    <w:p>
      <w:pPr>
        <w:spacing w:after="0" w:line="11" w:lineRule="exact"/>
        <w:rPr>
          <w:sz w:val="20"/>
          <w:szCs w:val="20"/>
          <w:color w:val="auto"/>
        </w:rPr>
      </w:pPr>
    </w:p>
    <w:p>
      <w:pPr>
        <w:spacing w:after="0"/>
        <w:rPr>
          <w:sz w:val="20"/>
          <w:szCs w:val="20"/>
          <w:color w:val="auto"/>
        </w:rPr>
      </w:pPr>
      <w:r>
        <w:rPr>
          <w:rFonts w:ascii="Calibri" w:cs="Calibri" w:eastAsia="Calibri" w:hAnsi="Calibri"/>
          <w:sz w:val="17"/>
          <w:szCs w:val="17"/>
          <w:color w:val="auto"/>
        </w:rPr>
        <w:t>Goodwill is included in our Marketplace segment. The following table summarizes the changes in the carrying amount of our goodwill during the years ended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December 31, 2024 and 2023 (in thousands):</w:t>
      </w:r>
    </w:p>
    <w:p>
      <w:pPr>
        <w:sectPr>
          <w:pgSz w:w="11900" w:h="16838" w:orient="portrait"/>
          <w:cols w:equalWidth="0" w:num="1">
            <w:col w:w="11240"/>
          </w:cols>
          <w:pgMar w:left="320" w:top="760" w:right="339" w:bottom="1440" w:gutter="0" w:footer="0" w:header="0"/>
        </w:sectPr>
      </w:pPr>
    </w:p>
    <w:p>
      <w:pPr>
        <w:spacing w:after="0" w:line="334"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Balance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5" w:lineRule="auto"/>
        <w:rPr>
          <w:sz w:val="20"/>
          <w:szCs w:val="20"/>
          <w:color w:val="auto"/>
        </w:rPr>
      </w:pPr>
      <w:r>
        <w:rPr>
          <w:rFonts w:ascii="Calibri" w:cs="Calibri" w:eastAsia="Calibri" w:hAnsi="Calibri"/>
          <w:sz w:val="18"/>
          <w:szCs w:val="18"/>
          <w:color w:val="auto"/>
        </w:rPr>
        <w:t>2023 Acquisitons (Note 3)</w:t>
      </w:r>
    </w:p>
    <w:p>
      <w:pPr>
        <w:spacing w:after="0" w:line="2"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Foreign currency translaton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8"/>
          <w:szCs w:val="18"/>
          <w:b w:val="1"/>
          <w:bCs w:val="1"/>
          <w:color w:val="auto"/>
        </w:rPr>
        <w:t>Balance at December 31, 2023</w:t>
      </w:r>
    </w:p>
    <w:p>
      <w:pPr>
        <w:ind w:left="20"/>
        <w:spacing w:after="0" w:line="235" w:lineRule="auto"/>
        <w:rPr>
          <w:sz w:val="20"/>
          <w:szCs w:val="20"/>
          <w:color w:val="auto"/>
        </w:rPr>
      </w:pPr>
      <w:r>
        <w:rPr>
          <w:rFonts w:ascii="Calibri" w:cs="Calibri" w:eastAsia="Calibri" w:hAnsi="Calibri"/>
          <w:sz w:val="18"/>
          <w:szCs w:val="18"/>
          <w:color w:val="auto"/>
        </w:rPr>
        <w:t>Vegas.com Acquisiton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7"/>
          <w:szCs w:val="17"/>
          <w:color w:val="auto"/>
        </w:rPr>
        <w:t>Foreign currency translaton adjustment</w:t>
      </w:r>
    </w:p>
    <w:p>
      <w:pPr>
        <w:spacing w:after="0" w:line="31"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2220" w:type="dxa"/>
            <w:vAlign w:val="bottom"/>
            <w:gridSpan w:val="2"/>
          </w:tcPr>
          <w:p>
            <w:pPr>
              <w:jc w:val="right"/>
              <w:ind w:right="820"/>
              <w:spacing w:after="0"/>
              <w:rPr>
                <w:sz w:val="20"/>
                <w:szCs w:val="20"/>
                <w:color w:val="auto"/>
              </w:rPr>
            </w:pPr>
            <w:r>
              <w:rPr>
                <w:rFonts w:ascii="Calibri" w:cs="Calibri" w:eastAsia="Calibri" w:hAnsi="Calibri"/>
                <w:sz w:val="18"/>
                <w:szCs w:val="18"/>
                <w:b w:val="1"/>
                <w:bCs w:val="1"/>
                <w:color w:val="auto"/>
              </w:rPr>
              <w:t>Goodwill – Net</w:t>
            </w:r>
          </w:p>
        </w:tc>
      </w:tr>
      <w:tr>
        <w:trPr>
          <w:trHeight w:val="23"/>
        </w:trPr>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420" w:type="dxa"/>
            <w:vAlign w:val="bottom"/>
          </w:tcPr>
          <w:p>
            <w:pPr>
              <w:jc w:val="right"/>
              <w:ind w:right="230"/>
              <w:spacing w:after="0" w:line="187" w:lineRule="exact"/>
              <w:rPr>
                <w:sz w:val="20"/>
                <w:szCs w:val="20"/>
                <w:color w:val="auto"/>
              </w:rPr>
            </w:pPr>
            <w:r>
              <w:rPr>
                <w:rFonts w:ascii="Calibri" w:cs="Calibri" w:eastAsia="Calibri" w:hAnsi="Calibri"/>
                <w:sz w:val="18"/>
                <w:szCs w:val="18"/>
                <w:b w:val="1"/>
                <w:bCs w:val="1"/>
                <w:color w:val="auto"/>
                <w:w w:val="87"/>
              </w:rPr>
              <w:t>$</w:t>
            </w:r>
          </w:p>
        </w:tc>
        <w:tc>
          <w:tcPr>
            <w:tcW w:w="2160" w:type="dxa"/>
            <w:vAlign w:val="bottom"/>
          </w:tcPr>
          <w:p>
            <w:pPr>
              <w:jc w:val="right"/>
              <w:spacing w:after="0" w:line="187" w:lineRule="exact"/>
              <w:rPr>
                <w:sz w:val="20"/>
                <w:szCs w:val="20"/>
                <w:color w:val="auto"/>
              </w:rPr>
            </w:pPr>
            <w:r>
              <w:rPr>
                <w:rFonts w:ascii="Calibri" w:cs="Calibri" w:eastAsia="Calibri" w:hAnsi="Calibri"/>
                <w:sz w:val="18"/>
                <w:szCs w:val="18"/>
                <w:b w:val="1"/>
                <w:bCs w:val="1"/>
                <w:color w:val="auto"/>
              </w:rPr>
              <w:t>715,258</w:t>
            </w:r>
          </w:p>
        </w:tc>
        <w:tc>
          <w:tcPr>
            <w:tcW w:w="60" w:type="dxa"/>
            <w:vAlign w:val="bottom"/>
          </w:tcPr>
          <w:p>
            <w:pPr>
              <w:spacing w:after="0"/>
              <w:rPr>
                <w:sz w:val="16"/>
                <w:szCs w:val="16"/>
                <w:color w:val="auto"/>
              </w:rPr>
            </w:pPr>
          </w:p>
        </w:tc>
      </w:tr>
      <w:tr>
        <w:trPr>
          <w:trHeight w:val="215"/>
        </w:trPr>
        <w:tc>
          <w:tcPr>
            <w:tcW w:w="420" w:type="dxa"/>
            <w:vAlign w:val="bottom"/>
          </w:tcPr>
          <w:p>
            <w:pPr>
              <w:spacing w:after="0"/>
              <w:rPr>
                <w:sz w:val="18"/>
                <w:szCs w:val="18"/>
                <w:color w:val="auto"/>
              </w:rPr>
            </w:pPr>
          </w:p>
        </w:tc>
        <w:tc>
          <w:tcPr>
            <w:tcW w:w="2160" w:type="dxa"/>
            <w:vAlign w:val="bottom"/>
          </w:tcPr>
          <w:p>
            <w:pPr>
              <w:jc w:val="right"/>
              <w:spacing w:after="0" w:line="215" w:lineRule="exact"/>
              <w:rPr>
                <w:sz w:val="20"/>
                <w:szCs w:val="20"/>
                <w:color w:val="auto"/>
              </w:rPr>
            </w:pPr>
            <w:r>
              <w:rPr>
                <w:rFonts w:ascii="Calibri" w:cs="Calibri" w:eastAsia="Calibri" w:hAnsi="Calibri"/>
                <w:sz w:val="18"/>
                <w:szCs w:val="18"/>
                <w:color w:val="auto"/>
              </w:rPr>
              <w:t>230,091</w:t>
            </w:r>
          </w:p>
        </w:tc>
        <w:tc>
          <w:tcPr>
            <w:tcW w:w="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160" w:type="dxa"/>
            <w:vAlign w:val="bottom"/>
          </w:tcPr>
          <w:p>
            <w:pPr>
              <w:jc w:val="right"/>
              <w:spacing w:after="0" w:line="216" w:lineRule="exact"/>
              <w:rPr>
                <w:sz w:val="20"/>
                <w:szCs w:val="20"/>
                <w:color w:val="auto"/>
              </w:rPr>
            </w:pPr>
            <w:r>
              <w:rPr>
                <w:rFonts w:ascii="Calibri" w:cs="Calibri" w:eastAsia="Calibri" w:hAnsi="Calibri"/>
                <w:sz w:val="18"/>
                <w:szCs w:val="18"/>
                <w:color w:val="auto"/>
              </w:rPr>
              <w:t>2,010</w:t>
            </w:r>
          </w:p>
        </w:tc>
        <w:tc>
          <w:tcPr>
            <w:tcW w:w="60" w:type="dxa"/>
            <w:vAlign w:val="bottom"/>
          </w:tcPr>
          <w:p>
            <w:pPr>
              <w:spacing w:after="0"/>
              <w:rPr>
                <w:sz w:val="18"/>
                <w:szCs w:val="18"/>
                <w:color w:val="auto"/>
              </w:rPr>
            </w:pPr>
          </w:p>
        </w:tc>
      </w:tr>
      <w:tr>
        <w:trPr>
          <w:trHeight w:val="23"/>
        </w:trPr>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420" w:type="dxa"/>
            <w:vAlign w:val="bottom"/>
          </w:tcPr>
          <w:p>
            <w:pPr>
              <w:spacing w:after="0"/>
              <w:rPr>
                <w:sz w:val="16"/>
                <w:szCs w:val="16"/>
                <w:color w:val="auto"/>
              </w:rPr>
            </w:pPr>
          </w:p>
        </w:tc>
        <w:tc>
          <w:tcPr>
            <w:tcW w:w="2160" w:type="dxa"/>
            <w:vAlign w:val="bottom"/>
          </w:tcPr>
          <w:p>
            <w:pPr>
              <w:jc w:val="right"/>
              <w:spacing w:after="0" w:line="187" w:lineRule="exact"/>
              <w:rPr>
                <w:sz w:val="20"/>
                <w:szCs w:val="20"/>
                <w:color w:val="auto"/>
              </w:rPr>
            </w:pPr>
            <w:r>
              <w:rPr>
                <w:rFonts w:ascii="Calibri" w:cs="Calibri" w:eastAsia="Calibri" w:hAnsi="Calibri"/>
                <w:sz w:val="18"/>
                <w:szCs w:val="18"/>
                <w:b w:val="1"/>
                <w:bCs w:val="1"/>
                <w:color w:val="auto"/>
              </w:rPr>
              <w:t>947,359</w:t>
            </w:r>
          </w:p>
        </w:tc>
        <w:tc>
          <w:tcPr>
            <w:tcW w:w="60" w:type="dxa"/>
            <w:vAlign w:val="bottom"/>
          </w:tcPr>
          <w:p>
            <w:pPr>
              <w:spacing w:after="0"/>
              <w:rPr>
                <w:sz w:val="16"/>
                <w:szCs w:val="16"/>
                <w:color w:val="auto"/>
              </w:rPr>
            </w:pPr>
          </w:p>
        </w:tc>
      </w:tr>
      <w:tr>
        <w:trPr>
          <w:trHeight w:val="215"/>
        </w:trPr>
        <w:tc>
          <w:tcPr>
            <w:tcW w:w="420" w:type="dxa"/>
            <w:vAlign w:val="bottom"/>
          </w:tcPr>
          <w:p>
            <w:pPr>
              <w:spacing w:after="0"/>
              <w:rPr>
                <w:sz w:val="18"/>
                <w:szCs w:val="18"/>
                <w:color w:val="auto"/>
              </w:rPr>
            </w:pPr>
          </w:p>
        </w:tc>
        <w:tc>
          <w:tcPr>
            <w:tcW w:w="2160" w:type="dxa"/>
            <w:vAlign w:val="bottom"/>
          </w:tcPr>
          <w:p>
            <w:pPr>
              <w:jc w:val="right"/>
              <w:spacing w:after="0" w:line="215" w:lineRule="exact"/>
              <w:rPr>
                <w:sz w:val="20"/>
                <w:szCs w:val="20"/>
                <w:color w:val="auto"/>
              </w:rPr>
            </w:pPr>
            <w:r>
              <w:rPr>
                <w:rFonts w:ascii="Calibri" w:cs="Calibri" w:eastAsia="Calibri" w:hAnsi="Calibri"/>
                <w:sz w:val="18"/>
                <w:szCs w:val="18"/>
                <w:color w:val="auto"/>
              </w:rPr>
              <w:t>536</w:t>
            </w:r>
          </w:p>
        </w:tc>
        <w:tc>
          <w:tcPr>
            <w:tcW w:w="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2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(4,776 )</w:t>
            </w:r>
          </w:p>
        </w:tc>
      </w:tr>
      <w:tr>
        <w:trPr>
          <w:trHeight w:val="23"/>
        </w:trPr>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420" w:type="dxa"/>
            <w:vAlign w:val="bottom"/>
            <w:tcBorders>
              <w:bottom w:val="single" w:sz="8" w:color="auto"/>
            </w:tcBorders>
          </w:tcPr>
          <w:p>
            <w:pPr>
              <w:jc w:val="right"/>
              <w:ind w:right="230"/>
              <w:spacing w:after="0" w:line="209" w:lineRule="exact"/>
              <w:rPr>
                <w:sz w:val="20"/>
                <w:szCs w:val="20"/>
                <w:color w:val="auto"/>
              </w:rPr>
            </w:pPr>
            <w:r>
              <w:rPr>
                <w:rFonts w:ascii="Calibri" w:cs="Calibri" w:eastAsia="Calibri" w:hAnsi="Calibri"/>
                <w:sz w:val="18"/>
                <w:szCs w:val="18"/>
                <w:b w:val="1"/>
                <w:bCs w:val="1"/>
                <w:color w:val="auto"/>
                <w:w w:val="87"/>
              </w:rPr>
              <w:t>$</w:t>
            </w:r>
          </w:p>
        </w:tc>
        <w:tc>
          <w:tcPr>
            <w:tcW w:w="2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943,119</w:t>
            </w:r>
          </w:p>
        </w:tc>
        <w:tc>
          <w:tcPr>
            <w:tcW w:w="6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7840" w:space="720"/>
            <w:col w:w="2680"/>
          </w:cols>
          <w:pgMar w:left="320" w:top="760" w:right="339" w:bottom="1440" w:gutter="0" w:footer="0" w:header="0"/>
          <w:type w:val="continuous"/>
        </w:sectPr>
      </w:pPr>
    </w:p>
    <w:p>
      <w:pPr>
        <w:spacing w:after="0"/>
        <w:rPr>
          <w:sz w:val="20"/>
          <w:szCs w:val="20"/>
          <w:color w:val="auto"/>
        </w:rPr>
      </w:pPr>
      <w:r>
        <w:rPr>
          <w:rFonts w:ascii="Calibri" w:cs="Calibri" w:eastAsia="Calibri" w:hAnsi="Calibri"/>
          <w:sz w:val="18"/>
          <w:szCs w:val="18"/>
          <w:color w:val="auto"/>
        </w:rPr>
        <w:t>Goodwill is recorded net of impairment, for which we recognized $377.1 million of cumulatve impairment charges as of December 31, 2024 and 2023.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Intangible Assets – Net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summarize the carrying amount and weighted average remaining life (in years, if applicable) of our intangible assets at December 31,</w:t>
      </w:r>
    </w:p>
    <w:p>
      <w:pPr>
        <w:spacing w:after="0" w:line="235" w:lineRule="auto"/>
        <w:rPr>
          <w:sz w:val="20"/>
          <w:szCs w:val="20"/>
          <w:color w:val="auto"/>
        </w:rPr>
      </w:pPr>
      <w:r>
        <w:rPr>
          <w:rFonts w:ascii="Calibri" w:cs="Calibri" w:eastAsia="Calibri" w:hAnsi="Calibri"/>
          <w:sz w:val="18"/>
          <w:szCs w:val="18"/>
          <w:color w:val="auto"/>
        </w:rPr>
        <w:t>2024 and 2023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gridSpan w:val="3"/>
          </w:tcPr>
          <w:p>
            <w:pPr>
              <w:jc w:val="right"/>
              <w:ind w:right="740"/>
              <w:spacing w:after="0"/>
              <w:rPr>
                <w:sz w:val="20"/>
                <w:szCs w:val="20"/>
                <w:color w:val="auto"/>
              </w:rPr>
            </w:pPr>
            <w:r>
              <w:rPr>
                <w:rFonts w:ascii="Calibri" w:cs="Calibri" w:eastAsia="Calibri" w:hAnsi="Calibri"/>
                <w:sz w:val="18"/>
                <w:szCs w:val="18"/>
                <w:b w:val="1"/>
                <w:bCs w:val="1"/>
                <w:color w:val="auto"/>
              </w:rPr>
              <w:t>December 31,</w:t>
            </w:r>
          </w:p>
        </w:tc>
        <w:tc>
          <w:tcPr>
            <w:tcW w:w="2160" w:type="dxa"/>
            <w:vAlign w:val="bottom"/>
            <w:gridSpan w:val="2"/>
          </w:tcPr>
          <w:p>
            <w:pPr>
              <w:jc w:val="center"/>
              <w:ind w:right="100"/>
              <w:spacing w:after="0"/>
              <w:rPr>
                <w:sz w:val="20"/>
                <w:szCs w:val="20"/>
                <w:color w:val="auto"/>
              </w:rPr>
            </w:pPr>
            <w:r>
              <w:rPr>
                <w:rFonts w:ascii="Calibri" w:cs="Calibri" w:eastAsia="Calibri" w:hAnsi="Calibri"/>
                <w:sz w:val="18"/>
                <w:szCs w:val="18"/>
                <w:b w:val="1"/>
                <w:bCs w:val="1"/>
                <w:color w:val="auto"/>
                <w:w w:val="96"/>
              </w:rPr>
              <w:t>Weighted Average</w:t>
            </w:r>
          </w:p>
        </w:tc>
      </w:tr>
      <w:tr>
        <w:trPr>
          <w:trHeight w:val="216"/>
        </w:trPr>
        <w:tc>
          <w:tcPr>
            <w:tcW w:w="4580" w:type="dxa"/>
            <w:vAlign w:val="bottom"/>
          </w:tcPr>
          <w:p>
            <w:pPr>
              <w:spacing w:after="0"/>
              <w:rPr>
                <w:sz w:val="18"/>
                <w:szCs w:val="18"/>
                <w:color w:val="auto"/>
              </w:rPr>
            </w:pPr>
          </w:p>
        </w:tc>
        <w:tc>
          <w:tcPr>
            <w:tcW w:w="3540" w:type="dxa"/>
            <w:vAlign w:val="bottom"/>
            <w:gridSpan w:val="2"/>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2024</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20"/>
              <w:spacing w:after="0" w:line="216" w:lineRule="exact"/>
              <w:rPr>
                <w:sz w:val="20"/>
                <w:szCs w:val="20"/>
                <w:color w:val="auto"/>
              </w:rPr>
            </w:pPr>
            <w:r>
              <w:rPr>
                <w:rFonts w:ascii="Calibri" w:cs="Calibri" w:eastAsia="Calibri" w:hAnsi="Calibri"/>
                <w:sz w:val="18"/>
                <w:szCs w:val="18"/>
                <w:b w:val="1"/>
                <w:bCs w:val="1"/>
                <w:color w:val="auto"/>
                <w:w w:val="97"/>
              </w:rPr>
              <w:t>Remaining Life</w:t>
            </w:r>
          </w:p>
        </w:tc>
      </w:tr>
      <w:tr>
        <w:trPr>
          <w:trHeight w:val="23"/>
        </w:trPr>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45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Defnite-lived intangible assets</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3540" w:type="dxa"/>
            <w:vAlign w:val="bottom"/>
            <w:gridSpan w:val="2"/>
          </w:tcPr>
          <w:p>
            <w:pPr>
              <w:jc w:val="right"/>
              <w:ind w:right="111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24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3.1</w:t>
            </w: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Customer relatonships</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34,620</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24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Capitalized development costs</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46,293</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Capitalized development costs – work in progress</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6,839</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Acquired Domain Name</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17,348</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15.4</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Seat images</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347</w:t>
            </w:r>
          </w:p>
        </w:tc>
        <w:tc>
          <w:tcPr>
            <w:tcW w:w="24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Foreign currency translaton adjustment</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(1,891 )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4580" w:type="dxa"/>
            <w:vAlign w:val="bottom"/>
            <w:tcBorders>
              <w:top w:val="single" w:sz="8" w:color="CFF0FC"/>
            </w:tcBorders>
          </w:tcPr>
          <w:p>
            <w:pPr>
              <w:ind w:left="120"/>
              <w:spacing w:after="0" w:line="209" w:lineRule="exact"/>
              <w:rPr>
                <w:sz w:val="20"/>
                <w:szCs w:val="20"/>
                <w:color w:val="auto"/>
              </w:rPr>
            </w:pPr>
            <w:r>
              <w:rPr>
                <w:rFonts w:ascii="Calibri" w:cs="Calibri" w:eastAsia="Calibri" w:hAnsi="Calibri"/>
                <w:sz w:val="18"/>
                <w:szCs w:val="18"/>
                <w:b w:val="1"/>
                <w:bCs w:val="1"/>
                <w:color w:val="auto"/>
              </w:rPr>
              <w:t>Total gross book value</w:t>
            </w:r>
          </w:p>
        </w:tc>
        <w:tc>
          <w:tcPr>
            <w:tcW w:w="2240" w:type="dxa"/>
            <w:vAlign w:val="bottom"/>
            <w:tcBorders>
              <w:top w:val="single" w:sz="8" w:color="CFF0F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189,919</w:t>
            </w:r>
          </w:p>
        </w:tc>
        <w:tc>
          <w:tcPr>
            <w:tcW w:w="240" w:type="dxa"/>
            <w:vAlign w:val="bottom"/>
            <w:tcBorders>
              <w:top w:val="single" w:sz="8" w:color="CFF0FC"/>
            </w:tcBorders>
          </w:tcPr>
          <w:p>
            <w:pPr>
              <w:spacing w:after="0"/>
              <w:rPr>
                <w:sz w:val="18"/>
                <w:szCs w:val="18"/>
                <w:color w:val="auto"/>
              </w:rPr>
            </w:pPr>
          </w:p>
        </w:tc>
        <w:tc>
          <w:tcPr>
            <w:tcW w:w="20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7"/>
        </w:trPr>
        <w:tc>
          <w:tcPr>
            <w:tcW w:w="45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Less: accumulated amortzaton</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(16,048 )</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Customer relatonships</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(14,053 )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(10,025 )</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Capitalized development costs</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(27,325 )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Domain Name</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(88 )</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Seat images</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(26 )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22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357</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80" w:type="dxa"/>
            <w:vAlign w:val="bottom"/>
            <w:shd w:val="clear" w:color="auto" w:fill="CFF0FC"/>
          </w:tcPr>
          <w:p>
            <w:pPr>
              <w:ind w:left="120"/>
              <w:spacing w:after="0" w:line="210" w:lineRule="exact"/>
              <w:rPr>
                <w:sz w:val="20"/>
                <w:szCs w:val="20"/>
                <w:color w:val="auto"/>
              </w:rPr>
            </w:pPr>
            <w:r>
              <w:rPr>
                <w:rFonts w:ascii="Calibri" w:cs="Calibri" w:eastAsia="Calibri" w:hAnsi="Calibri"/>
                <w:sz w:val="18"/>
                <w:szCs w:val="18"/>
                <w:b w:val="1"/>
                <w:bCs w:val="1"/>
                <w:color w:val="auto"/>
              </w:rPr>
              <w:t>Total accumulated amortzaton</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b w:val="1"/>
                <w:bCs w:val="1"/>
                <w:color w:val="auto"/>
              </w:rPr>
              <w:t>(67,208 )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Indefnite-lived intangible assets</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Trademarks</w:t>
            </w:r>
          </w:p>
        </w:tc>
        <w:tc>
          <w:tcPr>
            <w:tcW w:w="2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110,538</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(133 )</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Intangible assets – net</w:t>
            </w:r>
          </w:p>
        </w:tc>
        <w:tc>
          <w:tcPr>
            <w:tcW w:w="2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ind w:right="1110"/>
              <w:spacing w:after="0" w:line="210"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233,116</w:t>
            </w:r>
          </w:p>
        </w:tc>
        <w:tc>
          <w:tcPr>
            <w:tcW w:w="2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821"/>
        </w:trPr>
        <w:tc>
          <w:tcPr>
            <w:tcW w:w="4580" w:type="dxa"/>
            <w:vAlign w:val="bottom"/>
          </w:tcPr>
          <w:p>
            <w:pPr>
              <w:spacing w:after="0"/>
              <w:rPr>
                <w:sz w:val="24"/>
                <w:szCs w:val="24"/>
                <w:color w:val="auto"/>
              </w:rPr>
            </w:pPr>
          </w:p>
        </w:tc>
        <w:tc>
          <w:tcPr>
            <w:tcW w:w="2240" w:type="dxa"/>
            <w:vAlign w:val="bottom"/>
          </w:tcPr>
          <w:p>
            <w:pPr>
              <w:jc w:val="right"/>
              <w:ind w:right="1010"/>
              <w:spacing w:after="0"/>
              <w:rPr>
                <w:sz w:val="20"/>
                <w:szCs w:val="20"/>
                <w:color w:val="auto"/>
              </w:rPr>
            </w:pPr>
            <w:r>
              <w:rPr>
                <w:rFonts w:ascii="Calibri" w:cs="Calibri" w:eastAsia="Calibri" w:hAnsi="Calibri"/>
                <w:sz w:val="18"/>
                <w:szCs w:val="18"/>
                <w:color w:val="auto"/>
              </w:rPr>
              <w:t>85</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7"/>
        </w:trPr>
        <w:tc>
          <w:tcPr>
            <w:tcW w:w="45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-3016885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-1070610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-1054100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87" w:name="page88"/>
    <w:bookmarkEnd w:id="8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20" w:type="dxa"/>
            <w:vAlign w:val="bottom"/>
          </w:tcPr>
          <w:p>
            <w:pPr>
              <w:spacing w:after="0"/>
              <w:rPr>
                <w:sz w:val="19"/>
                <w:szCs w:val="19"/>
                <w:color w:val="auto"/>
              </w:rPr>
            </w:pPr>
          </w:p>
        </w:tc>
        <w:tc>
          <w:tcPr>
            <w:tcW w:w="2260" w:type="dxa"/>
            <w:vAlign w:val="bottom"/>
            <w:gridSpan w:val="3"/>
          </w:tcPr>
          <w:p>
            <w:pPr>
              <w:jc w:val="right"/>
              <w:ind w:right="740"/>
              <w:spacing w:after="0"/>
              <w:rPr>
                <w:sz w:val="20"/>
                <w:szCs w:val="20"/>
                <w:color w:val="auto"/>
              </w:rPr>
            </w:pPr>
            <w:r>
              <w:rPr>
                <w:rFonts w:ascii="Calibri" w:cs="Calibri" w:eastAsia="Calibri" w:hAnsi="Calibri"/>
                <w:sz w:val="18"/>
                <w:szCs w:val="18"/>
                <w:b w:val="1"/>
                <w:bCs w:val="1"/>
                <w:color w:val="auto"/>
              </w:rPr>
              <w:t>December 31,</w:t>
            </w:r>
          </w:p>
        </w:tc>
        <w:tc>
          <w:tcPr>
            <w:tcW w:w="2160" w:type="dxa"/>
            <w:vAlign w:val="bottom"/>
            <w:gridSpan w:val="2"/>
          </w:tcPr>
          <w:p>
            <w:pPr>
              <w:jc w:val="center"/>
              <w:ind w:right="100"/>
              <w:spacing w:after="0"/>
              <w:rPr>
                <w:sz w:val="20"/>
                <w:szCs w:val="20"/>
                <w:color w:val="auto"/>
              </w:rPr>
            </w:pPr>
            <w:r>
              <w:rPr>
                <w:rFonts w:ascii="Calibri" w:cs="Calibri" w:eastAsia="Calibri" w:hAnsi="Calibri"/>
                <w:sz w:val="18"/>
                <w:szCs w:val="18"/>
                <w:b w:val="1"/>
                <w:bCs w:val="1"/>
                <w:color w:val="auto"/>
                <w:w w:val="96"/>
              </w:rPr>
              <w:t>Weighted Average</w:t>
            </w:r>
          </w:p>
        </w:tc>
      </w:tr>
      <w:tr>
        <w:trPr>
          <w:trHeight w:val="216"/>
        </w:trPr>
        <w:tc>
          <w:tcPr>
            <w:tcW w:w="6820" w:type="dxa"/>
            <w:vAlign w:val="bottom"/>
          </w:tcPr>
          <w:p>
            <w:pPr>
              <w:spacing w:after="0"/>
              <w:rPr>
                <w:sz w:val="18"/>
                <w:szCs w:val="18"/>
                <w:color w:val="auto"/>
              </w:rPr>
            </w:pPr>
          </w:p>
        </w:tc>
        <w:tc>
          <w:tcPr>
            <w:tcW w:w="1300" w:type="dxa"/>
            <w:vAlign w:val="bottom"/>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20"/>
              <w:spacing w:after="0" w:line="216" w:lineRule="exact"/>
              <w:rPr>
                <w:sz w:val="20"/>
                <w:szCs w:val="20"/>
                <w:color w:val="auto"/>
              </w:rPr>
            </w:pPr>
            <w:r>
              <w:rPr>
                <w:rFonts w:ascii="Calibri" w:cs="Calibri" w:eastAsia="Calibri" w:hAnsi="Calibri"/>
                <w:sz w:val="18"/>
                <w:szCs w:val="18"/>
                <w:b w:val="1"/>
                <w:bCs w:val="1"/>
                <w:color w:val="auto"/>
                <w:w w:val="97"/>
              </w:rPr>
              <w:t>Remaining Life</w:t>
            </w:r>
          </w:p>
        </w:tc>
      </w:tr>
      <w:tr>
        <w:trPr>
          <w:trHeight w:val="23"/>
        </w:trPr>
        <w:tc>
          <w:tcPr>
            <w:tcW w:w="6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8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Defnite-lived intangible assets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1300" w:type="dxa"/>
            <w:vAlign w:val="bottom"/>
          </w:tcPr>
          <w:p>
            <w:pPr>
              <w:jc w:val="right"/>
              <w:ind w:right="111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57,123</w:t>
            </w:r>
          </w:p>
        </w:tc>
        <w:tc>
          <w:tcPr>
            <w:tcW w:w="24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4.1</w:t>
            </w:r>
          </w:p>
        </w:tc>
        <w:tc>
          <w:tcPr>
            <w:tcW w:w="100" w:type="dxa"/>
            <w:vAlign w:val="bottom"/>
          </w:tcPr>
          <w:p>
            <w:pPr>
              <w:spacing w:after="0"/>
              <w:rPr>
                <w:sz w:val="18"/>
                <w:szCs w:val="18"/>
                <w:color w:val="auto"/>
              </w:rPr>
            </w:pPr>
          </w:p>
        </w:tc>
      </w:tr>
      <w:tr>
        <w:trPr>
          <w:trHeight w:val="217"/>
        </w:trPr>
        <w:tc>
          <w:tcPr>
            <w:tcW w:w="68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Customer relatonships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34,620</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w:t>
            </w: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13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29,240</w:t>
            </w:r>
          </w:p>
        </w:tc>
        <w:tc>
          <w:tcPr>
            <w:tcW w:w="240" w:type="dxa"/>
            <w:vAlign w:val="bottom"/>
          </w:tcPr>
          <w:p>
            <w:pPr>
              <w:spacing w:after="0"/>
              <w:rPr>
                <w:sz w:val="18"/>
                <w:szCs w:val="18"/>
                <w:color w:val="auto"/>
              </w:rPr>
            </w:pPr>
          </w:p>
        </w:tc>
        <w:tc>
          <w:tcPr>
            <w:tcW w:w="206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8"/>
                <w:szCs w:val="18"/>
                <w:color w:val="auto"/>
              </w:rPr>
            </w:pPr>
          </w:p>
        </w:tc>
      </w:tr>
      <w:tr>
        <w:trPr>
          <w:trHeight w:val="217"/>
        </w:trPr>
        <w:tc>
          <w:tcPr>
            <w:tcW w:w="68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Capitalized development costs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28,912</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w:t>
            </w: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120"/>
              <w:spacing w:after="0" w:line="215" w:lineRule="exact"/>
              <w:rPr>
                <w:sz w:val="20"/>
                <w:szCs w:val="20"/>
                <w:color w:val="auto"/>
              </w:rPr>
            </w:pPr>
            <w:r>
              <w:rPr>
                <w:rFonts w:ascii="Calibri" w:cs="Calibri" w:eastAsia="Calibri" w:hAnsi="Calibri"/>
                <w:sz w:val="18"/>
                <w:szCs w:val="18"/>
                <w:color w:val="auto"/>
              </w:rPr>
              <w:t>Capitalized development costs – work in progress</w:t>
            </w:r>
          </w:p>
        </w:tc>
        <w:tc>
          <w:tcPr>
            <w:tcW w:w="13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4,795</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Foreign currency translaton adjustment</w:t>
            </w:r>
          </w:p>
        </w:tc>
        <w:tc>
          <w:tcPr>
            <w:tcW w:w="1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1,315</w:t>
            </w:r>
          </w:p>
        </w:tc>
        <w:tc>
          <w:tcPr>
            <w:tcW w:w="24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ind w:left="120"/>
              <w:spacing w:after="0" w:line="209" w:lineRule="exact"/>
              <w:rPr>
                <w:sz w:val="20"/>
                <w:szCs w:val="20"/>
                <w:color w:val="auto"/>
              </w:rPr>
            </w:pPr>
            <w:r>
              <w:rPr>
                <w:rFonts w:ascii="Calibri" w:cs="Calibri" w:eastAsia="Calibri" w:hAnsi="Calibri"/>
                <w:sz w:val="18"/>
                <w:szCs w:val="18"/>
                <w:b w:val="1"/>
                <w:bCs w:val="1"/>
                <w:color w:val="auto"/>
              </w:rPr>
              <w:t>Total gross book value</w:t>
            </w:r>
          </w:p>
        </w:tc>
        <w:tc>
          <w:tcPr>
            <w:tcW w:w="1300" w:type="dxa"/>
            <w:vAlign w:val="bottom"/>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156,005</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Less: accumulated amortzaton</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120"/>
              <w:spacing w:after="0" w:line="215" w:lineRule="exact"/>
              <w:rPr>
                <w:sz w:val="20"/>
                <w:szCs w:val="20"/>
                <w:color w:val="auto"/>
              </w:rPr>
            </w:pPr>
            <w:r>
              <w:rPr>
                <w:rFonts w:ascii="Calibri" w:cs="Calibri" w:eastAsia="Calibri" w:hAnsi="Calibri"/>
                <w:sz w:val="18"/>
                <w:szCs w:val="18"/>
                <w:color w:val="auto"/>
              </w:rPr>
              <w:t>Supplier relatonships</w:t>
            </w:r>
          </w:p>
        </w:tc>
        <w:tc>
          <w:tcPr>
            <w:tcW w:w="1300" w:type="dxa"/>
            <w:vAlign w:val="bottom"/>
          </w:tcPr>
          <w:p>
            <w:pPr>
              <w:spacing w:after="0"/>
              <w:rPr>
                <w:sz w:val="18"/>
                <w:szCs w:val="18"/>
                <w:color w:val="auto"/>
              </w:rPr>
            </w:pPr>
          </w:p>
        </w:tc>
        <w:tc>
          <w:tcPr>
            <w:tcW w:w="9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(2,881 )</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Customer relatonships</w:t>
            </w: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(3,522 )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120"/>
              <w:spacing w:after="0" w:line="215" w:lineRule="exact"/>
              <w:rPr>
                <w:sz w:val="20"/>
                <w:szCs w:val="20"/>
                <w:color w:val="auto"/>
              </w:rPr>
            </w:pPr>
            <w:r>
              <w:rPr>
                <w:rFonts w:ascii="Calibri" w:cs="Calibri" w:eastAsia="Calibri" w:hAnsi="Calibri"/>
                <w:sz w:val="18"/>
                <w:szCs w:val="18"/>
                <w:color w:val="auto"/>
              </w:rPr>
              <w:t>Acquired developed technology</w:t>
            </w:r>
          </w:p>
        </w:tc>
        <w:tc>
          <w:tcPr>
            <w:tcW w:w="1300" w:type="dxa"/>
            <w:vAlign w:val="bottom"/>
          </w:tcPr>
          <w:p>
            <w:pPr>
              <w:spacing w:after="0"/>
              <w:rPr>
                <w:sz w:val="18"/>
                <w:szCs w:val="18"/>
                <w:color w:val="auto"/>
              </w:rPr>
            </w:pPr>
          </w:p>
        </w:tc>
        <w:tc>
          <w:tcPr>
            <w:tcW w:w="9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(2,551 )</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Capitalized development costs</w:t>
            </w: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(16,433 )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1300" w:type="dxa"/>
            <w:vAlign w:val="bottom"/>
          </w:tcPr>
          <w:p>
            <w:pPr>
              <w:spacing w:after="0"/>
              <w:rPr>
                <w:sz w:val="18"/>
                <w:szCs w:val="18"/>
                <w:color w:val="auto"/>
              </w:rPr>
            </w:pPr>
          </w:p>
        </w:tc>
        <w:tc>
          <w:tcPr>
            <w:tcW w:w="9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(97 )</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20" w:type="dxa"/>
            <w:vAlign w:val="bottom"/>
            <w:shd w:val="clear" w:color="auto" w:fill="CFF0FC"/>
          </w:tcPr>
          <w:p>
            <w:pPr>
              <w:ind w:left="120"/>
              <w:spacing w:after="0" w:line="210" w:lineRule="exact"/>
              <w:rPr>
                <w:sz w:val="20"/>
                <w:szCs w:val="20"/>
                <w:color w:val="auto"/>
              </w:rPr>
            </w:pPr>
            <w:r>
              <w:rPr>
                <w:rFonts w:ascii="Calibri" w:cs="Calibri" w:eastAsia="Calibri" w:hAnsi="Calibri"/>
                <w:sz w:val="18"/>
                <w:szCs w:val="18"/>
                <w:b w:val="1"/>
                <w:bCs w:val="1"/>
                <w:color w:val="auto"/>
              </w:rPr>
              <w:t>Total accumulated amortzaton</w:t>
            </w:r>
          </w:p>
        </w:tc>
        <w:tc>
          <w:tcPr>
            <w:tcW w:w="1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b w:val="1"/>
                <w:bCs w:val="1"/>
                <w:color w:val="auto"/>
              </w:rPr>
              <w:t>(25,484 )</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Indefnite-lived intangible assets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Trademarks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110,538</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820" w:type="dxa"/>
            <w:vAlign w:val="bottom"/>
          </w:tcPr>
          <w:p>
            <w:pPr>
              <w:ind w:left="12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8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Intangible assets – net</w:t>
            </w:r>
          </w:p>
        </w:tc>
        <w:tc>
          <w:tcPr>
            <w:tcW w:w="1300" w:type="dxa"/>
            <w:vAlign w:val="bottom"/>
            <w:tcBorders>
              <w:bottom w:val="single" w:sz="8" w:color="auto"/>
            </w:tcBorders>
            <w:shd w:val="clear" w:color="auto" w:fill="CFF0FC"/>
          </w:tcPr>
          <w:p>
            <w:pPr>
              <w:jc w:val="right"/>
              <w:ind w:right="1110"/>
              <w:spacing w:after="0" w:line="210" w:lineRule="exact"/>
              <w:rPr>
                <w:sz w:val="20"/>
                <w:szCs w:val="20"/>
                <w:color w:val="auto"/>
              </w:rPr>
            </w:pPr>
            <w:r>
              <w:rPr>
                <w:rFonts w:ascii="Calibri" w:cs="Calibri" w:eastAsia="Calibri" w:hAnsi="Calibri"/>
                <w:sz w:val="18"/>
                <w:szCs w:val="18"/>
                <w:b w:val="1"/>
                <w:bCs w:val="1"/>
                <w:color w:val="auto"/>
                <w:w w:val="87"/>
              </w:rPr>
              <w:t>$</w:t>
            </w:r>
          </w:p>
        </w:tc>
        <w:tc>
          <w:tcPr>
            <w:tcW w:w="7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241,155</w:t>
            </w:r>
          </w:p>
        </w:tc>
        <w:tc>
          <w:tcPr>
            <w:tcW w:w="2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-1696720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Intangible assets are recorded net of accumulated amortzaton (for defnite-lived components) and impairment (for indefnite-lived components). We recognized $78.7 million of cumulatve impairment charges related to our trademarks as of December 31, 2024 and 2023.</w:t>
      </w:r>
    </w:p>
    <w:p>
      <w:pPr>
        <w:spacing w:after="0" w:line="110"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1D1C1D"/>
        </w:rPr>
        <w:t xml:space="preserve">On October 22, 2024, we acquired a domain name that we had previously licensed (the </w:t>
      </w:r>
      <w:r>
        <w:rPr>
          <w:rFonts w:ascii="Calibri" w:cs="Calibri" w:eastAsia="Calibri" w:hAnsi="Calibri"/>
          <w:sz w:val="17"/>
          <w:szCs w:val="17"/>
          <w:color w:val="000000"/>
        </w:rPr>
        <w:t>“</w:t>
      </w:r>
      <w:r>
        <w:rPr>
          <w:rFonts w:ascii="Calibri" w:cs="Calibri" w:eastAsia="Calibri" w:hAnsi="Calibri"/>
          <w:sz w:val="17"/>
          <w:szCs w:val="17"/>
          <w:color w:val="1D1C1D"/>
        </w:rPr>
        <w:t>Acquired Domain Name</w:t>
      </w:r>
      <w:r>
        <w:rPr>
          <w:rFonts w:ascii="Calibri" w:cs="Calibri" w:eastAsia="Calibri" w:hAnsi="Calibri"/>
          <w:sz w:val="17"/>
          <w:szCs w:val="17"/>
          <w:color w:val="000000"/>
        </w:rPr>
        <w:t>”</w:t>
      </w:r>
      <w:r>
        <w:rPr>
          <w:rFonts w:ascii="Calibri" w:cs="Calibri" w:eastAsia="Calibri" w:hAnsi="Calibri"/>
          <w:sz w:val="17"/>
          <w:szCs w:val="17"/>
          <w:color w:val="1D1C1D"/>
        </w:rPr>
        <w:t xml:space="preserve">). In exchange for the Acquired Domain Name, we are required to disburse monthly interest-free cash payments totaling $31.4 million through June 2040 (the </w:t>
      </w:r>
      <w:r>
        <w:rPr>
          <w:rFonts w:ascii="Calibri" w:cs="Calibri" w:eastAsia="Calibri" w:hAnsi="Calibri"/>
          <w:sz w:val="17"/>
          <w:szCs w:val="17"/>
          <w:color w:val="000000"/>
        </w:rPr>
        <w:t>“</w:t>
      </w:r>
      <w:r>
        <w:rPr>
          <w:rFonts w:ascii="Calibri" w:cs="Calibri" w:eastAsia="Calibri" w:hAnsi="Calibri"/>
          <w:sz w:val="17"/>
          <w:szCs w:val="17"/>
          <w:color w:val="1D1C1D"/>
        </w:rPr>
        <w:t>Acquired Domain Name Obligaton</w:t>
      </w:r>
      <w:r>
        <w:rPr>
          <w:rFonts w:ascii="Calibri" w:cs="Calibri" w:eastAsia="Calibri" w:hAnsi="Calibri"/>
          <w:sz w:val="17"/>
          <w:szCs w:val="17"/>
          <w:color w:val="000000"/>
        </w:rPr>
        <w:t>”</w:t>
      </w:r>
      <w:r>
        <w:rPr>
          <w:rFonts w:ascii="Calibri" w:cs="Calibri" w:eastAsia="Calibri" w:hAnsi="Calibri"/>
          <w:sz w:val="17"/>
          <w:szCs w:val="17"/>
          <w:color w:val="1D1C1D"/>
        </w:rPr>
        <w:t>).</w:t>
      </w:r>
    </w:p>
    <w:p>
      <w:pPr>
        <w:spacing w:after="0" w:line="9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1D1C1D"/>
        </w:rPr>
        <w:t xml:space="preserve">We account for the Acquired Domain Name as a defnite-lived intangible asset under ASC Topic 350, </w:t>
      </w:r>
      <w:r>
        <w:rPr>
          <w:rFonts w:ascii="Calibri" w:cs="Calibri" w:eastAsia="Calibri" w:hAnsi="Calibri"/>
          <w:sz w:val="17"/>
          <w:szCs w:val="17"/>
          <w:i w:val="1"/>
          <w:iCs w:val="1"/>
          <w:color w:val="1D1C1D"/>
        </w:rPr>
        <w:t>Intangibles—Goodwill and Other</w:t>
      </w:r>
      <w:r>
        <w:rPr>
          <w:rFonts w:ascii="Calibri" w:cs="Calibri" w:eastAsia="Calibri" w:hAnsi="Calibri"/>
          <w:sz w:val="17"/>
          <w:szCs w:val="17"/>
          <w:color w:val="1D1C1D"/>
        </w:rPr>
        <w:t xml:space="preserve">. The acquisiton cost of the Acquired Domain Name was $17.3 million, which will be amortzed over a period of 15.6 years (the </w:t>
      </w:r>
      <w:r>
        <w:rPr>
          <w:rFonts w:ascii="Calibri" w:cs="Calibri" w:eastAsia="Calibri" w:hAnsi="Calibri"/>
          <w:sz w:val="17"/>
          <w:szCs w:val="17"/>
          <w:color w:val="000000"/>
        </w:rPr>
        <w:t>“</w:t>
      </w:r>
      <w:r>
        <w:rPr>
          <w:rFonts w:ascii="Calibri" w:cs="Calibri" w:eastAsia="Calibri" w:hAnsi="Calibri"/>
          <w:sz w:val="17"/>
          <w:szCs w:val="17"/>
          <w:color w:val="1D1C1D"/>
        </w:rPr>
        <w:t>Acquired Domain Name Term</w:t>
      </w:r>
      <w:r>
        <w:rPr>
          <w:rFonts w:ascii="Calibri" w:cs="Calibri" w:eastAsia="Calibri" w:hAnsi="Calibri"/>
          <w:sz w:val="17"/>
          <w:szCs w:val="17"/>
          <w:color w:val="000000"/>
        </w:rPr>
        <w:t>”</w:t>
      </w:r>
      <w:r>
        <w:rPr>
          <w:rFonts w:ascii="Calibri" w:cs="Calibri" w:eastAsia="Calibri" w:hAnsi="Calibri"/>
          <w:sz w:val="17"/>
          <w:szCs w:val="17"/>
          <w:color w:val="1D1C1D"/>
        </w:rPr>
        <w:t xml:space="preserve">). As of </w:t>
      </w:r>
      <w:r>
        <w:rPr>
          <w:rFonts w:ascii="Calibri" w:cs="Calibri" w:eastAsia="Calibri" w:hAnsi="Calibri"/>
          <w:sz w:val="17"/>
          <w:szCs w:val="17"/>
          <w:color w:val="000000"/>
        </w:rPr>
        <w:t>December 31,</w:t>
      </w:r>
      <w:r>
        <w:rPr>
          <w:rFonts w:ascii="Calibri" w:cs="Calibri" w:eastAsia="Calibri" w:hAnsi="Calibri"/>
          <w:sz w:val="17"/>
          <w:szCs w:val="17"/>
          <w:color w:val="1D1C1D"/>
        </w:rPr>
        <w:t xml:space="preserve"> </w:t>
      </w:r>
      <w:r>
        <w:rPr>
          <w:rFonts w:ascii="Calibri" w:cs="Calibri" w:eastAsia="Calibri" w:hAnsi="Calibri"/>
          <w:sz w:val="17"/>
          <w:szCs w:val="17"/>
          <w:color w:val="000000"/>
        </w:rPr>
        <w:t xml:space="preserve">2024, the </w:t>
      </w:r>
      <w:r>
        <w:rPr>
          <w:rFonts w:ascii="Calibri" w:cs="Calibri" w:eastAsia="Calibri" w:hAnsi="Calibri"/>
          <w:sz w:val="17"/>
          <w:szCs w:val="17"/>
          <w:color w:val="1D1C1D"/>
        </w:rPr>
        <w:t>Acquired Domain Name</w:t>
      </w:r>
      <w:r>
        <w:rPr>
          <w:rFonts w:ascii="Calibri" w:cs="Calibri" w:eastAsia="Calibri" w:hAnsi="Calibri"/>
          <w:sz w:val="17"/>
          <w:szCs w:val="17"/>
          <w:color w:val="000000"/>
        </w:rPr>
        <w:t xml:space="preserve"> had a carrying value of $17.3 million, which is recorded in Intangible assets – net in the Consolidated Balance Sheets.</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1D1C1D"/>
        </w:rPr>
        <w:t xml:space="preserve">We account for the Acquired Domain Name Obligaton as a liability for which we will accrue interest over the Acquired Domain Name Term at an efectve interest rate of 8.6% per annum. As of </w:t>
      </w:r>
      <w:r>
        <w:rPr>
          <w:rFonts w:ascii="Calibri" w:cs="Calibri" w:eastAsia="Calibri" w:hAnsi="Calibri"/>
          <w:sz w:val="18"/>
          <w:szCs w:val="18"/>
          <w:color w:val="000000"/>
        </w:rPr>
        <w:t>December 31, 2024,</w:t>
      </w:r>
      <w:r>
        <w:rPr>
          <w:rFonts w:ascii="Calibri" w:cs="Calibri" w:eastAsia="Calibri" w:hAnsi="Calibri"/>
          <w:sz w:val="18"/>
          <w:szCs w:val="18"/>
          <w:color w:val="1D1C1D"/>
        </w:rPr>
        <w:t xml:space="preserve"> the Acquired Domain Name Obligaton had a carrying value of $17.2 million, $0.6 million of which is recorded in Accrued expenses and other current liabilites in the Consolidated Balance Sheets. The remaining $16.6 million is recorded in Other liabilites in the Consolidated Balance Sheets. During the year ended December 31, 2024, we incurred $0.2 million of interest for the Acquired Domain Name Obligaton, which is recorded in Interest expense – net in the Consolidated Statements of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2024, our intangible assets increased primarily as a result of our investments in the Acquired Domain Name and other various capitalized development costs. Amortzaton expense on our defnite-lived intangible assets was $42.4 million, $15.7 million, and $7.1 million for the years ended December 31, 2024, 2023, and 2022, respectvely, which is recorded in Depreciaton and amortzaton in the Consolidated Statements of Operatons. During the years ended December 31, 2024, 2023, and 2022, we incurred losses of $0.2 million, $0.6 million, and $0.3 million, respectvely, on asset disposals related to our defnite-lived intangible assets, which are recorded in General and administratve expenses in the Consolidated Statements of Operatons.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8" w:name="page89"/>
    <w:bookmarkEnd w:id="8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auto"/>
        </w:rPr>
        <w:t>The estmated future amortzaton expense related to our defnite-lived intangible assets (other than work in progress capitalized development costs) at</w:t>
      </w:r>
    </w:p>
    <w:p>
      <w:pPr>
        <w:spacing w:after="0" w:line="235" w:lineRule="auto"/>
        <w:rPr>
          <w:sz w:val="20"/>
          <w:szCs w:val="20"/>
          <w:color w:val="auto"/>
        </w:rPr>
      </w:pPr>
      <w:r>
        <w:rPr>
          <w:rFonts w:ascii="Calibri" w:cs="Calibri" w:eastAsia="Calibri" w:hAnsi="Calibri"/>
          <w:sz w:val="18"/>
          <w:szCs w:val="18"/>
          <w:color w:val="auto"/>
        </w:rPr>
        <w:t>December 31, 2024 is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60" w:type="dxa"/>
            <w:vAlign w:val="bottom"/>
            <w:gridSpan w:val="2"/>
          </w:tcPr>
          <w:p>
            <w:pPr>
              <w:ind w:left="580"/>
              <w:spacing w:after="0"/>
              <w:rPr>
                <w:sz w:val="20"/>
                <w:szCs w:val="20"/>
                <w:color w:val="auto"/>
              </w:rPr>
            </w:pPr>
            <w:r>
              <w:rPr>
                <w:rFonts w:ascii="Calibri" w:cs="Calibri" w:eastAsia="Calibri" w:hAnsi="Calibri"/>
                <w:sz w:val="18"/>
                <w:szCs w:val="18"/>
                <w:b w:val="1"/>
                <w:bCs w:val="1"/>
                <w:color w:val="auto"/>
              </w:rPr>
              <w:t>Defnite-Lived Intangible Assets</w:t>
            </w:r>
          </w:p>
        </w:tc>
      </w:tr>
      <w:tr>
        <w:trPr>
          <w:trHeight w:val="23"/>
        </w:trPr>
        <w:tc>
          <w:tcPr>
            <w:tcW w:w="63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3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2025</w:t>
            </w:r>
          </w:p>
        </w:tc>
        <w:tc>
          <w:tcPr>
            <w:tcW w:w="680" w:type="dxa"/>
            <w:vAlign w:val="bottom"/>
            <w:shd w:val="clear" w:color="auto" w:fill="CFF0FC"/>
          </w:tcPr>
          <w:p>
            <w:pPr>
              <w:jc w:val="right"/>
              <w:ind w:right="490"/>
              <w:spacing w:after="0" w:line="209" w:lineRule="exact"/>
              <w:rPr>
                <w:sz w:val="20"/>
                <w:szCs w:val="20"/>
                <w:color w:val="auto"/>
              </w:rPr>
            </w:pPr>
            <w:r>
              <w:rPr>
                <w:rFonts w:ascii="Calibri" w:cs="Calibri" w:eastAsia="Calibri" w:hAnsi="Calibri"/>
                <w:sz w:val="18"/>
                <w:szCs w:val="18"/>
                <w:color w:val="auto"/>
                <w:w w:val="87"/>
              </w:rPr>
              <w:t>$</w:t>
            </w:r>
          </w:p>
        </w:tc>
        <w:tc>
          <w:tcPr>
            <w:tcW w:w="41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41,753</w:t>
            </w:r>
          </w:p>
        </w:tc>
        <w:tc>
          <w:tcPr>
            <w:tcW w:w="100" w:type="dxa"/>
            <w:vAlign w:val="bottom"/>
            <w:shd w:val="clear" w:color="auto" w:fill="CFF0FC"/>
          </w:tcPr>
          <w:p>
            <w:pPr>
              <w:spacing w:after="0"/>
              <w:rPr>
                <w:sz w:val="18"/>
                <w:szCs w:val="18"/>
                <w:color w:val="auto"/>
              </w:rPr>
            </w:pPr>
          </w:p>
        </w:tc>
      </w:tr>
      <w:tr>
        <w:trPr>
          <w:trHeight w:val="215"/>
        </w:trPr>
        <w:tc>
          <w:tcPr>
            <w:tcW w:w="630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680" w:type="dxa"/>
            <w:vAlign w:val="bottom"/>
          </w:tcPr>
          <w:p>
            <w:pPr>
              <w:spacing w:after="0"/>
              <w:rPr>
                <w:sz w:val="18"/>
                <w:szCs w:val="18"/>
                <w:color w:val="auto"/>
              </w:rPr>
            </w:pPr>
          </w:p>
        </w:tc>
        <w:tc>
          <w:tcPr>
            <w:tcW w:w="4160" w:type="dxa"/>
            <w:vAlign w:val="bottom"/>
          </w:tcPr>
          <w:p>
            <w:pPr>
              <w:jc w:val="right"/>
              <w:spacing w:after="0" w:line="215" w:lineRule="exact"/>
              <w:rPr>
                <w:sz w:val="20"/>
                <w:szCs w:val="20"/>
                <w:color w:val="auto"/>
              </w:rPr>
            </w:pPr>
            <w:r>
              <w:rPr>
                <w:rFonts w:ascii="Calibri" w:cs="Calibri" w:eastAsia="Calibri" w:hAnsi="Calibri"/>
                <w:sz w:val="18"/>
                <w:szCs w:val="18"/>
                <w:color w:val="auto"/>
              </w:rPr>
              <w:t>36,368</w:t>
            </w:r>
          </w:p>
        </w:tc>
        <w:tc>
          <w:tcPr>
            <w:tcW w:w="100" w:type="dxa"/>
            <w:vAlign w:val="bottom"/>
          </w:tcPr>
          <w:p>
            <w:pPr>
              <w:spacing w:after="0"/>
              <w:rPr>
                <w:sz w:val="18"/>
                <w:szCs w:val="18"/>
                <w:color w:val="auto"/>
              </w:rPr>
            </w:pPr>
          </w:p>
        </w:tc>
      </w:tr>
      <w:tr>
        <w:trPr>
          <w:trHeight w:val="217"/>
        </w:trPr>
        <w:tc>
          <w:tcPr>
            <w:tcW w:w="63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68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19,916</w:t>
            </w:r>
          </w:p>
        </w:tc>
        <w:tc>
          <w:tcPr>
            <w:tcW w:w="100" w:type="dxa"/>
            <w:vAlign w:val="bottom"/>
            <w:shd w:val="clear" w:color="auto" w:fill="CFF0FC"/>
          </w:tcPr>
          <w:p>
            <w:pPr>
              <w:spacing w:after="0"/>
              <w:rPr>
                <w:sz w:val="18"/>
                <w:szCs w:val="18"/>
                <w:color w:val="auto"/>
              </w:rPr>
            </w:pPr>
          </w:p>
        </w:tc>
      </w:tr>
      <w:tr>
        <w:trPr>
          <w:trHeight w:val="215"/>
        </w:trPr>
        <w:tc>
          <w:tcPr>
            <w:tcW w:w="630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680" w:type="dxa"/>
            <w:vAlign w:val="bottom"/>
          </w:tcPr>
          <w:p>
            <w:pPr>
              <w:spacing w:after="0"/>
              <w:rPr>
                <w:sz w:val="18"/>
                <w:szCs w:val="18"/>
                <w:color w:val="auto"/>
              </w:rPr>
            </w:pPr>
          </w:p>
        </w:tc>
        <w:tc>
          <w:tcPr>
            <w:tcW w:w="4160" w:type="dxa"/>
            <w:vAlign w:val="bottom"/>
          </w:tcPr>
          <w:p>
            <w:pPr>
              <w:jc w:val="right"/>
              <w:spacing w:after="0" w:line="215" w:lineRule="exact"/>
              <w:rPr>
                <w:sz w:val="20"/>
                <w:szCs w:val="20"/>
                <w:color w:val="auto"/>
              </w:rPr>
            </w:pPr>
            <w:r>
              <w:rPr>
                <w:rFonts w:ascii="Calibri" w:cs="Calibri" w:eastAsia="Calibri" w:hAnsi="Calibri"/>
                <w:sz w:val="18"/>
                <w:szCs w:val="18"/>
                <w:color w:val="auto"/>
              </w:rPr>
              <w:t>3,202</w:t>
            </w:r>
          </w:p>
        </w:tc>
        <w:tc>
          <w:tcPr>
            <w:tcW w:w="100" w:type="dxa"/>
            <w:vAlign w:val="bottom"/>
          </w:tcPr>
          <w:p>
            <w:pPr>
              <w:spacing w:after="0"/>
              <w:rPr>
                <w:sz w:val="18"/>
                <w:szCs w:val="18"/>
                <w:color w:val="auto"/>
              </w:rPr>
            </w:pPr>
          </w:p>
        </w:tc>
      </w:tr>
      <w:tr>
        <w:trPr>
          <w:trHeight w:val="217"/>
        </w:trPr>
        <w:tc>
          <w:tcPr>
            <w:tcW w:w="63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68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780</w:t>
            </w:r>
          </w:p>
        </w:tc>
        <w:tc>
          <w:tcPr>
            <w:tcW w:w="100" w:type="dxa"/>
            <w:vAlign w:val="bottom"/>
            <w:shd w:val="clear" w:color="auto" w:fill="CFF0FC"/>
          </w:tcPr>
          <w:p>
            <w:pPr>
              <w:spacing w:after="0"/>
              <w:rPr>
                <w:sz w:val="18"/>
                <w:szCs w:val="18"/>
                <w:color w:val="auto"/>
              </w:rPr>
            </w:pPr>
          </w:p>
        </w:tc>
      </w:tr>
      <w:tr>
        <w:trPr>
          <w:trHeight w:val="215"/>
        </w:trPr>
        <w:tc>
          <w:tcPr>
            <w:tcW w:w="630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68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13,853</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Estmated future amortzaton expense</w:t>
            </w:r>
          </w:p>
        </w:tc>
        <w:tc>
          <w:tcPr>
            <w:tcW w:w="680" w:type="dxa"/>
            <w:vAlign w:val="bottom"/>
            <w:tcBorders>
              <w:bottom w:val="single" w:sz="8" w:color="auto"/>
            </w:tcBorders>
            <w:shd w:val="clear" w:color="auto" w:fill="CFF0FC"/>
          </w:tcPr>
          <w:p>
            <w:pPr>
              <w:jc w:val="right"/>
              <w:ind w:right="490"/>
              <w:spacing w:after="0" w:line="210" w:lineRule="exact"/>
              <w:rPr>
                <w:sz w:val="20"/>
                <w:szCs w:val="20"/>
                <w:color w:val="auto"/>
              </w:rPr>
            </w:pPr>
            <w:r>
              <w:rPr>
                <w:rFonts w:ascii="Calibri" w:cs="Calibri" w:eastAsia="Calibri" w:hAnsi="Calibri"/>
                <w:sz w:val="18"/>
                <w:szCs w:val="18"/>
                <w:b w:val="1"/>
                <w:bCs w:val="1"/>
                <w:color w:val="auto"/>
                <w:w w:val="87"/>
              </w:rPr>
              <w:t>$</w:t>
            </w:r>
          </w:p>
        </w:tc>
        <w:tc>
          <w:tcPr>
            <w:tcW w:w="41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115,872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Investments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July 2023, we invested $6.0 million in a privately held company in the form of a convertble promissory note (the “Note”) and a warrant to purchase up to 1,874,933 shares of the company’s stock (the “Warrant”). Interest on the Note accrues at 8.0% per annum and outstanding principal and accrued interest is due and payable at the earlier of July 3, 2030 or a change in control of the company. The Warrant is exercisable untl the date three years afer the Note is repaid, subject to certain acceleratng events.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account for the Note in accordance with ASC Topic 320, </w:t>
      </w:r>
      <w:r>
        <w:rPr>
          <w:rFonts w:ascii="Calibri" w:cs="Calibri" w:eastAsia="Calibri" w:hAnsi="Calibri"/>
          <w:sz w:val="18"/>
          <w:szCs w:val="18"/>
          <w:i w:val="1"/>
          <w:iCs w:val="1"/>
          <w:color w:val="auto"/>
        </w:rPr>
        <w:t>Investments – Debt and Equity Securites</w:t>
      </w:r>
      <w:r>
        <w:rPr>
          <w:rFonts w:ascii="Calibri" w:cs="Calibri" w:eastAsia="Calibri" w:hAnsi="Calibri"/>
          <w:sz w:val="18"/>
          <w:szCs w:val="18"/>
          <w:color w:val="auto"/>
        </w:rPr>
        <w:t>. The Note is classifed as an available-for-sale security and is recorded at fair value with the change in unrealized gains and losses recorded as a separate component in the Consolidated Statements of Comprehensive Income untl realized. The Note’s unrealized gain for the years ended December 31, 2024 and 2023 was $0.1 million and $0.2 million, respectvely. The Note’s amortzed cost was $3.0 million and $2.7 million at December 31, 2024 and 2023, respectvely. We did not recognize any credit losses related to the Note during the years ended December 31, 2024 and 2023.</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the Warrant in accordance with ASC 815, pursuant to which we record the derivatve instrument in the Consolidated Balance Sheets at fair value with changes in fair value recorded in Other income – net in the Consolidated Statements of Operatons on a recurring basis. The classifcaton of the derivatve instrument, including whether it should be recorded as an asset or a liability, is evaluated at the end of each reportng period.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measure our investments in accordance with ASC 820, pursuant to which we disclose fair values as Level 1, Level 2, or Level 3 based on the fair value hierarchy.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Investments recorded at fair value on a recurring basis as of December 31, 2024 and 2023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4"/>
          </w:tcPr>
          <w:p>
            <w:pPr>
              <w:jc w:val="right"/>
              <w:ind w:right="150"/>
              <w:spacing w:after="0"/>
              <w:rPr>
                <w:sz w:val="20"/>
                <w:szCs w:val="20"/>
                <w:color w:val="auto"/>
              </w:rPr>
            </w:pPr>
            <w:r>
              <w:rPr>
                <w:rFonts w:ascii="Calibri" w:cs="Calibri" w:eastAsia="Calibri" w:hAnsi="Calibri"/>
                <w:sz w:val="18"/>
                <w:szCs w:val="18"/>
                <w:b w:val="1"/>
                <w:bCs w:val="1"/>
                <w:color w:val="auto"/>
              </w:rPr>
              <w:t>Fair Value Measurements Using</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34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rPr>
              <w:t>Level 1</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Level 3</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line="209" w:lineRule="exact"/>
              <w:rPr>
                <w:sz w:val="20"/>
                <w:szCs w:val="20"/>
                <w:color w:val="auto"/>
              </w:rPr>
            </w:pPr>
            <w:r>
              <w:rPr>
                <w:rFonts w:ascii="Calibri" w:cs="Calibri" w:eastAsia="Calibri" w:hAnsi="Calibri"/>
                <w:sz w:val="18"/>
                <w:szCs w:val="18"/>
                <w:b w:val="1"/>
                <w:bCs w:val="1"/>
                <w:color w:val="auto"/>
              </w:rPr>
              <w:t>Total</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December 31, 2024</w:t>
            </w: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line="215" w:lineRule="exact"/>
              <w:rPr>
                <w:sz w:val="20"/>
                <w:szCs w:val="20"/>
                <w:color w:val="auto"/>
              </w:rPr>
            </w:pPr>
            <w:r>
              <w:rPr>
                <w:rFonts w:ascii="Calibri" w:cs="Calibri" w:eastAsia="Calibri" w:hAnsi="Calibri"/>
                <w:sz w:val="18"/>
                <w:szCs w:val="18"/>
                <w:color w:val="auto"/>
              </w:rPr>
              <w:t>Note</w:t>
            </w:r>
          </w:p>
        </w:tc>
        <w:tc>
          <w:tcPr>
            <w:tcW w:w="1340" w:type="dxa"/>
            <w:vAlign w:val="bottom"/>
          </w:tcPr>
          <w:p>
            <w:pPr>
              <w:jc w:val="right"/>
              <w:ind w:right="115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Pr>
          <w:p>
            <w:pPr>
              <w:ind w:left="220"/>
              <w:spacing w:after="0" w:line="215" w:lineRule="exact"/>
              <w:rPr>
                <w:sz w:val="20"/>
                <w:szCs w:val="20"/>
                <w:color w:val="auto"/>
              </w:rPr>
            </w:pPr>
            <w:r>
              <w:rPr>
                <w:rFonts w:ascii="Calibri" w:cs="Calibri" w:eastAsia="Calibri" w:hAnsi="Calibri"/>
                <w:sz w:val="18"/>
                <w:szCs w:val="18"/>
                <w:color w:val="auto"/>
                <w:w w:val="97"/>
              </w:rPr>
              <w:t>—</w:t>
            </w:r>
          </w:p>
        </w:tc>
        <w:tc>
          <w:tcPr>
            <w:tcW w:w="1680" w:type="dxa"/>
            <w:vAlign w:val="bottom"/>
            <w:gridSpan w:val="2"/>
          </w:tcPr>
          <w:p>
            <w:pPr>
              <w:jc w:val="right"/>
              <w:ind w:right="115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ind w:left="220"/>
              <w:spacing w:after="0" w:line="215" w:lineRule="exact"/>
              <w:rPr>
                <w:sz w:val="20"/>
                <w:szCs w:val="20"/>
                <w:color w:val="auto"/>
              </w:rPr>
            </w:pPr>
            <w:r>
              <w:rPr>
                <w:rFonts w:ascii="Calibri" w:cs="Calibri" w:eastAsia="Calibri" w:hAnsi="Calibri"/>
                <w:sz w:val="18"/>
                <w:szCs w:val="18"/>
                <w:color w:val="auto"/>
                <w:w w:val="97"/>
              </w:rPr>
              <w:t>—</w:t>
            </w:r>
          </w:p>
        </w:tc>
        <w:tc>
          <w:tcPr>
            <w:tcW w:w="1560" w:type="dxa"/>
            <w:vAlign w:val="bottom"/>
            <w:gridSpan w:val="2"/>
          </w:tcPr>
          <w:p>
            <w:pPr>
              <w:jc w:val="right"/>
              <w:ind w:right="103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3,604</w:t>
            </w:r>
          </w:p>
        </w:tc>
        <w:tc>
          <w:tcPr>
            <w:tcW w:w="7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Warrant</w:t>
            </w:r>
          </w:p>
        </w:tc>
        <w:tc>
          <w:tcPr>
            <w:tcW w:w="13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20"/>
              <w:spacing w:after="0" w:line="216"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20"/>
              <w:spacing w:after="0" w:line="216"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3,325</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340" w:type="dxa"/>
            <w:vAlign w:val="bottom"/>
            <w:tcBorders>
              <w:bottom w:val="single" w:sz="8" w:color="auto"/>
            </w:tcBorders>
          </w:tcPr>
          <w:p>
            <w:pPr>
              <w:jc w:val="right"/>
              <w:ind w:right="1150"/>
              <w:spacing w:after="0" w:line="209" w:lineRule="exact"/>
              <w:rPr>
                <w:sz w:val="20"/>
                <w:szCs w:val="20"/>
                <w:color w:val="auto"/>
              </w:rPr>
            </w:pPr>
            <w:r>
              <w:rPr>
                <w:rFonts w:ascii="Calibri" w:cs="Calibri" w:eastAsia="Calibri" w:hAnsi="Calibri"/>
                <w:sz w:val="18"/>
                <w:szCs w:val="18"/>
                <w:b w:val="1"/>
                <w:bCs w:val="1"/>
                <w:color w:val="auto"/>
                <w:w w:val="87"/>
              </w:rPr>
              <w:t>$</w:t>
            </w:r>
          </w:p>
        </w:tc>
        <w:tc>
          <w:tcPr>
            <w:tcW w:w="400" w:type="dxa"/>
            <w:vAlign w:val="bottom"/>
            <w:tcBorders>
              <w:bottom w:val="single" w:sz="8" w:color="auto"/>
            </w:tcBorders>
          </w:tcPr>
          <w:p>
            <w:pPr>
              <w:ind w:left="220"/>
              <w:spacing w:after="0" w:line="209" w:lineRule="exact"/>
              <w:rPr>
                <w:sz w:val="20"/>
                <w:szCs w:val="20"/>
                <w:color w:val="auto"/>
              </w:rPr>
            </w:pPr>
            <w:r>
              <w:rPr>
                <w:rFonts w:ascii="Calibri" w:cs="Calibri" w:eastAsia="Calibri" w:hAnsi="Calibri"/>
                <w:sz w:val="18"/>
                <w:szCs w:val="18"/>
                <w:b w:val="1"/>
                <w:bCs w:val="1"/>
                <w:color w:val="auto"/>
                <w:w w:val="97"/>
              </w:rPr>
              <w:t>—</w:t>
            </w: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ind w:right="1150"/>
              <w:spacing w:after="0" w:line="209" w:lineRule="exact"/>
              <w:rPr>
                <w:sz w:val="20"/>
                <w:szCs w:val="20"/>
                <w:color w:val="auto"/>
              </w:rPr>
            </w:pPr>
            <w:r>
              <w:rPr>
                <w:rFonts w:ascii="Calibri" w:cs="Calibri" w:eastAsia="Calibri" w:hAnsi="Calibri"/>
                <w:sz w:val="18"/>
                <w:szCs w:val="18"/>
                <w:b w:val="1"/>
                <w:bCs w:val="1"/>
                <w:color w:val="auto"/>
                <w:w w:val="87"/>
              </w:rPr>
              <w:t>$</w:t>
            </w:r>
          </w:p>
        </w:tc>
        <w:tc>
          <w:tcPr>
            <w:tcW w:w="400" w:type="dxa"/>
            <w:vAlign w:val="bottom"/>
            <w:tcBorders>
              <w:bottom w:val="single" w:sz="8" w:color="auto"/>
            </w:tcBorders>
          </w:tcPr>
          <w:p>
            <w:pPr>
              <w:ind w:left="220"/>
              <w:spacing w:after="0" w:line="209" w:lineRule="exact"/>
              <w:rPr>
                <w:sz w:val="20"/>
                <w:szCs w:val="20"/>
                <w:color w:val="auto"/>
              </w:rPr>
            </w:pPr>
            <w:r>
              <w:rPr>
                <w:rFonts w:ascii="Calibri" w:cs="Calibri" w:eastAsia="Calibri" w:hAnsi="Calibri"/>
                <w:sz w:val="18"/>
                <w:szCs w:val="18"/>
                <w:b w:val="1"/>
                <w:bCs w:val="1"/>
                <w:color w:val="auto"/>
                <w:w w:val="97"/>
              </w:rPr>
              <w:t>—</w:t>
            </w:r>
          </w:p>
        </w:tc>
        <w:tc>
          <w:tcPr>
            <w:tcW w:w="340" w:type="dxa"/>
            <w:vAlign w:val="bottom"/>
          </w:tcPr>
          <w:p>
            <w:pPr>
              <w:spacing w:after="0"/>
              <w:rPr>
                <w:sz w:val="18"/>
                <w:szCs w:val="18"/>
                <w:color w:val="auto"/>
              </w:rPr>
            </w:pPr>
          </w:p>
        </w:tc>
        <w:tc>
          <w:tcPr>
            <w:tcW w:w="1220" w:type="dxa"/>
            <w:vAlign w:val="bottom"/>
            <w:tcBorders>
              <w:bottom w:val="single" w:sz="8" w:color="auto"/>
            </w:tcBorders>
          </w:tcPr>
          <w:p>
            <w:pPr>
              <w:jc w:val="right"/>
              <w:ind w:right="1030"/>
              <w:spacing w:after="0" w:line="209" w:lineRule="exact"/>
              <w:rPr>
                <w:sz w:val="20"/>
                <w:szCs w:val="20"/>
                <w:color w:val="auto"/>
              </w:rPr>
            </w:pPr>
            <w:r>
              <w:rPr>
                <w:rFonts w:ascii="Calibri" w:cs="Calibri" w:eastAsia="Calibri" w:hAnsi="Calibri"/>
                <w:sz w:val="18"/>
                <w:szCs w:val="18"/>
                <w:b w:val="1"/>
                <w:bCs w:val="1"/>
                <w:color w:val="auto"/>
                <w:w w:val="87"/>
              </w:rPr>
              <w:t>$</w:t>
            </w:r>
          </w:p>
        </w:tc>
        <w:tc>
          <w:tcPr>
            <w:tcW w:w="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6,929</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b w:val="1"/>
                <w:bCs w:val="1"/>
                <w:color w:val="auto"/>
                <w:w w:val="87"/>
              </w:rPr>
              <w:t>$</w:t>
            </w:r>
          </w:p>
        </w:tc>
        <w:tc>
          <w:tcPr>
            <w:tcW w:w="13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6,929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4"/>
          </w:tcPr>
          <w:p>
            <w:pPr>
              <w:jc w:val="right"/>
              <w:ind w:right="150"/>
              <w:spacing w:after="0"/>
              <w:rPr>
                <w:sz w:val="20"/>
                <w:szCs w:val="20"/>
                <w:color w:val="auto"/>
              </w:rPr>
            </w:pPr>
            <w:r>
              <w:rPr>
                <w:rFonts w:ascii="Calibri" w:cs="Calibri" w:eastAsia="Calibri" w:hAnsi="Calibri"/>
                <w:sz w:val="18"/>
                <w:szCs w:val="18"/>
                <w:b w:val="1"/>
                <w:bCs w:val="1"/>
                <w:color w:val="auto"/>
              </w:rPr>
              <w:t>Fair Value Measurements Using</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34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rPr>
              <w:t>Level 1</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Level 3</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line="209" w:lineRule="exact"/>
              <w:rPr>
                <w:sz w:val="20"/>
                <w:szCs w:val="20"/>
                <w:color w:val="auto"/>
              </w:rPr>
            </w:pPr>
            <w:r>
              <w:rPr>
                <w:rFonts w:ascii="Calibri" w:cs="Calibri" w:eastAsia="Calibri" w:hAnsi="Calibri"/>
                <w:sz w:val="18"/>
                <w:szCs w:val="18"/>
                <w:b w:val="1"/>
                <w:bCs w:val="1"/>
                <w:color w:val="auto"/>
              </w:rPr>
              <w:t>Total</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December 31, 2023</w:t>
            </w: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line="215" w:lineRule="exact"/>
              <w:rPr>
                <w:sz w:val="20"/>
                <w:szCs w:val="20"/>
                <w:color w:val="auto"/>
              </w:rPr>
            </w:pPr>
            <w:r>
              <w:rPr>
                <w:rFonts w:ascii="Calibri" w:cs="Calibri" w:eastAsia="Calibri" w:hAnsi="Calibri"/>
                <w:sz w:val="18"/>
                <w:szCs w:val="18"/>
                <w:color w:val="auto"/>
              </w:rPr>
              <w:t>Note</w:t>
            </w:r>
          </w:p>
        </w:tc>
        <w:tc>
          <w:tcPr>
            <w:tcW w:w="1340" w:type="dxa"/>
            <w:vAlign w:val="bottom"/>
          </w:tcPr>
          <w:p>
            <w:pPr>
              <w:jc w:val="right"/>
              <w:ind w:right="115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Pr>
          <w:p>
            <w:pPr>
              <w:ind w:left="220"/>
              <w:spacing w:after="0" w:line="215" w:lineRule="exact"/>
              <w:rPr>
                <w:sz w:val="20"/>
                <w:szCs w:val="20"/>
                <w:color w:val="auto"/>
              </w:rPr>
            </w:pPr>
            <w:r>
              <w:rPr>
                <w:rFonts w:ascii="Calibri" w:cs="Calibri" w:eastAsia="Calibri" w:hAnsi="Calibri"/>
                <w:sz w:val="18"/>
                <w:szCs w:val="18"/>
                <w:color w:val="auto"/>
                <w:w w:val="97"/>
              </w:rPr>
              <w:t>—</w:t>
            </w:r>
          </w:p>
        </w:tc>
        <w:tc>
          <w:tcPr>
            <w:tcW w:w="1680" w:type="dxa"/>
            <w:vAlign w:val="bottom"/>
            <w:gridSpan w:val="2"/>
          </w:tcPr>
          <w:p>
            <w:pPr>
              <w:jc w:val="right"/>
              <w:ind w:right="115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ind w:left="220"/>
              <w:spacing w:after="0" w:line="215" w:lineRule="exact"/>
              <w:rPr>
                <w:sz w:val="20"/>
                <w:szCs w:val="20"/>
                <w:color w:val="auto"/>
              </w:rPr>
            </w:pPr>
            <w:r>
              <w:rPr>
                <w:rFonts w:ascii="Calibri" w:cs="Calibri" w:eastAsia="Calibri" w:hAnsi="Calibri"/>
                <w:sz w:val="18"/>
                <w:szCs w:val="18"/>
                <w:color w:val="auto"/>
                <w:w w:val="97"/>
              </w:rPr>
              <w:t>—</w:t>
            </w:r>
          </w:p>
        </w:tc>
        <w:tc>
          <w:tcPr>
            <w:tcW w:w="1560" w:type="dxa"/>
            <w:vAlign w:val="bottom"/>
            <w:gridSpan w:val="2"/>
          </w:tcPr>
          <w:p>
            <w:pPr>
              <w:jc w:val="right"/>
              <w:ind w:right="103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2,868</w:t>
            </w:r>
          </w:p>
        </w:tc>
        <w:tc>
          <w:tcPr>
            <w:tcW w:w="7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Warrant</w:t>
            </w:r>
          </w:p>
        </w:tc>
        <w:tc>
          <w:tcPr>
            <w:tcW w:w="13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20"/>
              <w:spacing w:after="0" w:line="216"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20"/>
              <w:spacing w:after="0" w:line="216" w:lineRule="exact"/>
              <w:rPr>
                <w:sz w:val="20"/>
                <w:szCs w:val="20"/>
                <w:color w:val="auto"/>
              </w:rPr>
            </w:pPr>
            <w:r>
              <w:rPr>
                <w:rFonts w:ascii="Calibri" w:cs="Calibri" w:eastAsia="Calibri" w:hAnsi="Calibri"/>
                <w:sz w:val="18"/>
                <w:szCs w:val="18"/>
                <w:color w:val="auto"/>
                <w:w w:val="97"/>
              </w:rPr>
              <w:t>—</w:t>
            </w:r>
          </w:p>
        </w:tc>
        <w:tc>
          <w:tcPr>
            <w:tcW w:w="3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4,125</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340" w:type="dxa"/>
            <w:vAlign w:val="bottom"/>
          </w:tcPr>
          <w:p>
            <w:pPr>
              <w:jc w:val="right"/>
              <w:ind w:right="1150"/>
              <w:spacing w:after="0" w:line="209" w:lineRule="exact"/>
              <w:rPr>
                <w:sz w:val="20"/>
                <w:szCs w:val="20"/>
                <w:color w:val="auto"/>
              </w:rPr>
            </w:pPr>
            <w:r>
              <w:rPr>
                <w:rFonts w:ascii="Calibri" w:cs="Calibri" w:eastAsia="Calibri" w:hAnsi="Calibri"/>
                <w:sz w:val="18"/>
                <w:szCs w:val="18"/>
                <w:b w:val="1"/>
                <w:bCs w:val="1"/>
                <w:color w:val="auto"/>
                <w:w w:val="87"/>
              </w:rPr>
              <w:t>$</w:t>
            </w:r>
          </w:p>
        </w:tc>
        <w:tc>
          <w:tcPr>
            <w:tcW w:w="400" w:type="dxa"/>
            <w:vAlign w:val="bottom"/>
          </w:tcPr>
          <w:p>
            <w:pPr>
              <w:ind w:left="220"/>
              <w:spacing w:after="0" w:line="209" w:lineRule="exact"/>
              <w:rPr>
                <w:sz w:val="20"/>
                <w:szCs w:val="20"/>
                <w:color w:val="auto"/>
              </w:rPr>
            </w:pPr>
            <w:r>
              <w:rPr>
                <w:rFonts w:ascii="Calibri" w:cs="Calibri" w:eastAsia="Calibri" w:hAnsi="Calibri"/>
                <w:sz w:val="18"/>
                <w:szCs w:val="18"/>
                <w:b w:val="1"/>
                <w:bCs w:val="1"/>
                <w:color w:val="auto"/>
                <w:w w:val="97"/>
              </w:rPr>
              <w:t>—</w:t>
            </w:r>
          </w:p>
        </w:tc>
        <w:tc>
          <w:tcPr>
            <w:tcW w:w="1680" w:type="dxa"/>
            <w:vAlign w:val="bottom"/>
            <w:gridSpan w:val="2"/>
          </w:tcPr>
          <w:p>
            <w:pPr>
              <w:jc w:val="right"/>
              <w:ind w:right="1150"/>
              <w:spacing w:after="0" w:line="209" w:lineRule="exact"/>
              <w:rPr>
                <w:sz w:val="20"/>
                <w:szCs w:val="20"/>
                <w:color w:val="auto"/>
              </w:rPr>
            </w:pPr>
            <w:r>
              <w:rPr>
                <w:rFonts w:ascii="Calibri" w:cs="Calibri" w:eastAsia="Calibri" w:hAnsi="Calibri"/>
                <w:sz w:val="18"/>
                <w:szCs w:val="18"/>
                <w:b w:val="1"/>
                <w:bCs w:val="1"/>
                <w:color w:val="auto"/>
              </w:rPr>
              <w:t>$</w:t>
            </w:r>
          </w:p>
        </w:tc>
        <w:tc>
          <w:tcPr>
            <w:tcW w:w="400" w:type="dxa"/>
            <w:vAlign w:val="bottom"/>
          </w:tcPr>
          <w:p>
            <w:pPr>
              <w:ind w:left="220"/>
              <w:spacing w:after="0" w:line="209" w:lineRule="exact"/>
              <w:rPr>
                <w:sz w:val="20"/>
                <w:szCs w:val="20"/>
                <w:color w:val="auto"/>
              </w:rPr>
            </w:pPr>
            <w:r>
              <w:rPr>
                <w:rFonts w:ascii="Calibri" w:cs="Calibri" w:eastAsia="Calibri" w:hAnsi="Calibri"/>
                <w:sz w:val="18"/>
                <w:szCs w:val="18"/>
                <w:b w:val="1"/>
                <w:bCs w:val="1"/>
                <w:color w:val="auto"/>
                <w:w w:val="97"/>
              </w:rPr>
              <w:t>—</w:t>
            </w:r>
          </w:p>
        </w:tc>
        <w:tc>
          <w:tcPr>
            <w:tcW w:w="1560" w:type="dxa"/>
            <w:vAlign w:val="bottom"/>
            <w:gridSpan w:val="2"/>
          </w:tcPr>
          <w:p>
            <w:pPr>
              <w:jc w:val="right"/>
              <w:ind w:right="1030"/>
              <w:spacing w:after="0" w:line="209" w:lineRule="exact"/>
              <w:rPr>
                <w:sz w:val="20"/>
                <w:szCs w:val="20"/>
                <w:color w:val="auto"/>
              </w:rPr>
            </w:pPr>
            <w:r>
              <w:rPr>
                <w:rFonts w:ascii="Calibri" w:cs="Calibri" w:eastAsia="Calibri" w:hAnsi="Calibri"/>
                <w:sz w:val="18"/>
                <w:szCs w:val="18"/>
                <w:b w:val="1"/>
                <w:bCs w:val="1"/>
                <w:color w:val="auto"/>
              </w:rPr>
              <w:t>$</w:t>
            </w:r>
          </w:p>
        </w:tc>
        <w:tc>
          <w:tcPr>
            <w:tcW w:w="5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6,993</w:t>
            </w:r>
          </w:p>
        </w:tc>
        <w:tc>
          <w:tcPr>
            <w:tcW w:w="700" w:type="dxa"/>
            <w:vAlign w:val="bottom"/>
            <w:gridSpan w:val="2"/>
          </w:tcPr>
          <w:p>
            <w:pPr>
              <w:jc w:val="right"/>
              <w:ind w:right="190"/>
              <w:spacing w:after="0" w:line="209" w:lineRule="exact"/>
              <w:rPr>
                <w:sz w:val="20"/>
                <w:szCs w:val="20"/>
                <w:color w:val="auto"/>
              </w:rPr>
            </w:pPr>
            <w:r>
              <w:rPr>
                <w:rFonts w:ascii="Calibri" w:cs="Calibri" w:eastAsia="Calibri" w:hAnsi="Calibri"/>
                <w:sz w:val="18"/>
                <w:szCs w:val="18"/>
                <w:b w:val="1"/>
                <w:bCs w:val="1"/>
                <w:color w:val="auto"/>
              </w:rPr>
              <w:t>$</w:t>
            </w:r>
          </w:p>
        </w:tc>
        <w:tc>
          <w:tcPr>
            <w:tcW w:w="13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-1130935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-1130935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-1130935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-170815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9" w:name="page90"/>
    <w:bookmarkEnd w:id="8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the Note is determined using the income approach, utlizing Level 3 inputs. The estmated fair value of the Warrant is determined using the Black-Scholes opton pricing model, which requires us to make assumptons and judgments about the variables used in the calculaton related to the expected term, the expected volatlity, the risk-free rate of interest, and the expected dividend yield. Because of the inherent uncertainty of this valuaton, these estmated values may difer signifcantly from the values that would have been used had a ready market for the investments existed, and the diferences could be material.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quanttatve informaton about the signifcant unobservable inputs applied to these Level 3 fair value measurements at</w:t>
      </w:r>
    </w:p>
    <w:p>
      <w:pPr>
        <w:spacing w:after="0" w:line="235" w:lineRule="auto"/>
        <w:rPr>
          <w:sz w:val="20"/>
          <w:szCs w:val="20"/>
          <w:color w:val="auto"/>
        </w:rPr>
      </w:pPr>
      <w:r>
        <w:rPr>
          <w:rFonts w:ascii="Calibri" w:cs="Calibri" w:eastAsia="Calibri" w:hAnsi="Calibri"/>
          <w:sz w:val="18"/>
          <w:szCs w:val="18"/>
          <w:color w:val="auto"/>
        </w:rPr>
        <w:t>December 31, 2024 and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ind w:left="340"/>
              <w:spacing w:after="0"/>
              <w:rPr>
                <w:sz w:val="20"/>
                <w:szCs w:val="20"/>
                <w:color w:val="auto"/>
              </w:rPr>
            </w:pPr>
            <w:r>
              <w:rPr>
                <w:rFonts w:ascii="Calibri" w:cs="Calibri" w:eastAsia="Calibri" w:hAnsi="Calibri"/>
                <w:sz w:val="18"/>
                <w:szCs w:val="18"/>
                <w:b w:val="1"/>
                <w:bCs w:val="1"/>
                <w:color w:val="auto"/>
              </w:rPr>
              <w:t>December 31,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ind w:left="34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11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3"/>
              </w:rPr>
              <w:t>Asset</w:t>
            </w:r>
          </w:p>
        </w:tc>
        <w:tc>
          <w:tcPr>
            <w:tcW w:w="220" w:type="dxa"/>
            <w:vAlign w:val="bottom"/>
          </w:tcPr>
          <w:p>
            <w:pPr>
              <w:spacing w:after="0"/>
              <w:rPr>
                <w:sz w:val="18"/>
                <w:szCs w:val="18"/>
                <w:color w:val="auto"/>
              </w:rPr>
            </w:pPr>
          </w:p>
        </w:tc>
        <w:tc>
          <w:tcPr>
            <w:tcW w:w="5900" w:type="dxa"/>
            <w:vAlign w:val="bottom"/>
          </w:tcPr>
          <w:p>
            <w:pPr>
              <w:ind w:left="1780"/>
              <w:spacing w:after="0" w:line="216" w:lineRule="exact"/>
              <w:rPr>
                <w:sz w:val="20"/>
                <w:szCs w:val="20"/>
                <w:color w:val="auto"/>
              </w:rPr>
            </w:pPr>
            <w:r>
              <w:rPr>
                <w:rFonts w:ascii="Calibri" w:cs="Calibri" w:eastAsia="Calibri" w:hAnsi="Calibri"/>
                <w:sz w:val="18"/>
                <w:szCs w:val="18"/>
                <w:b w:val="1"/>
                <w:bCs w:val="1"/>
                <w:color w:val="auto"/>
              </w:rPr>
              <w:t>Signifcant Unobservable Inputs</w:t>
            </w:r>
          </w:p>
        </w:tc>
        <w:tc>
          <w:tcPr>
            <w:tcW w:w="1560" w:type="dxa"/>
            <w:vAlign w:val="bottom"/>
            <w:gridSpan w:val="2"/>
          </w:tcPr>
          <w:p>
            <w:pPr>
              <w:jc w:val="center"/>
              <w:ind w:left="350"/>
              <w:spacing w:after="0" w:line="216" w:lineRule="exact"/>
              <w:rPr>
                <w:sz w:val="20"/>
                <w:szCs w:val="20"/>
                <w:color w:val="auto"/>
              </w:rPr>
            </w:pPr>
            <w:r>
              <w:rPr>
                <w:rFonts w:ascii="Calibri" w:cs="Calibri" w:eastAsia="Calibri" w:hAnsi="Calibri"/>
                <w:sz w:val="18"/>
                <w:szCs w:val="18"/>
                <w:b w:val="1"/>
                <w:bCs w:val="1"/>
                <w:color w:val="auto"/>
                <w:w w:val="98"/>
              </w:rPr>
              <w:t>2024</w:t>
            </w:r>
          </w:p>
        </w:tc>
        <w:tc>
          <w:tcPr>
            <w:tcW w:w="300" w:type="dxa"/>
            <w:vAlign w:val="bottom"/>
          </w:tcPr>
          <w:p>
            <w:pPr>
              <w:spacing w:after="0"/>
              <w:rPr>
                <w:sz w:val="18"/>
                <w:szCs w:val="18"/>
                <w:color w:val="auto"/>
              </w:rPr>
            </w:pPr>
          </w:p>
        </w:tc>
        <w:tc>
          <w:tcPr>
            <w:tcW w:w="2000" w:type="dxa"/>
            <w:vAlign w:val="bottom"/>
            <w:gridSpan w:val="2"/>
          </w:tcPr>
          <w:p>
            <w:pPr>
              <w:jc w:val="center"/>
              <w:ind w:left="210"/>
              <w:spacing w:after="0" w:line="216" w:lineRule="exact"/>
              <w:rPr>
                <w:sz w:val="20"/>
                <w:szCs w:val="20"/>
                <w:color w:val="auto"/>
              </w:rPr>
            </w:pPr>
            <w:r>
              <w:rPr>
                <w:rFonts w:ascii="Calibri" w:cs="Calibri" w:eastAsia="Calibri" w:hAnsi="Calibri"/>
                <w:sz w:val="18"/>
                <w:szCs w:val="18"/>
                <w:b w:val="1"/>
                <w:bCs w:val="1"/>
                <w:color w:val="auto"/>
                <w:w w:val="93"/>
              </w:rPr>
              <w:t>2023</w:t>
            </w:r>
          </w:p>
        </w:tc>
        <w:tc>
          <w:tcPr>
            <w:tcW w:w="100" w:type="dxa"/>
            <w:vAlign w:val="bottom"/>
          </w:tcPr>
          <w:p>
            <w:pPr>
              <w:spacing w:after="0"/>
              <w:rPr>
                <w:sz w:val="18"/>
                <w:szCs w:val="18"/>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116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4"/>
              </w:rPr>
              <w:t>Note</w:t>
            </w:r>
          </w:p>
        </w:tc>
        <w:tc>
          <w:tcPr>
            <w:tcW w:w="220" w:type="dxa"/>
            <w:vAlign w:val="bottom"/>
            <w:shd w:val="clear" w:color="auto" w:fill="CFF0FC"/>
          </w:tcPr>
          <w:p>
            <w:pPr>
              <w:spacing w:after="0"/>
              <w:rPr>
                <w:sz w:val="18"/>
                <w:szCs w:val="18"/>
                <w:color w:val="auto"/>
              </w:rPr>
            </w:pPr>
          </w:p>
        </w:tc>
        <w:tc>
          <w:tcPr>
            <w:tcW w:w="590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rPr>
              <w:t>Expected term (years)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5.5</w:t>
            </w:r>
          </w:p>
        </w:tc>
        <w:tc>
          <w:tcPr>
            <w:tcW w:w="200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6.5</w:t>
            </w:r>
          </w:p>
        </w:tc>
        <w:tc>
          <w:tcPr>
            <w:tcW w:w="100" w:type="dxa"/>
            <w:vAlign w:val="bottom"/>
            <w:shd w:val="clear" w:color="auto" w:fill="CFF0FC"/>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line="215" w:lineRule="exact"/>
              <w:rPr>
                <w:sz w:val="20"/>
                <w:szCs w:val="20"/>
                <w:color w:val="auto"/>
              </w:rPr>
            </w:pPr>
            <w:r>
              <w:rPr>
                <w:rFonts w:ascii="Calibri" w:cs="Calibri" w:eastAsia="Calibri" w:hAnsi="Calibri"/>
                <w:sz w:val="18"/>
                <w:szCs w:val="18"/>
                <w:color w:val="auto"/>
              </w:rPr>
              <w:t>Implied yield</w:t>
            </w:r>
          </w:p>
        </w:tc>
        <w:tc>
          <w:tcPr>
            <w:tcW w:w="1560" w:type="dxa"/>
            <w:vAlign w:val="bottom"/>
            <w:gridSpan w:val="2"/>
          </w:tcPr>
          <w:p>
            <w:pPr>
              <w:jc w:val="center"/>
              <w:ind w:left="350"/>
              <w:spacing w:after="0" w:line="215" w:lineRule="exact"/>
              <w:rPr>
                <w:sz w:val="20"/>
                <w:szCs w:val="20"/>
                <w:color w:val="auto"/>
              </w:rPr>
            </w:pPr>
            <w:r>
              <w:rPr>
                <w:rFonts w:ascii="Calibri" w:cs="Calibri" w:eastAsia="Calibri" w:hAnsi="Calibri"/>
                <w:sz w:val="18"/>
                <w:szCs w:val="18"/>
                <w:color w:val="auto"/>
                <w:w w:val="98"/>
              </w:rPr>
              <w:t>21.0%</w:t>
            </w:r>
          </w:p>
        </w:tc>
        <w:tc>
          <w:tcPr>
            <w:tcW w:w="300" w:type="dxa"/>
            <w:vAlign w:val="bottom"/>
          </w:tcPr>
          <w:p>
            <w:pPr>
              <w:spacing w:after="0"/>
              <w:rPr>
                <w:sz w:val="18"/>
                <w:szCs w:val="18"/>
                <w:color w:val="auto"/>
              </w:rPr>
            </w:pPr>
          </w:p>
        </w:tc>
        <w:tc>
          <w:tcPr>
            <w:tcW w:w="200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8"/>
              </w:rPr>
              <w:t>21.7%</w:t>
            </w:r>
          </w:p>
        </w:tc>
        <w:tc>
          <w:tcPr>
            <w:tcW w:w="100" w:type="dxa"/>
            <w:vAlign w:val="bottom"/>
          </w:tcPr>
          <w:p>
            <w:pPr>
              <w:spacing w:after="0"/>
              <w:rPr>
                <w:sz w:val="18"/>
                <w:szCs w:val="18"/>
                <w:color w:val="auto"/>
              </w:rPr>
            </w:pPr>
          </w:p>
        </w:tc>
      </w:tr>
      <w:tr>
        <w:trPr>
          <w:trHeight w:val="217"/>
        </w:trPr>
        <w:tc>
          <w:tcPr>
            <w:tcW w:w="11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4"/>
              </w:rPr>
              <w:t>Warrant</w:t>
            </w:r>
          </w:p>
        </w:tc>
        <w:tc>
          <w:tcPr>
            <w:tcW w:w="220" w:type="dxa"/>
            <w:vAlign w:val="bottom"/>
            <w:shd w:val="clear" w:color="auto" w:fill="CFF0FC"/>
          </w:tcPr>
          <w:p>
            <w:pPr>
              <w:spacing w:after="0"/>
              <w:rPr>
                <w:sz w:val="18"/>
                <w:szCs w:val="18"/>
                <w:color w:val="auto"/>
              </w:rPr>
            </w:pPr>
          </w:p>
        </w:tc>
        <w:tc>
          <w:tcPr>
            <w:tcW w:w="5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Expected term (years)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w:t>
            </w:r>
          </w:p>
        </w:tc>
        <w:tc>
          <w:tcPr>
            <w:tcW w:w="20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6.5</w:t>
            </w:r>
          </w:p>
        </w:tc>
        <w:tc>
          <w:tcPr>
            <w:tcW w:w="100" w:type="dxa"/>
            <w:vAlign w:val="bottom"/>
            <w:shd w:val="clear" w:color="auto" w:fill="CFF0FC"/>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line="215" w:lineRule="exact"/>
              <w:rPr>
                <w:sz w:val="20"/>
                <w:szCs w:val="20"/>
                <w:color w:val="auto"/>
              </w:rPr>
            </w:pPr>
            <w:r>
              <w:rPr>
                <w:rFonts w:ascii="Calibri" w:cs="Calibri" w:eastAsia="Calibri" w:hAnsi="Calibri"/>
                <w:sz w:val="18"/>
                <w:szCs w:val="18"/>
                <w:color w:val="auto"/>
              </w:rPr>
              <w:t>Expected volatlity</w:t>
            </w:r>
          </w:p>
        </w:tc>
        <w:tc>
          <w:tcPr>
            <w:tcW w:w="1560" w:type="dxa"/>
            <w:vAlign w:val="bottom"/>
            <w:gridSpan w:val="2"/>
          </w:tcPr>
          <w:p>
            <w:pPr>
              <w:jc w:val="center"/>
              <w:ind w:left="350"/>
              <w:spacing w:after="0" w:line="215" w:lineRule="exact"/>
              <w:rPr>
                <w:sz w:val="20"/>
                <w:szCs w:val="20"/>
                <w:color w:val="auto"/>
              </w:rPr>
            </w:pPr>
            <w:r>
              <w:rPr>
                <w:rFonts w:ascii="Calibri" w:cs="Calibri" w:eastAsia="Calibri" w:hAnsi="Calibri"/>
                <w:sz w:val="18"/>
                <w:szCs w:val="18"/>
                <w:color w:val="auto"/>
                <w:w w:val="98"/>
              </w:rPr>
              <w:t>59.0%</w:t>
            </w:r>
          </w:p>
        </w:tc>
        <w:tc>
          <w:tcPr>
            <w:tcW w:w="300" w:type="dxa"/>
            <w:vAlign w:val="bottom"/>
          </w:tcPr>
          <w:p>
            <w:pPr>
              <w:spacing w:after="0"/>
              <w:rPr>
                <w:sz w:val="18"/>
                <w:szCs w:val="18"/>
                <w:color w:val="auto"/>
              </w:rPr>
            </w:pPr>
          </w:p>
        </w:tc>
        <w:tc>
          <w:tcPr>
            <w:tcW w:w="200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8"/>
              </w:rPr>
              <w:t>56.0%</w:t>
            </w:r>
          </w:p>
        </w:tc>
        <w:tc>
          <w:tcPr>
            <w:tcW w:w="100" w:type="dxa"/>
            <w:vAlign w:val="bottom"/>
          </w:tcPr>
          <w:p>
            <w:pPr>
              <w:spacing w:after="0"/>
              <w:rPr>
                <w:sz w:val="18"/>
                <w:szCs w:val="18"/>
                <w:color w:val="auto"/>
              </w:rPr>
            </w:pPr>
          </w:p>
        </w:tc>
      </w:tr>
      <w:tr>
        <w:trPr>
          <w:trHeight w:val="217"/>
        </w:trPr>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Risk-free rate</w:t>
            </w:r>
          </w:p>
        </w:tc>
        <w:tc>
          <w:tcPr>
            <w:tcW w:w="1560" w:type="dxa"/>
            <w:vAlign w:val="bottom"/>
            <w:gridSpan w:val="2"/>
            <w:shd w:val="clear" w:color="auto" w:fill="CFF0FC"/>
          </w:tcPr>
          <w:p>
            <w:pPr>
              <w:jc w:val="center"/>
              <w:ind w:left="370"/>
              <w:spacing w:after="0" w:line="216" w:lineRule="exact"/>
              <w:rPr>
                <w:sz w:val="20"/>
                <w:szCs w:val="20"/>
                <w:color w:val="auto"/>
              </w:rPr>
            </w:pPr>
            <w:r>
              <w:rPr>
                <w:rFonts w:ascii="Calibri" w:cs="Calibri" w:eastAsia="Calibri" w:hAnsi="Calibri"/>
                <w:sz w:val="18"/>
                <w:szCs w:val="18"/>
                <w:color w:val="auto"/>
                <w:w w:val="95"/>
              </w:rPr>
              <w:t>4.4%</w:t>
            </w:r>
          </w:p>
        </w:tc>
        <w:tc>
          <w:tcPr>
            <w:tcW w:w="30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center"/>
              <w:ind w:left="210"/>
              <w:spacing w:after="0" w:line="216" w:lineRule="exact"/>
              <w:rPr>
                <w:sz w:val="20"/>
                <w:szCs w:val="20"/>
                <w:color w:val="auto"/>
              </w:rPr>
            </w:pPr>
            <w:r>
              <w:rPr>
                <w:rFonts w:ascii="Calibri" w:cs="Calibri" w:eastAsia="Calibri" w:hAnsi="Calibri"/>
                <w:sz w:val="18"/>
                <w:szCs w:val="18"/>
                <w:color w:val="auto"/>
                <w:w w:val="95"/>
              </w:rPr>
              <w:t>3.9%</w:t>
            </w:r>
          </w:p>
        </w:tc>
        <w:tc>
          <w:tcPr>
            <w:tcW w:w="100" w:type="dxa"/>
            <w:vAlign w:val="bottom"/>
            <w:shd w:val="clear" w:color="auto" w:fill="CFF0FC"/>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tcPr>
          <w:p>
            <w:pPr>
              <w:spacing w:after="0" w:line="215" w:lineRule="exact"/>
              <w:rPr>
                <w:sz w:val="20"/>
                <w:szCs w:val="20"/>
                <w:color w:val="auto"/>
              </w:rPr>
            </w:pPr>
            <w:r>
              <w:rPr>
                <w:rFonts w:ascii="Calibri" w:cs="Calibri" w:eastAsia="Calibri" w:hAnsi="Calibri"/>
                <w:sz w:val="18"/>
                <w:szCs w:val="18"/>
                <w:color w:val="auto"/>
              </w:rPr>
              <w:t>Expected dividend yield</w:t>
            </w:r>
          </w:p>
        </w:tc>
        <w:tc>
          <w:tcPr>
            <w:tcW w:w="1560" w:type="dxa"/>
            <w:vAlign w:val="bottom"/>
            <w:gridSpan w:val="2"/>
          </w:tcPr>
          <w:p>
            <w:pPr>
              <w:jc w:val="center"/>
              <w:ind w:left="370"/>
              <w:spacing w:after="0" w:line="215" w:lineRule="exact"/>
              <w:rPr>
                <w:sz w:val="20"/>
                <w:szCs w:val="20"/>
                <w:color w:val="auto"/>
              </w:rPr>
            </w:pPr>
            <w:r>
              <w:rPr>
                <w:rFonts w:ascii="Calibri" w:cs="Calibri" w:eastAsia="Calibri" w:hAnsi="Calibri"/>
                <w:sz w:val="18"/>
                <w:szCs w:val="18"/>
                <w:color w:val="auto"/>
                <w:w w:val="95"/>
              </w:rPr>
              <w:t>0.0%</w:t>
            </w:r>
          </w:p>
        </w:tc>
        <w:tc>
          <w:tcPr>
            <w:tcW w:w="300" w:type="dxa"/>
            <w:vAlign w:val="bottom"/>
          </w:tcPr>
          <w:p>
            <w:pPr>
              <w:spacing w:after="0"/>
              <w:rPr>
                <w:sz w:val="18"/>
                <w:szCs w:val="18"/>
                <w:color w:val="auto"/>
              </w:rPr>
            </w:pPr>
          </w:p>
        </w:tc>
        <w:tc>
          <w:tcPr>
            <w:tcW w:w="2000" w:type="dxa"/>
            <w:vAlign w:val="bottom"/>
            <w:gridSpan w:val="2"/>
          </w:tcPr>
          <w:p>
            <w:pPr>
              <w:jc w:val="center"/>
              <w:ind w:left="210"/>
              <w:spacing w:after="0" w:line="215" w:lineRule="exact"/>
              <w:rPr>
                <w:sz w:val="20"/>
                <w:szCs w:val="20"/>
                <w:color w:val="auto"/>
              </w:rPr>
            </w:pPr>
            <w:r>
              <w:rPr>
                <w:rFonts w:ascii="Calibri" w:cs="Calibri" w:eastAsia="Calibri" w:hAnsi="Calibri"/>
                <w:sz w:val="18"/>
                <w:szCs w:val="18"/>
                <w:color w:val="auto"/>
                <w:w w:val="95"/>
              </w:rPr>
              <w:t>0.0%</w:t>
            </w:r>
          </w:p>
        </w:tc>
        <w:tc>
          <w:tcPr>
            <w:tcW w:w="100" w:type="dxa"/>
            <w:vAlign w:val="bottom"/>
          </w:tcPr>
          <w:p>
            <w:pPr>
              <w:spacing w:after="0"/>
              <w:rPr>
                <w:sz w:val="18"/>
                <w:szCs w:val="18"/>
                <w:color w:val="auto"/>
              </w:rPr>
            </w:pPr>
          </w:p>
        </w:tc>
      </w:tr>
    </w:tbl>
    <w:p>
      <w:pPr>
        <w:spacing w:after="0" w:line="8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the changes in the carrying amount of the Note and the Warrant (both of which are measured at fair value using Level 3 signifcant unobservable inputs) during the years ended December 31, 2024 and 2023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Calibri" w:cs="Calibri" w:eastAsia="Calibri" w:hAnsi="Calibri"/>
                <w:sz w:val="18"/>
                <w:szCs w:val="18"/>
                <w:b w:val="1"/>
                <w:bCs w:val="1"/>
                <w:color w:val="auto"/>
              </w:rPr>
              <w:t>Note</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760"/>
              <w:spacing w:after="0"/>
              <w:rPr>
                <w:sz w:val="20"/>
                <w:szCs w:val="20"/>
                <w:color w:val="auto"/>
              </w:rPr>
            </w:pPr>
            <w:r>
              <w:rPr>
                <w:rFonts w:ascii="Calibri" w:cs="Calibri" w:eastAsia="Calibri" w:hAnsi="Calibri"/>
                <w:sz w:val="18"/>
                <w:szCs w:val="18"/>
                <w:b w:val="1"/>
                <w:bCs w:val="1"/>
                <w:color w:val="auto"/>
              </w:rPr>
              <w:t>Warrant</w:t>
            </w:r>
          </w:p>
        </w:tc>
      </w:tr>
      <w:tr>
        <w:trPr>
          <w:trHeight w:val="23"/>
        </w:trPr>
        <w:tc>
          <w:tcPr>
            <w:tcW w:w="4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43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Balance at July 3, 2023 (incepton)</w:t>
            </w:r>
          </w:p>
        </w:tc>
        <w:tc>
          <w:tcPr>
            <w:tcW w:w="3880" w:type="dxa"/>
            <w:vAlign w:val="bottom"/>
            <w:gridSpan w:val="2"/>
            <w:shd w:val="clear" w:color="auto" w:fill="CFF0FC"/>
          </w:tcPr>
          <w:p>
            <w:pPr>
              <w:jc w:val="right"/>
              <w:ind w:right="1110"/>
              <w:spacing w:after="0" w:line="209" w:lineRule="exact"/>
              <w:rPr>
                <w:sz w:val="20"/>
                <w:szCs w:val="20"/>
                <w:color w:val="auto"/>
              </w:rPr>
            </w:pPr>
            <w:r>
              <w:rPr>
                <w:rFonts w:ascii="Calibri" w:cs="Calibri" w:eastAsia="Calibri" w:hAnsi="Calibri"/>
                <w:sz w:val="18"/>
                <w:szCs w:val="18"/>
                <w:b w:val="1"/>
                <w:bCs w:val="1"/>
                <w:color w:val="auto"/>
              </w:rPr>
              <w:t>$</w:t>
            </w:r>
          </w:p>
        </w:tc>
        <w:tc>
          <w:tcPr>
            <w:tcW w:w="6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2,411</w:t>
            </w:r>
          </w:p>
        </w:tc>
        <w:tc>
          <w:tcPr>
            <w:tcW w:w="740" w:type="dxa"/>
            <w:vAlign w:val="bottom"/>
            <w:gridSpan w:val="2"/>
            <w:shd w:val="clear" w:color="auto" w:fill="CFF0FC"/>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5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3,589</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line="215" w:lineRule="exact"/>
              <w:rPr>
                <w:sz w:val="20"/>
                <w:szCs w:val="20"/>
                <w:color w:val="auto"/>
              </w:rPr>
            </w:pPr>
            <w:r>
              <w:rPr>
                <w:rFonts w:ascii="Calibri" w:cs="Calibri" w:eastAsia="Calibri" w:hAnsi="Calibri"/>
                <w:sz w:val="18"/>
                <w:szCs w:val="18"/>
                <w:color w:val="auto"/>
              </w:rPr>
              <w:t>Accreton of discount</w:t>
            </w: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43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paid-in-kind</w:t>
            </w:r>
          </w:p>
        </w:tc>
        <w:tc>
          <w:tcPr>
            <w:tcW w:w="25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238</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4380" w:type="dxa"/>
            <w:vAlign w:val="bottom"/>
          </w:tcPr>
          <w:p>
            <w:pPr>
              <w:ind w:left="20"/>
              <w:spacing w:after="0" w:line="215" w:lineRule="exact"/>
              <w:rPr>
                <w:sz w:val="20"/>
                <w:szCs w:val="20"/>
                <w:color w:val="auto"/>
              </w:rPr>
            </w:pPr>
            <w:r>
              <w:rPr>
                <w:rFonts w:ascii="Calibri" w:cs="Calibri" w:eastAsia="Calibri" w:hAnsi="Calibri"/>
                <w:sz w:val="18"/>
                <w:szCs w:val="18"/>
                <w:color w:val="auto"/>
              </w:rPr>
              <w:t>Unrealized gains:</w:t>
            </w: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Recognized in net income</w:t>
            </w:r>
          </w:p>
        </w:tc>
        <w:tc>
          <w:tcPr>
            <w:tcW w:w="25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536</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120"/>
              <w:spacing w:after="0" w:line="215" w:lineRule="exact"/>
              <w:rPr>
                <w:sz w:val="20"/>
                <w:szCs w:val="20"/>
                <w:color w:val="auto"/>
              </w:rPr>
            </w:pPr>
            <w:r>
              <w:rPr>
                <w:rFonts w:ascii="Calibri" w:cs="Calibri" w:eastAsia="Calibri" w:hAnsi="Calibri"/>
                <w:sz w:val="18"/>
                <w:szCs w:val="18"/>
                <w:color w:val="auto"/>
              </w:rPr>
              <w:t>Recognized in other comprehensive income</w:t>
            </w: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196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438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 unrealized gains</w:t>
            </w:r>
          </w:p>
        </w:tc>
        <w:tc>
          <w:tcPr>
            <w:tcW w:w="25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196</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Balance at December 31, 2023</w:t>
            </w: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2,868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4,125</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Accreton of discount</w:t>
            </w:r>
          </w:p>
        </w:tc>
        <w:tc>
          <w:tcPr>
            <w:tcW w:w="25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116</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438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paid-in-kind</w:t>
            </w: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501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43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Unrealized gains (losses):</w:t>
            </w:r>
          </w:p>
        </w:tc>
        <w:tc>
          <w:tcPr>
            <w:tcW w:w="25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120"/>
              <w:spacing w:after="0" w:line="215" w:lineRule="exact"/>
              <w:rPr>
                <w:sz w:val="20"/>
                <w:szCs w:val="20"/>
                <w:color w:val="auto"/>
              </w:rPr>
            </w:pPr>
            <w:r>
              <w:rPr>
                <w:rFonts w:ascii="Calibri" w:cs="Calibri" w:eastAsia="Calibri" w:hAnsi="Calibri"/>
                <w:sz w:val="18"/>
                <w:szCs w:val="18"/>
                <w:color w:val="auto"/>
              </w:rPr>
              <w:t>Recognized in net income</w:t>
            </w: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(800 )</w:t>
            </w:r>
          </w:p>
        </w:tc>
      </w:tr>
      <w:tr>
        <w:trPr>
          <w:trHeight w:val="216"/>
        </w:trPr>
        <w:tc>
          <w:tcPr>
            <w:tcW w:w="438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Recognized in other comprehensive loss</w:t>
            </w:r>
          </w:p>
        </w:tc>
        <w:tc>
          <w:tcPr>
            <w:tcW w:w="25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119</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ind w:left="200"/>
              <w:spacing w:after="0" w:line="209" w:lineRule="exact"/>
              <w:rPr>
                <w:sz w:val="20"/>
                <w:szCs w:val="20"/>
                <w:color w:val="auto"/>
              </w:rPr>
            </w:pPr>
            <w:r>
              <w:rPr>
                <w:rFonts w:ascii="Calibri" w:cs="Calibri" w:eastAsia="Calibri" w:hAnsi="Calibri"/>
                <w:sz w:val="18"/>
                <w:szCs w:val="18"/>
                <w:color w:val="auto"/>
              </w:rPr>
              <w:t>Total unrealized gains (losses)</w:t>
            </w: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119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(800 )</w:t>
            </w:r>
          </w:p>
        </w:tc>
      </w:tr>
      <w:tr>
        <w:trPr>
          <w:trHeight w:val="250"/>
        </w:trPr>
        <w:tc>
          <w:tcPr>
            <w:tcW w:w="438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Balance at December 31, 2024</w:t>
            </w:r>
          </w:p>
        </w:tc>
        <w:tc>
          <w:tcPr>
            <w:tcW w:w="25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ind w:right="1110"/>
              <w:spacing w:after="0" w:line="210" w:lineRule="exact"/>
              <w:rPr>
                <w:sz w:val="20"/>
                <w:szCs w:val="20"/>
                <w:color w:val="auto"/>
              </w:rPr>
            </w:pPr>
            <w:r>
              <w:rPr>
                <w:rFonts w:ascii="Calibri" w:cs="Calibri" w:eastAsia="Calibri" w:hAnsi="Calibri"/>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3,604</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rPr>
              <w:t>$</w:t>
            </w:r>
          </w:p>
        </w:tc>
        <w:tc>
          <w:tcPr>
            <w:tcW w:w="15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3,325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21"/>
        </w:trPr>
        <w:tc>
          <w:tcPr>
            <w:tcW w:w="4380" w:type="dxa"/>
            <w:vAlign w:val="bottom"/>
          </w:tcPr>
          <w:p>
            <w:pPr>
              <w:spacing w:after="0"/>
              <w:rPr>
                <w:sz w:val="24"/>
                <w:szCs w:val="24"/>
                <w:color w:val="auto"/>
              </w:rPr>
            </w:pPr>
          </w:p>
        </w:tc>
        <w:tc>
          <w:tcPr>
            <w:tcW w:w="2560" w:type="dxa"/>
            <w:vAlign w:val="bottom"/>
          </w:tcPr>
          <w:p>
            <w:pPr>
              <w:jc w:val="right"/>
              <w:ind w:right="1130"/>
              <w:spacing w:after="0"/>
              <w:rPr>
                <w:sz w:val="20"/>
                <w:szCs w:val="20"/>
                <w:color w:val="auto"/>
              </w:rPr>
            </w:pPr>
            <w:r>
              <w:rPr>
                <w:rFonts w:ascii="Calibri" w:cs="Calibri" w:eastAsia="Calibri" w:hAnsi="Calibri"/>
                <w:sz w:val="18"/>
                <w:szCs w:val="18"/>
                <w:color w:val="auto"/>
              </w:rPr>
              <w:t>88</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6"/>
        </w:trPr>
        <w:tc>
          <w:tcPr>
            <w:tcW w:w="43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-2193925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-1362710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-1071245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-1053465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0" w:name="page91"/>
    <w:bookmarkEnd w:id="9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60" w:type="dxa"/>
            <w:vAlign w:val="bottom"/>
          </w:tcPr>
          <w:p>
            <w:pPr>
              <w:spacing w:after="0"/>
              <w:rPr>
                <w:sz w:val="20"/>
                <w:szCs w:val="20"/>
                <w:color w:val="auto"/>
              </w:rPr>
            </w:pPr>
            <w:r>
              <w:rPr>
                <w:rFonts w:ascii="Calibri" w:cs="Calibri" w:eastAsia="Calibri" w:hAnsi="Calibri"/>
                <w:sz w:val="18"/>
                <w:szCs w:val="18"/>
                <w:b w:val="1"/>
                <w:bCs w:val="1"/>
                <w:color w:val="auto"/>
              </w:rPr>
              <w:t>12. Accrued Expenses and Other 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9100" w:type="dxa"/>
            <w:vAlign w:val="bottom"/>
            <w:gridSpan w:val="3"/>
          </w:tcPr>
          <w:p>
            <w:pPr>
              <w:spacing w:after="0"/>
              <w:rPr>
                <w:sz w:val="20"/>
                <w:szCs w:val="20"/>
                <w:color w:val="auto"/>
              </w:rPr>
            </w:pPr>
            <w:r>
              <w:rPr>
                <w:rFonts w:ascii="Calibri" w:cs="Calibri" w:eastAsia="Calibri" w:hAnsi="Calibri"/>
                <w:sz w:val="18"/>
                <w:szCs w:val="18"/>
                <w:color w:val="auto"/>
              </w:rPr>
              <w:t>Accrued expenses and other current liabilites consisted of the following at December 31, 2024 and 2023 (in thousands):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December 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50"/>
              <w:spacing w:after="0" w:line="216"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6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7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4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Accrued marketng expense</w:t>
            </w: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30,573</w:t>
            </w:r>
          </w:p>
        </w:tc>
        <w:tc>
          <w:tcPr>
            <w:tcW w:w="540" w:type="dxa"/>
            <w:vAlign w:val="bottom"/>
            <w:gridSpan w:val="2"/>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5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39,210</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customer credits</w:t>
            </w:r>
          </w:p>
        </w:tc>
        <w:tc>
          <w:tcPr>
            <w:tcW w:w="2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55,785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64,318</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future customer compensaton</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26,614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33,010</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payroll</w:t>
            </w:r>
          </w:p>
        </w:tc>
        <w:tc>
          <w:tcPr>
            <w:tcW w:w="2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10,128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17,381</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operatng expenses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16,193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20,828</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liabilites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25,754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16,895</w:t>
            </w:r>
          </w:p>
        </w:tc>
        <w:tc>
          <w:tcPr>
            <w:tcW w:w="100" w:type="dxa"/>
            <w:vAlign w:val="bottom"/>
          </w:tcPr>
          <w:p>
            <w:pPr>
              <w:spacing w:after="0"/>
              <w:rPr>
                <w:sz w:val="18"/>
                <w:szCs w:val="18"/>
                <w:color w:val="auto"/>
              </w:rPr>
            </w:pPr>
          </w:p>
        </w:tc>
      </w:tr>
      <w:tr>
        <w:trPr>
          <w:trHeight w:val="250"/>
        </w:trPr>
        <w:tc>
          <w:tcPr>
            <w:tcW w:w="74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Accrued expenses and other current liabilites</w:t>
            </w:r>
          </w:p>
        </w:tc>
        <w:tc>
          <w:tcPr>
            <w:tcW w:w="220" w:type="dxa"/>
            <w:vAlign w:val="bottom"/>
            <w:tcBorders>
              <w:bottom w:val="single" w:sz="8" w:color="auto"/>
            </w:tcBorders>
            <w:shd w:val="clear" w:color="auto" w:fill="CFF0FC"/>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165,047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191,642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customer credits represent credits issued and outstanding for event cancellatons or other service issues related to recorded sales transactons. The accrued amount is reduced by the amount of credits estmated to go unused, or breakage, provided that the credits are not subject to escheatment. We estmate breakage based on historical usage trends and available data on comparable programs, and recognize breakage in proporton to the patern of redempton for customer credits. Our breakage estmates could be impacted by future actvity difering from our estmates, the efects of which could be material.</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years ended December 31, 2024, 2023, and 2022, $18.5 million, $15.1 million, and $24.3 million of accrued customer credits were redeemed, respectvely, and we recognized revenue from breakage of $12.2 million, $20.6 million, and $11.5 million, respectvely. Breakage amounts are net of reductons in associated accounts receivable balances.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Accrued future customer compensaton represents an estmate of the amount of customer compensaton due from cancellaton charges in the future. These provisions, which are based on historic experience, revenue volumes for future events, and management’s estmate of the likelihood of future event cancellatons, are recognized as a component of Revenues in the Consolidated Statements of Operatons. The expected recoveries of these obligatons are recorded in Prepaid expenses and other current assets in the Consolidated Balance Sheets. This estmated accrual could be impacted by future actvity difering from our estmates, the efects of which could be material. During the years ended December 31, 2024, 2023, and 2022, we recognized a net increase in revenue of $1.1 million, $0.1 million, and $2.3 million, respectvely, from the reversals of previously recorded revenue and changes to accrued future customer compensaton related to event cancellatons where the performance obligatons were satsfed in prior periods. During the years ended December 31, 2024 and 2023, accrued future customer compensaton decreased by $6.4 million and increased by $2.8 million, respectvely, due to a decrease in the estmated rate of future cancellatons as of December 31, 2024 and an increase in the estmated rate of future cancellatons as of December 31,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1" w:name="page92"/>
    <w:bookmarkEnd w:id="9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Long-Term Debt –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our long-term debt, net of unamortzed debt issuance costs and current maturites as of December 31, 2024 and 2023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680"/>
              <w:spacing w:after="0"/>
              <w:rPr>
                <w:sz w:val="20"/>
                <w:szCs w:val="20"/>
                <w:color w:val="auto"/>
              </w:rPr>
            </w:pPr>
            <w:r>
              <w:rPr>
                <w:rFonts w:ascii="Calibri" w:cs="Calibri" w:eastAsia="Calibri" w:hAnsi="Calibri"/>
                <w:sz w:val="18"/>
                <w:szCs w:val="18"/>
                <w:b w:val="1"/>
                <w:bCs w:val="1"/>
                <w:color w:val="auto"/>
              </w:rPr>
              <w:t>December 31,</w:t>
            </w:r>
          </w:p>
        </w:tc>
        <w:tc>
          <w:tcPr>
            <w:tcW w:w="260" w:type="dxa"/>
            <w:vAlign w:val="bottom"/>
          </w:tcPr>
          <w:p>
            <w:pPr>
              <w:spacing w:after="0"/>
              <w:rPr>
                <w:sz w:val="19"/>
                <w:szCs w:val="19"/>
                <w:color w:val="auto"/>
              </w:rPr>
            </w:pPr>
          </w:p>
        </w:tc>
        <w:tc>
          <w:tcPr>
            <w:tcW w:w="1660" w:type="dxa"/>
            <w:vAlign w:val="bottom"/>
            <w:gridSpan w:val="2"/>
          </w:tcPr>
          <w:p>
            <w:pPr>
              <w:jc w:val="right"/>
              <w:ind w:right="50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630"/>
              <w:spacing w:after="0" w:line="216"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7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2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2022 First Lien Loan</w:t>
            </w: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1840" w:type="dxa"/>
            <w:vAlign w:val="bottom"/>
            <w:gridSpan w:val="2"/>
            <w:shd w:val="clear" w:color="auto" w:fill="CFF0FC"/>
          </w:tcPr>
          <w:p>
            <w:pPr>
              <w:jc w:val="right"/>
              <w:ind w:right="320"/>
              <w:spacing w:after="0" w:line="209"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5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270,188</w:t>
            </w:r>
          </w:p>
        </w:tc>
        <w:tc>
          <w:tcPr>
            <w:tcW w:w="100" w:type="dxa"/>
            <w:vAlign w:val="bottom"/>
            <w:shd w:val="clear" w:color="auto" w:fill="CFF0FC"/>
          </w:tcPr>
          <w:p>
            <w:pPr>
              <w:spacing w:after="0"/>
              <w:rPr>
                <w:sz w:val="18"/>
                <w:szCs w:val="18"/>
                <w:color w:val="auto"/>
              </w:rPr>
            </w:pPr>
          </w:p>
        </w:tc>
      </w:tr>
      <w:tr>
        <w:trPr>
          <w:trHeight w:val="215"/>
        </w:trPr>
        <w:tc>
          <w:tcPr>
            <w:tcW w:w="7240" w:type="dxa"/>
            <w:vAlign w:val="bottom"/>
          </w:tcPr>
          <w:p>
            <w:pPr>
              <w:ind w:left="20"/>
              <w:spacing w:after="0" w:line="215" w:lineRule="exact"/>
              <w:rPr>
                <w:sz w:val="20"/>
                <w:szCs w:val="20"/>
                <w:color w:val="auto"/>
              </w:rPr>
            </w:pPr>
            <w:r>
              <w:rPr>
                <w:rFonts w:ascii="Calibri" w:cs="Calibri" w:eastAsia="Calibri" w:hAnsi="Calibri"/>
                <w:sz w:val="18"/>
                <w:szCs w:val="18"/>
                <w:color w:val="auto"/>
              </w:rPr>
              <w:t>Shoko Chukin Bank Loan</w:t>
            </w:r>
          </w:p>
        </w:tc>
        <w:tc>
          <w:tcPr>
            <w:tcW w:w="240" w:type="dxa"/>
            <w:vAlign w:val="bottom"/>
          </w:tcPr>
          <w:p>
            <w:pPr>
              <w:spacing w:after="0"/>
              <w:rPr>
                <w:sz w:val="18"/>
                <w:szCs w:val="18"/>
                <w:color w:val="auto"/>
              </w:rPr>
            </w:pPr>
          </w:p>
        </w:tc>
        <w:tc>
          <w:tcPr>
            <w:tcW w:w="184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2,954</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2024 First Lien Loan</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393,025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09"/>
        </w:trPr>
        <w:tc>
          <w:tcPr>
            <w:tcW w:w="724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Outstanding debt</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393,025</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273,142</w:t>
            </w:r>
          </w:p>
        </w:tc>
        <w:tc>
          <w:tcPr>
            <w:tcW w:w="100" w:type="dxa"/>
            <w:vAlign w:val="bottom"/>
            <w:tcBorders>
              <w:top w:val="single" w:sz="8" w:color="CFF0FC"/>
            </w:tcBorders>
          </w:tcPr>
          <w:p>
            <w:pPr>
              <w:spacing w:after="0"/>
              <w:rPr>
                <w:sz w:val="18"/>
                <w:szCs w:val="18"/>
                <w:color w:val="auto"/>
              </w:rPr>
            </w:pPr>
          </w:p>
        </w:tc>
      </w:tr>
      <w:tr>
        <w:trPr>
          <w:trHeight w:val="216"/>
        </w:trPr>
        <w:tc>
          <w:tcPr>
            <w:tcW w:w="72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unamortzed debt issuance costs</w:t>
            </w: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(4,115 )</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(4,577 )</w:t>
            </w:r>
          </w:p>
        </w:tc>
      </w:tr>
      <w:tr>
        <w:trPr>
          <w:trHeight w:val="210"/>
        </w:trPr>
        <w:tc>
          <w:tcPr>
            <w:tcW w:w="724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Long-term debt</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388,910</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268,565</w:t>
            </w:r>
          </w:p>
        </w:tc>
        <w:tc>
          <w:tcPr>
            <w:tcW w:w="100" w:type="dxa"/>
            <w:vAlign w:val="bottom"/>
            <w:tcBorders>
              <w:top w:val="single" w:sz="8" w:color="CFF0FC"/>
            </w:tcBorders>
          </w:tcPr>
          <w:p>
            <w:pPr>
              <w:spacing w:after="0"/>
              <w:rPr>
                <w:sz w:val="18"/>
                <w:szCs w:val="18"/>
                <w:color w:val="auto"/>
              </w:rPr>
            </w:pPr>
          </w:p>
        </w:tc>
      </w:tr>
      <w:tr>
        <w:trPr>
          <w:trHeight w:val="216"/>
        </w:trPr>
        <w:tc>
          <w:tcPr>
            <w:tcW w:w="72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current maturites of long-term debt</w:t>
            </w: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(3,950 )</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(3,933 )</w:t>
            </w:r>
          </w:p>
        </w:tc>
      </w:tr>
      <w:tr>
        <w:trPr>
          <w:trHeight w:val="210"/>
        </w:trPr>
        <w:tc>
          <w:tcPr>
            <w:tcW w:w="724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Long-term debt – net</w:t>
            </w:r>
          </w:p>
        </w:tc>
        <w:tc>
          <w:tcPr>
            <w:tcW w:w="240" w:type="dxa"/>
            <w:vAlign w:val="bottom"/>
            <w:tcBorders>
              <w:top w:val="single" w:sz="8" w:color="auto"/>
              <w:bottom w:val="single" w:sz="8" w:color="auto"/>
            </w:tcBorders>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15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384,960</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10" w:lineRule="exact"/>
              <w:rPr>
                <w:sz w:val="20"/>
                <w:szCs w:val="20"/>
                <w:color w:val="auto"/>
              </w:rPr>
            </w:pPr>
            <w:r>
              <w:rPr>
                <w:rFonts w:ascii="Calibri" w:cs="Calibri" w:eastAsia="Calibri" w:hAnsi="Calibri"/>
                <w:sz w:val="18"/>
                <w:szCs w:val="18"/>
                <w:b w:val="1"/>
                <w:bCs w:val="1"/>
                <w:color w:val="auto"/>
                <w:w w:val="87"/>
              </w:rPr>
              <w:t>$</w:t>
            </w:r>
          </w:p>
        </w:tc>
        <w:tc>
          <w:tcPr>
            <w:tcW w:w="15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264,632</w:t>
            </w:r>
          </w:p>
        </w:tc>
        <w:tc>
          <w:tcPr>
            <w:tcW w:w="100" w:type="dxa"/>
            <w:vAlign w:val="bottom"/>
            <w:tcBorders>
              <w:top w:val="single" w:sz="8" w:color="CFF0FC"/>
            </w:tcBorders>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-736600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-454025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2017 Term Loans</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In June 2017, we entered into a $575.0 million frst lien debt facility comprising a $50.0 million revolving credit facility and a $525.0 million term loan (the “2017 First Lien Loan”), and a second lien credit facility comprising a $185.0 million second lien term loan (the “2017 Second Lien Loan” and, together with the 2017 First Lien Loan, the “2017 Term Loans”). In July 2018, we amended the 2017 First Lien Loan to upsize the commited amount by $115.0 million.</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October 2019, we repaid the 2017 Second Lien Loan in its entrety. The revolving credit facility component of the frst lien debt facility was retred in May 2020. In October 2021, we made an early principal payment related to the 2017 First Lien Loan of $148.2 million in connecton with, and using the proceeds from, the Merger Transacton and the PIPE Financing.</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3, 2022, we repaid $190.7 million of the 2017 First Lien Loan and refnanced the remaining balance with a new $275.0 million term loan (as discussed in the “2022 First Lien Loan” secton below).</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2022 First Lien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3, 2022, we amended the June 2017 First Lien Loan to refnance the remaining balance with a new $275.0 million term loan (the “2022 First Lien Loan”), which had an original maturity date of February 3, 2029, and added a $100.0 million revolving credit facility (the “Revolving Facility”) with a maturity date of February 3, 2027.</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terms of the 2022 First Lien Loan specifed a secured overnight fnancing rate (“SOFR”)-based foatng interest rate and contain a springing fnancial covenant that requires compliance with a frst lien net leverage rato when revolver borrowings exceed certain levels. All obligatons under the 2022 First Lien Loan were unconditonally guaranteed by Hoya Intermediate and substantally all of Hoya Intermediate’s existng and future direct and indirect wholly owned domestc subsidiaries (collectvely, the “Guarantors”). The 2022 First Lien Loan required quarterly amortzaton payments of $0.7 million. The Revolving Facility does not require periodic payments. All obligatons under the 2022 First Lien Loan were secured, subject to permited liens and other exceptons, by frst-priority perfected security interests in substantally all of our and the Guarantors’ assets. The 2022 First Lien Loan carried an interest rate of SOFR (subject to a 0.5% foor) plus a margin of 3.25%. The efectve interest rate on the 2022 First Lien Loan was 9.05% per annum at December 31, 2023.</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2022 First Lien Loan was held by third-party fnancial insttutons and was carried at the outstanding principal balance, less debt issuance costs and any unamortzed discount or premium. Because the fair value was estmated using quoted prices that were directly observable in the marketplace, it was estmated on a Level 2 basis. At December 31, 2023, the fair value of the 2022 First Lien Loan approximated its carrying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were subject to certain reportng and compliance-related covenants to remain in good standing under the 2022 First Lien Loan. These covenants, among other things, limited our ability to incur additonal indebtedness and, in certain circumstances, to enter into transactons with afliates, create liens, merge or consolidate, and make certain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2" w:name="page93"/>
    <w:bookmarkEnd w:id="9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payments. Non-compliance with these covenants and failure to remedy could have resulted in the acceleraton of the loans or foreclosure on the collateral. As of December 31, 2023, we were in compliance with all debt covenants related to the 2022 First Lien Loan and had no outstanding borrowings under the Revolving Facility.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2022, we recognized an expense of $4.3 million for losses incurred in relaton to the refnancing of the 2017 First Lien Loan with the 2022 First Lien Loan, which is recorded in Loss on extnguishment of debt in the Consolidated Statements of Operatons.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14, 2024, we refnanced the remaining $269.5 million balance of the 2022 First Lien Loan with a new $395.0 million term loan (as discussed in the “2024 First Lien Loan” secton below).</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Shoko Chukin Bank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Wavedash Acquisiton, we assumed the Shoko Chukin Bank Loan of JPY 458.3 million (approximately $3.1 million), which had an original maturity date of June 24, 2026 and was subject to a fxed interest rate of 1.27% per annum.</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Shoko Chukin Bank Loan was held by third-party fnancial insttutons and was carried at the outstanding principal balance, less debt issuance costs and any unamortzed discount or premium. Because the fair value was estmated using quoted prices that are directly observable in the marketplace, it was estmated on a Level 2 basis. At December 31, 2023, the fair value of the Shoko Chukin Bank Loan approximated its carrying value.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On April 4, 2024, we paid of the Shoko Chukin Bank Loan balance in its entrety.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2024 First Lien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14, 2024, we amended the 2022 First Lien Loan to refnance the remaining balance with a new $395.0 million term loan (the “2024 First Lien Loan”), which has a maturity date of February 3, 2029. The Revolving Facility was not impacted by the refnancing of the 2022 First Lien Loan with the 2024 First Lien Loan.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terms of the 2024 First Lien Loan specify a SOFR-based foatng interest rate and contain a springing fnancial covenant that requires compliance with a frst lien net leverage rato when revolver borrowings exceed certain levels. All obligatons under the 2024 Lien Loan are unconditonally guaranteed by the Guarantors. The 2024 First Lien Loan requires quarterly amortzaton payments of $1.0 million. All obligatons under the 2024 First Lien Loan are secured, subject to permited liens and other exceptons, by frst-priority perfected security interests in substantally all of our and the Guarantors’ assets. The 2024 First Lien Loan carries an interest rate of SOFR (subject to a 0.5% foor) plus a margin of 3.00%;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such margin may be reduced to 2.75% if the corporate ratng assigned to us by Moody’s Investors Service, Inc. and S&amp;P Global Ratngs is at least Ba3/BB- (in each case, stable or beter). The efectve interest rate on the 2024 First Lien Loan was 7.89% per annum at December 31, 2024.</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2024 First Lien Loan is held by third-party fnancial insttutons and is carried at the outstanding principal balance, less debt issuance costs and any unamortzed discount or premium. Because the fair value was estmated using quoted prices that are directly observable in the marketplace, it is estmated on a Level 2 basis. At December 31, 2024, the fair value of the 2024 First Lien Loan approximated its carrying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certain reportng and compliance-related covenants to remain in good standing under the 2024 First Lien Loan. These covenants, among other things, limit our ability to incur additonal indebtedness and, in certain circumstances, to enter into transactons with afliates, create liens, merge or consolidate, and make certain payments. Non-compliance with these covenants and failure to remedy could result in the acceleraton of the loans or foreclosure on the collateral. As of December 31, 2024, we were in compliance with all debt covenants related to the 2024 First Lien Loan and had no outstanding borrowings under the Revolving Facility.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refnancing of the 2022 First Lien Loan with the 2024 First Lien Loan was accounted for as a debt modifcaton (the “First Lien Loan Modifcaton”). During the year ended December 31, 2024, we recognized an expense of $1.7 million for third-party fees incurred in relaton to the First Lien Loan Modifcaton, which is recorded in Other income – net in the Consolidated Statements of Operatons.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3" w:name="page94"/>
    <w:bookmarkEnd w:id="9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5, 2025, we amended the 2024 First Lien Loan to reprice all $393.0 million of the then-outstanding balance. See Note 23, </w:t>
      </w:r>
      <w:r>
        <w:rPr>
          <w:rFonts w:ascii="Calibri" w:cs="Calibri" w:eastAsia="Calibri" w:hAnsi="Calibri"/>
          <w:sz w:val="18"/>
          <w:szCs w:val="18"/>
          <w:i w:val="1"/>
          <w:iCs w:val="1"/>
          <w:color w:val="auto"/>
        </w:rPr>
        <w:t>Subsequent Events</w:t>
      </w:r>
      <w:r>
        <w:rPr>
          <w:rFonts w:ascii="Calibri" w:cs="Calibri" w:eastAsia="Calibri" w:hAnsi="Calibri"/>
          <w:sz w:val="18"/>
          <w:szCs w:val="18"/>
          <w:color w:val="auto"/>
        </w:rPr>
        <w:t>, for more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Future Maturites of Outstanding Debt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the future maturites of our outstanding debt, which entrely consists of the 2024 First Lien Loan, as of December 31, 2024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80" w:type="dxa"/>
            <w:vAlign w:val="bottom"/>
            <w:gridSpan w:val="2"/>
          </w:tcPr>
          <w:p>
            <w:pPr>
              <w:ind w:left="380"/>
              <w:spacing w:after="0"/>
              <w:rPr>
                <w:sz w:val="20"/>
                <w:szCs w:val="20"/>
                <w:color w:val="auto"/>
              </w:rPr>
            </w:pPr>
            <w:r>
              <w:rPr>
                <w:rFonts w:ascii="Calibri" w:cs="Calibri" w:eastAsia="Calibri" w:hAnsi="Calibri"/>
                <w:sz w:val="18"/>
                <w:szCs w:val="18"/>
                <w:b w:val="1"/>
                <w:bCs w:val="1"/>
                <w:color w:val="auto"/>
              </w:rPr>
              <w:t>2024 First Lien Loan</w:t>
            </w:r>
          </w:p>
        </w:tc>
      </w:tr>
      <w:tr>
        <w:trPr>
          <w:trHeight w:val="23"/>
        </w:trPr>
        <w:tc>
          <w:tcPr>
            <w:tcW w:w="79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9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2025</w:t>
            </w:r>
          </w:p>
        </w:tc>
        <w:tc>
          <w:tcPr>
            <w:tcW w:w="480" w:type="dxa"/>
            <w:vAlign w:val="bottom"/>
            <w:shd w:val="clear" w:color="auto" w:fill="CFF0FC"/>
          </w:tcPr>
          <w:p>
            <w:pPr>
              <w:jc w:val="right"/>
              <w:ind w:right="290"/>
              <w:spacing w:after="0" w:line="209" w:lineRule="exact"/>
              <w:rPr>
                <w:sz w:val="20"/>
                <w:szCs w:val="20"/>
                <w:color w:val="auto"/>
              </w:rPr>
            </w:pPr>
            <w:r>
              <w:rPr>
                <w:rFonts w:ascii="Calibri" w:cs="Calibri" w:eastAsia="Calibri" w:hAnsi="Calibri"/>
                <w:sz w:val="18"/>
                <w:szCs w:val="18"/>
                <w:color w:val="auto"/>
                <w:w w:val="87"/>
              </w:rPr>
              <w:t>$</w:t>
            </w:r>
          </w:p>
        </w:tc>
        <w:tc>
          <w:tcPr>
            <w:tcW w:w="26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3,950</w:t>
            </w:r>
          </w:p>
        </w:tc>
        <w:tc>
          <w:tcPr>
            <w:tcW w:w="100" w:type="dxa"/>
            <w:vAlign w:val="bottom"/>
            <w:shd w:val="clear" w:color="auto" w:fill="CFF0FC"/>
          </w:tcPr>
          <w:p>
            <w:pPr>
              <w:spacing w:after="0"/>
              <w:rPr>
                <w:sz w:val="18"/>
                <w:szCs w:val="18"/>
                <w:color w:val="auto"/>
              </w:rPr>
            </w:pPr>
          </w:p>
        </w:tc>
      </w:tr>
      <w:tr>
        <w:trPr>
          <w:trHeight w:val="215"/>
        </w:trPr>
        <w:tc>
          <w:tcPr>
            <w:tcW w:w="798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480" w:type="dxa"/>
            <w:vAlign w:val="bottom"/>
          </w:tcPr>
          <w:p>
            <w:pPr>
              <w:spacing w:after="0"/>
              <w:rPr>
                <w:sz w:val="18"/>
                <w:szCs w:val="18"/>
                <w:color w:val="auto"/>
              </w:rPr>
            </w:pPr>
          </w:p>
        </w:tc>
        <w:tc>
          <w:tcPr>
            <w:tcW w:w="2680" w:type="dxa"/>
            <w:vAlign w:val="bottom"/>
          </w:tcPr>
          <w:p>
            <w:pPr>
              <w:jc w:val="right"/>
              <w:spacing w:after="0" w:line="215" w:lineRule="exact"/>
              <w:rPr>
                <w:sz w:val="20"/>
                <w:szCs w:val="20"/>
                <w:color w:val="auto"/>
              </w:rPr>
            </w:pPr>
            <w:r>
              <w:rPr>
                <w:rFonts w:ascii="Calibri" w:cs="Calibri" w:eastAsia="Calibri" w:hAnsi="Calibri"/>
                <w:sz w:val="18"/>
                <w:szCs w:val="18"/>
                <w:color w:val="auto"/>
              </w:rPr>
              <w:t>3,950</w:t>
            </w:r>
          </w:p>
        </w:tc>
        <w:tc>
          <w:tcPr>
            <w:tcW w:w="100" w:type="dxa"/>
            <w:vAlign w:val="bottom"/>
          </w:tcPr>
          <w:p>
            <w:pPr>
              <w:spacing w:after="0"/>
              <w:rPr>
                <w:sz w:val="18"/>
                <w:szCs w:val="18"/>
                <w:color w:val="auto"/>
              </w:rPr>
            </w:pPr>
          </w:p>
        </w:tc>
      </w:tr>
      <w:tr>
        <w:trPr>
          <w:trHeight w:val="217"/>
        </w:trPr>
        <w:tc>
          <w:tcPr>
            <w:tcW w:w="79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480" w:type="dxa"/>
            <w:vAlign w:val="bottom"/>
            <w:shd w:val="clear" w:color="auto" w:fill="CFF0FC"/>
          </w:tcPr>
          <w:p>
            <w:pPr>
              <w:spacing w:after="0"/>
              <w:rPr>
                <w:sz w:val="18"/>
                <w:szCs w:val="18"/>
                <w:color w:val="auto"/>
              </w:rPr>
            </w:pPr>
          </w:p>
        </w:tc>
        <w:tc>
          <w:tcPr>
            <w:tcW w:w="2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3,950</w:t>
            </w:r>
          </w:p>
        </w:tc>
        <w:tc>
          <w:tcPr>
            <w:tcW w:w="100" w:type="dxa"/>
            <w:vAlign w:val="bottom"/>
            <w:shd w:val="clear" w:color="auto" w:fill="CFF0FC"/>
          </w:tcPr>
          <w:p>
            <w:pPr>
              <w:spacing w:after="0"/>
              <w:rPr>
                <w:sz w:val="18"/>
                <w:szCs w:val="18"/>
                <w:color w:val="auto"/>
              </w:rPr>
            </w:pPr>
          </w:p>
        </w:tc>
      </w:tr>
      <w:tr>
        <w:trPr>
          <w:trHeight w:val="215"/>
        </w:trPr>
        <w:tc>
          <w:tcPr>
            <w:tcW w:w="798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480" w:type="dxa"/>
            <w:vAlign w:val="bottom"/>
          </w:tcPr>
          <w:p>
            <w:pPr>
              <w:spacing w:after="0"/>
              <w:rPr>
                <w:sz w:val="18"/>
                <w:szCs w:val="18"/>
                <w:color w:val="auto"/>
              </w:rPr>
            </w:pPr>
          </w:p>
        </w:tc>
        <w:tc>
          <w:tcPr>
            <w:tcW w:w="2680" w:type="dxa"/>
            <w:vAlign w:val="bottom"/>
          </w:tcPr>
          <w:p>
            <w:pPr>
              <w:jc w:val="right"/>
              <w:spacing w:after="0" w:line="215" w:lineRule="exact"/>
              <w:rPr>
                <w:sz w:val="20"/>
                <w:szCs w:val="20"/>
                <w:color w:val="auto"/>
              </w:rPr>
            </w:pPr>
            <w:r>
              <w:rPr>
                <w:rFonts w:ascii="Calibri" w:cs="Calibri" w:eastAsia="Calibri" w:hAnsi="Calibri"/>
                <w:sz w:val="18"/>
                <w:szCs w:val="18"/>
                <w:color w:val="auto"/>
              </w:rPr>
              <w:t>3,950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480" w:type="dxa"/>
            <w:vAlign w:val="bottom"/>
            <w:tcBorders>
              <w:bottom w:val="single" w:sz="8" w:color="auto"/>
            </w:tcBorders>
            <w:shd w:val="clear" w:color="auto" w:fill="CFF0FC"/>
          </w:tcPr>
          <w:p>
            <w:pPr>
              <w:spacing w:after="0"/>
              <w:rPr>
                <w:sz w:val="18"/>
                <w:szCs w:val="18"/>
                <w:color w:val="auto"/>
              </w:rPr>
            </w:pPr>
          </w:p>
        </w:tc>
        <w:tc>
          <w:tcPr>
            <w:tcW w:w="2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377,225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Future maturites of outstanding debt</w:t>
            </w:r>
          </w:p>
        </w:tc>
        <w:tc>
          <w:tcPr>
            <w:tcW w:w="480" w:type="dxa"/>
            <w:vAlign w:val="bottom"/>
            <w:tcBorders>
              <w:bottom w:val="single" w:sz="8" w:color="auto"/>
            </w:tcBorders>
          </w:tcPr>
          <w:p>
            <w:pPr>
              <w:jc w:val="right"/>
              <w:ind w:right="290"/>
              <w:spacing w:after="0" w:line="210" w:lineRule="exact"/>
              <w:rPr>
                <w:sz w:val="20"/>
                <w:szCs w:val="20"/>
                <w:color w:val="auto"/>
              </w:rPr>
            </w:pPr>
            <w:r>
              <w:rPr>
                <w:rFonts w:ascii="Calibri" w:cs="Calibri" w:eastAsia="Calibri" w:hAnsi="Calibri"/>
                <w:sz w:val="18"/>
                <w:szCs w:val="18"/>
                <w:b w:val="1"/>
                <w:bCs w:val="1"/>
                <w:color w:val="auto"/>
                <w:w w:val="87"/>
              </w:rPr>
              <w:t>$</w:t>
            </w:r>
          </w:p>
        </w:tc>
        <w:tc>
          <w:tcPr>
            <w:tcW w:w="26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393,025</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Employee Benefit Plan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defned contributon and proft-sharing 401(k) plan that covers substantally all employees who meet eligibility requirements. Partcipants may contribute to the plan, through regular payroll deductons, an amount subject to limitatons imposed by the Internal Revenue Service. The plan also provides for discretonary proft-sharing contributons and matching contributons. We contributed approximately $2.2 million, $1.6 million, and $1.3 million in matching contributons for the years ended December 31, 2024, 2023, and 2022, respectvely, which is recorded in General and administratve expenses in the Consolidated Statements of Operatons. For the years ended December 31, 2024, 2023, and 2022, there were no discretonary proft-sharing contributons.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Financial Instruments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issued the following warrants during the year ended December 31, 2021 in connecton with the Merger Transacton: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Public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issued to former Horizon warrant holders Public Warrants to purchase 18,132,776 shares of Class A common stock at an exercise price of $11.50 per share, 5,166,666 of which were issued to Horizon Sponsor. The Public Warrants are traded on the Nasdaq Global Select Market under the symbol “SEATW.”</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26, 2022, we announced the commencement of an ofer to the holders of outstanding Public Warrants to receive 0.24 shares of Class A common stock in exchange for each properly tendered outstanding Public Warrant (the “Ofer”). On July 5, 2022, 11,365,913 Public Warrants were tendered in exchange for 2,727,785 shares of Class A common stock (the “Exchange”). Following the Exchange, 6,766,853 Public Warrants remained outstanding. During the year ended December 31, 2022, 10 Public Warrants were exercised. The exercise of the Public Warrants is accounted for as an equity transacton and is recorded in Additonal paid-in capital in the Consolidated Balance Sheets.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there were 6,766,853 Public Warrants outstanding.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in our sole discreton, reduce the exercise price of the Public Warrants to induce early exercise, provided that we provide at least fve days’ advance notce. The exercise price and number of shares of Class A common stock issuable upon exercise of the Public Warrants may also be adjusted in certain circumstances including in the event of a share dividend, recapitalizaton, reorganizaton, merger, or consolidaton. In no event are we required to net cash setle the Public Warrants.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Public Warrants became exercisable 30 days following the Merger Transacton and expire at the earliest of the date that is fve years following the Merger Transacton, the date of our liquidaton, or the date of our optonal redempton thereof provided that the value of the Class A common stock exceeds $18.00 per share. There is 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4" w:name="page95"/>
    <w:bookmarkEnd w:id="9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auto"/>
        </w:rPr>
        <w:t>efectve registraton statement and prospectus relatng to the shares of Class A common stock issuable upon exercise of the Public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certain circumstances, we may elect to redeem the Public Warrants at a redempton price of $0.01 per Public Warrant at any tme during the term of the Public Warrants in which the trading price of the Class A common stock has been at least $18.00 per share for 20 trading days within a 30 trading-day period. If we elect to redeem the Public Warrants, we must notfy the Public Warrant holders in advance, who would then have at least 30 days from the date of such notfcaton to exercise their respectve Public Warrants. Any Public Warrants not exercised within that 30-day period will be redeemed pursuant to this provision.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Private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issued to Horizon Sponsor Private Warrants to purchase 6,519,791 shares of Class A common stock at an exercise price of $11.50 per share. The Private Warrants have similar terms to the Public Warrants, with the most notable diference relatng to the fact that we are unable to redeem the Private Warrants.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there were 6,519,791 Private Warrants outstanding.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Merger Transacton, we modifed the terms of the Private Warrants. The modifcaton did not result in a transfer of incremental value to the holders of the Private Warrants.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Exercise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we issued to Horizon Sponsor (i) $10 Exercise Warrants to purchase 17,000,000 shares of Class A common stock at an exercise price of $10.00 per share and (ii) $15 Exercise Warrants to purchase 17,000,000 shares of Class A common stock at an exercise of $15.00 per share. The Exercise Warrants have similar terms to the Public Warrants, except that they have diferent exercise prices, an inital term of 10 years, are not redeemable by us and are fully transferable.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there were 34,000,000 Exercise Warrants outstanding (comprised of 17,000,000 $10 Exercise Warrants and 17,000,000 $15 Exercise Warrants).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Mirror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Hoya Intermediate issued to us warrants to purchase 17,000,000 Intermediate Units at an exercise price of $10.00 per unit (the “$10 Mirror Warrants”), warrants to purchase 17,000,000 Intermediate Units at an exercise of $15.00 per unit (the “$15 Mirror Warrants”), warrants to purchase 24,652,557 Intermediate Units at an exercise price of $11.50 per unit (the “$11.50 Mirror Warrants” and, together with the $10 Mirror Warrants and the $15 Mirror Warrants, the “Mirror Warrants”). The number and terms of the Mirror Warrants are identcal to the Public, Private, and Exercise Warrants. Upon the valid exercise of a Public, Private, or Exercise Warrant, Hoya Intermediate will issue to us an equivalent number of Intermediate Units. Similarly, if a Public, Private, or Exercise Warrant is tendered, an equivalent number of Mirror Warrants will be tendered. In connecton with the Exchange, we tendered 11,365,913 $11.50 Mirror Warrants and received 2,727,785 Intermediate Units.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there were 47,286,644 Mirror Warrants outstanding (comprised of 17,000,000 $10 Mirror Warrants, 17,000,000 $15 Mirror Warrants, and 13,286,644 $11.50 Mirror Warrants).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Because the Public, Private, and Exercise Warrants are indexed to our equity and meet the equity classifcaton guidance of ASC Topic 815-40, </w:t>
      </w:r>
      <w:r>
        <w:rPr>
          <w:rFonts w:ascii="Calibri" w:cs="Calibri" w:eastAsia="Calibri" w:hAnsi="Calibri"/>
          <w:sz w:val="18"/>
          <w:szCs w:val="18"/>
          <w:i w:val="1"/>
          <w:iCs w:val="1"/>
          <w:color w:val="auto"/>
        </w:rPr>
        <w:t>Accountng for</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Convertble Instruments and Contracts in an Entty’s Own Equity, </w:t>
      </w:r>
      <w:r>
        <w:rPr>
          <w:rFonts w:ascii="Calibri" w:cs="Calibri" w:eastAsia="Calibri" w:hAnsi="Calibri"/>
          <w:sz w:val="18"/>
          <w:szCs w:val="18"/>
          <w:color w:val="auto"/>
        </w:rPr>
        <w:t>they are accounted for as a component of Shareholders' equity and recorded in Additonal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paid-in capital in the Consolidated Balance Sheets. The Mirror Warrants eliminate in consolidaton and do not impact the presentaton of our consolidated fnancial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5" w:name="page96"/>
    <w:bookmarkEnd w:id="9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Intermediate Warrants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Merger Transacton, Hoya Intermediate issued to Hoya Topco (i) $10 Intermediate Warrants to purchase 3,000,000 Intermediate Units at an exercise price of $10.00 per unit and (ii) $15 Intermediate Warrants to purchase 3,000,000 Intermediate Units at an exercise price of $15.00 per unit. A porton of the Intermediate Warrants (the Opton Contngent Warrants, which consisted of 1,000,000 $10 Intermediate Warrants and 1,000,000 $15 Intermediate Warrants) were issued in tandem with the Management Optons that we issued to members of our management team and would only become exercisable by Hoya Topco if a Management Opton was forfeited or expired unexercised.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the Intermediate Warrants allow for cash redempton at the opton of the warrant holder, they are recorded in Other liabilites in the Consolidated Balance Sheets. Upon consummaton of the Merger Transacton, the fair value of the Intermediate Warrants was determined using the Black-Scholes model and estmated at $20.4 million (including $1.6 million of Opton Contngent Warrants), for which we recorded a warrant liability. The estmated fair value of the Opton Contngent Warrants was adjusted to refect the probability of forfeiture of the Management Optons based on historical forfeiture rates for Hoya Topco profts interests.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7, 2023, Hoya Topco voluntarily terminated all 2,000,000 of the Opton Contngent Warrants. Immediately before such terminaton, the fair value of the liability related to the Opton Contngent Warrants was determined using the Black-Scholes model and estmated at $1.1 million. Upon terminaton, this liability was reduced to zero, with an equivalent increase recorded to Redeemable noncontrolling interests.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there were 4,000,000 Intermediate Warrants outstanding (comprised of 2,000,000 $10 Intermediate Warrants and 2,000,000 $15 Intermediate Warrants).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the Intermediate Warrants at December 31, 2024 and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40" w:type="dxa"/>
            <w:vAlign w:val="bottom"/>
          </w:tcPr>
          <w:p>
            <w:pPr>
              <w:spacing w:after="0"/>
              <w:rPr>
                <w:sz w:val="19"/>
                <w:szCs w:val="19"/>
                <w:color w:val="auto"/>
              </w:rPr>
            </w:pPr>
          </w:p>
        </w:tc>
        <w:tc>
          <w:tcPr>
            <w:tcW w:w="1620" w:type="dxa"/>
            <w:vAlign w:val="bottom"/>
          </w:tcPr>
          <w:p>
            <w:pPr>
              <w:ind w:left="480"/>
              <w:spacing w:after="0"/>
              <w:rPr>
                <w:sz w:val="20"/>
                <w:szCs w:val="20"/>
                <w:color w:val="auto"/>
              </w:rPr>
            </w:pPr>
            <w:r>
              <w:rPr>
                <w:rFonts w:ascii="Calibri" w:cs="Calibri" w:eastAsia="Calibri" w:hAnsi="Calibri"/>
                <w:sz w:val="18"/>
                <w:szCs w:val="18"/>
                <w:b w:val="1"/>
                <w:bCs w:val="1"/>
                <w:color w:val="auto"/>
              </w:rPr>
              <w:t>December 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gridSpan w:val="2"/>
          </w:tcPr>
          <w:p>
            <w:pPr>
              <w:ind w:left="44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6940" w:type="dxa"/>
            <w:vAlign w:val="bottom"/>
          </w:tcPr>
          <w:p>
            <w:pPr>
              <w:spacing w:after="0"/>
              <w:rPr>
                <w:sz w:val="18"/>
                <w:szCs w:val="18"/>
                <w:color w:val="auto"/>
              </w:rPr>
            </w:pPr>
          </w:p>
        </w:tc>
        <w:tc>
          <w:tcPr>
            <w:tcW w:w="1620" w:type="dxa"/>
            <w:vAlign w:val="bottom"/>
          </w:tcPr>
          <w:p>
            <w:pPr>
              <w:jc w:val="center"/>
              <w:ind w:left="250"/>
              <w:spacing w:after="0" w:line="216" w:lineRule="exact"/>
              <w:rPr>
                <w:sz w:val="20"/>
                <w:szCs w:val="20"/>
                <w:color w:val="auto"/>
              </w:rPr>
            </w:pPr>
            <w:r>
              <w:rPr>
                <w:rFonts w:ascii="Calibri" w:cs="Calibri" w:eastAsia="Calibri" w:hAnsi="Calibri"/>
                <w:sz w:val="18"/>
                <w:szCs w:val="18"/>
                <w:b w:val="1"/>
                <w:bCs w:val="1"/>
                <w:color w:val="auto"/>
                <w:w w:val="98"/>
              </w:rPr>
              <w:t>2024</w:t>
            </w:r>
          </w:p>
        </w:tc>
        <w:tc>
          <w:tcPr>
            <w:tcW w:w="340" w:type="dxa"/>
            <w:vAlign w:val="bottom"/>
          </w:tcPr>
          <w:p>
            <w:pPr>
              <w:spacing w:after="0"/>
              <w:rPr>
                <w:sz w:val="18"/>
                <w:szCs w:val="18"/>
                <w:color w:val="auto"/>
              </w:rPr>
            </w:pPr>
          </w:p>
        </w:tc>
        <w:tc>
          <w:tcPr>
            <w:tcW w:w="2240" w:type="dxa"/>
            <w:vAlign w:val="bottom"/>
            <w:gridSpan w:val="2"/>
          </w:tcPr>
          <w:p>
            <w:pPr>
              <w:jc w:val="center"/>
              <w:ind w:left="23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100" w:type="dxa"/>
            <w:vAlign w:val="bottom"/>
          </w:tcPr>
          <w:p>
            <w:pPr>
              <w:spacing w:after="0"/>
              <w:rPr>
                <w:sz w:val="18"/>
                <w:szCs w:val="18"/>
                <w:color w:val="auto"/>
              </w:rPr>
            </w:pPr>
          </w:p>
        </w:tc>
      </w:tr>
      <w:tr>
        <w:trPr>
          <w:trHeight w:val="23"/>
        </w:trPr>
        <w:tc>
          <w:tcPr>
            <w:tcW w:w="69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9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Expected term (years)</w:t>
            </w:r>
          </w:p>
        </w:tc>
        <w:tc>
          <w:tcPr>
            <w:tcW w:w="1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6.8</w:t>
            </w:r>
          </w:p>
        </w:tc>
        <w:tc>
          <w:tcPr>
            <w:tcW w:w="224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7.8</w:t>
            </w:r>
          </w:p>
        </w:tc>
        <w:tc>
          <w:tcPr>
            <w:tcW w:w="100" w:type="dxa"/>
            <w:vAlign w:val="bottom"/>
            <w:shd w:val="clear" w:color="auto" w:fill="CFF0FC"/>
          </w:tcPr>
          <w:p>
            <w:pPr>
              <w:spacing w:after="0"/>
              <w:rPr>
                <w:sz w:val="18"/>
                <w:szCs w:val="18"/>
                <w:color w:val="auto"/>
              </w:rPr>
            </w:pPr>
          </w:p>
        </w:tc>
      </w:tr>
      <w:tr>
        <w:trPr>
          <w:trHeight w:val="215"/>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volatlity</w:t>
            </w:r>
          </w:p>
        </w:tc>
        <w:tc>
          <w:tcPr>
            <w:tcW w:w="1620" w:type="dxa"/>
            <w:vAlign w:val="bottom"/>
          </w:tcPr>
          <w:p>
            <w:pPr>
              <w:jc w:val="center"/>
              <w:ind w:left="250"/>
              <w:spacing w:after="0" w:line="215" w:lineRule="exact"/>
              <w:rPr>
                <w:sz w:val="20"/>
                <w:szCs w:val="20"/>
                <w:color w:val="auto"/>
              </w:rPr>
            </w:pPr>
            <w:r>
              <w:rPr>
                <w:rFonts w:ascii="Calibri" w:cs="Calibri" w:eastAsia="Calibri" w:hAnsi="Calibri"/>
                <w:sz w:val="18"/>
                <w:szCs w:val="18"/>
                <w:color w:val="auto"/>
                <w:w w:val="98"/>
              </w:rPr>
              <w:t>52.0%</w:t>
            </w:r>
          </w:p>
        </w:tc>
        <w:tc>
          <w:tcPr>
            <w:tcW w:w="340" w:type="dxa"/>
            <w:vAlign w:val="bottom"/>
          </w:tcPr>
          <w:p>
            <w:pPr>
              <w:spacing w:after="0"/>
              <w:rPr>
                <w:sz w:val="18"/>
                <w:szCs w:val="18"/>
                <w:color w:val="auto"/>
              </w:rPr>
            </w:pPr>
          </w:p>
        </w:tc>
        <w:tc>
          <w:tcPr>
            <w:tcW w:w="2240" w:type="dxa"/>
            <w:vAlign w:val="bottom"/>
            <w:gridSpan w:val="2"/>
          </w:tcPr>
          <w:p>
            <w:pPr>
              <w:jc w:val="center"/>
              <w:ind w:left="230"/>
              <w:spacing w:after="0" w:line="215" w:lineRule="exact"/>
              <w:rPr>
                <w:sz w:val="20"/>
                <w:szCs w:val="20"/>
                <w:color w:val="auto"/>
              </w:rPr>
            </w:pPr>
            <w:r>
              <w:rPr>
                <w:rFonts w:ascii="Calibri" w:cs="Calibri" w:eastAsia="Calibri" w:hAnsi="Calibri"/>
                <w:sz w:val="18"/>
                <w:szCs w:val="18"/>
                <w:color w:val="auto"/>
                <w:w w:val="98"/>
              </w:rPr>
              <w:t>48.0%</w:t>
            </w:r>
          </w:p>
        </w:tc>
        <w:tc>
          <w:tcPr>
            <w:tcW w:w="100" w:type="dxa"/>
            <w:vAlign w:val="bottom"/>
          </w:tcPr>
          <w:p>
            <w:pPr>
              <w:spacing w:after="0"/>
              <w:rPr>
                <w:sz w:val="18"/>
                <w:szCs w:val="18"/>
                <w:color w:val="auto"/>
              </w:rPr>
            </w:pPr>
          </w:p>
        </w:tc>
      </w:tr>
      <w:tr>
        <w:trPr>
          <w:trHeight w:val="217"/>
        </w:trPr>
        <w:tc>
          <w:tcPr>
            <w:tcW w:w="69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Risk-free rate</w:t>
            </w:r>
          </w:p>
        </w:tc>
        <w:tc>
          <w:tcPr>
            <w:tcW w:w="1620" w:type="dxa"/>
            <w:vAlign w:val="bottom"/>
            <w:shd w:val="clear" w:color="auto" w:fill="CFF0FC"/>
          </w:tcPr>
          <w:p>
            <w:pPr>
              <w:jc w:val="center"/>
              <w:ind w:left="270"/>
              <w:spacing w:after="0" w:line="216" w:lineRule="exact"/>
              <w:rPr>
                <w:sz w:val="20"/>
                <w:szCs w:val="20"/>
                <w:color w:val="auto"/>
              </w:rPr>
            </w:pPr>
            <w:r>
              <w:rPr>
                <w:rFonts w:ascii="Calibri" w:cs="Calibri" w:eastAsia="Calibri" w:hAnsi="Calibri"/>
                <w:sz w:val="18"/>
                <w:szCs w:val="18"/>
                <w:color w:val="auto"/>
                <w:w w:val="95"/>
              </w:rPr>
              <w:t>4.5%</w:t>
            </w:r>
          </w:p>
        </w:tc>
        <w:tc>
          <w:tcPr>
            <w:tcW w:w="34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center"/>
              <w:ind w:left="250"/>
              <w:spacing w:after="0" w:line="216" w:lineRule="exact"/>
              <w:rPr>
                <w:sz w:val="20"/>
                <w:szCs w:val="20"/>
                <w:color w:val="auto"/>
              </w:rPr>
            </w:pPr>
            <w:r>
              <w:rPr>
                <w:rFonts w:ascii="Calibri" w:cs="Calibri" w:eastAsia="Calibri" w:hAnsi="Calibri"/>
                <w:sz w:val="18"/>
                <w:szCs w:val="18"/>
                <w:color w:val="auto"/>
                <w:w w:val="95"/>
              </w:rPr>
              <w:t>3.9%</w:t>
            </w:r>
          </w:p>
        </w:tc>
        <w:tc>
          <w:tcPr>
            <w:tcW w:w="100" w:type="dxa"/>
            <w:vAlign w:val="bottom"/>
            <w:shd w:val="clear" w:color="auto" w:fill="CFF0FC"/>
          </w:tcPr>
          <w:p>
            <w:pPr>
              <w:spacing w:after="0"/>
              <w:rPr>
                <w:sz w:val="18"/>
                <w:szCs w:val="18"/>
                <w:color w:val="auto"/>
              </w:rPr>
            </w:pPr>
          </w:p>
        </w:tc>
      </w:tr>
      <w:tr>
        <w:trPr>
          <w:trHeight w:val="215"/>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dividend yield</w:t>
            </w:r>
          </w:p>
        </w:tc>
        <w:tc>
          <w:tcPr>
            <w:tcW w:w="1620" w:type="dxa"/>
            <w:vAlign w:val="bottom"/>
          </w:tcPr>
          <w:p>
            <w:pPr>
              <w:jc w:val="center"/>
              <w:ind w:left="270"/>
              <w:spacing w:after="0" w:line="215" w:lineRule="exact"/>
              <w:rPr>
                <w:sz w:val="20"/>
                <w:szCs w:val="20"/>
                <w:color w:val="auto"/>
              </w:rPr>
            </w:pPr>
            <w:r>
              <w:rPr>
                <w:rFonts w:ascii="Calibri" w:cs="Calibri" w:eastAsia="Calibri" w:hAnsi="Calibri"/>
                <w:sz w:val="18"/>
                <w:szCs w:val="18"/>
                <w:color w:val="auto"/>
                <w:w w:val="95"/>
              </w:rPr>
              <w:t>0.0%</w:t>
            </w:r>
          </w:p>
        </w:tc>
        <w:tc>
          <w:tcPr>
            <w:tcW w:w="340" w:type="dxa"/>
            <w:vAlign w:val="bottom"/>
          </w:tcPr>
          <w:p>
            <w:pPr>
              <w:spacing w:after="0"/>
              <w:rPr>
                <w:sz w:val="18"/>
                <w:szCs w:val="18"/>
                <w:color w:val="auto"/>
              </w:rPr>
            </w:pPr>
          </w:p>
        </w:tc>
        <w:tc>
          <w:tcPr>
            <w:tcW w:w="2240" w:type="dxa"/>
            <w:vAlign w:val="bottom"/>
            <w:gridSpan w:val="2"/>
          </w:tcPr>
          <w:p>
            <w:pPr>
              <w:jc w:val="center"/>
              <w:ind w:left="250"/>
              <w:spacing w:after="0" w:line="215" w:lineRule="exact"/>
              <w:rPr>
                <w:sz w:val="20"/>
                <w:szCs w:val="20"/>
                <w:color w:val="auto"/>
              </w:rPr>
            </w:pPr>
            <w:r>
              <w:rPr>
                <w:rFonts w:ascii="Calibri" w:cs="Calibri" w:eastAsia="Calibri" w:hAnsi="Calibri"/>
                <w:sz w:val="18"/>
                <w:szCs w:val="18"/>
                <w:color w:val="auto"/>
                <w:w w:val="95"/>
              </w:rPr>
              <w:t>0.0%</w:t>
            </w:r>
          </w:p>
        </w:tc>
        <w:tc>
          <w:tcPr>
            <w:tcW w:w="100" w:type="dxa"/>
            <w:vAlign w:val="bottom"/>
          </w:tcPr>
          <w:p>
            <w:pPr>
              <w:spacing w:after="0"/>
              <w:rPr>
                <w:sz w:val="18"/>
                <w:szCs w:val="18"/>
                <w:color w:val="auto"/>
              </w:rPr>
            </w:pPr>
          </w:p>
        </w:tc>
      </w:tr>
    </w:tbl>
    <w:p>
      <w:pPr>
        <w:spacing w:after="0" w:line="8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2024 and 2023, the fair value of the Intermediate Warrants decreased by $4.0 million and $1.0 million, respectvely. For the year ended December 31, 2022, the fair value of the Intermediate Warrants (including the Opton Contngent Warrants) decreased by $8.2 million. The change in fair value of the Intermediate Warrants (including, for the year ended December 31, 2022, the Opton Contngent Warrants) is recorded in Other income – net in the Consolidated Statements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Upon the valid exercise of an Intermediate Warrant for Intermediate Units, we will issue an equivalent number of shares of our Class B common stock to Hoya Topco.</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Redeemable noncontrolling Interests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Hoya Topco held 100% of our Class B common stock and 36.6% of the Intermediate Units, representng a redeemable noncontrolling interest in VSI. At its sole discreton, Hoya Topco has the right to exchange its Intermediate Units for shares of our Class A common stock on a one-to-one basis or for cash proceeds of equal value at the tme of redempton. If Hoya Topco elects the redempton to be setled in cash: (i) the cash used to setle the redempton must be funded through a private or public ofering of our Class A common stock; and (ii) the redempton must be approved by our Board of Directors (our “Board”).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Net income atributable to redeemable noncontrolling interests is calculated by multplying Hoya Intermediate’s net income incurred in the period by Hoya Topco’s weighted average percentage allocaton of Intermediate Units during the period. See Note 22, </w:t>
      </w:r>
      <w:r>
        <w:rPr>
          <w:rFonts w:ascii="Calibri" w:cs="Calibri" w:eastAsia="Calibri" w:hAnsi="Calibri"/>
          <w:sz w:val="18"/>
          <w:szCs w:val="18"/>
          <w:i w:val="1"/>
          <w:iCs w:val="1"/>
          <w:color w:val="auto"/>
        </w:rPr>
        <w:t>Earnings per Share</w:t>
      </w:r>
      <w:r>
        <w:rPr>
          <w:rFonts w:ascii="Calibri" w:cs="Calibri" w:eastAsia="Calibri" w:hAnsi="Calibri"/>
          <w:sz w:val="18"/>
          <w:szCs w:val="18"/>
          <w:color w:val="auto"/>
        </w:rPr>
        <w:t>, for computaton of net income atributable to redeemable noncontrolling interests.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6" w:name="page97"/>
    <w:bookmarkEnd w:id="9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Equity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Hoya Intermediate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Subsequent to the Merger Transacton, Hoya Intermediate has Intermediate Units authorized, issued, and outstanding.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Intermediate Units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208,170,326 Intermediate Units were outstanding, which is equivalent to the total number of shares of our Class A common stock and Class B common stock outstanding, net of treasury stock. VSI holds 63.4% of the outstanding Intermediate Units as of December 31, 2024, with the remaining 36.6% representng the redeemable noncontrolling interest held by Hoya Topco.</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VSI</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Subsequent to the Merger Transacton, VSI has Class A common stock and Class B common stock authorized, issued, and outstanding.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Class A Common Stock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Holders of Class A common stock are enttled to full economic rights in VSI, including the right to receive dividends when and if declared by our Board, subject to any statutory or contractual restrictons on the payment of dividends and to any restrictons on the payment of dividends imposed by the terms of any outstanding preferred stock. Each holder of Class A common stock is enttled to one vote for each share held.</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Class B Common Stock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Holders of Class B common stock are enttled to one vote for each share held but do not have economic rights in VSI. However, holders of Class B common stock receive one Intermediate Unit for each share, enttling them to economic rights in our operatng entty, Hoya Intermediate (see Note 16, </w:t>
      </w:r>
      <w:r>
        <w:rPr>
          <w:rFonts w:ascii="Calibri" w:cs="Calibri" w:eastAsia="Calibri" w:hAnsi="Calibri"/>
          <w:sz w:val="18"/>
          <w:szCs w:val="18"/>
          <w:i w:val="1"/>
          <w:iCs w:val="1"/>
          <w:color w:val="auto"/>
        </w:rPr>
        <w:t>Redeemable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Noncontrolling Interests</w:t>
      </w:r>
      <w:r>
        <w:rPr>
          <w:rFonts w:ascii="Calibri" w:cs="Calibri" w:eastAsia="Calibri" w:hAnsi="Calibri"/>
          <w:sz w:val="18"/>
          <w:szCs w:val="18"/>
          <w:color w:val="auto"/>
        </w:rPr>
        <w:t>). Holders of Class A common stock and Class B common stock vote as a single class on all maters requiring a shareholder vote.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Following the Merger Transacton, the number of shares of Class A common stock and Class B common stock outstanding, net of treasury stock, is equal to the quantty of Intermediate Units outstanding.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Share Repurchases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25, 2022, our Board authorized a share repurchase program for up to $40.0 million of our Class A common stock (the “2022 Share Repurchase Program”). The 2022 Share Repurchase Program was announced on May 26, 2022 and its authorizaton was fully utlized during the year ended December 31, 2022 and the three months ended March 31, 2023. As of December 31, 2023 and 2022, we repurchased approximately 5.3 million shares of our Class A common stock for approximately $40.0 million and approximately 4.3 million shares of our Class A common stock for approximately $32.5 million, respectvely, under the 2022 Share Repurchase Program, for which we recorded approximately $0.1 million in commissions and excise taxes.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underwritng agreement for the December 2023 Secondary Ofering (defned below), we repurchased approximately 2.0 million shares of our Class A common stock from the underwriters at a price of $6.24 per share (the same price per share paid by the underwriters to Hoya Topco) on December 12, 2023.</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29, 2024, our Board authorized a share repurchase program for up to $100.0 million of our Class A common stock (the “2024 Share Repurchase Program”). The 2024 Share Repurchase Program was publicly announced on March 5, 2024 and does not have a fxed expiraton date. As of December 31, 2024, we repurchased approximately 4.1 million shares of our Class A common stock for approximately $22.8 million under the 2024 Share Repurchase Program, for which we recorded approximately $0.1 million in commissions and excise taxes. As of December 31, 2024, approximately $77.2 million remained available for future repurchases under the 2024 Share Repurchase Program.</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All of the above share repurchases were accounted for as equity transactons and are recorded in Treasury stock in the Consolidated Balance Sheets.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7" w:name="page98"/>
    <w:bookmarkEnd w:id="9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2023 Secondary Oferings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In 2023, Hoya Topco, as selling stockholder, completed the following public oferings of shares of our Class A common stock:</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 May 22, 2023, it sold 16.0 million shares, and on June 15, 2023, it sold 2.4 million shares pursuant to the full exercise of the underwriters’ opton to purchase additonal shares (collectvely, the “June 2023 Secondary Ofering”). The shares were purchased by the underwriters for $7.68 per share and sold at a public ofering price of $8.00 per share. Hoya Topco exchanged 18.4 million shares of our Class B common stock and 18.4 million Intermediate Units for the shares that it sold. We did not receive any proceeds from Hoya Topco’s sale of shares in the June 2023 Secondary Ofering.</w:t>
      </w:r>
    </w:p>
    <w:p>
      <w:pPr>
        <w:spacing w:after="0" w:line="125"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 December 12, 2023, it sold 23.6 million shares, which included 3.1 million shares sold pursuant to the full exercise of the underwriters’ opton to purchase additonal shares and 2.0 million shares repurchased by us (collectvely, the “December 2023 Secondary Ofering” and, together with the June 2023 Secondary Ofering, the “2023 Secondary Oferings”). The shares were purchased by the underwriters for $6.24 per share and, other than the 2.0 million shares that we repurchased, sold at a public ofering price of $6.50 per share. Hoya Topco exchanged 23.6 million shares of our Class B common stock and 23.6 million Intermediate Units for the shares that it sold. We did not receive any proceeds from Hoya Topco’s sale of shares in the December 2023 Secondary Ofering.</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2023, we recognized expenses of $1.5 million and $0.7 million for fees incurred in relaton to the June 2023 Secondary Ofering and the December 2023 Secondary Ofering, respectvely, both of which are recorded in General and administratve expenses in the Consolidated Statements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Accumulated Other Comprehensive Income (Loss)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the changes in each component of accumulated other comprehensive income (loss) atributable to Class A common stockholders during the years ended December 31, 2024 and 2023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20" w:type="dxa"/>
            <w:vAlign w:val="bottom"/>
          </w:tcPr>
          <w:p>
            <w:pPr>
              <w:spacing w:after="0"/>
              <w:rPr>
                <w:sz w:val="19"/>
                <w:szCs w:val="19"/>
                <w:color w:val="auto"/>
              </w:rPr>
            </w:pPr>
          </w:p>
        </w:tc>
        <w:tc>
          <w:tcPr>
            <w:tcW w:w="1580" w:type="dxa"/>
            <w:vAlign w:val="bottom"/>
            <w:gridSpan w:val="2"/>
          </w:tcPr>
          <w:p>
            <w:pPr>
              <w:jc w:val="right"/>
              <w:ind w:right="30"/>
              <w:spacing w:after="0"/>
              <w:rPr>
                <w:sz w:val="20"/>
                <w:szCs w:val="20"/>
                <w:color w:val="auto"/>
              </w:rPr>
            </w:pPr>
            <w:r>
              <w:rPr>
                <w:rFonts w:ascii="Calibri" w:cs="Calibri" w:eastAsia="Calibri" w:hAnsi="Calibri"/>
                <w:sz w:val="18"/>
                <w:szCs w:val="18"/>
                <w:b w:val="1"/>
                <w:bCs w:val="1"/>
                <w:color w:val="auto"/>
              </w:rPr>
              <w:t>Unrealized Gain on</w:t>
            </w:r>
          </w:p>
        </w:tc>
        <w:tc>
          <w:tcPr>
            <w:tcW w:w="2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Calibri" w:cs="Calibri" w:eastAsia="Calibri" w:hAnsi="Calibri"/>
                <w:sz w:val="18"/>
                <w:szCs w:val="18"/>
                <w:b w:val="1"/>
                <w:bCs w:val="1"/>
                <w:color w:val="auto"/>
              </w:rPr>
              <w:t>Foreign Currency Translaton</w:t>
            </w:r>
          </w:p>
        </w:tc>
        <w:tc>
          <w:tcPr>
            <w:tcW w:w="260" w:type="dxa"/>
            <w:vAlign w:val="bottom"/>
          </w:tcPr>
          <w:p>
            <w:pPr>
              <w:spacing w:after="0"/>
              <w:rPr>
                <w:sz w:val="19"/>
                <w:szCs w:val="19"/>
                <w:color w:val="auto"/>
              </w:rPr>
            </w:pPr>
          </w:p>
        </w:tc>
        <w:tc>
          <w:tcPr>
            <w:tcW w:w="2120" w:type="dxa"/>
            <w:vAlign w:val="bottom"/>
            <w:gridSpan w:val="2"/>
          </w:tcPr>
          <w:p>
            <w:pPr>
              <w:jc w:val="right"/>
              <w:ind w:right="540"/>
              <w:spacing w:after="0"/>
              <w:rPr>
                <w:sz w:val="20"/>
                <w:szCs w:val="20"/>
                <w:color w:val="auto"/>
              </w:rPr>
            </w:pPr>
            <w:r>
              <w:rPr>
                <w:rFonts w:ascii="Calibri" w:cs="Calibri" w:eastAsia="Calibri" w:hAnsi="Calibri"/>
                <w:sz w:val="18"/>
                <w:szCs w:val="18"/>
                <w:b w:val="1"/>
                <w:bCs w:val="1"/>
                <w:color w:val="auto"/>
              </w:rPr>
              <w:t>Accumulated Other</w:t>
            </w:r>
          </w:p>
        </w:tc>
      </w:tr>
      <w:tr>
        <w:trPr>
          <w:trHeight w:val="216"/>
        </w:trPr>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10"/>
              <w:spacing w:after="0" w:line="216" w:lineRule="exact"/>
              <w:rPr>
                <w:sz w:val="20"/>
                <w:szCs w:val="20"/>
                <w:color w:val="auto"/>
              </w:rPr>
            </w:pPr>
            <w:r>
              <w:rPr>
                <w:rFonts w:ascii="Calibri" w:cs="Calibri" w:eastAsia="Calibri" w:hAnsi="Calibri"/>
                <w:sz w:val="18"/>
                <w:szCs w:val="18"/>
                <w:b w:val="1"/>
                <w:bCs w:val="1"/>
                <w:color w:val="auto"/>
              </w:rPr>
              <w:t>Note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2"/>
          </w:tcPr>
          <w:p>
            <w:pPr>
              <w:jc w:val="right"/>
              <w:ind w:right="840"/>
              <w:spacing w:after="0" w:line="216" w:lineRule="exact"/>
              <w:rPr>
                <w:sz w:val="20"/>
                <w:szCs w:val="20"/>
                <w:color w:val="auto"/>
              </w:rPr>
            </w:pPr>
            <w:r>
              <w:rPr>
                <w:rFonts w:ascii="Calibri" w:cs="Calibri" w:eastAsia="Calibri" w:hAnsi="Calibri"/>
                <w:sz w:val="18"/>
                <w:szCs w:val="18"/>
                <w:b w:val="1"/>
                <w:bCs w:val="1"/>
                <w:color w:val="auto"/>
              </w:rPr>
              <w:t>Adjustment</w:t>
            </w:r>
          </w:p>
        </w:tc>
        <w:tc>
          <w:tcPr>
            <w:tcW w:w="2380" w:type="dxa"/>
            <w:vAlign w:val="bottom"/>
            <w:gridSpan w:val="3"/>
          </w:tcPr>
          <w:p>
            <w:pPr>
              <w:jc w:val="right"/>
              <w:ind w:right="160"/>
              <w:spacing w:after="0" w:line="216" w:lineRule="exact"/>
              <w:rPr>
                <w:sz w:val="20"/>
                <w:szCs w:val="20"/>
                <w:color w:val="auto"/>
              </w:rPr>
            </w:pPr>
            <w:r>
              <w:rPr>
                <w:rFonts w:ascii="Calibri" w:cs="Calibri" w:eastAsia="Calibri" w:hAnsi="Calibri"/>
                <w:sz w:val="18"/>
                <w:szCs w:val="18"/>
                <w:b w:val="1"/>
                <w:bCs w:val="1"/>
                <w:color w:val="auto"/>
                <w:w w:val="98"/>
              </w:rPr>
              <w:t>Comprehensive Income (Loss)</w:t>
            </w:r>
          </w:p>
        </w:tc>
      </w:tr>
      <w:tr>
        <w:trPr>
          <w:trHeight w:val="23"/>
        </w:trPr>
        <w:tc>
          <w:tcPr>
            <w:tcW w:w="4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47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Balance at January 1, 2023</w:t>
            </w:r>
          </w:p>
        </w:tc>
        <w:tc>
          <w:tcPr>
            <w:tcW w:w="360" w:type="dxa"/>
            <w:vAlign w:val="bottom"/>
            <w:shd w:val="clear" w:color="auto" w:fill="CFF0FC"/>
          </w:tcPr>
          <w:p>
            <w:pPr>
              <w:jc w:val="right"/>
              <w:ind w:right="170"/>
              <w:spacing w:after="0" w:line="209" w:lineRule="exact"/>
              <w:rPr>
                <w:sz w:val="20"/>
                <w:szCs w:val="20"/>
                <w:color w:val="auto"/>
              </w:rPr>
            </w:pPr>
            <w:r>
              <w:rPr>
                <w:rFonts w:ascii="Calibri" w:cs="Calibri" w:eastAsia="Calibri" w:hAnsi="Calibri"/>
                <w:sz w:val="18"/>
                <w:szCs w:val="18"/>
                <w:b w:val="1"/>
                <w:bCs w:val="1"/>
                <w:color w:val="auto"/>
                <w:w w:val="87"/>
              </w:rPr>
              <w:t>$</w:t>
            </w:r>
          </w:p>
        </w:tc>
        <w:tc>
          <w:tcPr>
            <w:tcW w:w="12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580" w:type="dxa"/>
            <w:vAlign w:val="bottom"/>
            <w:gridSpan w:val="2"/>
            <w:shd w:val="clear" w:color="auto" w:fill="CFF0FC"/>
          </w:tcPr>
          <w:p>
            <w:pPr>
              <w:ind w:left="220"/>
              <w:spacing w:after="0" w:line="209" w:lineRule="exact"/>
              <w:rPr>
                <w:sz w:val="20"/>
                <w:szCs w:val="20"/>
                <w:color w:val="auto"/>
              </w:rPr>
            </w:pPr>
            <w:r>
              <w:rPr>
                <w:rFonts w:ascii="Calibri" w:cs="Calibri" w:eastAsia="Calibri" w:hAnsi="Calibri"/>
                <w:sz w:val="18"/>
                <w:szCs w:val="18"/>
                <w:b w:val="1"/>
                <w:bCs w:val="1"/>
                <w:color w:val="auto"/>
              </w:rPr>
              <w:t>$</w:t>
            </w:r>
          </w:p>
        </w:tc>
        <w:tc>
          <w:tcPr>
            <w:tcW w:w="1980" w:type="dxa"/>
            <w:vAlign w:val="bottom"/>
            <w:gridSpan w:val="2"/>
            <w:shd w:val="clear" w:color="auto" w:fill="CFF0FC"/>
          </w:tcPr>
          <w:p>
            <w:pPr>
              <w:jc w:val="right"/>
              <w:ind w:right="220"/>
              <w:spacing w:after="0" w:line="209" w:lineRule="exact"/>
              <w:rPr>
                <w:sz w:val="20"/>
                <w:szCs w:val="20"/>
                <w:color w:val="auto"/>
              </w:rPr>
            </w:pPr>
            <w:r>
              <w:rPr>
                <w:rFonts w:ascii="Calibri" w:cs="Calibri" w:eastAsia="Calibri" w:hAnsi="Calibri"/>
                <w:sz w:val="18"/>
                <w:szCs w:val="18"/>
                <w:b w:val="1"/>
                <w:bCs w:val="1"/>
                <w:color w:val="auto"/>
              </w:rPr>
              <w:t>—</w:t>
            </w:r>
          </w:p>
        </w:tc>
        <w:tc>
          <w:tcPr>
            <w:tcW w:w="260" w:type="dxa"/>
            <w:vAlign w:val="bottom"/>
            <w:shd w:val="clear" w:color="auto" w:fill="CFF0FC"/>
          </w:tcPr>
          <w:p>
            <w:pPr>
              <w:jc w:val="right"/>
              <w:ind w:right="70"/>
              <w:spacing w:after="0" w:line="209" w:lineRule="exact"/>
              <w:rPr>
                <w:sz w:val="20"/>
                <w:szCs w:val="20"/>
                <w:color w:val="auto"/>
              </w:rPr>
            </w:pPr>
            <w:r>
              <w:rPr>
                <w:rFonts w:ascii="Calibri" w:cs="Calibri" w:eastAsia="Calibri" w:hAnsi="Calibri"/>
                <w:sz w:val="18"/>
                <w:szCs w:val="18"/>
                <w:b w:val="1"/>
                <w:bCs w:val="1"/>
                <w:color w:val="auto"/>
                <w:w w:val="87"/>
              </w:rPr>
              <w:t>$</w:t>
            </w:r>
          </w:p>
        </w:tc>
        <w:tc>
          <w:tcPr>
            <w:tcW w:w="2120" w:type="dxa"/>
            <w:vAlign w:val="bottom"/>
            <w:gridSpan w:val="2"/>
            <w:shd w:val="clear" w:color="auto" w:fill="CFF0FC"/>
          </w:tcPr>
          <w:p>
            <w:pPr>
              <w:jc w:val="right"/>
              <w:ind w:right="120"/>
              <w:spacing w:after="0" w:line="209" w:lineRule="exact"/>
              <w:rPr>
                <w:sz w:val="20"/>
                <w:szCs w:val="20"/>
                <w:color w:val="auto"/>
              </w:rPr>
            </w:pPr>
            <w:r>
              <w:rPr>
                <w:rFonts w:ascii="Calibri" w:cs="Calibri" w:eastAsia="Calibri" w:hAnsi="Calibri"/>
                <w:sz w:val="18"/>
                <w:szCs w:val="18"/>
                <w:b w:val="1"/>
                <w:bCs w:val="1"/>
                <w:color w:val="auto"/>
              </w:rPr>
              <w:t>—</w:t>
            </w: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Recognized in other comprehensive income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106</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747</w:t>
            </w:r>
          </w:p>
        </w:tc>
        <w:tc>
          <w:tcPr>
            <w:tcW w:w="100" w:type="dxa"/>
            <w:vAlign w:val="bottom"/>
          </w:tcPr>
          <w:p>
            <w:pPr>
              <w:spacing w:after="0"/>
              <w:rPr>
                <w:sz w:val="18"/>
                <w:szCs w:val="18"/>
                <w:color w:val="auto"/>
              </w:rPr>
            </w:pPr>
          </w:p>
        </w:tc>
      </w:tr>
      <w:tr>
        <w:trPr>
          <w:trHeight w:val="210"/>
        </w:trPr>
        <w:tc>
          <w:tcPr>
            <w:tcW w:w="4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Balance at December 31, 2023</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106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641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747</w:t>
            </w:r>
          </w:p>
        </w:tc>
        <w:tc>
          <w:tcPr>
            <w:tcW w:w="100" w:type="dxa"/>
            <w:vAlign w:val="bottom"/>
            <w:shd w:val="clear" w:color="auto" w:fill="CFF0FC"/>
          </w:tcPr>
          <w:p>
            <w:pPr>
              <w:spacing w:after="0"/>
              <w:rPr>
                <w:sz w:val="18"/>
                <w:szCs w:val="18"/>
                <w:color w:val="auto"/>
              </w:rPr>
            </w:pPr>
          </w:p>
        </w:tc>
      </w:tr>
      <w:tr>
        <w:trPr>
          <w:trHeight w:val="215"/>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Recognized in other comprehensive loss</w:t>
            </w: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(1,702 )</w:t>
            </w:r>
          </w:p>
        </w:tc>
        <w:tc>
          <w:tcPr>
            <w:tcW w:w="260" w:type="dxa"/>
            <w:vAlign w:val="bottom"/>
          </w:tcPr>
          <w:p>
            <w:pPr>
              <w:spacing w:after="0"/>
              <w:rPr>
                <w:sz w:val="18"/>
                <w:szCs w:val="18"/>
                <w:color w:val="auto"/>
              </w:rPr>
            </w:pPr>
          </w:p>
        </w:tc>
        <w:tc>
          <w:tcPr>
            <w:tcW w:w="2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(1,627 )</w:t>
            </w:r>
          </w:p>
        </w:tc>
      </w:tr>
      <w:tr>
        <w:trPr>
          <w:trHeight w:val="20"/>
        </w:trPr>
        <w:tc>
          <w:tcPr>
            <w:tcW w:w="4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Balance at December 31, 2024</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181</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line="210" w:lineRule="exact"/>
              <w:rPr>
                <w:sz w:val="20"/>
                <w:szCs w:val="20"/>
                <w:color w:val="auto"/>
              </w:rPr>
            </w:pPr>
            <w:r>
              <w:rPr>
                <w:rFonts w:ascii="Calibri" w:cs="Calibri" w:eastAsia="Calibri" w:hAnsi="Calibri"/>
                <w:sz w:val="18"/>
                <w:szCs w:val="18"/>
                <w:b w:val="1"/>
                <w:bCs w:val="1"/>
                <w:color w:val="auto"/>
              </w:rPr>
              <w:t>$</w:t>
            </w:r>
          </w:p>
        </w:tc>
        <w:tc>
          <w:tcPr>
            <w:tcW w:w="198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b w:val="1"/>
                <w:bCs w:val="1"/>
                <w:color w:val="auto"/>
              </w:rPr>
              <w:t>(1,061 )</w:t>
            </w: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b w:val="1"/>
                <w:bCs w:val="1"/>
                <w:color w:val="auto"/>
                <w:w w:val="87"/>
              </w:rPr>
              <w:t>$</w:t>
            </w:r>
          </w:p>
        </w:tc>
        <w:tc>
          <w:tcPr>
            <w:tcW w:w="2120" w:type="dxa"/>
            <w:vAlign w:val="bottom"/>
            <w:gridSpan w:val="2"/>
            <w:shd w:val="clear" w:color="auto" w:fill="CFF0FC"/>
          </w:tcPr>
          <w:p>
            <w:pPr>
              <w:jc w:val="right"/>
              <w:ind w:right="40"/>
              <w:spacing w:after="0" w:line="210" w:lineRule="exact"/>
              <w:rPr>
                <w:sz w:val="20"/>
                <w:szCs w:val="20"/>
                <w:color w:val="auto"/>
              </w:rPr>
            </w:pPr>
            <w:r>
              <w:rPr>
                <w:rFonts w:ascii="Calibri" w:cs="Calibri" w:eastAsia="Calibri" w:hAnsi="Calibri"/>
                <w:sz w:val="18"/>
                <w:szCs w:val="18"/>
                <w:b w:val="1"/>
                <w:bCs w:val="1"/>
                <w:color w:val="auto"/>
              </w:rPr>
              <w:t>(880 )</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18. Commitments and Contingencies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Purchase Obligatons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enter into non-cancelable arrangements, primarily related to the purchase of marketng services and tckets at an agreed upon price. Our purchase obligatons are $10.1 million payable in the next 12 months and $10.5 million payable thereafer.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Litgaton</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management’s opinion, could have a material efect on our business, fnancial positon, or results of operatons other than those maters discussed below.</w:t>
      </w:r>
    </w:p>
    <w:p>
      <w:pPr>
        <w:spacing w:after="0" w:line="11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are a co-defendant in a class acton lawsuit in Canada alleging a failure to disclose service fees prior to checkout. A fnal order approving the setlement of this lawsuit was entered by the court in August 2020. In January 2022, we issued coupons to certain class members. Other class members were notfed in 2022 that they are eligible to submit a claim for a coupon. As of December 31, 2024 and 2023, a liability of $0.9 million was recorded in Accrued expenses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8" w:name="page99"/>
    <w:bookmarkEnd w:id="9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17"/>
          <w:szCs w:val="17"/>
          <w:color w:val="auto"/>
        </w:rPr>
        <w:t>and other current liabilites in the Consolidated Balance Sheets related to expected claim submissions and credit redemptons as of the measurement date.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been a defendant in multple class acton lawsuits related to customer compensaton for cancellatons, primarily as a result of COVID-19 restrictons. A fnal order approving the setlement of one such lawsuit was entered by the court in November 2021, pursuant to which we paid $4.5 million (afer insurance) to fund a claims setlement pool in 2021 that was fully disbursed in 2022. A fnal order approving the setlement of another such lawsuit was entered by the court on January 31, 2023, pursuant to which we paid $3.3 million (afer insurance) to cover legal and administratve fees and approved claims, payments for which were made in August 2023. We had no accrued liability as of December 31, 2024 and 2023 related to these maters.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 defendant in a lawsuit related to an alleged violaton of the Illinois Biometric Informaton Privacy Act. An order preliminarily approving the setlement of this lawsuit was entered by the court on September 27, 2024, which remains subject to fnal court approval and which will be covered in full by insurance. As of December 31, 2024, a liability of $0.3 million was recorded in Accrued expenses and other current liabilites in the Consolidated Balance Sheets related to this mater. We had no accrued liability as of December 31, 2023 related to this mater.</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Indirect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2018, the U.S. Supreme Court issued its decision in </w:t>
      </w:r>
      <w:r>
        <w:rPr>
          <w:rFonts w:ascii="Calibri" w:cs="Calibri" w:eastAsia="Calibri" w:hAnsi="Calibri"/>
          <w:sz w:val="18"/>
          <w:szCs w:val="18"/>
          <w:i w:val="1"/>
          <w:iCs w:val="1"/>
          <w:color w:val="auto"/>
        </w:rPr>
        <w:t>South Dakota v. Wayfair Inc.</w:t>
      </w:r>
      <w:r>
        <w:rPr>
          <w:rFonts w:ascii="Calibri" w:cs="Calibri" w:eastAsia="Calibri" w:hAnsi="Calibri"/>
          <w:sz w:val="18"/>
          <w:szCs w:val="18"/>
          <w:color w:val="auto"/>
        </w:rPr>
        <w:t>, which overturned previous case law that had precluded state and local governments from imposing sales tax collecton requirements on retailers without a physical presence. In response, most jurisdictons have adopted laws that atempt to impose tax collecton obligatons on out-of-state companies, and we have registered and begun collectng tax where required by statute. It is reasonably possible that state or local governments will contnue to adopt or interpret laws such that we will be required to calculate, collect, and remit taxes on sales in their jurisdictons. A successful asserton by one or more jurisdictons could result in material tax liabilites, including uncollected taxes on past sales, as well as penaltes and interest. Based on our analysis of certain state and local regulatons, specifcally related to marketplace facilitators and event tcket sales, we have recorded liabilites in all jurisdictons where we believe a risk of loss is probable and reasonably estmable. We will contnuously monitor state and local regulatons and will implement required collecton and remitance procedures if and when we are subject thereto.</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the extent we have sales for internatonal events, we may be required to register with various foreign jurisdictons and to collect and remit indirect taxes. It is reasonably possible that foreign jurisdictons may contnue to adopt or interpret laws that impact the amount we are required to collect and remit. A successful asserton by one or more such jurisdictons could result in material tax liabilites, including uncollected taxes on past sales, as well as penaltes and interest. Based on our analysis of certain foreign indirect tax regulatons, specifcally related to marketplace facilitators and event tcket sales, we have recorded liabilites in the jurisdictons where we believe a risk of loss is probable and reasonably estmable. We will contnuously monitor foreign regulatons and will implement required collecton and remitance procedures if and when we are subject thereto.</w:t>
      </w:r>
    </w:p>
    <w:p>
      <w:pPr>
        <w:spacing w:after="0" w:line="11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As of December 31, 2024 and 2023, a liability of $7.5 million and $3.2 million, respectvely, was recorded in Accrued expenses and other current liabilites in the Consolidated Balance Sheets related to uncollected indirect taxes (including sales taxes). This liability is inclusive of both U.S. and foreign jurisdictons where we believe it is probable we should remit but have not collected all required amounts from customers and is reduced by abatements received. The net expense related to uncollected indirect taxes (including sales taxes) during the years ended December 31, 2024, 2023, and 2022 was $5.8 million, $3.2 million, and $2.8 million, respectvely, which is recorded in General and administratve expenses in the Consolidated Statements of Operatons.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Sponsorship Loan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August 23, 2024, we and a privately held company entered into a sponsorship and custom content partnership agreement that provides us with various marketng services in exchange for our issuance of an interest-free loan payable in installments that could total a maximum of $5.0 million (the “Sponsorship Loan”). We account for the Sponsorship Loan as a note receivable in accordance with ASC Topic 310, </w:t>
      </w:r>
      <w:r>
        <w:rPr>
          <w:rFonts w:ascii="Calibri" w:cs="Calibri" w:eastAsia="Calibri" w:hAnsi="Calibri"/>
          <w:sz w:val="18"/>
          <w:szCs w:val="18"/>
          <w:i w:val="1"/>
          <w:iCs w:val="1"/>
          <w:color w:val="auto"/>
        </w:rPr>
        <w:t>Receivables</w:t>
      </w:r>
      <w:r>
        <w:rPr>
          <w:rFonts w:ascii="Calibri" w:cs="Calibri" w:eastAsia="Calibri" w:hAnsi="Calibri"/>
          <w:sz w:val="18"/>
          <w:szCs w:val="18"/>
          <w:color w:val="auto"/>
        </w:rPr>
        <w:t>. As of December 31, 2024, we have disbursed $2.0 million of the Sponsorship Loan (the “2024 Sponsorship Loan”). If certain conditons are met,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9" w:name="page100"/>
    <w:bookmarkEnd w:id="9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will issue an additonal interest-free $1.5 million loan in each of September 2025 and September 2026. While there is no stated maturity date for the 2024 Sponsorship Loan, we are enttled to a porton of advertsing revenue received by the counterparty untl the 2024 Sponsorship Loan is repaid in full. The 2024 Sponsorship Loan had a carrying value of $1.8 million as of December 31, 2024, which is recorded in Other assets in the Consolidated Balance Sheets. Additonally, we recognized less than $0.1 million of imputed interest income for the 2024 Sponsorship Loan during the year ended December 31, 2024, which is recorded in Interest expense – net in the Consolidated Statements of Operatons.</w:t>
      </w:r>
    </w:p>
    <w:p>
      <w:pPr>
        <w:spacing w:after="0" w:line="112" w:lineRule="exact"/>
        <w:rPr>
          <w:sz w:val="20"/>
          <w:szCs w:val="20"/>
          <w:color w:val="auto"/>
        </w:rPr>
      </w:pPr>
    </w:p>
    <w:p>
      <w:pPr>
        <w:ind w:right="8780" w:firstLine="8"/>
        <w:spacing w:after="0" w:line="348" w:lineRule="auto"/>
        <w:tabs>
          <w:tab w:leader="none" w:pos="264" w:val="left"/>
        </w:tabs>
        <w:numPr>
          <w:ilvl w:val="0"/>
          <w:numId w:val="3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Related–Party Transactions Viral Naton</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Viral Naton Inc. (“Viral Naton”) is a marketng agency that creates viral and social media infuencer campaigns and provides advertsing, marketng, and technology services. Todd Boehly, a member of our Board, serves on the board of directors of Viral Naton, and is the Co-Founder, Chairman, and CEO of Eldridge Industries, LLC (“Eldridge”), which owns greater than 10% of Viral Naton. For Viral Naton’s services, we recognized an expense of $0.3 million, $1.7 million, and $0.8 million during the years ended December 31, 2024, 2023, and 2022, respectvely, which is recorded in Marketng and selling expenses in the Consolidated Statements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Rolling Stone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Rolling Stone, LLC (“Rolling Stone”) is a high-profle magazine and media platorm that focuses on music, flm, television, and news coverage. Todd Boehly, a member of our Board, is the Co-Founder, Chairman, and CEO of Eldridge, which owns greater than 10% of Rolling Stone. In relaton to a strategic partnership with Rolling Stone, we recognized an expense of $0.7 million and $0.9 million during the years ended December 31, 2023 and 2022, respectvely, which is recorded in Marketng and selling expenses in the Consolidated Statements of Operatons. We did not recognize an expense in relaton to this strategic partnership during the year ended December 31, 2024.</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Los Angeles Dodgers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Los Angeles Dodgers are an MLB team based in Los Angeles, California. Todd Boehly, a member of our Board, owns greater than 10% of the Los Angeles Dodgers. In relaton to a strategic partnership with the Los Angeles Dodgers, including our designaton as the ofcial tcket marketplace of the Los Angeles Dodgers and certain other advertsing, marketng, promotonal, and sponsorship benefts, we recognized an expense of $2.2 million and $1.5 million during the years ended December 31, 2024 and 2023, respectvely, which is recorded in Marketng and selling expenses in the Consolidated Statements of Operatons. We did not recognize an expense in relaton to the strategic partnership with the Los Angeles Dodgers during the year ended December 31, 2022.</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Tax Receivable Agreement</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 xml:space="preserve">In connecton with the Merger Transacton, we entered into the TRA with the existng Hoya Intermediate unitholders. For more informaton, see “Tax Receivable Agreement” in Note 20, </w:t>
      </w:r>
      <w:r>
        <w:rPr>
          <w:rFonts w:ascii="Calibri" w:cs="Calibri" w:eastAsia="Calibri" w:hAnsi="Calibri"/>
          <w:sz w:val="18"/>
          <w:szCs w:val="18"/>
          <w:i w:val="1"/>
          <w:iCs w:val="1"/>
          <w:color w:val="auto"/>
        </w:rPr>
        <w:t>Income Taxes</w:t>
      </w:r>
      <w:r>
        <w:rPr>
          <w:rFonts w:ascii="Calibri" w:cs="Calibri" w:eastAsia="Calibri" w:hAnsi="Calibri"/>
          <w:sz w:val="18"/>
          <w:szCs w:val="18"/>
          <w:color w:val="auto"/>
        </w:rPr>
        <w: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Share Repurchase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Hoya Topco controls 36.6% of the votng power of our outstanding common stock. On December 12, 2023, we repurchased 2.0 million shares of Class A common stock from the underwriters of the December 2023 Secondary Ofering. The shares were initally purchased by the underwriters from Hoya Topco, the selling stockholder, at a price of $6.24 per share. We paid the same price per share to the underwriters, which was funded with cash on hand. For more informaton, see Note 17, </w:t>
      </w:r>
      <w:r>
        <w:rPr>
          <w:rFonts w:ascii="Calibri" w:cs="Calibri" w:eastAsia="Calibri" w:hAnsi="Calibri"/>
          <w:sz w:val="18"/>
          <w:szCs w:val="18"/>
          <w:i w:val="1"/>
          <w:iCs w:val="1"/>
          <w:color w:val="auto"/>
        </w:rPr>
        <w:t>Equity</w:t>
      </w:r>
      <w:r>
        <w:rPr>
          <w:rFonts w:ascii="Calibri" w:cs="Calibri" w:eastAsia="Calibri" w:hAnsi="Calibri"/>
          <w:sz w:val="18"/>
          <w:szCs w:val="18"/>
          <w:color w:val="auto"/>
        </w:rPr>
        <w: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 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VSI is subject to U.S. federal and state income taxes with respect to our allocable share of any taxable income of Hoya Intermediate, as well as any stand-alone income we generate. Hoya Intermediate is organized as a limited liability company and treated as a partnership for federal and state income tax purposes. Generally, enttes characterized as a partnership for federal and state income tax purposes are not subject to entty-level income taxes. Hoya Intermediate’s taxable income or loss is passed through to its members, including VSI and Hoya Topco, each</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0" w:name="page101"/>
    <w:bookmarkEnd w:id="10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whom are responsible for their own U.S. federal and state income taxes. Other subsidiaries of VSI are treated as corporatons and will separately fle and pay taxes apart from VSI in various jurisdictons, including the United States (federal, state, and local), Canada, Japan and the United Kingdom. We antcipate this structure to remain in existence for the foreseeable future.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Components of income before income taxes for the years ended December 31, 2024, 2023, and 2022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4"/>
          </w:tcPr>
          <w:p>
            <w:pPr>
              <w:ind w:left="60"/>
              <w:spacing w:after="0"/>
              <w:rPr>
                <w:sz w:val="20"/>
                <w:szCs w:val="20"/>
                <w:color w:val="auto"/>
              </w:rPr>
            </w:pPr>
            <w:r>
              <w:rPr>
                <w:rFonts w:ascii="Calibri" w:cs="Calibri" w:eastAsia="Calibri" w:hAnsi="Calibri"/>
                <w:sz w:val="18"/>
                <w:szCs w:val="18"/>
                <w:b w:val="1"/>
                <w:bCs w:val="1"/>
                <w:color w:val="auto"/>
              </w:rPr>
              <w:t>Years Ended December 31,</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5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54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line="209"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r>
      <w:tr>
        <w:trPr>
          <w:trHeight w:val="210"/>
        </w:trPr>
        <w:tc>
          <w:tcPr>
            <w:tcW w:w="5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United States</w:t>
            </w:r>
          </w:p>
        </w:tc>
        <w:tc>
          <w:tcPr>
            <w:tcW w:w="1120" w:type="dxa"/>
            <w:vAlign w:val="bottom"/>
            <w:shd w:val="clear" w:color="auto" w:fill="CFF0FC"/>
          </w:tcPr>
          <w:p>
            <w:pPr>
              <w:jc w:val="right"/>
              <w:ind w:right="930"/>
              <w:spacing w:after="0" w:line="210" w:lineRule="exact"/>
              <w:rPr>
                <w:sz w:val="20"/>
                <w:szCs w:val="20"/>
                <w:color w:val="auto"/>
              </w:rPr>
            </w:pPr>
            <w:r>
              <w:rPr>
                <w:rFonts w:ascii="Calibri" w:cs="Calibri" w:eastAsia="Calibri" w:hAnsi="Calibri"/>
                <w:sz w:val="18"/>
                <w:szCs w:val="18"/>
                <w:color w:val="auto"/>
                <w:w w:val="87"/>
              </w:rPr>
              <w:t>$</w:t>
            </w:r>
          </w:p>
        </w:tc>
        <w:tc>
          <w:tcPr>
            <w:tcW w:w="5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22,838</w:t>
            </w: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68,166</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210"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68,416</w:t>
            </w:r>
          </w:p>
        </w:tc>
        <w:tc>
          <w:tcPr>
            <w:tcW w:w="120" w:type="dxa"/>
            <w:vAlign w:val="bottom"/>
            <w:shd w:val="clear" w:color="auto" w:fill="CFF0FC"/>
          </w:tcPr>
          <w:p>
            <w:pPr>
              <w:spacing w:after="0"/>
              <w:rPr>
                <w:sz w:val="18"/>
                <w:szCs w:val="18"/>
                <w:color w:val="auto"/>
              </w:rPr>
            </w:pPr>
          </w:p>
        </w:tc>
      </w:tr>
      <w:tr>
        <w:trPr>
          <w:trHeight w:val="215"/>
        </w:trPr>
        <w:tc>
          <w:tcPr>
            <w:tcW w:w="5420" w:type="dxa"/>
            <w:vAlign w:val="bottom"/>
          </w:tcPr>
          <w:p>
            <w:pPr>
              <w:ind w:left="20"/>
              <w:spacing w:after="0" w:line="215" w:lineRule="exact"/>
              <w:rPr>
                <w:sz w:val="20"/>
                <w:szCs w:val="20"/>
                <w:color w:val="auto"/>
              </w:rPr>
            </w:pPr>
            <w:r>
              <w:rPr>
                <w:rFonts w:ascii="Calibri" w:cs="Calibri" w:eastAsia="Calibri" w:hAnsi="Calibri"/>
                <w:sz w:val="18"/>
                <w:szCs w:val="18"/>
                <w:color w:val="auto"/>
              </w:rPr>
              <w:t>Foreign</w:t>
            </w:r>
          </w:p>
        </w:tc>
        <w:tc>
          <w:tcPr>
            <w:tcW w:w="1120" w:type="dxa"/>
            <w:vAlign w:val="bottom"/>
          </w:tcPr>
          <w:p>
            <w:pPr>
              <w:spacing w:after="0"/>
              <w:rPr>
                <w:sz w:val="18"/>
                <w:szCs w:val="18"/>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(119 )</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2,776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773</w:t>
            </w:r>
          </w:p>
        </w:tc>
        <w:tc>
          <w:tcPr>
            <w:tcW w:w="120" w:type="dxa"/>
            <w:vAlign w:val="bottom"/>
          </w:tcPr>
          <w:p>
            <w:pPr>
              <w:spacing w:after="0"/>
              <w:rPr>
                <w:sz w:val="18"/>
                <w:szCs w:val="18"/>
                <w:color w:val="auto"/>
              </w:rPr>
            </w:pPr>
          </w:p>
        </w:tc>
      </w:tr>
      <w:tr>
        <w:trPr>
          <w:trHeight w:val="250"/>
        </w:trPr>
        <w:tc>
          <w:tcPr>
            <w:tcW w:w="54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before income taxes</w:t>
            </w:r>
          </w:p>
        </w:tc>
        <w:tc>
          <w:tcPr>
            <w:tcW w:w="1120" w:type="dxa"/>
            <w:vAlign w:val="bottom"/>
            <w:tcBorders>
              <w:top w:val="single" w:sz="8" w:color="auto"/>
              <w:bottom w:val="single" w:sz="8" w:color="auto"/>
            </w:tcBorders>
            <w:shd w:val="clear" w:color="auto" w:fill="CFF0FC"/>
          </w:tcPr>
          <w:p>
            <w:pPr>
              <w:jc w:val="right"/>
              <w:ind w:right="930"/>
              <w:spacing w:after="0" w:line="210" w:lineRule="exact"/>
              <w:rPr>
                <w:sz w:val="20"/>
                <w:szCs w:val="20"/>
                <w:color w:val="auto"/>
              </w:rPr>
            </w:pPr>
            <w:r>
              <w:rPr>
                <w:rFonts w:ascii="Calibri" w:cs="Calibri" w:eastAsia="Calibri" w:hAnsi="Calibri"/>
                <w:sz w:val="18"/>
                <w:szCs w:val="18"/>
                <w:b w:val="1"/>
                <w:bCs w:val="1"/>
                <w:color w:val="auto"/>
                <w:w w:val="87"/>
              </w:rPr>
              <w:t>$</w:t>
            </w:r>
          </w:p>
        </w:tc>
        <w:tc>
          <w:tcPr>
            <w:tcW w:w="5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22,719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0"/>
              <w:spacing w:after="0" w:line="210"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70,942</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line="210"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69,189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the years ended December 31, 2024, 2023, and 2022, signifcant components of income tax expense (beneft)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4"/>
          </w:tcPr>
          <w:p>
            <w:pPr>
              <w:jc w:val="right"/>
              <w:ind w:right="160"/>
              <w:spacing w:after="0"/>
              <w:rPr>
                <w:sz w:val="20"/>
                <w:szCs w:val="20"/>
                <w:color w:val="auto"/>
              </w:rPr>
            </w:pPr>
            <w:r>
              <w:rPr>
                <w:rFonts w:ascii="Calibri" w:cs="Calibri" w:eastAsia="Calibri" w:hAnsi="Calibri"/>
                <w:sz w:val="18"/>
                <w:szCs w:val="18"/>
                <w:b w:val="1"/>
                <w:bCs w:val="1"/>
                <w:color w:val="auto"/>
                <w:w w:val="99"/>
              </w:rPr>
              <w:t>Years Ended December 31,</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5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542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line="209"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r>
      <w:tr>
        <w:trPr>
          <w:trHeight w:val="210"/>
        </w:trPr>
        <w:tc>
          <w:tcPr>
            <w:tcW w:w="5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State and local income tax expense</w:t>
            </w:r>
          </w:p>
        </w:tc>
        <w:tc>
          <w:tcPr>
            <w:tcW w:w="1140" w:type="dxa"/>
            <w:vAlign w:val="bottom"/>
            <w:shd w:val="clear" w:color="auto" w:fill="CFF0FC"/>
          </w:tcPr>
          <w:p>
            <w:pPr>
              <w:jc w:val="right"/>
              <w:ind w:right="950"/>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256</w:t>
            </w: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326</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210"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248</w:t>
            </w:r>
          </w:p>
        </w:tc>
        <w:tc>
          <w:tcPr>
            <w:tcW w:w="120" w:type="dxa"/>
            <w:vAlign w:val="bottom"/>
            <w:shd w:val="clear" w:color="auto" w:fill="CFF0FC"/>
          </w:tcPr>
          <w:p>
            <w:pPr>
              <w:spacing w:after="0"/>
              <w:rPr>
                <w:sz w:val="18"/>
                <w:szCs w:val="18"/>
                <w:color w:val="auto"/>
              </w:rPr>
            </w:pPr>
          </w:p>
        </w:tc>
      </w:tr>
      <w:tr>
        <w:trPr>
          <w:trHeight w:val="215"/>
        </w:trPr>
        <w:tc>
          <w:tcPr>
            <w:tcW w:w="5420" w:type="dxa"/>
            <w:vAlign w:val="bottom"/>
          </w:tcPr>
          <w:p>
            <w:pPr>
              <w:ind w:left="20"/>
              <w:spacing w:after="0" w:line="215" w:lineRule="exact"/>
              <w:rPr>
                <w:sz w:val="20"/>
                <w:szCs w:val="20"/>
                <w:color w:val="auto"/>
              </w:rPr>
            </w:pPr>
            <w:r>
              <w:rPr>
                <w:rFonts w:ascii="Calibri" w:cs="Calibri" w:eastAsia="Calibri" w:hAnsi="Calibri"/>
                <w:sz w:val="18"/>
                <w:szCs w:val="18"/>
                <w:color w:val="auto"/>
              </w:rPr>
              <w:t>U.S. federal income tax expense</w:t>
            </w:r>
          </w:p>
        </w:tc>
        <w:tc>
          <w:tcPr>
            <w:tcW w:w="114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3,048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1,084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120" w:type="dxa"/>
            <w:vAlign w:val="bottom"/>
          </w:tcPr>
          <w:p>
            <w:pPr>
              <w:spacing w:after="0"/>
              <w:rPr>
                <w:sz w:val="18"/>
                <w:szCs w:val="18"/>
                <w:color w:val="auto"/>
              </w:rPr>
            </w:pPr>
          </w:p>
        </w:tc>
      </w:tr>
      <w:tr>
        <w:trPr>
          <w:trHeight w:val="216"/>
        </w:trPr>
        <w:tc>
          <w:tcPr>
            <w:tcW w:w="5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Foreign federal income tax expense</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3,867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1,250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09"/>
        </w:trPr>
        <w:tc>
          <w:tcPr>
            <w:tcW w:w="542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Current income tax expense</w:t>
            </w:r>
          </w:p>
        </w:tc>
        <w:tc>
          <w:tcPr>
            <w:tcW w:w="1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7,171</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2,660</w:t>
            </w:r>
          </w:p>
        </w:tc>
        <w:tc>
          <w:tcPr>
            <w:tcW w:w="2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263</w:t>
            </w:r>
          </w:p>
        </w:tc>
        <w:tc>
          <w:tcPr>
            <w:tcW w:w="120" w:type="dxa"/>
            <w:vAlign w:val="bottom"/>
            <w:tcBorders>
              <w:top w:val="single" w:sz="8" w:color="CFF0FC"/>
            </w:tcBorders>
          </w:tcPr>
          <w:p>
            <w:pPr>
              <w:spacing w:after="0"/>
              <w:rPr>
                <w:sz w:val="18"/>
                <w:szCs w:val="18"/>
                <w:color w:val="auto"/>
              </w:rPr>
            </w:pPr>
          </w:p>
        </w:tc>
      </w:tr>
      <w:tr>
        <w:trPr>
          <w:trHeight w:val="217"/>
        </w:trPr>
        <w:tc>
          <w:tcPr>
            <w:tcW w:w="5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State and local income tax expense (beneft)</w:t>
            </w:r>
          </w:p>
        </w:tc>
        <w:tc>
          <w:tcPr>
            <w:tcW w:w="1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2,696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(5,572 )</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5420" w:type="dxa"/>
            <w:vAlign w:val="bottom"/>
          </w:tcPr>
          <w:p>
            <w:pPr>
              <w:ind w:left="20"/>
              <w:spacing w:after="0" w:line="215" w:lineRule="exact"/>
              <w:rPr>
                <w:sz w:val="20"/>
                <w:szCs w:val="20"/>
                <w:color w:val="auto"/>
              </w:rPr>
            </w:pPr>
            <w:r>
              <w:rPr>
                <w:rFonts w:ascii="Calibri" w:cs="Calibri" w:eastAsia="Calibri" w:hAnsi="Calibri"/>
                <w:sz w:val="18"/>
                <w:szCs w:val="18"/>
                <w:color w:val="auto"/>
              </w:rPr>
              <w:t>U.S. federal income tax expense (beneft)</w:t>
            </w:r>
          </w:p>
        </w:tc>
        <w:tc>
          <w:tcPr>
            <w:tcW w:w="114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2,650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(38,915 )</w:t>
            </w:r>
          </w:p>
        </w:tc>
        <w:tc>
          <w:tcPr>
            <w:tcW w:w="400" w:type="dxa"/>
            <w:vAlign w:val="bottom"/>
          </w:tcPr>
          <w:p>
            <w:pPr>
              <w:spacing w:after="0"/>
              <w:rPr>
                <w:sz w:val="18"/>
                <w:szCs w:val="18"/>
                <w:color w:val="auto"/>
              </w:rPr>
            </w:pPr>
          </w:p>
        </w:tc>
        <w:tc>
          <w:tcPr>
            <w:tcW w:w="14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5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Foreign federal income tax beneft</w:t>
            </w:r>
          </w:p>
        </w:tc>
        <w:tc>
          <w:tcPr>
            <w:tcW w:w="1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(4,100 )</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(372 )</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(1,853 )</w:t>
            </w:r>
          </w:p>
        </w:tc>
      </w:tr>
      <w:tr>
        <w:trPr>
          <w:trHeight w:val="20"/>
        </w:trPr>
        <w:tc>
          <w:tcPr>
            <w:tcW w:w="54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4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Deferred income tax expense (beneft)</w:t>
            </w:r>
          </w:p>
        </w:tc>
        <w:tc>
          <w:tcPr>
            <w:tcW w:w="114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b w:val="1"/>
                <w:bCs w:val="1"/>
                <w:color w:val="auto"/>
              </w:rPr>
              <w:t>(44,859 )</w:t>
            </w:r>
          </w:p>
        </w:tc>
        <w:tc>
          <w:tcPr>
            <w:tcW w:w="400" w:type="dxa"/>
            <w:vAlign w:val="bottom"/>
          </w:tcPr>
          <w:p>
            <w:pPr>
              <w:spacing w:after="0"/>
              <w:rPr>
                <w:sz w:val="18"/>
                <w:szCs w:val="18"/>
                <w:color w:val="auto"/>
              </w:rPr>
            </w:pPr>
          </w:p>
        </w:tc>
        <w:tc>
          <w:tcPr>
            <w:tcW w:w="1440" w:type="dxa"/>
            <w:vAlign w:val="bottom"/>
            <w:gridSpan w:val="2"/>
          </w:tcPr>
          <w:p>
            <w:pPr>
              <w:jc w:val="right"/>
              <w:ind w:right="60"/>
              <w:spacing w:after="0" w:line="209" w:lineRule="exact"/>
              <w:rPr>
                <w:sz w:val="20"/>
                <w:szCs w:val="20"/>
                <w:color w:val="auto"/>
              </w:rPr>
            </w:pPr>
            <w:r>
              <w:rPr>
                <w:rFonts w:ascii="Calibri" w:cs="Calibri" w:eastAsia="Calibri" w:hAnsi="Calibri"/>
                <w:sz w:val="18"/>
                <w:szCs w:val="18"/>
                <w:b w:val="1"/>
                <w:bCs w:val="1"/>
                <w:color w:val="auto"/>
              </w:rPr>
              <w:t>(1,853 )</w:t>
            </w:r>
          </w:p>
        </w:tc>
      </w:tr>
      <w:tr>
        <w:trPr>
          <w:trHeight w:val="20"/>
        </w:trPr>
        <w:tc>
          <w:tcPr>
            <w:tcW w:w="5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tax expense (beneft)</w:t>
            </w:r>
          </w:p>
        </w:tc>
        <w:tc>
          <w:tcPr>
            <w:tcW w:w="1140" w:type="dxa"/>
            <w:vAlign w:val="bottom"/>
            <w:shd w:val="clear" w:color="auto" w:fill="CFF0FC"/>
          </w:tcPr>
          <w:p>
            <w:pPr>
              <w:jc w:val="right"/>
              <w:ind w:right="950"/>
              <w:spacing w:after="0" w:line="210"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8,417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line="210" w:lineRule="exact"/>
              <w:rPr>
                <w:sz w:val="20"/>
                <w:szCs w:val="20"/>
                <w:color w:val="auto"/>
              </w:rPr>
            </w:pPr>
            <w:r>
              <w:rPr>
                <w:rFonts w:ascii="Calibri" w:cs="Calibri" w:eastAsia="Calibri" w:hAnsi="Calibri"/>
                <w:sz w:val="18"/>
                <w:szCs w:val="18"/>
                <w:b w:val="1"/>
                <w:bCs w:val="1"/>
                <w:color w:val="auto"/>
              </w:rPr>
              <w:t>$</w:t>
            </w:r>
          </w:p>
        </w:tc>
        <w:tc>
          <w:tcPr>
            <w:tcW w:w="1600" w:type="dxa"/>
            <w:vAlign w:val="bottom"/>
            <w:gridSpan w:val="2"/>
            <w:shd w:val="clear" w:color="auto" w:fill="CFF0FC"/>
          </w:tcPr>
          <w:p>
            <w:pPr>
              <w:jc w:val="right"/>
              <w:ind w:right="200"/>
              <w:spacing w:after="0" w:line="210" w:lineRule="exact"/>
              <w:rPr>
                <w:sz w:val="20"/>
                <w:szCs w:val="20"/>
                <w:color w:val="auto"/>
              </w:rPr>
            </w:pPr>
            <w:r>
              <w:rPr>
                <w:rFonts w:ascii="Calibri" w:cs="Calibri" w:eastAsia="Calibri" w:hAnsi="Calibri"/>
                <w:sz w:val="18"/>
                <w:szCs w:val="18"/>
                <w:b w:val="1"/>
                <w:bCs w:val="1"/>
                <w:color w:val="auto"/>
              </w:rPr>
              <w:t>(42,199 )</w:t>
            </w:r>
          </w:p>
        </w:tc>
        <w:tc>
          <w:tcPr>
            <w:tcW w:w="400" w:type="dxa"/>
            <w:vAlign w:val="bottom"/>
            <w:shd w:val="clear" w:color="auto" w:fill="CFF0FC"/>
          </w:tcPr>
          <w:p>
            <w:pPr>
              <w:jc w:val="right"/>
              <w:ind w:right="2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40" w:type="dxa"/>
            <w:vAlign w:val="bottom"/>
            <w:gridSpan w:val="2"/>
            <w:shd w:val="clear" w:color="auto" w:fill="CFF0FC"/>
          </w:tcPr>
          <w:p>
            <w:pPr>
              <w:jc w:val="right"/>
              <w:ind w:right="60"/>
              <w:spacing w:after="0" w:line="210" w:lineRule="exact"/>
              <w:rPr>
                <w:sz w:val="20"/>
                <w:szCs w:val="20"/>
                <w:color w:val="auto"/>
              </w:rPr>
            </w:pPr>
            <w:r>
              <w:rPr>
                <w:rFonts w:ascii="Calibri" w:cs="Calibri" w:eastAsia="Calibri" w:hAnsi="Calibri"/>
                <w:sz w:val="18"/>
                <w:szCs w:val="18"/>
                <w:b w:val="1"/>
                <w:bCs w:val="1"/>
                <w:color w:val="auto"/>
              </w:rPr>
              <w:t>(1,590 )</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-873760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-873760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-316230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-316230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reconciliaton of income taxes computed at the U.S. federal statutory income tax rate of 21% to the rate of our income tax expense (beneft) for the years ended December 31, 2024, 2023, and 2022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gridSpan w:val="3"/>
          </w:tcPr>
          <w:p>
            <w:pPr>
              <w:ind w:left="60"/>
              <w:spacing w:after="0"/>
              <w:rPr>
                <w:sz w:val="20"/>
                <w:szCs w:val="20"/>
                <w:color w:val="auto"/>
              </w:rPr>
            </w:pPr>
            <w:r>
              <w:rPr>
                <w:rFonts w:ascii="Calibri" w:cs="Calibri" w:eastAsia="Calibri" w:hAnsi="Calibri"/>
                <w:sz w:val="18"/>
                <w:szCs w:val="18"/>
                <w:b w:val="1"/>
                <w:bCs w:val="1"/>
                <w:color w:val="auto"/>
                <w:w w:val="98"/>
              </w:rPr>
              <w:t>Years Ended December 31,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580" w:type="dxa"/>
            <w:vAlign w:val="bottom"/>
            <w:vMerge w:val="restart"/>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70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8"/>
              </w:rPr>
              <w:t>2024</w:t>
            </w:r>
          </w:p>
        </w:tc>
        <w:tc>
          <w:tcPr>
            <w:tcW w:w="160" w:type="dxa"/>
            <w:vAlign w:val="bottom"/>
          </w:tcPr>
          <w:p>
            <w:pPr>
              <w:spacing w:after="0"/>
              <w:rPr>
                <w:sz w:val="18"/>
                <w:szCs w:val="18"/>
                <w:color w:val="auto"/>
              </w:rPr>
            </w:pPr>
          </w:p>
        </w:tc>
        <w:tc>
          <w:tcPr>
            <w:tcW w:w="170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8"/>
              </w:rPr>
              <w:t>2023</w:t>
            </w:r>
          </w:p>
        </w:tc>
        <w:tc>
          <w:tcPr>
            <w:tcW w:w="180" w:type="dxa"/>
            <w:vAlign w:val="bottom"/>
          </w:tcPr>
          <w:p>
            <w:pPr>
              <w:spacing w:after="0"/>
              <w:rPr>
                <w:sz w:val="18"/>
                <w:szCs w:val="18"/>
                <w:color w:val="auto"/>
              </w:rPr>
            </w:pPr>
          </w:p>
        </w:tc>
        <w:tc>
          <w:tcPr>
            <w:tcW w:w="172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8"/>
              </w:rPr>
              <w:t>2022</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U.S. federal statutory income tax rate</w:t>
            </w:r>
          </w:p>
        </w:tc>
        <w:tc>
          <w:tcPr>
            <w:tcW w:w="3280" w:type="dxa"/>
            <w:vAlign w:val="bottom"/>
            <w:gridSpan w:val="2"/>
            <w:shd w:val="clear" w:color="auto" w:fill="CFF0FC"/>
          </w:tcPr>
          <w:p>
            <w:pPr>
              <w:jc w:val="center"/>
              <w:ind w:left="1470"/>
              <w:spacing w:after="0" w:line="210" w:lineRule="exact"/>
              <w:rPr>
                <w:sz w:val="20"/>
                <w:szCs w:val="20"/>
                <w:color w:val="auto"/>
              </w:rPr>
            </w:pPr>
            <w:r>
              <w:rPr>
                <w:rFonts w:ascii="Calibri" w:cs="Calibri" w:eastAsia="Calibri" w:hAnsi="Calibri"/>
                <w:sz w:val="18"/>
                <w:szCs w:val="18"/>
                <w:color w:val="auto"/>
                <w:w w:val="98"/>
              </w:rPr>
              <w:t>21.0%</w:t>
            </w:r>
          </w:p>
        </w:tc>
        <w:tc>
          <w:tcPr>
            <w:tcW w:w="1860" w:type="dxa"/>
            <w:vAlign w:val="bottom"/>
            <w:gridSpan w:val="2"/>
            <w:shd w:val="clear" w:color="auto" w:fill="CFF0FC"/>
          </w:tcPr>
          <w:p>
            <w:pPr>
              <w:jc w:val="center"/>
              <w:ind w:left="90"/>
              <w:spacing w:after="0" w:line="210" w:lineRule="exact"/>
              <w:rPr>
                <w:sz w:val="20"/>
                <w:szCs w:val="20"/>
                <w:color w:val="auto"/>
              </w:rPr>
            </w:pPr>
            <w:r>
              <w:rPr>
                <w:rFonts w:ascii="Calibri" w:cs="Calibri" w:eastAsia="Calibri" w:hAnsi="Calibri"/>
                <w:sz w:val="18"/>
                <w:szCs w:val="18"/>
                <w:color w:val="auto"/>
                <w:w w:val="98"/>
              </w:rPr>
              <w:t>21.0%</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line="210" w:lineRule="exact"/>
              <w:rPr>
                <w:sz w:val="20"/>
                <w:szCs w:val="20"/>
                <w:color w:val="auto"/>
              </w:rPr>
            </w:pPr>
            <w:r>
              <w:rPr>
                <w:rFonts w:ascii="Calibri" w:cs="Calibri" w:eastAsia="Calibri" w:hAnsi="Calibri"/>
                <w:sz w:val="18"/>
                <w:szCs w:val="18"/>
                <w:color w:val="auto"/>
                <w:w w:val="98"/>
              </w:rPr>
              <w:t>21.0%</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line="215" w:lineRule="exact"/>
              <w:rPr>
                <w:sz w:val="20"/>
                <w:szCs w:val="20"/>
                <w:color w:val="auto"/>
              </w:rPr>
            </w:pPr>
            <w:r>
              <w:rPr>
                <w:rFonts w:ascii="Calibri" w:cs="Calibri" w:eastAsia="Calibri" w:hAnsi="Calibri"/>
                <w:sz w:val="18"/>
                <w:szCs w:val="18"/>
                <w:color w:val="auto"/>
              </w:rPr>
              <w:t>State income taxes</w:t>
            </w:r>
          </w:p>
        </w:tc>
        <w:tc>
          <w:tcPr>
            <w:tcW w:w="3280" w:type="dxa"/>
            <w:vAlign w:val="bottom"/>
            <w:gridSpan w:val="2"/>
          </w:tcPr>
          <w:p>
            <w:pPr>
              <w:jc w:val="center"/>
              <w:ind w:left="1470"/>
              <w:spacing w:after="0" w:line="215" w:lineRule="exact"/>
              <w:rPr>
                <w:sz w:val="20"/>
                <w:szCs w:val="20"/>
                <w:color w:val="auto"/>
              </w:rPr>
            </w:pPr>
            <w:r>
              <w:rPr>
                <w:rFonts w:ascii="Calibri" w:cs="Calibri" w:eastAsia="Calibri" w:hAnsi="Calibri"/>
                <w:sz w:val="18"/>
                <w:szCs w:val="18"/>
                <w:color w:val="auto"/>
              </w:rPr>
              <w:t>3.1%</w:t>
            </w:r>
          </w:p>
        </w:tc>
        <w:tc>
          <w:tcPr>
            <w:tcW w:w="1860" w:type="dxa"/>
            <w:vAlign w:val="bottom"/>
            <w:gridSpan w:val="2"/>
          </w:tcPr>
          <w:p>
            <w:pPr>
              <w:jc w:val="center"/>
              <w:ind w:left="90"/>
              <w:spacing w:after="0" w:line="215" w:lineRule="exact"/>
              <w:rPr>
                <w:sz w:val="20"/>
                <w:szCs w:val="20"/>
                <w:color w:val="auto"/>
              </w:rPr>
            </w:pPr>
            <w:r>
              <w:rPr>
                <w:rFonts w:ascii="Calibri" w:cs="Calibri" w:eastAsia="Calibri" w:hAnsi="Calibri"/>
                <w:sz w:val="18"/>
                <w:szCs w:val="18"/>
                <w:color w:val="auto"/>
              </w:rPr>
              <w:t>2.2%</w:t>
            </w:r>
          </w:p>
        </w:tc>
        <w:tc>
          <w:tcPr>
            <w:tcW w:w="180" w:type="dxa"/>
            <w:vAlign w:val="bottom"/>
          </w:tcPr>
          <w:p>
            <w:pPr>
              <w:spacing w:after="0"/>
              <w:rPr>
                <w:sz w:val="18"/>
                <w:szCs w:val="18"/>
                <w:color w:val="auto"/>
              </w:rPr>
            </w:pPr>
          </w:p>
        </w:tc>
        <w:tc>
          <w:tcPr>
            <w:tcW w:w="1720" w:type="dxa"/>
            <w:vAlign w:val="bottom"/>
          </w:tcPr>
          <w:p>
            <w:pPr>
              <w:jc w:val="center"/>
              <w:spacing w:after="0" w:line="215" w:lineRule="exact"/>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Foreign rate diferental</w:t>
            </w:r>
          </w:p>
        </w:tc>
        <w:tc>
          <w:tcPr>
            <w:tcW w:w="3280" w:type="dxa"/>
            <w:vAlign w:val="bottom"/>
            <w:gridSpan w:val="2"/>
            <w:shd w:val="clear" w:color="auto" w:fill="CFF0FC"/>
          </w:tcPr>
          <w:p>
            <w:pPr>
              <w:jc w:val="center"/>
              <w:ind w:left="1490"/>
              <w:spacing w:after="0" w:line="216" w:lineRule="exact"/>
              <w:rPr>
                <w:sz w:val="20"/>
                <w:szCs w:val="20"/>
                <w:color w:val="auto"/>
              </w:rPr>
            </w:pPr>
            <w:r>
              <w:rPr>
                <w:rFonts w:ascii="Calibri" w:cs="Calibri" w:eastAsia="Calibri" w:hAnsi="Calibri"/>
                <w:sz w:val="18"/>
                <w:szCs w:val="18"/>
                <w:color w:val="auto"/>
                <w:w w:val="98"/>
              </w:rPr>
              <w:t>(1.9)%</w:t>
            </w:r>
          </w:p>
        </w:tc>
        <w:tc>
          <w:tcPr>
            <w:tcW w:w="1860" w:type="dxa"/>
            <w:vAlign w:val="bottom"/>
            <w:gridSpan w:val="2"/>
            <w:shd w:val="clear" w:color="auto" w:fill="CFF0FC"/>
          </w:tcPr>
          <w:p>
            <w:pPr>
              <w:jc w:val="center"/>
              <w:ind w:left="90"/>
              <w:spacing w:after="0" w:line="216" w:lineRule="exact"/>
              <w:rPr>
                <w:sz w:val="20"/>
                <w:szCs w:val="20"/>
                <w:color w:val="auto"/>
              </w:rPr>
            </w:pPr>
            <w:r>
              <w:rPr>
                <w:rFonts w:ascii="Calibri" w:cs="Calibri" w:eastAsia="Calibri" w:hAnsi="Calibri"/>
                <w:sz w:val="18"/>
                <w:szCs w:val="18"/>
                <w:color w:val="auto"/>
              </w:rPr>
              <w:t>0.4%</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0.1%</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3280" w:type="dxa"/>
            <w:vAlign w:val="bottom"/>
            <w:gridSpan w:val="2"/>
          </w:tcPr>
          <w:p>
            <w:pPr>
              <w:jc w:val="center"/>
              <w:ind w:left="1490"/>
              <w:spacing w:after="0" w:line="215" w:lineRule="exact"/>
              <w:rPr>
                <w:sz w:val="20"/>
                <w:szCs w:val="20"/>
                <w:color w:val="auto"/>
              </w:rPr>
            </w:pPr>
            <w:r>
              <w:rPr>
                <w:rFonts w:ascii="Calibri" w:cs="Calibri" w:eastAsia="Calibri" w:hAnsi="Calibri"/>
                <w:sz w:val="18"/>
                <w:szCs w:val="18"/>
                <w:color w:val="auto"/>
                <w:w w:val="98"/>
              </w:rPr>
              <w:t>(1.9)%</w:t>
            </w:r>
          </w:p>
        </w:tc>
        <w:tc>
          <w:tcPr>
            <w:tcW w:w="1860" w:type="dxa"/>
            <w:vAlign w:val="bottom"/>
            <w:gridSpan w:val="2"/>
          </w:tcPr>
          <w:p>
            <w:pPr>
              <w:jc w:val="center"/>
              <w:ind w:left="70"/>
              <w:spacing w:after="0" w:line="215" w:lineRule="exact"/>
              <w:rPr>
                <w:sz w:val="20"/>
                <w:szCs w:val="20"/>
                <w:color w:val="auto"/>
              </w:rPr>
            </w:pPr>
            <w:r>
              <w:rPr>
                <w:rFonts w:ascii="Calibri" w:cs="Calibri" w:eastAsia="Calibri" w:hAnsi="Calibri"/>
                <w:sz w:val="18"/>
                <w:szCs w:val="18"/>
                <w:color w:val="auto"/>
                <w:w w:val="96"/>
              </w:rPr>
              <w:t>(10.9)%</w:t>
            </w:r>
          </w:p>
        </w:tc>
        <w:tc>
          <w:tcPr>
            <w:tcW w:w="180" w:type="dxa"/>
            <w:vAlign w:val="bottom"/>
          </w:tcPr>
          <w:p>
            <w:pPr>
              <w:spacing w:after="0"/>
              <w:rPr>
                <w:sz w:val="18"/>
                <w:szCs w:val="18"/>
                <w:color w:val="auto"/>
              </w:rPr>
            </w:pPr>
          </w:p>
        </w:tc>
        <w:tc>
          <w:tcPr>
            <w:tcW w:w="1720" w:type="dxa"/>
            <w:vAlign w:val="bottom"/>
          </w:tcPr>
          <w:p>
            <w:pPr>
              <w:jc w:val="center"/>
              <w:spacing w:after="0" w:line="215" w:lineRule="exact"/>
              <w:rPr>
                <w:sz w:val="20"/>
                <w:szCs w:val="20"/>
                <w:color w:val="auto"/>
              </w:rPr>
            </w:pPr>
            <w:r>
              <w:rPr>
                <w:rFonts w:ascii="Calibri" w:cs="Calibri" w:eastAsia="Calibri" w:hAnsi="Calibri"/>
                <w:sz w:val="18"/>
                <w:szCs w:val="18"/>
                <w:color w:val="auto"/>
              </w:rPr>
              <w:t>(12.3)%</w:t>
            </w: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Change in valuaton allowance</w:t>
            </w:r>
          </w:p>
        </w:tc>
        <w:tc>
          <w:tcPr>
            <w:tcW w:w="3280" w:type="dxa"/>
            <w:vAlign w:val="bottom"/>
            <w:gridSpan w:val="2"/>
            <w:shd w:val="clear" w:color="auto" w:fill="CFF0FC"/>
          </w:tcPr>
          <w:p>
            <w:pPr>
              <w:jc w:val="center"/>
              <w:ind w:left="1490"/>
              <w:spacing w:after="0" w:line="216" w:lineRule="exact"/>
              <w:rPr>
                <w:sz w:val="20"/>
                <w:szCs w:val="20"/>
                <w:color w:val="auto"/>
              </w:rPr>
            </w:pPr>
            <w:r>
              <w:rPr>
                <w:rFonts w:ascii="Calibri" w:cs="Calibri" w:eastAsia="Calibri" w:hAnsi="Calibri"/>
                <w:sz w:val="18"/>
                <w:szCs w:val="18"/>
                <w:color w:val="auto"/>
                <w:w w:val="96"/>
              </w:rPr>
              <w:t>(21.6)%</w:t>
            </w:r>
          </w:p>
        </w:tc>
        <w:tc>
          <w:tcPr>
            <w:tcW w:w="1860" w:type="dxa"/>
            <w:vAlign w:val="bottom"/>
            <w:gridSpan w:val="2"/>
            <w:shd w:val="clear" w:color="auto" w:fill="CFF0FC"/>
          </w:tcPr>
          <w:p>
            <w:pPr>
              <w:jc w:val="center"/>
              <w:ind w:left="90"/>
              <w:spacing w:after="0" w:line="216" w:lineRule="exact"/>
              <w:rPr>
                <w:sz w:val="20"/>
                <w:szCs w:val="20"/>
                <w:color w:val="auto"/>
              </w:rPr>
            </w:pPr>
            <w:r>
              <w:rPr>
                <w:rFonts w:ascii="Calibri" w:cs="Calibri" w:eastAsia="Calibri" w:hAnsi="Calibri"/>
                <w:sz w:val="18"/>
                <w:szCs w:val="18"/>
                <w:color w:val="auto"/>
                <w:w w:val="98"/>
              </w:rPr>
              <w:t>(131.9)%</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(23.1)%</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tax partnership adjustment</w:t>
            </w:r>
          </w:p>
        </w:tc>
        <w:tc>
          <w:tcPr>
            <w:tcW w:w="3280" w:type="dxa"/>
            <w:vAlign w:val="bottom"/>
            <w:gridSpan w:val="2"/>
          </w:tcPr>
          <w:p>
            <w:pPr>
              <w:jc w:val="center"/>
              <w:ind w:left="1470"/>
              <w:spacing w:after="0" w:line="215" w:lineRule="exact"/>
              <w:rPr>
                <w:sz w:val="20"/>
                <w:szCs w:val="20"/>
                <w:color w:val="auto"/>
              </w:rPr>
            </w:pPr>
            <w:r>
              <w:rPr>
                <w:rFonts w:ascii="Calibri" w:cs="Calibri" w:eastAsia="Calibri" w:hAnsi="Calibri"/>
                <w:sz w:val="18"/>
                <w:szCs w:val="18"/>
                <w:color w:val="auto"/>
              </w:rPr>
              <w:t>6.8%</w:t>
            </w:r>
          </w:p>
        </w:tc>
        <w:tc>
          <w:tcPr>
            <w:tcW w:w="1860" w:type="dxa"/>
            <w:vAlign w:val="bottom"/>
            <w:gridSpan w:val="2"/>
          </w:tcPr>
          <w:p>
            <w:pPr>
              <w:jc w:val="center"/>
              <w:ind w:left="90"/>
              <w:spacing w:after="0" w:line="215" w:lineRule="exact"/>
              <w:rPr>
                <w:sz w:val="20"/>
                <w:szCs w:val="20"/>
                <w:color w:val="auto"/>
              </w:rPr>
            </w:pPr>
            <w:r>
              <w:rPr>
                <w:rFonts w:ascii="Calibri" w:cs="Calibri" w:eastAsia="Calibri" w:hAnsi="Calibri"/>
                <w:sz w:val="18"/>
                <w:szCs w:val="18"/>
                <w:color w:val="auto"/>
                <w:w w:val="98"/>
              </w:rPr>
              <w:t>30.8%</w:t>
            </w:r>
          </w:p>
        </w:tc>
        <w:tc>
          <w:tcPr>
            <w:tcW w:w="180" w:type="dxa"/>
            <w:vAlign w:val="bottom"/>
          </w:tcPr>
          <w:p>
            <w:pPr>
              <w:spacing w:after="0"/>
              <w:rPr>
                <w:sz w:val="18"/>
                <w:szCs w:val="18"/>
                <w:color w:val="auto"/>
              </w:rPr>
            </w:pPr>
          </w:p>
        </w:tc>
        <w:tc>
          <w:tcPr>
            <w:tcW w:w="17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10.1%</w:t>
            </w: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Research and development credit</w:t>
            </w:r>
          </w:p>
        </w:tc>
        <w:tc>
          <w:tcPr>
            <w:tcW w:w="3280" w:type="dxa"/>
            <w:vAlign w:val="bottom"/>
            <w:gridSpan w:val="2"/>
            <w:shd w:val="clear" w:color="auto" w:fill="CFF0FC"/>
          </w:tcPr>
          <w:p>
            <w:pPr>
              <w:jc w:val="center"/>
              <w:ind w:left="1490"/>
              <w:spacing w:after="0" w:line="216" w:lineRule="exact"/>
              <w:rPr>
                <w:sz w:val="20"/>
                <w:szCs w:val="20"/>
                <w:color w:val="auto"/>
              </w:rPr>
            </w:pPr>
            <w:r>
              <w:rPr>
                <w:rFonts w:ascii="Calibri" w:cs="Calibri" w:eastAsia="Calibri" w:hAnsi="Calibri"/>
                <w:sz w:val="18"/>
                <w:szCs w:val="18"/>
                <w:color w:val="auto"/>
                <w:w w:val="98"/>
              </w:rPr>
              <w:t>(4.6)%</w:t>
            </w:r>
          </w:p>
        </w:tc>
        <w:tc>
          <w:tcPr>
            <w:tcW w:w="1860" w:type="dxa"/>
            <w:vAlign w:val="bottom"/>
            <w:gridSpan w:val="2"/>
            <w:shd w:val="clear" w:color="auto" w:fill="CFF0FC"/>
          </w:tcPr>
          <w:p>
            <w:pPr>
              <w:jc w:val="center"/>
              <w:ind w:left="70"/>
              <w:spacing w:after="0" w:line="216" w:lineRule="exact"/>
              <w:rPr>
                <w:sz w:val="20"/>
                <w:szCs w:val="20"/>
                <w:color w:val="auto"/>
              </w:rPr>
            </w:pPr>
            <w:r>
              <w:rPr>
                <w:rFonts w:ascii="Calibri" w:cs="Calibri" w:eastAsia="Calibri" w:hAnsi="Calibri"/>
                <w:sz w:val="18"/>
                <w:szCs w:val="18"/>
                <w:color w:val="auto"/>
                <w:w w:val="98"/>
              </w:rPr>
              <w:t>(1.1)%</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(0.5)%</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line="215" w:lineRule="exact"/>
              <w:rPr>
                <w:sz w:val="20"/>
                <w:szCs w:val="20"/>
                <w:color w:val="auto"/>
              </w:rPr>
            </w:pPr>
            <w:r>
              <w:rPr>
                <w:rFonts w:ascii="Calibri" w:cs="Calibri" w:eastAsia="Calibri" w:hAnsi="Calibri"/>
                <w:sz w:val="18"/>
                <w:szCs w:val="18"/>
                <w:color w:val="auto"/>
              </w:rPr>
              <w:t>Limitaton on compensaton deductons</w:t>
            </w:r>
          </w:p>
        </w:tc>
        <w:tc>
          <w:tcPr>
            <w:tcW w:w="3280" w:type="dxa"/>
            <w:vAlign w:val="bottom"/>
            <w:gridSpan w:val="2"/>
          </w:tcPr>
          <w:p>
            <w:pPr>
              <w:jc w:val="center"/>
              <w:ind w:left="1470"/>
              <w:spacing w:after="0" w:line="215" w:lineRule="exact"/>
              <w:rPr>
                <w:sz w:val="20"/>
                <w:szCs w:val="20"/>
                <w:color w:val="auto"/>
              </w:rPr>
            </w:pPr>
            <w:r>
              <w:rPr>
                <w:rFonts w:ascii="Calibri" w:cs="Calibri" w:eastAsia="Calibri" w:hAnsi="Calibri"/>
                <w:sz w:val="18"/>
                <w:szCs w:val="18"/>
                <w:color w:val="auto"/>
                <w:w w:val="98"/>
              </w:rPr>
              <w:t>13.1%</w:t>
            </w:r>
          </w:p>
        </w:tc>
        <w:tc>
          <w:tcPr>
            <w:tcW w:w="1860" w:type="dxa"/>
            <w:vAlign w:val="bottom"/>
            <w:gridSpan w:val="2"/>
          </w:tcPr>
          <w:p>
            <w:pPr>
              <w:jc w:val="center"/>
              <w:ind w:left="90"/>
              <w:spacing w:after="0" w:line="215" w:lineRule="exact"/>
              <w:rPr>
                <w:sz w:val="20"/>
                <w:szCs w:val="20"/>
                <w:color w:val="auto"/>
              </w:rPr>
            </w:pPr>
            <w:r>
              <w:rPr>
                <w:rFonts w:ascii="Calibri" w:cs="Calibri" w:eastAsia="Calibri" w:hAnsi="Calibri"/>
                <w:sz w:val="18"/>
                <w:szCs w:val="18"/>
                <w:color w:val="auto"/>
              </w:rPr>
              <w:t>1.5%</w:t>
            </w:r>
          </w:p>
        </w:tc>
        <w:tc>
          <w:tcPr>
            <w:tcW w:w="180" w:type="dxa"/>
            <w:vAlign w:val="bottom"/>
          </w:tcPr>
          <w:p>
            <w:pPr>
              <w:spacing w:after="0"/>
              <w:rPr>
                <w:sz w:val="18"/>
                <w:szCs w:val="18"/>
                <w:color w:val="auto"/>
              </w:rPr>
            </w:pPr>
          </w:p>
        </w:tc>
        <w:tc>
          <w:tcPr>
            <w:tcW w:w="172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w:t>
            </w: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Equity-based compensaton shortall</w:t>
            </w:r>
          </w:p>
        </w:tc>
        <w:tc>
          <w:tcPr>
            <w:tcW w:w="3280" w:type="dxa"/>
            <w:vAlign w:val="bottom"/>
            <w:gridSpan w:val="2"/>
            <w:shd w:val="clear" w:color="auto" w:fill="CFF0FC"/>
          </w:tcPr>
          <w:p>
            <w:pPr>
              <w:jc w:val="center"/>
              <w:ind w:left="1470"/>
              <w:spacing w:after="0" w:line="216" w:lineRule="exact"/>
              <w:rPr>
                <w:sz w:val="20"/>
                <w:szCs w:val="20"/>
                <w:color w:val="auto"/>
              </w:rPr>
            </w:pPr>
            <w:r>
              <w:rPr>
                <w:rFonts w:ascii="Calibri" w:cs="Calibri" w:eastAsia="Calibri" w:hAnsi="Calibri"/>
                <w:sz w:val="18"/>
                <w:szCs w:val="18"/>
                <w:color w:val="auto"/>
              </w:rPr>
              <w:t>6.5%</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center"/>
              <w:ind w:right="160"/>
              <w:spacing w:after="0" w:line="216" w:lineRule="exact"/>
              <w:rPr>
                <w:sz w:val="20"/>
                <w:szCs w:val="20"/>
                <w:color w:val="auto"/>
              </w:rPr>
            </w:pPr>
            <w:r>
              <w:rPr>
                <w:rFonts w:ascii="Calibri" w:cs="Calibri" w:eastAsia="Calibri" w:hAnsi="Calibri"/>
                <w:sz w:val="18"/>
                <w:szCs w:val="18"/>
                <w:color w:val="auto"/>
                <w:w w:val="95"/>
              </w:rPr>
              <w:t>—%</w:t>
            </w:r>
          </w:p>
        </w:tc>
        <w:tc>
          <w:tcPr>
            <w:tcW w:w="17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5"/>
              </w:rPr>
              <w:t>—%</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line="215" w:lineRule="exact"/>
              <w:rPr>
                <w:sz w:val="20"/>
                <w:szCs w:val="20"/>
                <w:color w:val="auto"/>
              </w:rPr>
            </w:pPr>
            <w:r>
              <w:rPr>
                <w:rFonts w:ascii="Calibri" w:cs="Calibri" w:eastAsia="Calibri" w:hAnsi="Calibri"/>
                <w:sz w:val="18"/>
                <w:szCs w:val="18"/>
                <w:color w:val="auto"/>
              </w:rPr>
              <w:t>Tax rate change</w:t>
            </w:r>
          </w:p>
        </w:tc>
        <w:tc>
          <w:tcPr>
            <w:tcW w:w="3280" w:type="dxa"/>
            <w:vAlign w:val="bottom"/>
            <w:gridSpan w:val="2"/>
          </w:tcPr>
          <w:p>
            <w:pPr>
              <w:jc w:val="center"/>
              <w:ind w:left="1470"/>
              <w:spacing w:after="0" w:line="215" w:lineRule="exact"/>
              <w:rPr>
                <w:sz w:val="20"/>
                <w:szCs w:val="20"/>
                <w:color w:val="auto"/>
              </w:rPr>
            </w:pPr>
            <w:r>
              <w:rPr>
                <w:rFonts w:ascii="Calibri" w:cs="Calibri" w:eastAsia="Calibri" w:hAnsi="Calibri"/>
                <w:sz w:val="18"/>
                <w:szCs w:val="18"/>
                <w:color w:val="auto"/>
                <w:w w:val="98"/>
              </w:rPr>
              <w:t>13.1%</w:t>
            </w:r>
          </w:p>
        </w:tc>
        <w:tc>
          <w:tcPr>
            <w:tcW w:w="160" w:type="dxa"/>
            <w:vAlign w:val="bottom"/>
          </w:tcPr>
          <w:p>
            <w:pPr>
              <w:spacing w:after="0"/>
              <w:rPr>
                <w:sz w:val="18"/>
                <w:szCs w:val="18"/>
                <w:color w:val="auto"/>
              </w:rPr>
            </w:pPr>
          </w:p>
        </w:tc>
        <w:tc>
          <w:tcPr>
            <w:tcW w:w="1880" w:type="dxa"/>
            <w:vAlign w:val="bottom"/>
            <w:gridSpan w:val="2"/>
          </w:tcPr>
          <w:p>
            <w:pPr>
              <w:jc w:val="center"/>
              <w:ind w:right="160"/>
              <w:spacing w:after="0" w:line="215" w:lineRule="exact"/>
              <w:rPr>
                <w:sz w:val="20"/>
                <w:szCs w:val="20"/>
                <w:color w:val="auto"/>
              </w:rPr>
            </w:pPr>
            <w:r>
              <w:rPr>
                <w:rFonts w:ascii="Calibri" w:cs="Calibri" w:eastAsia="Calibri" w:hAnsi="Calibri"/>
                <w:sz w:val="18"/>
                <w:szCs w:val="18"/>
                <w:color w:val="auto"/>
                <w:w w:val="95"/>
              </w:rPr>
              <w:t>—%</w:t>
            </w:r>
          </w:p>
        </w:tc>
        <w:tc>
          <w:tcPr>
            <w:tcW w:w="172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w:t>
            </w: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w:t>
            </w:r>
          </w:p>
        </w:tc>
        <w:tc>
          <w:tcPr>
            <w:tcW w:w="3280" w:type="dxa"/>
            <w:vAlign w:val="bottom"/>
            <w:gridSpan w:val="2"/>
            <w:shd w:val="clear" w:color="auto" w:fill="CFF0FC"/>
          </w:tcPr>
          <w:p>
            <w:pPr>
              <w:jc w:val="center"/>
              <w:ind w:left="1470"/>
              <w:spacing w:after="0" w:line="216" w:lineRule="exact"/>
              <w:rPr>
                <w:sz w:val="20"/>
                <w:szCs w:val="20"/>
                <w:color w:val="auto"/>
              </w:rPr>
            </w:pPr>
            <w:r>
              <w:rPr>
                <w:rFonts w:ascii="Calibri" w:cs="Calibri" w:eastAsia="Calibri" w:hAnsi="Calibri"/>
                <w:sz w:val="18"/>
                <w:szCs w:val="18"/>
                <w:color w:val="auto"/>
              </w:rPr>
              <w:t>3.4%</w:t>
            </w:r>
          </w:p>
        </w:tc>
        <w:tc>
          <w:tcPr>
            <w:tcW w:w="1860" w:type="dxa"/>
            <w:vAlign w:val="bottom"/>
            <w:gridSpan w:val="2"/>
            <w:shd w:val="clear" w:color="auto" w:fill="CFF0FC"/>
          </w:tcPr>
          <w:p>
            <w:pPr>
              <w:jc w:val="center"/>
              <w:ind w:left="70"/>
              <w:spacing w:after="0" w:line="216" w:lineRule="exact"/>
              <w:rPr>
                <w:sz w:val="20"/>
                <w:szCs w:val="20"/>
                <w:color w:val="auto"/>
              </w:rPr>
            </w:pPr>
            <w:r>
              <w:rPr>
                <w:rFonts w:ascii="Calibri" w:cs="Calibri" w:eastAsia="Calibri" w:hAnsi="Calibri"/>
                <w:sz w:val="18"/>
                <w:szCs w:val="18"/>
                <w:color w:val="auto"/>
                <w:w w:val="98"/>
              </w:rPr>
              <w:t>(0.1)%</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0.6%</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line="215" w:lineRule="exact"/>
              <w:rPr>
                <w:sz w:val="20"/>
                <w:szCs w:val="20"/>
                <w:color w:val="auto"/>
              </w:rPr>
            </w:pPr>
            <w:r>
              <w:rPr>
                <w:rFonts w:ascii="Calibri" w:cs="Calibri" w:eastAsia="Calibri" w:hAnsi="Calibri"/>
                <w:sz w:val="18"/>
                <w:szCs w:val="18"/>
                <w:color w:val="auto"/>
              </w:rPr>
              <w:t>Impact of restructuring</w:t>
            </w:r>
          </w:p>
        </w:tc>
        <w:tc>
          <w:tcPr>
            <w:tcW w:w="1580" w:type="dxa"/>
            <w:vAlign w:val="bottom"/>
          </w:tcPr>
          <w:p>
            <w:pPr>
              <w:spacing w:after="0"/>
              <w:rPr>
                <w:sz w:val="18"/>
                <w:szCs w:val="18"/>
                <w:color w:val="auto"/>
              </w:rPr>
            </w:pPr>
          </w:p>
        </w:tc>
        <w:tc>
          <w:tcPr>
            <w:tcW w:w="170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w:t>
            </w:r>
          </w:p>
        </w:tc>
        <w:tc>
          <w:tcPr>
            <w:tcW w:w="160" w:type="dxa"/>
            <w:vAlign w:val="bottom"/>
          </w:tcPr>
          <w:p>
            <w:pPr>
              <w:spacing w:after="0"/>
              <w:rPr>
                <w:sz w:val="18"/>
                <w:szCs w:val="18"/>
                <w:color w:val="auto"/>
              </w:rPr>
            </w:pPr>
          </w:p>
        </w:tc>
        <w:tc>
          <w:tcPr>
            <w:tcW w:w="170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8"/>
              </w:rPr>
              <w:t>28.6%</w:t>
            </w:r>
          </w:p>
        </w:tc>
        <w:tc>
          <w:tcPr>
            <w:tcW w:w="180" w:type="dxa"/>
            <w:vAlign w:val="bottom"/>
          </w:tcPr>
          <w:p>
            <w:pPr>
              <w:spacing w:after="0"/>
              <w:rPr>
                <w:sz w:val="18"/>
                <w:szCs w:val="18"/>
                <w:color w:val="auto"/>
              </w:rPr>
            </w:pPr>
          </w:p>
        </w:tc>
        <w:tc>
          <w:tcPr>
            <w:tcW w:w="172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w:t>
            </w:r>
          </w:p>
        </w:tc>
        <w:tc>
          <w:tcPr>
            <w:tcW w:w="0" w:type="dxa"/>
            <w:vAlign w:val="bottom"/>
          </w:tcPr>
          <w:p>
            <w:pPr>
              <w:spacing w:after="0"/>
              <w:rPr>
                <w:sz w:val="1"/>
                <w:szCs w:val="1"/>
                <w:color w:val="auto"/>
              </w:rPr>
            </w:pPr>
          </w:p>
        </w:tc>
      </w:tr>
      <w:tr>
        <w:trPr>
          <w:trHeight w:val="250"/>
        </w:trPr>
        <w:tc>
          <w:tcPr>
            <w:tcW w:w="42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tax expense (beneft)</w:t>
            </w:r>
          </w:p>
        </w:tc>
        <w:tc>
          <w:tcPr>
            <w:tcW w:w="3280" w:type="dxa"/>
            <w:vAlign w:val="bottom"/>
            <w:gridSpan w:val="2"/>
            <w:shd w:val="clear" w:color="auto" w:fill="CFF0FC"/>
          </w:tcPr>
          <w:p>
            <w:pPr>
              <w:jc w:val="center"/>
              <w:ind w:left="1470"/>
              <w:spacing w:after="0" w:line="210" w:lineRule="exact"/>
              <w:rPr>
                <w:sz w:val="20"/>
                <w:szCs w:val="20"/>
                <w:color w:val="auto"/>
              </w:rPr>
            </w:pPr>
            <w:r>
              <w:rPr>
                <w:rFonts w:ascii="Calibri" w:cs="Calibri" w:eastAsia="Calibri" w:hAnsi="Calibri"/>
                <w:sz w:val="18"/>
                <w:szCs w:val="18"/>
                <w:b w:val="1"/>
                <w:bCs w:val="1"/>
                <w:color w:val="auto"/>
                <w:w w:val="97"/>
              </w:rPr>
              <w:t>37.0%</w:t>
            </w:r>
          </w:p>
        </w:tc>
        <w:tc>
          <w:tcPr>
            <w:tcW w:w="1860" w:type="dxa"/>
            <w:vAlign w:val="bottom"/>
            <w:gridSpan w:val="2"/>
            <w:shd w:val="clear" w:color="auto" w:fill="CFF0FC"/>
          </w:tcPr>
          <w:p>
            <w:pPr>
              <w:jc w:val="center"/>
              <w:ind w:left="90"/>
              <w:spacing w:after="0" w:line="210" w:lineRule="exact"/>
              <w:rPr>
                <w:sz w:val="20"/>
                <w:szCs w:val="20"/>
                <w:color w:val="auto"/>
              </w:rPr>
            </w:pPr>
            <w:r>
              <w:rPr>
                <w:rFonts w:ascii="Calibri" w:cs="Calibri" w:eastAsia="Calibri" w:hAnsi="Calibri"/>
                <w:sz w:val="18"/>
                <w:szCs w:val="18"/>
                <w:b w:val="1"/>
                <w:bCs w:val="1"/>
                <w:color w:val="auto"/>
                <w:w w:val="98"/>
              </w:rPr>
              <w:t>(59.5)%</w:t>
            </w:r>
          </w:p>
        </w:tc>
        <w:tc>
          <w:tcPr>
            <w:tcW w:w="18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line="210" w:lineRule="exact"/>
              <w:rPr>
                <w:sz w:val="20"/>
                <w:szCs w:val="20"/>
                <w:color w:val="auto"/>
              </w:rPr>
            </w:pPr>
            <w:r>
              <w:rPr>
                <w:rFonts w:ascii="Calibri" w:cs="Calibri" w:eastAsia="Calibri" w:hAnsi="Calibri"/>
                <w:sz w:val="18"/>
                <w:szCs w:val="18"/>
                <w:b w:val="1"/>
                <w:bCs w:val="1"/>
                <w:color w:val="auto"/>
              </w:rPr>
              <w:t>(2.3)%</w:t>
            </w:r>
          </w:p>
        </w:tc>
        <w:tc>
          <w:tcPr>
            <w:tcW w:w="0" w:type="dxa"/>
            <w:vAlign w:val="bottom"/>
          </w:tcPr>
          <w:p>
            <w:pPr>
              <w:spacing w:after="0"/>
              <w:rPr>
                <w:sz w:val="1"/>
                <w:szCs w:val="1"/>
                <w:color w:val="auto"/>
              </w:rPr>
            </w:pPr>
          </w:p>
        </w:tc>
      </w:tr>
      <w:tr>
        <w:trPr>
          <w:trHeight w:val="821"/>
        </w:trPr>
        <w:tc>
          <w:tcPr>
            <w:tcW w:w="420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jc w:val="right"/>
              <w:spacing w:after="0"/>
              <w:rPr>
                <w:sz w:val="20"/>
                <w:szCs w:val="20"/>
                <w:color w:val="auto"/>
              </w:rPr>
            </w:pPr>
            <w:r>
              <w:rPr>
                <w:rFonts w:ascii="Calibri" w:cs="Calibri" w:eastAsia="Calibri" w:hAnsi="Calibri"/>
                <w:sz w:val="18"/>
                <w:szCs w:val="18"/>
                <w:color w:val="auto"/>
              </w:rPr>
              <w:t>99</w:t>
            </w:r>
          </w:p>
        </w:tc>
        <w:tc>
          <w:tcPr>
            <w:tcW w:w="17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4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-1071245</wp:posOffset>
            </wp:positionV>
            <wp:extent cx="1028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-1053465</wp:posOffset>
            </wp:positionV>
            <wp:extent cx="1028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-1071245</wp:posOffset>
            </wp:positionV>
            <wp:extent cx="1028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-1053465</wp:posOffset>
            </wp:positionV>
            <wp:extent cx="1028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1" w:name="page102"/>
    <w:bookmarkEnd w:id="10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and 2023, our deferred tax balances consisted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780"/>
              <w:spacing w:after="0"/>
              <w:rPr>
                <w:sz w:val="20"/>
                <w:szCs w:val="20"/>
                <w:color w:val="auto"/>
              </w:rPr>
            </w:pPr>
            <w:r>
              <w:rPr>
                <w:rFonts w:ascii="Calibri" w:cs="Calibri" w:eastAsia="Calibri" w:hAnsi="Calibri"/>
                <w:sz w:val="18"/>
                <w:szCs w:val="18"/>
                <w:b w:val="1"/>
                <w:bCs w:val="1"/>
                <w:color w:val="auto"/>
              </w:rPr>
              <w:t>December 31,</w:t>
            </w:r>
          </w:p>
        </w:tc>
        <w:tc>
          <w:tcPr>
            <w:tcW w:w="280" w:type="dxa"/>
            <w:vAlign w:val="bottom"/>
          </w:tcPr>
          <w:p>
            <w:pPr>
              <w:spacing w:after="0"/>
              <w:rPr>
                <w:sz w:val="19"/>
                <w:szCs w:val="19"/>
                <w:color w:val="auto"/>
              </w:rPr>
            </w:pPr>
          </w:p>
        </w:tc>
        <w:tc>
          <w:tcPr>
            <w:tcW w:w="1780" w:type="dxa"/>
            <w:vAlign w:val="bottom"/>
            <w:gridSpan w:val="2"/>
          </w:tcPr>
          <w:p>
            <w:pPr>
              <w:jc w:val="right"/>
              <w:ind w:right="58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690"/>
              <w:spacing w:after="0" w:line="216"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0"/>
              <w:spacing w:after="0" w:line="216"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r>
      <w:tr>
        <w:trPr>
          <w:trHeight w:val="23"/>
        </w:trPr>
        <w:tc>
          <w:tcPr>
            <w:tcW w:w="6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69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Deferred tax assets – net</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920" w:type="dxa"/>
            <w:vAlign w:val="bottom"/>
          </w:tcPr>
          <w:p>
            <w:pPr>
              <w:ind w:left="120"/>
              <w:spacing w:after="0" w:line="215" w:lineRule="exact"/>
              <w:rPr>
                <w:sz w:val="20"/>
                <w:szCs w:val="20"/>
                <w:color w:val="auto"/>
              </w:rPr>
            </w:pPr>
            <w:r>
              <w:rPr>
                <w:rFonts w:ascii="Calibri" w:cs="Calibri" w:eastAsia="Calibri" w:hAnsi="Calibri"/>
                <w:sz w:val="18"/>
                <w:szCs w:val="18"/>
                <w:color w:val="auto"/>
              </w:rPr>
              <w:t>Net operatng loss</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12,487</w:t>
            </w:r>
          </w:p>
        </w:tc>
        <w:tc>
          <w:tcPr>
            <w:tcW w:w="32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11,972</w:t>
            </w:r>
          </w:p>
        </w:tc>
        <w:tc>
          <w:tcPr>
            <w:tcW w:w="120" w:type="dxa"/>
            <w:vAlign w:val="bottom"/>
          </w:tcPr>
          <w:p>
            <w:pPr>
              <w:spacing w:after="0"/>
              <w:rPr>
                <w:sz w:val="18"/>
                <w:szCs w:val="18"/>
                <w:color w:val="auto"/>
              </w:rPr>
            </w:pPr>
          </w:p>
        </w:tc>
      </w:tr>
      <w:tr>
        <w:trPr>
          <w:trHeight w:val="217"/>
        </w:trPr>
        <w:tc>
          <w:tcPr>
            <w:tcW w:w="69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carryforwards</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20,126</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16,689</w:t>
            </w:r>
          </w:p>
        </w:tc>
        <w:tc>
          <w:tcPr>
            <w:tcW w:w="120" w:type="dxa"/>
            <w:vAlign w:val="bottom"/>
            <w:shd w:val="clear" w:color="auto" w:fill="CFF0FC"/>
          </w:tcPr>
          <w:p>
            <w:pPr>
              <w:spacing w:after="0"/>
              <w:rPr>
                <w:sz w:val="18"/>
                <w:szCs w:val="18"/>
                <w:color w:val="auto"/>
              </w:rPr>
            </w:pPr>
          </w:p>
        </w:tc>
      </w:tr>
      <w:tr>
        <w:trPr>
          <w:trHeight w:val="215"/>
        </w:trPr>
        <w:tc>
          <w:tcPr>
            <w:tcW w:w="6920" w:type="dxa"/>
            <w:vAlign w:val="bottom"/>
          </w:tcPr>
          <w:p>
            <w:pPr>
              <w:ind w:left="120"/>
              <w:spacing w:after="0" w:line="215" w:lineRule="exact"/>
              <w:rPr>
                <w:sz w:val="20"/>
                <w:szCs w:val="20"/>
                <w:color w:val="auto"/>
              </w:rPr>
            </w:pPr>
            <w:r>
              <w:rPr>
                <w:rFonts w:ascii="Calibri" w:cs="Calibri" w:eastAsia="Calibri" w:hAnsi="Calibri"/>
                <w:sz w:val="18"/>
                <w:szCs w:val="18"/>
                <w:color w:val="auto"/>
              </w:rPr>
              <w:t>Investment in partnership</w:t>
            </w:r>
          </w:p>
        </w:tc>
        <w:tc>
          <w:tcPr>
            <w:tcW w:w="28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28,446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44,894</w:t>
            </w:r>
          </w:p>
        </w:tc>
        <w:tc>
          <w:tcPr>
            <w:tcW w:w="120" w:type="dxa"/>
            <w:vAlign w:val="bottom"/>
          </w:tcPr>
          <w:p>
            <w:pPr>
              <w:spacing w:after="0"/>
              <w:rPr>
                <w:sz w:val="18"/>
                <w:szCs w:val="18"/>
                <w:color w:val="auto"/>
              </w:rPr>
            </w:pPr>
          </w:p>
        </w:tc>
      </w:tr>
      <w:tr>
        <w:trPr>
          <w:trHeight w:val="217"/>
        </w:trPr>
        <w:tc>
          <w:tcPr>
            <w:tcW w:w="69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Tax Receivable Agreement</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38,232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40,994</w:t>
            </w:r>
          </w:p>
        </w:tc>
        <w:tc>
          <w:tcPr>
            <w:tcW w:w="120" w:type="dxa"/>
            <w:vAlign w:val="bottom"/>
            <w:shd w:val="clear" w:color="auto" w:fill="CFF0FC"/>
          </w:tcPr>
          <w:p>
            <w:pPr>
              <w:spacing w:after="0"/>
              <w:rPr>
                <w:sz w:val="18"/>
                <w:szCs w:val="18"/>
                <w:color w:val="auto"/>
              </w:rPr>
            </w:pPr>
          </w:p>
        </w:tc>
      </w:tr>
      <w:tr>
        <w:trPr>
          <w:trHeight w:val="215"/>
        </w:trPr>
        <w:tc>
          <w:tcPr>
            <w:tcW w:w="6920" w:type="dxa"/>
            <w:vAlign w:val="bottom"/>
          </w:tcPr>
          <w:p>
            <w:pPr>
              <w:ind w:left="120"/>
              <w:spacing w:after="0" w:line="215" w:lineRule="exact"/>
              <w:rPr>
                <w:sz w:val="20"/>
                <w:szCs w:val="20"/>
                <w:color w:val="auto"/>
              </w:rPr>
            </w:pPr>
            <w:r>
              <w:rPr>
                <w:rFonts w:ascii="Calibri" w:cs="Calibri" w:eastAsia="Calibri" w:hAnsi="Calibri"/>
                <w:sz w:val="18"/>
                <w:szCs w:val="18"/>
                <w:color w:val="auto"/>
              </w:rPr>
              <w:t>Equity-based compensaton</w:t>
            </w:r>
          </w:p>
        </w:tc>
        <w:tc>
          <w:tcPr>
            <w:tcW w:w="28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3,797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2,665</w:t>
            </w:r>
          </w:p>
        </w:tc>
        <w:tc>
          <w:tcPr>
            <w:tcW w:w="12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3,037</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20" w:type="dxa"/>
            <w:vAlign w:val="bottom"/>
          </w:tcPr>
          <w:p>
            <w:pPr>
              <w:ind w:left="120"/>
              <w:spacing w:after="0" w:line="209" w:lineRule="exact"/>
              <w:rPr>
                <w:sz w:val="20"/>
                <w:szCs w:val="20"/>
                <w:color w:val="auto"/>
              </w:rPr>
            </w:pPr>
            <w:r>
              <w:rPr>
                <w:rFonts w:ascii="Calibri" w:cs="Calibri" w:eastAsia="Calibri" w:hAnsi="Calibri"/>
                <w:sz w:val="18"/>
                <w:szCs w:val="18"/>
                <w:b w:val="1"/>
                <w:bCs w:val="1"/>
                <w:color w:val="auto"/>
              </w:rPr>
              <w:t>Deferred tax assets</w:t>
            </w:r>
          </w:p>
        </w:tc>
        <w:tc>
          <w:tcPr>
            <w:tcW w:w="280" w:type="dxa"/>
            <w:vAlign w:val="bottom"/>
          </w:tcPr>
          <w:p>
            <w:pPr>
              <w:spacing w:after="0"/>
              <w:rPr>
                <w:sz w:val="18"/>
                <w:szCs w:val="18"/>
                <w:color w:val="auto"/>
              </w:rPr>
            </w:pPr>
          </w:p>
        </w:tc>
        <w:tc>
          <w:tcPr>
            <w:tcW w:w="16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106,125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119,128</w:t>
            </w:r>
          </w:p>
        </w:tc>
        <w:tc>
          <w:tcPr>
            <w:tcW w:w="120" w:type="dxa"/>
            <w:vAlign w:val="bottom"/>
          </w:tcPr>
          <w:p>
            <w:pPr>
              <w:spacing w:after="0"/>
              <w:rPr>
                <w:sz w:val="18"/>
                <w:szCs w:val="18"/>
                <w:color w:val="auto"/>
              </w:rPr>
            </w:pPr>
          </w:p>
        </w:tc>
      </w:tr>
      <w:tr>
        <w:trPr>
          <w:trHeight w:val="216"/>
        </w:trPr>
        <w:tc>
          <w:tcPr>
            <w:tcW w:w="69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Less: valuaton allowance</w:t>
            </w:r>
          </w:p>
        </w:tc>
        <w:tc>
          <w:tcPr>
            <w:tcW w:w="2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(26,182 )</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(32,318 )</w:t>
            </w:r>
          </w:p>
        </w:tc>
      </w:tr>
      <w:tr>
        <w:trPr>
          <w:trHeight w:val="210"/>
        </w:trPr>
        <w:tc>
          <w:tcPr>
            <w:tcW w:w="6920" w:type="dxa"/>
            <w:vAlign w:val="bottom"/>
            <w:tcBorders>
              <w:top w:val="single" w:sz="8" w:color="CFF0FC"/>
            </w:tcBorders>
          </w:tcPr>
          <w:p>
            <w:pPr>
              <w:ind w:left="120"/>
              <w:spacing w:after="0" w:line="209" w:lineRule="exact"/>
              <w:rPr>
                <w:sz w:val="20"/>
                <w:szCs w:val="20"/>
                <w:color w:val="auto"/>
              </w:rPr>
            </w:pPr>
            <w:r>
              <w:rPr>
                <w:rFonts w:ascii="Calibri" w:cs="Calibri" w:eastAsia="Calibri" w:hAnsi="Calibri"/>
                <w:sz w:val="18"/>
                <w:szCs w:val="18"/>
                <w:b w:val="1"/>
                <w:bCs w:val="1"/>
                <w:color w:val="auto"/>
              </w:rPr>
              <w:t>Total deferred tax assets – net</w:t>
            </w:r>
          </w:p>
        </w:tc>
        <w:tc>
          <w:tcPr>
            <w:tcW w:w="280" w:type="dxa"/>
            <w:vAlign w:val="bottom"/>
            <w:tcBorders>
              <w:top w:val="single" w:sz="8" w:color="auto"/>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79,943</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86,810</w:t>
            </w:r>
          </w:p>
        </w:tc>
        <w:tc>
          <w:tcPr>
            <w:tcW w:w="120" w:type="dxa"/>
            <w:vAlign w:val="bottom"/>
            <w:tcBorders>
              <w:top w:val="single" w:sz="8" w:color="CFF0FC"/>
            </w:tcBorders>
          </w:tcPr>
          <w:p>
            <w:pPr>
              <w:spacing w:after="0"/>
              <w:rPr>
                <w:sz w:val="18"/>
                <w:szCs w:val="18"/>
                <w:color w:val="auto"/>
              </w:rPr>
            </w:pPr>
          </w:p>
        </w:tc>
      </w:tr>
      <w:tr>
        <w:trPr>
          <w:trHeight w:val="210"/>
        </w:trPr>
        <w:tc>
          <w:tcPr>
            <w:tcW w:w="69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Deferred tax liabilites</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920" w:type="dxa"/>
            <w:vAlign w:val="bottom"/>
          </w:tcPr>
          <w:p>
            <w:pPr>
              <w:ind w:left="120"/>
              <w:spacing w:after="0" w:line="215" w:lineRule="exact"/>
              <w:rPr>
                <w:sz w:val="20"/>
                <w:szCs w:val="20"/>
                <w:color w:val="auto"/>
              </w:rPr>
            </w:pPr>
            <w:r>
              <w:rPr>
                <w:rFonts w:ascii="Calibri" w:cs="Calibri" w:eastAsia="Calibri" w:hAnsi="Calibri"/>
                <w:sz w:val="18"/>
                <w:szCs w:val="18"/>
                <w:color w:val="auto"/>
              </w:rPr>
              <w:t>Intangible assets</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6,779</w:t>
            </w:r>
          </w:p>
        </w:tc>
        <w:tc>
          <w:tcPr>
            <w:tcW w:w="32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9,841</w:t>
            </w:r>
          </w:p>
        </w:tc>
        <w:tc>
          <w:tcPr>
            <w:tcW w:w="12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61</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1,848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ind w:left="120"/>
              <w:spacing w:after="0" w:line="209" w:lineRule="exact"/>
              <w:rPr>
                <w:sz w:val="20"/>
                <w:szCs w:val="20"/>
                <w:color w:val="auto"/>
              </w:rPr>
            </w:pPr>
            <w:r>
              <w:rPr>
                <w:rFonts w:ascii="Calibri" w:cs="Calibri" w:eastAsia="Calibri" w:hAnsi="Calibri"/>
                <w:sz w:val="18"/>
                <w:szCs w:val="18"/>
                <w:b w:val="1"/>
                <w:bCs w:val="1"/>
                <w:color w:val="auto"/>
              </w:rPr>
              <w:t>Total deferred tax liabilites</w:t>
            </w: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6,840</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11,689</w:t>
            </w:r>
          </w:p>
        </w:tc>
        <w:tc>
          <w:tcPr>
            <w:tcW w:w="120" w:type="dxa"/>
            <w:vAlign w:val="bottom"/>
          </w:tcPr>
          <w:p>
            <w:pPr>
              <w:spacing w:after="0"/>
              <w:rPr>
                <w:sz w:val="18"/>
                <w:szCs w:val="18"/>
                <w:color w:val="auto"/>
              </w:rPr>
            </w:pPr>
          </w:p>
        </w:tc>
      </w:tr>
      <w:tr>
        <w:trPr>
          <w:trHeight w:val="250"/>
        </w:trPr>
        <w:tc>
          <w:tcPr>
            <w:tcW w:w="69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deferred tax asset / (liabilites)</w:t>
            </w:r>
          </w:p>
        </w:tc>
        <w:tc>
          <w:tcPr>
            <w:tcW w:w="280" w:type="dxa"/>
            <w:vAlign w:val="bottom"/>
            <w:tcBorders>
              <w:bottom w:val="single" w:sz="8" w:color="auto"/>
            </w:tcBorders>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73,103</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10" w:lineRule="exact"/>
              <w:rPr>
                <w:sz w:val="20"/>
                <w:szCs w:val="20"/>
                <w:color w:val="auto"/>
              </w:rPr>
            </w:pPr>
            <w:r>
              <w:rPr>
                <w:rFonts w:ascii="Calibri" w:cs="Calibri" w:eastAsia="Calibri" w:hAnsi="Calibri"/>
                <w:sz w:val="18"/>
                <w:szCs w:val="18"/>
                <w:b w:val="1"/>
                <w:bCs w:val="1"/>
                <w:color w:val="auto"/>
                <w:w w:val="87"/>
              </w:rPr>
              <w:t>$</w:t>
            </w:r>
          </w:p>
        </w:tc>
        <w:tc>
          <w:tcPr>
            <w:tcW w:w="16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75,121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-1165225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-882650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-882650</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-316865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As of December 31, 2024, our deferred tax assets were primarily the result of our investment in partnership, the TRA, net operatng losses, interest limitatons, and tax credit carryforwards. We recognize deferred tax assets to the extent we believe these assets are more likely than not to be realized. As of December 31, 2024, we have recorded a valuaton allowance for the tax benefts of a porton of our investment in partnership deferred tax assets. In making such a determinaton, we consider all available positve and negatve evidence, including future reversals of existng taxable temporary diferences, projected future taxable income, tax planning strategies and recent results of operatons. Afer considering all those factors, we recorded a $26.2 million valuaton allowance against our deferred tax assets, as we have determined these assets are not more likely than not to be realized as of December 31, 2024.</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Excluded from the deferred tax asset for investment in partnership above is a porton of the income tax basis in the partnership investment that will only reverse upon sale as a capital loss. As we do not expect to have sufcient sources of future capital gains to ofset this future capital loss, we have not disclosed a deferred tax asset for this porton of the basis diference in the investment in the partnership, nor the associated valuaton allowance. We estmate that up to $10.7 million of future valuaton allowance release associated with the excluded porton of the deferred tax asset and valuaton allowance may result from future ownership changes. We contnue to disclose the deferred tax asset associated with items expected to be recovered through ordinary business operatons; however, the porton of deferred tax asset disclosed for which no ordinary tax beneft is expected due to partnership allocaton rules is ofset by a valuaton allowance.</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changes in the carrying amount of our deferred tax asset valuaton allowance in 2024, 2023, and 2022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b w:val="1"/>
                <w:bCs w:val="1"/>
                <w:color w:val="auto"/>
              </w:rPr>
              <w:t>2024</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2023</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1"/>
              <w:spacing w:after="0"/>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780" w:type="dxa"/>
            <w:vAlign w:val="bottom"/>
            <w:vMerge w:val="restart"/>
          </w:tcPr>
          <w:p>
            <w:pPr>
              <w:ind w:left="20"/>
              <w:spacing w:after="0" w:line="206" w:lineRule="exact"/>
              <w:rPr>
                <w:sz w:val="20"/>
                <w:szCs w:val="20"/>
                <w:color w:val="auto"/>
              </w:rPr>
            </w:pPr>
            <w:r>
              <w:rPr>
                <w:rFonts w:ascii="Calibri" w:cs="Calibri" w:eastAsia="Calibri" w:hAnsi="Calibri"/>
                <w:sz w:val="18"/>
                <w:szCs w:val="18"/>
                <w:color w:val="auto"/>
              </w:rPr>
              <w:t>Valuaton allowance at beginning of year</w:t>
            </w: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780" w:type="dxa"/>
            <w:vAlign w:val="bottom"/>
            <w:vMerge w:val="continue"/>
          </w:tcPr>
          <w:p>
            <w:pPr>
              <w:spacing w:after="0"/>
              <w:rPr>
                <w:sz w:val="14"/>
                <w:szCs w:val="14"/>
                <w:color w:val="auto"/>
              </w:rPr>
            </w:pPr>
          </w:p>
        </w:tc>
        <w:tc>
          <w:tcPr>
            <w:tcW w:w="1040" w:type="dxa"/>
            <w:vAlign w:val="bottom"/>
          </w:tcPr>
          <w:p>
            <w:pPr>
              <w:jc w:val="right"/>
              <w:ind w:right="832"/>
              <w:spacing w:after="0" w:line="163" w:lineRule="exact"/>
              <w:rPr>
                <w:sz w:val="20"/>
                <w:szCs w:val="20"/>
                <w:color w:val="auto"/>
              </w:rPr>
            </w:pPr>
            <w:r>
              <w:rPr>
                <w:rFonts w:ascii="Calibri" w:cs="Calibri" w:eastAsia="Calibri" w:hAnsi="Calibri"/>
                <w:sz w:val="17"/>
                <w:szCs w:val="17"/>
                <w:color w:val="auto"/>
              </w:rPr>
              <w:t>$</w:t>
            </w:r>
          </w:p>
        </w:tc>
        <w:tc>
          <w:tcPr>
            <w:tcW w:w="560" w:type="dxa"/>
            <w:vAlign w:val="bottom"/>
          </w:tcPr>
          <w:p>
            <w:pPr>
              <w:jc w:val="right"/>
              <w:spacing w:after="0" w:line="163" w:lineRule="exact"/>
              <w:rPr>
                <w:sz w:val="20"/>
                <w:szCs w:val="20"/>
                <w:color w:val="auto"/>
              </w:rPr>
            </w:pPr>
            <w:r>
              <w:rPr>
                <w:rFonts w:ascii="Calibri" w:cs="Calibri" w:eastAsia="Calibri" w:hAnsi="Calibri"/>
                <w:sz w:val="17"/>
                <w:szCs w:val="17"/>
                <w:color w:val="auto"/>
              </w:rPr>
              <w:t>32,318</w:t>
            </w:r>
          </w:p>
        </w:tc>
        <w:tc>
          <w:tcPr>
            <w:tcW w:w="260" w:type="dxa"/>
            <w:vAlign w:val="bottom"/>
          </w:tcPr>
          <w:p>
            <w:pPr>
              <w:spacing w:after="0"/>
              <w:rPr>
                <w:sz w:val="14"/>
                <w:szCs w:val="14"/>
                <w:color w:val="auto"/>
              </w:rPr>
            </w:pPr>
          </w:p>
        </w:tc>
        <w:tc>
          <w:tcPr>
            <w:tcW w:w="1000" w:type="dxa"/>
            <w:vAlign w:val="bottom"/>
          </w:tcPr>
          <w:p>
            <w:pPr>
              <w:jc w:val="right"/>
              <w:ind w:right="792"/>
              <w:spacing w:after="0" w:line="163" w:lineRule="exact"/>
              <w:rPr>
                <w:sz w:val="20"/>
                <w:szCs w:val="20"/>
                <w:color w:val="auto"/>
              </w:rPr>
            </w:pPr>
            <w:r>
              <w:rPr>
                <w:rFonts w:ascii="Calibri" w:cs="Calibri" w:eastAsia="Calibri" w:hAnsi="Calibri"/>
                <w:sz w:val="17"/>
                <w:szCs w:val="17"/>
                <w:color w:val="auto"/>
              </w:rPr>
              <w:t>$</w:t>
            </w:r>
          </w:p>
        </w:tc>
        <w:tc>
          <w:tcPr>
            <w:tcW w:w="620" w:type="dxa"/>
            <w:vAlign w:val="bottom"/>
          </w:tcPr>
          <w:p>
            <w:pPr>
              <w:jc w:val="right"/>
              <w:spacing w:after="0" w:line="163" w:lineRule="exact"/>
              <w:rPr>
                <w:sz w:val="20"/>
                <w:szCs w:val="20"/>
                <w:color w:val="auto"/>
              </w:rPr>
            </w:pPr>
            <w:r>
              <w:rPr>
                <w:rFonts w:ascii="Calibri" w:cs="Calibri" w:eastAsia="Calibri" w:hAnsi="Calibri"/>
                <w:sz w:val="17"/>
                <w:szCs w:val="17"/>
                <w:color w:val="auto"/>
              </w:rPr>
              <w:t>118,734</w:t>
            </w:r>
          </w:p>
        </w:tc>
        <w:tc>
          <w:tcPr>
            <w:tcW w:w="260" w:type="dxa"/>
            <w:vAlign w:val="bottom"/>
          </w:tcPr>
          <w:p>
            <w:pPr>
              <w:spacing w:after="0"/>
              <w:rPr>
                <w:sz w:val="14"/>
                <w:szCs w:val="14"/>
                <w:color w:val="auto"/>
              </w:rPr>
            </w:pPr>
          </w:p>
        </w:tc>
        <w:tc>
          <w:tcPr>
            <w:tcW w:w="380" w:type="dxa"/>
            <w:vAlign w:val="bottom"/>
          </w:tcPr>
          <w:p>
            <w:pPr>
              <w:jc w:val="right"/>
              <w:ind w:right="173"/>
              <w:spacing w:after="0" w:line="163" w:lineRule="exact"/>
              <w:rPr>
                <w:sz w:val="20"/>
                <w:szCs w:val="20"/>
                <w:color w:val="auto"/>
              </w:rPr>
            </w:pPr>
            <w:r>
              <w:rPr>
                <w:rFonts w:ascii="Calibri" w:cs="Calibri" w:eastAsia="Calibri" w:hAnsi="Calibri"/>
                <w:sz w:val="17"/>
                <w:szCs w:val="17"/>
                <w:color w:val="auto"/>
              </w:rPr>
              <w:t>$</w:t>
            </w:r>
          </w:p>
        </w:tc>
        <w:tc>
          <w:tcPr>
            <w:tcW w:w="1240" w:type="dxa"/>
            <w:vAlign w:val="bottom"/>
          </w:tcPr>
          <w:p>
            <w:pPr>
              <w:jc w:val="right"/>
              <w:spacing w:after="0" w:line="163" w:lineRule="exact"/>
              <w:rPr>
                <w:sz w:val="20"/>
                <w:szCs w:val="20"/>
                <w:color w:val="auto"/>
              </w:rPr>
            </w:pPr>
            <w:r>
              <w:rPr>
                <w:rFonts w:ascii="Calibri" w:cs="Calibri" w:eastAsia="Calibri" w:hAnsi="Calibri"/>
                <w:sz w:val="17"/>
                <w:szCs w:val="17"/>
                <w:color w:val="auto"/>
              </w:rPr>
              <w:t>145,668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780" w:type="dxa"/>
            <w:vAlign w:val="bottom"/>
          </w:tcPr>
          <w:p>
            <w:pPr>
              <w:ind w:left="20"/>
              <w:spacing w:after="0" w:line="263" w:lineRule="exact"/>
              <w:rPr>
                <w:sz w:val="20"/>
                <w:szCs w:val="20"/>
                <w:color w:val="auto"/>
              </w:rPr>
            </w:pPr>
            <w:r>
              <w:rPr>
                <w:rFonts w:ascii="Calibri" w:cs="Calibri" w:eastAsia="Calibri" w:hAnsi="Calibri"/>
                <w:sz w:val="18"/>
                <w:szCs w:val="18"/>
                <w:color w:val="auto"/>
              </w:rPr>
              <w:t>Prior period adjustments</w:t>
            </w:r>
            <w:r>
              <w:rPr>
                <w:rFonts w:ascii="Calibri" w:cs="Calibri" w:eastAsia="Calibri" w:hAnsi="Calibri"/>
                <w:sz w:val="24"/>
                <w:szCs w:val="24"/>
                <w:color w:val="auto"/>
                <w:vertAlign w:val="superscript"/>
              </w:rPr>
              <w:t>(1)</w:t>
            </w:r>
          </w:p>
        </w:tc>
        <w:tc>
          <w:tcPr>
            <w:tcW w:w="10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Calibri" w:cs="Calibri" w:eastAsia="Calibri" w:hAnsi="Calibri"/>
                <w:sz w:val="18"/>
                <w:szCs w:val="18"/>
                <w:color w:val="auto"/>
              </w:rPr>
              <w:t>—</w:t>
            </w:r>
          </w:p>
        </w:tc>
        <w:tc>
          <w:tcPr>
            <w:tcW w:w="10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(14,536 )</w:t>
            </w:r>
          </w:p>
        </w:tc>
        <w:tc>
          <w:tcPr>
            <w:tcW w:w="38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Calibri" w:cs="Calibri" w:eastAsia="Calibri" w:hAnsi="Calibri"/>
                <w:sz w:val="18"/>
                <w:szCs w:val="18"/>
                <w:color w:val="auto"/>
              </w:rPr>
              <w:t>(6,154 )</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Credited to costs and expenses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(4,897 )</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(72,968 )</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(15,961 )</w:t>
            </w: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line="215" w:lineRule="exact"/>
              <w:rPr>
                <w:sz w:val="20"/>
                <w:szCs w:val="20"/>
                <w:color w:val="auto"/>
              </w:rPr>
            </w:pPr>
            <w:r>
              <w:rPr>
                <w:rFonts w:ascii="Calibri" w:cs="Calibri" w:eastAsia="Calibri" w:hAnsi="Calibri"/>
                <w:sz w:val="18"/>
                <w:szCs w:val="18"/>
                <w:color w:val="auto"/>
              </w:rPr>
              <w:t>Charged (credited) to other accounts</w:t>
            </w:r>
          </w:p>
        </w:tc>
        <w:tc>
          <w:tcPr>
            <w:tcW w:w="104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(1,239 )</w:t>
            </w:r>
          </w:p>
        </w:tc>
        <w:tc>
          <w:tcPr>
            <w:tcW w:w="10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1,088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(4,819 )</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Valuaton allowance at end of year</w:t>
            </w:r>
          </w:p>
        </w:tc>
        <w:tc>
          <w:tcPr>
            <w:tcW w:w="1040" w:type="dxa"/>
            <w:vAlign w:val="bottom"/>
            <w:tcBorders>
              <w:top w:val="single" w:sz="8" w:color="auto"/>
              <w:bottom w:val="single" w:sz="8" w:color="auto"/>
            </w:tcBorders>
            <w:shd w:val="clear" w:color="auto" w:fill="CFF0FC"/>
          </w:tcPr>
          <w:p>
            <w:pPr>
              <w:jc w:val="right"/>
              <w:ind w:right="832"/>
              <w:spacing w:after="0" w:line="210"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26,182</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792"/>
              <w:spacing w:after="0" w:line="210" w:lineRule="exact"/>
              <w:rPr>
                <w:sz w:val="20"/>
                <w:szCs w:val="20"/>
                <w:color w:val="auto"/>
              </w:rPr>
            </w:pPr>
            <w:r>
              <w:rPr>
                <w:rFonts w:ascii="Calibri" w:cs="Calibri" w:eastAsia="Calibri" w:hAnsi="Calibri"/>
                <w:sz w:val="18"/>
                <w:szCs w:val="18"/>
                <w:b w:val="1"/>
                <w:bCs w:val="1"/>
                <w:color w:val="auto"/>
              </w:rPr>
              <w:t>$</w:t>
            </w:r>
          </w:p>
        </w:tc>
        <w:tc>
          <w:tcPr>
            <w:tcW w:w="6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32,318</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3"/>
              <w:spacing w:after="0" w:line="210"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118,734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left="380" w:hanging="372"/>
        <w:spacing w:after="0" w:line="235" w:lineRule="auto"/>
        <w:tabs>
          <w:tab w:leader="none" w:pos="337"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In 2022, this adjustment relates to a true-up of the investment in partnership deferred tax asset and related valuaton allowance which has been updated to remove partnership tax basis that we expect will only reverse upon sale as a capital loss. In 2023, there was an adjustment to the investment in partnership and net operatng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2" w:name="page103"/>
    <w:bookmarkEnd w:id="10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loss deferred tax assets and related valuaton allowance. These adjustments had no net impact to our income tax beneft in either period.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a full valuaton allowance was maintained against our U.S. deferred tax assets on the basis of our reassessment of the amount of the deferred tax assets that are more likely than not to be realized. As of each reportng date we consider new evidence, both positve and negatve, that could afect our view of the future realizaton of deferred tax assets. During the year ended December 31, 2023, in part because in the current year we entered into a cumulatve income positon in the U.S. federal tax jurisdicton, we determined that there is sufcient positve evidence to conclude that it is more likely than not that deferred tax assets of $31.3 million associated with our investment in partnership, U.S. net operatng losses, interest limitatons, and tax credit carryforwards are realizable. We therefore reduced the valuaton allowance accordingly. As of December 31, 2024, afer reassessing the realizability of our deferred tax assets, we reduced the valuaton allowance by $6.1 million.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we determined that there was sufcient positve evidence to conclude that it is more likely than not that our Canadian deferred taxes of $1.9 million are realizable. We therefore reduced the valuaton allowance accordingly.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2024, we had U.S. state operatng loss carryforwards totaling $33.9 million and U.S. federal operatng loss carryforwards totaling $44.5 million. Certain of the U.S. federal and state operatng loss carryforwards begin to expire in 2029 with the remainder of the federal and state net operatng loss carryforwards having no expiraton date. Certain tax atributes remain subject to an annual limitaton under Secton 382 of the Internal Revenue Code of 1986 as a result of the historical acquisitons.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2024, with respect to our operatons outside the United States, we had foreign operatng loss carryforwards totaling $3.7 million, which begin to expire in 2037.</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At December 31, 2024, we were not indefnitely reinvested on undistributed earnings from our foreign operatons and the deferred tax liability associated with the future repatriaton of these earnings is immaterial.</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ASC Topic 740, </w:t>
      </w:r>
      <w:r>
        <w:rPr>
          <w:rFonts w:ascii="Calibri" w:cs="Calibri" w:eastAsia="Calibri" w:hAnsi="Calibri"/>
          <w:sz w:val="18"/>
          <w:szCs w:val="18"/>
          <w:i w:val="1"/>
          <w:iCs w:val="1"/>
          <w:color w:val="auto"/>
        </w:rPr>
        <w:t>Income Taxes</w:t>
      </w:r>
      <w:r>
        <w:rPr>
          <w:rFonts w:ascii="Calibri" w:cs="Calibri" w:eastAsia="Calibri" w:hAnsi="Calibri"/>
          <w:sz w:val="18"/>
          <w:szCs w:val="18"/>
          <w:color w:val="auto"/>
        </w:rPr>
        <w:t>, prescribes a recogniton threshold of more-likely-than not to be sustained upon examinaton as it relates to the accountng for uncertainty in income tax benefts recognized in an enterprise’s fnancial statements. The following table summarizes the changes in the carrying amount of our unrecognized benefts related to a tax refund in 2024, 2023, and 2022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2024</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9"/>
                <w:szCs w:val="19"/>
                <w:color w:val="auto"/>
              </w:rPr>
            </w:pPr>
          </w:p>
        </w:tc>
      </w:tr>
      <w:tr>
        <w:trPr>
          <w:trHeight w:val="23"/>
        </w:trPr>
        <w:tc>
          <w:tcPr>
            <w:tcW w:w="5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7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Unrecognized tax benefts at beginning of year</w:t>
            </w:r>
          </w:p>
        </w:tc>
        <w:tc>
          <w:tcPr>
            <w:tcW w:w="1080" w:type="dxa"/>
            <w:vAlign w:val="bottom"/>
            <w:shd w:val="clear" w:color="auto" w:fill="CFF0FC"/>
          </w:tcPr>
          <w:p>
            <w:pPr>
              <w:jc w:val="right"/>
              <w:ind w:right="870"/>
              <w:spacing w:after="0" w:line="209" w:lineRule="exact"/>
              <w:rPr>
                <w:sz w:val="20"/>
                <w:szCs w:val="20"/>
                <w:color w:val="auto"/>
              </w:rPr>
            </w:pPr>
            <w:r>
              <w:rPr>
                <w:rFonts w:ascii="Calibri" w:cs="Calibri" w:eastAsia="Calibri" w:hAnsi="Calibri"/>
                <w:sz w:val="18"/>
                <w:szCs w:val="18"/>
                <w:color w:val="auto"/>
              </w:rPr>
              <w:t>$</w:t>
            </w:r>
          </w:p>
        </w:tc>
        <w:tc>
          <w:tcPr>
            <w:tcW w:w="5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7,500</w:t>
            </w:r>
          </w:p>
        </w:tc>
        <w:tc>
          <w:tcPr>
            <w:tcW w:w="640" w:type="dxa"/>
            <w:vAlign w:val="bottom"/>
            <w:gridSpan w:val="2"/>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7,500</w:t>
            </w:r>
          </w:p>
        </w:tc>
        <w:tc>
          <w:tcPr>
            <w:tcW w:w="640" w:type="dxa"/>
            <w:vAlign w:val="bottom"/>
            <w:gridSpan w:val="2"/>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rPr>
              <w:t>$</w:t>
            </w:r>
          </w:p>
        </w:tc>
        <w:tc>
          <w:tcPr>
            <w:tcW w:w="1340" w:type="dxa"/>
            <w:vAlign w:val="bottom"/>
            <w:gridSpan w:val="2"/>
            <w:shd w:val="clear" w:color="auto" w:fill="CFF0FC"/>
          </w:tcPr>
          <w:p>
            <w:pPr>
              <w:jc w:val="right"/>
              <w:ind w:right="120"/>
              <w:spacing w:after="0" w:line="209" w:lineRule="exact"/>
              <w:rPr>
                <w:sz w:val="20"/>
                <w:szCs w:val="20"/>
                <w:color w:val="auto"/>
              </w:rPr>
            </w:pPr>
            <w:r>
              <w:rPr>
                <w:rFonts w:ascii="Calibri" w:cs="Calibri" w:eastAsia="Calibri" w:hAnsi="Calibri"/>
                <w:sz w:val="18"/>
                <w:szCs w:val="18"/>
                <w:color w:val="auto"/>
              </w:rPr>
              <w:t>—</w:t>
            </w:r>
          </w:p>
        </w:tc>
      </w:tr>
      <w:tr>
        <w:trPr>
          <w:trHeight w:val="215"/>
        </w:trPr>
        <w:tc>
          <w:tcPr>
            <w:tcW w:w="5780" w:type="dxa"/>
            <w:vAlign w:val="bottom"/>
          </w:tcPr>
          <w:p>
            <w:pPr>
              <w:ind w:left="20"/>
              <w:spacing w:after="0" w:line="215" w:lineRule="exact"/>
              <w:rPr>
                <w:sz w:val="20"/>
                <w:szCs w:val="20"/>
                <w:color w:val="auto"/>
              </w:rPr>
            </w:pPr>
            <w:r>
              <w:rPr>
                <w:rFonts w:ascii="Calibri" w:cs="Calibri" w:eastAsia="Calibri" w:hAnsi="Calibri"/>
                <w:sz w:val="18"/>
                <w:szCs w:val="18"/>
                <w:color w:val="auto"/>
              </w:rPr>
              <w:t>Tax positons taken in the prior year</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7,500</w:t>
            </w: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Unrecognized tax benefts at end of year</w:t>
            </w:r>
          </w:p>
        </w:tc>
        <w:tc>
          <w:tcPr>
            <w:tcW w:w="1080" w:type="dxa"/>
            <w:vAlign w:val="bottom"/>
            <w:tcBorders>
              <w:bottom w:val="single" w:sz="8" w:color="auto"/>
            </w:tcBorders>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7,500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7,500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7,500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and penaltes associated with income taxes are recorded in Income tax expense (beneft) in the Consolidated Statements of Operatons. A liability of $1.4 million has been recognized related to interest and penaltes as of December 31, 2024, $0.8 million of which was accrued during the year ended December 31, 2024 2024. The total amount of gross unrecognized tax benefts that, if recognized, would impact the efectve tax rate is $7.5 million as of December 31, 2024. Due to the expiraton of the applicable statute of limitatons, it is reasonably possible that our gross unrecognized tax benefts may decrease by $7.5 million within the next 12 months.</w:t>
      </w:r>
    </w:p>
    <w:p>
      <w:pPr>
        <w:spacing w:after="0" w:line="11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We are subject to routne audits by taxing jurisdictons. The periods subject to tax audits are 2020 through 2024. There are currently no audits for any tax periods in progress.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Tax Receivable Agreement</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In connecton with the Merger Transacton, we entered into the TRA with the existng Hoya Intermediate unitholders that provides for our payment to such unitholders of 85% of the amount of any tax savings that we realize (or, under certain circumstances, are deemed to realize) as a result of, or atributable to,</w:t>
      </w:r>
    </w:p>
    <w:p>
      <w:pPr>
        <w:spacing w:after="0" w:line="1" w:lineRule="exact"/>
        <w:rPr>
          <w:sz w:val="20"/>
          <w:szCs w:val="20"/>
          <w:color w:val="auto"/>
        </w:rPr>
      </w:pPr>
    </w:p>
    <w:p>
      <w:pPr>
        <w:ind w:firstLine="8"/>
        <w:spacing w:after="0" w:line="235" w:lineRule="auto"/>
        <w:tabs>
          <w:tab w:leader="none" w:pos="20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increases in the tax basis of assets owned directly or indirectly by Hoya Intermediate or its subsidiaries from, among other things, any redemptons or exchanges of Intermediate Units, (ii) existng tax basis (including depreciaton and amortzaton deductons arising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3" w:name="page104"/>
    <w:bookmarkEnd w:id="10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such tax basis) in long-lived assets owned directly or indirectly by Hoya Intermediate and its subsidiaries, and (iii) certain other tax benefts (including deductons in respect of imputed interest) related to us making payments under the TRA.</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2023 Secondary Oferings, Hoya Topco exchanged Intermediate Units and, as a result, we recorded a liability of $165.2 million, a deferred tax asset of $75.2 million related to the 2023 Secondary Oferings and projected payments under the TRA, a decrease to additonal paid-in capital of $95.8 million, and a $5.8 million income tax beneft related to valuaton allowance releases on the porton of the deferred tax asset associated with the basis diference in the investment in the partnership excluded from the disclosure of deferred tax asset and valuaton allowance. We also recognized an income tax beneft of $14.0 million related to the release of valuaton allowances at the tme of the 2023 Secondary Oferings.</w:t>
      </w:r>
    </w:p>
    <w:p>
      <w:pPr>
        <w:spacing w:after="0" w:line="112"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In 2024, the TRA liability was remeasured and reduced by $6.0 million. The decrease was primarily due to changes in the state tax rate and our existng tax basis allocatons. In connecton with the remeasurement of the TRA liability, during the year ended December 31, 2024, we recorded a decrease in Deferred tax assets – net of $2.8 million and recognized $6.0 million of income, which is recorded in Other income – net in the Consolidated Statements of Operatons.</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TRA-related liabilites are classifed as current or long-term based on the expected date of payment. As of December 31, 2024, $4.0 million is due within 12 months and is recorded as a current liability in Accrued expenses and other current liabilites in the Consolidated Balance Sheets. The remaining amount is long-term and is recorded in TRA liability in the Consolidated Balance Sheets.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Amounts payable under the TRA are contngent upon the generaton of future taxable income over the term of the TRA and future changes in tax laws. If we do not generate sufcient taxable income in the aggregate over the term of the TRA to utlize the tax benefts, then we would not be required to make the related payments. As of December 31, 2024, we estmate that the tax savings associated with all tax atributes described above would aggregate to approximately $187.9 million. Under this scenario, we would be required to pay approximately 85% of such amount, or $159.7 million, primarily over the next 14 years.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21. Equity-Based Compensation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2021 Incentve Award Plan (as amended, the “2021 Plan”) was approved and adopted in order to facilitate the grant of equity incentve awards to our employees, non-employee directors, and consultants. The 2021 Plan became efectve in October 2021 upon consummaton of the Merger Transacton, and the First Amendment to the 2021 Plan became efectve on February 5,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RSUs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RSUs are denominated in a hypothetcal equivalent number of shares of our Class A common stock. The value of each RSU is equal to the fair value of our Class A common stock on the grant date. Each RSU is setled in a share of our Class A common stock afer vestng.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years ended December 31, 2024, 2023, and 2022, we granted to certain employees 11.1 million, 2.6 million, and 1.7 million RSUs, respectvely, at a weighted average grant date fair value of $5.30 per share, $7.18 per share, and $10.01 per share, respectvely. RSUs granted to employees vest over three years, with one-third vestng on the frst anniversary of the grant date and the remaining porton vestng on a quarterly basis thereafer, subject to the employee’s contnued employment through the applicable vestng date.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years ended December 31, 2024, 2023, and 2022, we granted to our directors 0.3 million, 0.1 million, and 0.1 million RSUs, respectvely, at a weighted average grant date fair value of $5.24 per share, $7.68 per share, and $8.85 per share, respectvely. RSUs granted to directors fully vest on the earlier of (i) one day prior to the date of our frst annual meetng of stockholders following the grant date and (ii) the frst anniversary of the grant date, subject to the director’s contnued service on our Board through the applicable vestng date.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each of the years ended December 31, 2024, 2023, and 2022, we granted to certain consultants less than 0.1 million RSUs at a weighted average grant date fair value of $3.70 per share, $7.98 per share, and $8.94 per share,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4" w:name="page105"/>
    <w:bookmarkEnd w:id="10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respectvely. RSUs granted to consultants either fully vest on the frst anniversary of the grant date or in equal annual installments over three years, subject to the consultant’s contnued service through the applicable vestng date.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 summary of the total actvity for RSUs during the years ended December 31, 2024 and 2023 is as follows (in thousands, except per RSU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2"/>
          </w:tcPr>
          <w:p>
            <w:pPr>
              <w:jc w:val="center"/>
              <w:ind w:right="280"/>
              <w:spacing w:after="0"/>
              <w:rPr>
                <w:sz w:val="20"/>
                <w:szCs w:val="20"/>
                <w:color w:val="auto"/>
              </w:rPr>
            </w:pPr>
            <w:r>
              <w:rPr>
                <w:rFonts w:ascii="Calibri" w:cs="Calibri" w:eastAsia="Calibri" w:hAnsi="Calibri"/>
                <w:sz w:val="18"/>
                <w:szCs w:val="18"/>
                <w:b w:val="1"/>
                <w:bCs w:val="1"/>
                <w:color w:val="auto"/>
                <w:w w:val="97"/>
              </w:rPr>
              <w:t>Weighted Average Grant Date Fair</w:t>
            </w:r>
          </w:p>
        </w:tc>
      </w:tr>
      <w:tr>
        <w:trPr>
          <w:trHeight w:val="216"/>
        </w:trPr>
        <w:tc>
          <w:tcPr>
            <w:tcW w:w="5740" w:type="dxa"/>
            <w:vAlign w:val="bottom"/>
          </w:tcPr>
          <w:p>
            <w:pPr>
              <w:spacing w:after="0"/>
              <w:rPr>
                <w:sz w:val="18"/>
                <w:szCs w:val="18"/>
                <w:color w:val="auto"/>
              </w:rPr>
            </w:pPr>
          </w:p>
        </w:tc>
        <w:tc>
          <w:tcPr>
            <w:tcW w:w="1560" w:type="dxa"/>
            <w:vAlign w:val="bottom"/>
          </w:tcPr>
          <w:p>
            <w:pPr>
              <w:ind w:left="980"/>
              <w:spacing w:after="0" w:line="216" w:lineRule="exact"/>
              <w:rPr>
                <w:sz w:val="20"/>
                <w:szCs w:val="20"/>
                <w:color w:val="auto"/>
              </w:rPr>
            </w:pPr>
            <w:r>
              <w:rPr>
                <w:rFonts w:ascii="Calibri" w:cs="Calibri" w:eastAsia="Calibri" w:hAnsi="Calibri"/>
                <w:sz w:val="18"/>
                <w:szCs w:val="18"/>
                <w:b w:val="1"/>
                <w:bCs w:val="1"/>
                <w:color w:val="auto"/>
              </w:rPr>
              <w:t>RSUs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7"/>
              </w:rPr>
              <w:t>Value Per RSU</w:t>
            </w:r>
          </w:p>
        </w:tc>
      </w:tr>
      <w:tr>
        <w:trPr>
          <w:trHeight w:val="23"/>
        </w:trPr>
        <w:tc>
          <w:tcPr>
            <w:tcW w:w="57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300" w:type="dxa"/>
            <w:vAlign w:val="bottom"/>
            <w:gridSpan w:val="2"/>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Unvested at December 31, 2022</w:t>
            </w:r>
          </w:p>
        </w:tc>
        <w:tc>
          <w:tcPr>
            <w:tcW w:w="7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2,551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27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10.99</w:t>
            </w:r>
          </w:p>
        </w:tc>
        <w:tc>
          <w:tcPr>
            <w:tcW w:w="100" w:type="dxa"/>
            <w:vAlign w:val="bottom"/>
            <w:shd w:val="clear" w:color="auto" w:fill="CFF0FC"/>
          </w:tcPr>
          <w:p>
            <w:pPr>
              <w:spacing w:after="0"/>
              <w:rPr>
                <w:sz w:val="18"/>
                <w:szCs w:val="18"/>
                <w:color w:val="auto"/>
              </w:rPr>
            </w:pPr>
          </w:p>
        </w:tc>
      </w:tr>
      <w:tr>
        <w:trPr>
          <w:trHeight w:val="215"/>
        </w:trPr>
        <w:tc>
          <w:tcPr>
            <w:tcW w:w="73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2,775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right"/>
              <w:spacing w:after="0" w:line="215" w:lineRule="exact"/>
              <w:rPr>
                <w:sz w:val="20"/>
                <w:szCs w:val="20"/>
                <w:color w:val="auto"/>
              </w:rPr>
            </w:pPr>
            <w:r>
              <w:rPr>
                <w:rFonts w:ascii="Calibri" w:cs="Calibri" w:eastAsia="Calibri" w:hAnsi="Calibri"/>
                <w:sz w:val="18"/>
                <w:szCs w:val="18"/>
                <w:color w:val="auto"/>
              </w:rPr>
              <w:t>7.22</w:t>
            </w:r>
          </w:p>
        </w:tc>
        <w:tc>
          <w:tcPr>
            <w:tcW w:w="100" w:type="dxa"/>
            <w:vAlign w:val="bottom"/>
          </w:tcPr>
          <w:p>
            <w:pPr>
              <w:spacing w:after="0"/>
              <w:rPr>
                <w:sz w:val="18"/>
                <w:szCs w:val="18"/>
                <w:color w:val="auto"/>
              </w:rPr>
            </w:pPr>
          </w:p>
        </w:tc>
      </w:tr>
      <w:tr>
        <w:trPr>
          <w:trHeight w:val="217"/>
        </w:trPr>
        <w:tc>
          <w:tcPr>
            <w:tcW w:w="730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Forfeited</w:t>
            </w:r>
          </w:p>
        </w:tc>
        <w:tc>
          <w:tcPr>
            <w:tcW w:w="10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(232 )</w:t>
            </w:r>
          </w:p>
        </w:tc>
        <w:tc>
          <w:tcPr>
            <w:tcW w:w="120" w:type="dxa"/>
            <w:vAlign w:val="bottom"/>
            <w:shd w:val="clear" w:color="auto" w:fill="CFF0FC"/>
          </w:tcPr>
          <w:p>
            <w:pPr>
              <w:spacing w:after="0"/>
              <w:rPr>
                <w:sz w:val="18"/>
                <w:szCs w:val="18"/>
                <w:color w:val="auto"/>
              </w:rPr>
            </w:pPr>
          </w:p>
        </w:tc>
        <w:tc>
          <w:tcPr>
            <w:tcW w:w="2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8.81</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line="215" w:lineRule="exact"/>
              <w:rPr>
                <w:sz w:val="20"/>
                <w:szCs w:val="20"/>
                <w:color w:val="auto"/>
              </w:rPr>
            </w:pPr>
            <w:r>
              <w:rPr>
                <w:rFonts w:ascii="Calibri" w:cs="Calibri" w:eastAsia="Calibri" w:hAnsi="Calibri"/>
                <w:sz w:val="18"/>
                <w:szCs w:val="18"/>
                <w:color w:val="auto"/>
              </w:rPr>
              <w:t>Vested</w:t>
            </w:r>
          </w:p>
        </w:tc>
        <w:tc>
          <w:tcPr>
            <w:tcW w:w="15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(1,228 )</w:t>
            </w:r>
          </w:p>
        </w:tc>
        <w:tc>
          <w:tcPr>
            <w:tcW w:w="120" w:type="dxa"/>
            <w:vAlign w:val="bottom"/>
          </w:tcPr>
          <w:p>
            <w:pPr>
              <w:spacing w:after="0"/>
              <w:rPr>
                <w:sz w:val="18"/>
                <w:szCs w:val="18"/>
                <w:color w:val="auto"/>
              </w:rPr>
            </w:pPr>
          </w:p>
        </w:tc>
        <w:tc>
          <w:tcPr>
            <w:tcW w:w="2720" w:type="dxa"/>
            <w:vAlign w:val="bottom"/>
          </w:tcPr>
          <w:p>
            <w:pPr>
              <w:jc w:val="right"/>
              <w:spacing w:after="0" w:line="215" w:lineRule="exact"/>
              <w:rPr>
                <w:sz w:val="20"/>
                <w:szCs w:val="20"/>
                <w:color w:val="auto"/>
              </w:rPr>
            </w:pPr>
            <w:r>
              <w:rPr>
                <w:rFonts w:ascii="Calibri" w:cs="Calibri" w:eastAsia="Calibri" w:hAnsi="Calibri"/>
                <w:sz w:val="18"/>
                <w:szCs w:val="18"/>
                <w:color w:val="auto"/>
              </w:rPr>
              <w:t>10.62</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Unvested at December 31, 2023</w:t>
            </w:r>
          </w:p>
        </w:tc>
        <w:tc>
          <w:tcPr>
            <w:tcW w:w="15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3,866</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8.35</w:t>
            </w:r>
          </w:p>
        </w:tc>
        <w:tc>
          <w:tcPr>
            <w:tcW w:w="100" w:type="dxa"/>
            <w:vAlign w:val="bottom"/>
            <w:shd w:val="clear" w:color="auto" w:fill="CFF0FC"/>
          </w:tcPr>
          <w:p>
            <w:pPr>
              <w:spacing w:after="0"/>
              <w:rPr>
                <w:sz w:val="18"/>
                <w:szCs w:val="18"/>
                <w:color w:val="auto"/>
              </w:rPr>
            </w:pPr>
          </w:p>
        </w:tc>
      </w:tr>
      <w:tr>
        <w:trPr>
          <w:trHeight w:val="215"/>
        </w:trPr>
        <w:tc>
          <w:tcPr>
            <w:tcW w:w="73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11,376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right"/>
              <w:spacing w:after="0" w:line="215" w:lineRule="exact"/>
              <w:rPr>
                <w:sz w:val="20"/>
                <w:szCs w:val="20"/>
                <w:color w:val="auto"/>
              </w:rPr>
            </w:pPr>
            <w:r>
              <w:rPr>
                <w:rFonts w:ascii="Calibri" w:cs="Calibri" w:eastAsia="Calibri" w:hAnsi="Calibri"/>
                <w:sz w:val="18"/>
                <w:szCs w:val="18"/>
                <w:color w:val="auto"/>
              </w:rPr>
              <w:t>5.29</w:t>
            </w:r>
          </w:p>
        </w:tc>
        <w:tc>
          <w:tcPr>
            <w:tcW w:w="100" w:type="dxa"/>
            <w:vAlign w:val="bottom"/>
          </w:tcPr>
          <w:p>
            <w:pPr>
              <w:spacing w:after="0"/>
              <w:rPr>
                <w:sz w:val="18"/>
                <w:szCs w:val="18"/>
                <w:color w:val="auto"/>
              </w:rPr>
            </w:pPr>
          </w:p>
        </w:tc>
      </w:tr>
      <w:tr>
        <w:trPr>
          <w:trHeight w:val="217"/>
        </w:trPr>
        <w:tc>
          <w:tcPr>
            <w:tcW w:w="730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Forfeited</w:t>
            </w:r>
          </w:p>
        </w:tc>
        <w:tc>
          <w:tcPr>
            <w:tcW w:w="10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(605 )</w:t>
            </w:r>
          </w:p>
        </w:tc>
        <w:tc>
          <w:tcPr>
            <w:tcW w:w="120" w:type="dxa"/>
            <w:vAlign w:val="bottom"/>
            <w:shd w:val="clear" w:color="auto" w:fill="CFF0FC"/>
          </w:tcPr>
          <w:p>
            <w:pPr>
              <w:spacing w:after="0"/>
              <w:rPr>
                <w:sz w:val="18"/>
                <w:szCs w:val="18"/>
                <w:color w:val="auto"/>
              </w:rPr>
            </w:pPr>
          </w:p>
        </w:tc>
        <w:tc>
          <w:tcPr>
            <w:tcW w:w="2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7.41</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line="215" w:lineRule="exact"/>
              <w:rPr>
                <w:sz w:val="20"/>
                <w:szCs w:val="20"/>
                <w:color w:val="auto"/>
              </w:rPr>
            </w:pPr>
            <w:r>
              <w:rPr>
                <w:rFonts w:ascii="Calibri" w:cs="Calibri" w:eastAsia="Calibri" w:hAnsi="Calibri"/>
                <w:sz w:val="18"/>
                <w:szCs w:val="18"/>
                <w:color w:val="auto"/>
              </w:rPr>
              <w:t>Vested</w:t>
            </w:r>
          </w:p>
        </w:tc>
        <w:tc>
          <w:tcPr>
            <w:tcW w:w="15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(2,860 )</w:t>
            </w:r>
          </w:p>
        </w:tc>
        <w:tc>
          <w:tcPr>
            <w:tcW w:w="120" w:type="dxa"/>
            <w:vAlign w:val="bottom"/>
          </w:tcPr>
          <w:p>
            <w:pPr>
              <w:spacing w:after="0"/>
              <w:rPr>
                <w:sz w:val="18"/>
                <w:szCs w:val="18"/>
                <w:color w:val="auto"/>
              </w:rPr>
            </w:pPr>
          </w:p>
        </w:tc>
        <w:tc>
          <w:tcPr>
            <w:tcW w:w="2720" w:type="dxa"/>
            <w:vAlign w:val="bottom"/>
          </w:tcPr>
          <w:p>
            <w:pPr>
              <w:jc w:val="right"/>
              <w:spacing w:after="0" w:line="215" w:lineRule="exact"/>
              <w:rPr>
                <w:sz w:val="20"/>
                <w:szCs w:val="20"/>
                <w:color w:val="auto"/>
              </w:rPr>
            </w:pPr>
            <w:r>
              <w:rPr>
                <w:rFonts w:ascii="Calibri" w:cs="Calibri" w:eastAsia="Calibri" w:hAnsi="Calibri"/>
                <w:sz w:val="18"/>
                <w:szCs w:val="18"/>
                <w:color w:val="auto"/>
              </w:rPr>
              <w:t>7.93</w:t>
            </w: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Unvested at December 31, 2024</w:t>
            </w:r>
          </w:p>
        </w:tc>
        <w:tc>
          <w:tcPr>
            <w:tcW w:w="156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11,777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27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5.61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Optons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Our stock optons provide for the purchase of shares of our Class A common stock in the future at an exercise price set on the grant (or modifcaton) date.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stock opton awards vest over three years, with one-third vestng on the one-year anniversary of the grant date and the remaining optons vestng on a quarterly basis thereafer. Stock optons granted to employees have a contractual term of ten years from the grant date, subject to the employee’s contnued service through the applicable vestng date. Stock optons granted to consultants have a contractual term of seven years from the grant date, subject to the consultant’s contnued service through the applicable vestng date.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2021 Stock Optons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October 19, 2021, we granted to certain employees 3.1 million stock optons at an exercise price of $13.09 per share and 1.0 million stock optons at an exercise price of $15.00 per share (collectvely, the “2021 Stock Optons”). The fair value of the 2021 Stock Optons was estmated on the grant date using the Hull-White model.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declared a special dividend of $0.23 per share to holders of Class A common stock on October 18, 2021, which we paid on November 2, 2021. On November 2, 2021, the exercise price of the outstanding 2021 Stock Optons with an exercise price of $13.09 per share was modifed and reduced by $0.23 per share to $12.86 per share (the “2021 Stock Opton Modifcaton”). The amount recognized in compensaton expense related to the 2021 Stock Opton Modifcaton during the year ended December 31, 2021 was immaterial.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2022 Stock Optons</w:t>
      </w:r>
    </w:p>
    <w:p>
      <w:pPr>
        <w:spacing w:after="0" w:line="10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On March 11, 2022, we granted to certain employees 2.6 million stock optons at an exercise price of $10.26 per share and a grant date fair value of $3.99 per opton (the “March 2022 Stock Optons”). The fair value of the March 2022 Stock Optons was estmated on the grant date using the Black-Scholes model.</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11, 2022, we granted to certain employees 0.1 million stock optons at an exercise price of $8.22 per share and a grant date fair value of $3.66 (the “November 2022 Stock Optons” and, together with the March 2022 Stock Optons, the “2022 Stock Optons”). The fair value of the November 2022 Stock Optons was estmated on the grant date using the Black-Scholes model.</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2023 Stock Optons</w:t>
      </w:r>
    </w:p>
    <w:p>
      <w:pPr>
        <w:spacing w:after="0" w:line="10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On March 10, 2023, we granted to certain employees 3.6 million stock optons at an exercise price of $7.17 per share and a grant date fair value of $3.30 per opton (the “March 2023 Stock Optons”). The fair value of the March 2023 Stock Optons was estmated on the grant date using the Black-Scholes model.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5" w:name="page106"/>
    <w:bookmarkEnd w:id="10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14, 2023, we granted to certain consultants 0.9 million stock optons, divided into three tranches of 0.2 million, 0.3 million, and 0.4 million optons, at exercise prices of $7.98, $17.00 and $23.00 per share, respectvely, and grant date fair values of $3.22, $1.87 and $1.44 per opton, respectvely (the “June 2023 Stock Optons” and, together with the March 2023 Stock Optons, the “2023 Stock Optons”). The fair value of the June 2023 Stock Optons was estmated on the grant date using the Hull-White model.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Opton Cancellaton and Repricing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December 7, 2023 (the “Efectve Date”), (i) 894,840 of the 2021 Stock Optons with an exercise price of $15.00 per share and 894,840 of the 2021 Stock Optons with an exercise price of $12.86 per share were cancelled and (ii) the exercise price of the remaining 2021 Stock Optons, as well as all outstanding 2022 Stock Optons, was reduced to $6.76 per share, the closing price of the Class A common stock on the Efectve Date,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that if any of such stock optons were exercised prior to the one-year anniversary of the Efectve Date, the holder would be required to pay the original exercise price (the “Stock Opton Cancellaton and Repricing”). The Stock Opton Cancellaton and Repricing was treated as a modifcaton of the afected stock optons. The incremental fair value of the modifcaton, which was calculated based on the diference between the fair value of each afected stock opton immediately before and afer the Stock Opton Cancellaton and Repricing using the Hull-White model, was less than $0.1 million. The cancelled 2021 Stock Optons had a grant date fair value of $6.6 million, of which $3.0 million had not yet been recognized as of the Efectve Date and will instead be recognized over the remaining requisite service period of the remaining 2021 Stock Optons and March 2022 Stock Optons.</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the 2022 Stock Optons, the 2023 Stock Optons, and the Stock Opton Cancellaton and</w:t>
      </w:r>
    </w:p>
    <w:p>
      <w:pPr>
        <w:spacing w:after="0" w:line="235" w:lineRule="auto"/>
        <w:rPr>
          <w:sz w:val="20"/>
          <w:szCs w:val="20"/>
          <w:color w:val="auto"/>
        </w:rPr>
      </w:pPr>
      <w:r>
        <w:rPr>
          <w:rFonts w:ascii="Calibri" w:cs="Calibri" w:eastAsia="Calibri" w:hAnsi="Calibri"/>
          <w:sz w:val="18"/>
          <w:szCs w:val="18"/>
          <w:color w:val="auto"/>
        </w:rPr>
        <w:t>Repricing: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19"/>
                <w:szCs w:val="19"/>
                <w:color w:val="auto"/>
              </w:rPr>
            </w:pPr>
          </w:p>
        </w:tc>
        <w:tc>
          <w:tcPr>
            <w:tcW w:w="1800" w:type="dxa"/>
            <w:vAlign w:val="bottom"/>
            <w:gridSpan w:val="2"/>
          </w:tcPr>
          <w:p>
            <w:pPr>
              <w:jc w:val="right"/>
              <w:ind w:right="380"/>
              <w:spacing w:after="0"/>
              <w:rPr>
                <w:sz w:val="20"/>
                <w:szCs w:val="20"/>
                <w:color w:val="auto"/>
              </w:rPr>
            </w:pPr>
            <w:r>
              <w:rPr>
                <w:rFonts w:ascii="Calibri" w:cs="Calibri" w:eastAsia="Calibri" w:hAnsi="Calibri"/>
                <w:sz w:val="18"/>
                <w:szCs w:val="18"/>
                <w:b w:val="1"/>
                <w:bCs w:val="1"/>
                <w:color w:val="auto"/>
              </w:rPr>
              <w:t>December 7, 2023</w:t>
            </w:r>
          </w:p>
        </w:tc>
        <w:tc>
          <w:tcPr>
            <w:tcW w:w="1840" w:type="dxa"/>
            <w:vAlign w:val="bottom"/>
            <w:gridSpan w:val="2"/>
          </w:tcPr>
          <w:p>
            <w:pPr>
              <w:jc w:val="right"/>
              <w:ind w:right="560"/>
              <w:spacing w:after="0"/>
              <w:rPr>
                <w:sz w:val="20"/>
                <w:szCs w:val="20"/>
                <w:color w:val="auto"/>
              </w:rPr>
            </w:pPr>
            <w:r>
              <w:rPr>
                <w:rFonts w:ascii="Calibri" w:cs="Calibri" w:eastAsia="Calibri" w:hAnsi="Calibri"/>
                <w:sz w:val="18"/>
                <w:szCs w:val="18"/>
                <w:b w:val="1"/>
                <w:bCs w:val="1"/>
                <w:color w:val="auto"/>
              </w:rPr>
              <w:t>June 14, 2023</w:t>
            </w:r>
          </w:p>
        </w:tc>
        <w:tc>
          <w:tcPr>
            <w:tcW w:w="1940" w:type="dxa"/>
            <w:vAlign w:val="bottom"/>
            <w:gridSpan w:val="2"/>
          </w:tcPr>
          <w:p>
            <w:pPr>
              <w:jc w:val="right"/>
              <w:ind w:right="540"/>
              <w:spacing w:after="0"/>
              <w:rPr>
                <w:sz w:val="20"/>
                <w:szCs w:val="20"/>
                <w:color w:val="auto"/>
              </w:rPr>
            </w:pPr>
            <w:r>
              <w:rPr>
                <w:rFonts w:ascii="Calibri" w:cs="Calibri" w:eastAsia="Calibri" w:hAnsi="Calibri"/>
                <w:sz w:val="18"/>
                <w:szCs w:val="18"/>
                <w:b w:val="1"/>
                <w:bCs w:val="1"/>
                <w:color w:val="auto"/>
              </w:rPr>
              <w:t>March 10, 2023</w:t>
            </w:r>
          </w:p>
        </w:tc>
        <w:tc>
          <w:tcPr>
            <w:tcW w:w="1800" w:type="dxa"/>
            <w:vAlign w:val="bottom"/>
            <w:gridSpan w:val="2"/>
          </w:tcPr>
          <w:p>
            <w:pPr>
              <w:jc w:val="right"/>
              <w:ind w:right="320"/>
              <w:spacing w:after="0"/>
              <w:rPr>
                <w:sz w:val="20"/>
                <w:szCs w:val="20"/>
                <w:color w:val="auto"/>
              </w:rPr>
            </w:pPr>
            <w:r>
              <w:rPr>
                <w:rFonts w:ascii="Calibri" w:cs="Calibri" w:eastAsia="Calibri" w:hAnsi="Calibri"/>
                <w:sz w:val="18"/>
                <w:szCs w:val="18"/>
                <w:b w:val="1"/>
                <w:bCs w:val="1"/>
                <w:color w:val="auto"/>
                <w:w w:val="99"/>
              </w:rPr>
              <w:t>November 11, 2022</w:t>
            </w:r>
          </w:p>
        </w:tc>
        <w:tc>
          <w:tcPr>
            <w:tcW w:w="1380" w:type="dxa"/>
            <w:vAlign w:val="bottom"/>
            <w:gridSpan w:val="2"/>
          </w:tcPr>
          <w:p>
            <w:pPr>
              <w:jc w:val="right"/>
              <w:ind w:right="200"/>
              <w:spacing w:after="0"/>
              <w:rPr>
                <w:sz w:val="20"/>
                <w:szCs w:val="20"/>
                <w:color w:val="auto"/>
              </w:rPr>
            </w:pPr>
            <w:r>
              <w:rPr>
                <w:rFonts w:ascii="Calibri" w:cs="Calibri" w:eastAsia="Calibri" w:hAnsi="Calibri"/>
                <w:sz w:val="18"/>
                <w:szCs w:val="18"/>
                <w:b w:val="1"/>
                <w:bCs w:val="1"/>
                <w:color w:val="auto"/>
              </w:rPr>
              <w:t>March 11, 2022</w:t>
            </w:r>
          </w:p>
        </w:tc>
      </w:tr>
      <w:tr>
        <w:trPr>
          <w:trHeight w:val="23"/>
        </w:trPr>
        <w:tc>
          <w:tcPr>
            <w:tcW w:w="24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24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Expected term (years)</w:t>
            </w:r>
          </w:p>
        </w:tc>
        <w:tc>
          <w:tcPr>
            <w:tcW w:w="15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7.9 - 8.9</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7.0</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5.9</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5.9</w:t>
            </w:r>
          </w:p>
        </w:tc>
        <w:tc>
          <w:tcPr>
            <w:tcW w:w="160" w:type="dxa"/>
            <w:vAlign w:val="bottom"/>
            <w:shd w:val="clear" w:color="auto" w:fill="CFF0FC"/>
          </w:tcPr>
          <w:p>
            <w:pPr>
              <w:spacing w:after="0"/>
              <w:rPr>
                <w:sz w:val="18"/>
                <w:szCs w:val="18"/>
                <w:color w:val="auto"/>
              </w:rPr>
            </w:pPr>
          </w:p>
        </w:tc>
      </w:tr>
      <w:tr>
        <w:trPr>
          <w:trHeight w:val="215"/>
        </w:trPr>
        <w:tc>
          <w:tcPr>
            <w:tcW w:w="248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volatlity</w:t>
            </w: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47.0% - 48.0%</w:t>
            </w:r>
          </w:p>
        </w:tc>
        <w:tc>
          <w:tcPr>
            <w:tcW w:w="260" w:type="dxa"/>
            <w:vAlign w:val="bottom"/>
          </w:tcPr>
          <w:p>
            <w:pPr>
              <w:spacing w:after="0"/>
              <w:rPr>
                <w:sz w:val="18"/>
                <w:szCs w:val="18"/>
                <w:color w:val="auto"/>
              </w:rPr>
            </w:pPr>
          </w:p>
        </w:tc>
        <w:tc>
          <w:tcPr>
            <w:tcW w:w="18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42.0 %</w:t>
            </w:r>
          </w:p>
        </w:tc>
        <w:tc>
          <w:tcPr>
            <w:tcW w:w="19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42.0 %</w:t>
            </w:r>
          </w:p>
        </w:tc>
        <w:tc>
          <w:tcPr>
            <w:tcW w:w="18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40.0 %</w:t>
            </w:r>
          </w:p>
        </w:tc>
        <w:tc>
          <w:tcPr>
            <w:tcW w:w="13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37.5 %</w:t>
            </w:r>
          </w:p>
        </w:tc>
      </w:tr>
      <w:tr>
        <w:trPr>
          <w:trHeight w:val="217"/>
        </w:trPr>
        <w:tc>
          <w:tcPr>
            <w:tcW w:w="24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Risk-free rate</w:t>
            </w:r>
          </w:p>
        </w:tc>
        <w:tc>
          <w:tcPr>
            <w:tcW w:w="180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4.2 %</w:t>
            </w:r>
          </w:p>
        </w:tc>
        <w:tc>
          <w:tcPr>
            <w:tcW w:w="18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4.0 %</w:t>
            </w:r>
          </w:p>
        </w:tc>
        <w:tc>
          <w:tcPr>
            <w:tcW w:w="19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3.9 %</w:t>
            </w:r>
          </w:p>
        </w:tc>
        <w:tc>
          <w:tcPr>
            <w:tcW w:w="180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3.9 %</w:t>
            </w:r>
          </w:p>
        </w:tc>
        <w:tc>
          <w:tcPr>
            <w:tcW w:w="13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2.0 %</w:t>
            </w:r>
          </w:p>
        </w:tc>
      </w:tr>
      <w:tr>
        <w:trPr>
          <w:trHeight w:val="215"/>
        </w:trPr>
        <w:tc>
          <w:tcPr>
            <w:tcW w:w="248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dividend yield</w:t>
            </w:r>
          </w:p>
        </w:tc>
        <w:tc>
          <w:tcPr>
            <w:tcW w:w="18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0.0 %</w:t>
            </w:r>
          </w:p>
        </w:tc>
        <w:tc>
          <w:tcPr>
            <w:tcW w:w="18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0.0 %</w:t>
            </w:r>
          </w:p>
        </w:tc>
        <w:tc>
          <w:tcPr>
            <w:tcW w:w="19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0.0 %</w:t>
            </w:r>
          </w:p>
        </w:tc>
        <w:tc>
          <w:tcPr>
            <w:tcW w:w="18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0.0 %</w:t>
            </w:r>
          </w:p>
        </w:tc>
        <w:tc>
          <w:tcPr>
            <w:tcW w:w="13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0.0 %</w:t>
            </w:r>
          </w:p>
        </w:tc>
      </w:tr>
    </w:tbl>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color w:val="auto"/>
        </w:rPr>
        <w:t>No stock optons were granted during the year ended December 31,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6" w:name="page107"/>
    <w:bookmarkEnd w:id="10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3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summary of the total actvity for stock optons during the years ended December 31, 2023 and 2024 is as follows (in thousands, except price per opton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center"/>
              <w:ind w:right="50"/>
              <w:spacing w:after="0"/>
              <w:rPr>
                <w:sz w:val="20"/>
                <w:szCs w:val="20"/>
                <w:color w:val="auto"/>
              </w:rPr>
            </w:pPr>
            <w:r>
              <w:rPr>
                <w:rFonts w:ascii="Calibri" w:cs="Calibri" w:eastAsia="Calibri" w:hAnsi="Calibri"/>
                <w:sz w:val="18"/>
                <w:szCs w:val="18"/>
                <w:b w:val="1"/>
                <w:bCs w:val="1"/>
                <w:color w:val="auto"/>
                <w:w w:val="98"/>
              </w:rPr>
              <w:t>Weighted Average</w:t>
            </w:r>
          </w:p>
        </w:tc>
        <w:tc>
          <w:tcPr>
            <w:tcW w:w="2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Weighted Average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7"/>
              </w:rPr>
              <w:t>Exercise Price Per Stock</w:t>
            </w:r>
          </w:p>
        </w:tc>
        <w:tc>
          <w:tcPr>
            <w:tcW w:w="220" w:type="dxa"/>
            <w:vAlign w:val="bottom"/>
          </w:tcPr>
          <w:p>
            <w:pPr>
              <w:spacing w:after="0"/>
              <w:rPr>
                <w:sz w:val="18"/>
                <w:szCs w:val="18"/>
                <w:color w:val="auto"/>
              </w:rPr>
            </w:pPr>
          </w:p>
        </w:tc>
        <w:tc>
          <w:tcPr>
            <w:tcW w:w="20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Remaining Contractual Life</w:t>
            </w:r>
          </w:p>
        </w:tc>
        <w:tc>
          <w:tcPr>
            <w:tcW w:w="200" w:type="dxa"/>
            <w:vAlign w:val="bottom"/>
          </w:tcPr>
          <w:p>
            <w:pPr>
              <w:spacing w:after="0"/>
              <w:rPr>
                <w:sz w:val="18"/>
                <w:szCs w:val="18"/>
                <w:color w:val="auto"/>
              </w:rPr>
            </w:pPr>
          </w:p>
        </w:tc>
        <w:tc>
          <w:tcPr>
            <w:tcW w:w="1640" w:type="dxa"/>
            <w:vAlign w:val="bottom"/>
            <w:gridSpan w:val="3"/>
          </w:tcPr>
          <w:p>
            <w:pPr>
              <w:jc w:val="center"/>
              <w:ind w:right="140"/>
              <w:spacing w:after="0" w:line="216" w:lineRule="exact"/>
              <w:rPr>
                <w:sz w:val="20"/>
                <w:szCs w:val="20"/>
                <w:color w:val="auto"/>
              </w:rPr>
            </w:pPr>
            <w:r>
              <w:rPr>
                <w:rFonts w:ascii="Calibri" w:cs="Calibri" w:eastAsia="Calibri" w:hAnsi="Calibri"/>
                <w:sz w:val="18"/>
                <w:szCs w:val="18"/>
                <w:b w:val="1"/>
                <w:bCs w:val="1"/>
                <w:color w:val="auto"/>
                <w:w w:val="98"/>
              </w:rPr>
              <w:t>Aggregate Intrinsic</w:t>
            </w:r>
          </w:p>
        </w:tc>
      </w:tr>
      <w:tr>
        <w:trPr>
          <w:trHeight w:val="216"/>
        </w:trPr>
        <w:tc>
          <w:tcPr>
            <w:tcW w:w="3700" w:type="dxa"/>
            <w:vAlign w:val="bottom"/>
          </w:tcPr>
          <w:p>
            <w:pPr>
              <w:spacing w:after="0"/>
              <w:rPr>
                <w:sz w:val="18"/>
                <w:szCs w:val="18"/>
                <w:color w:val="auto"/>
              </w:rPr>
            </w:pPr>
          </w:p>
        </w:tc>
        <w:tc>
          <w:tcPr>
            <w:tcW w:w="144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b w:val="1"/>
                <w:bCs w:val="1"/>
                <w:color w:val="auto"/>
              </w:rPr>
              <w:t>Stock Optons</w:t>
            </w:r>
          </w:p>
        </w:tc>
        <w:tc>
          <w:tcPr>
            <w:tcW w:w="100" w:type="dxa"/>
            <w:vAlign w:val="bottom"/>
          </w:tcPr>
          <w:p>
            <w:pPr>
              <w:spacing w:after="0"/>
              <w:rPr>
                <w:sz w:val="18"/>
                <w:szCs w:val="18"/>
                <w:color w:val="auto"/>
              </w:rPr>
            </w:pPr>
          </w:p>
        </w:tc>
        <w:tc>
          <w:tcPr>
            <w:tcW w:w="186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rPr>
              <w:t>Opton</w:t>
            </w:r>
          </w:p>
        </w:tc>
        <w:tc>
          <w:tcPr>
            <w:tcW w:w="220" w:type="dxa"/>
            <w:vAlign w:val="bottom"/>
          </w:tcPr>
          <w:p>
            <w:pPr>
              <w:spacing w:after="0"/>
              <w:rPr>
                <w:sz w:val="18"/>
                <w:szCs w:val="18"/>
                <w:color w:val="auto"/>
              </w:rPr>
            </w:pPr>
          </w:p>
        </w:tc>
        <w:tc>
          <w:tcPr>
            <w:tcW w:w="20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(Years)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center"/>
              <w:ind w:right="440"/>
              <w:spacing w:after="0" w:line="216" w:lineRule="exact"/>
              <w:rPr>
                <w:sz w:val="20"/>
                <w:szCs w:val="20"/>
                <w:color w:val="auto"/>
              </w:rPr>
            </w:pPr>
            <w:r>
              <w:rPr>
                <w:rFonts w:ascii="Calibri" w:cs="Calibri" w:eastAsia="Calibri" w:hAnsi="Calibri"/>
                <w:sz w:val="18"/>
                <w:szCs w:val="18"/>
                <w:b w:val="1"/>
                <w:bCs w:val="1"/>
                <w:color w:val="auto"/>
                <w:w w:val="98"/>
              </w:rPr>
              <w:t>Value</w:t>
            </w:r>
          </w:p>
        </w:tc>
      </w:tr>
      <w:tr>
        <w:trPr>
          <w:trHeight w:val="23"/>
        </w:trPr>
        <w:tc>
          <w:tcPr>
            <w:tcW w:w="3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37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Outstanding at December 31, 2022</w:t>
            </w:r>
          </w:p>
        </w:tc>
        <w:tc>
          <w:tcPr>
            <w:tcW w:w="12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6,125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8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12.09</w:t>
            </w:r>
          </w:p>
        </w:tc>
        <w:tc>
          <w:tcPr>
            <w:tcW w:w="230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9.0</w:t>
            </w:r>
          </w:p>
        </w:tc>
        <w:tc>
          <w:tcPr>
            <w:tcW w:w="540" w:type="dxa"/>
            <w:vAlign w:val="bottom"/>
            <w:gridSpan w:val="2"/>
            <w:shd w:val="clear" w:color="auto" w:fill="CFF0FC"/>
          </w:tcPr>
          <w:p>
            <w:pPr>
              <w:jc w:val="right"/>
              <w:ind w:right="130"/>
              <w:spacing w:after="0" w:line="209" w:lineRule="exact"/>
              <w:rPr>
                <w:sz w:val="20"/>
                <w:szCs w:val="20"/>
                <w:color w:val="auto"/>
              </w:rPr>
            </w:pPr>
            <w:r>
              <w:rPr>
                <w:rFonts w:ascii="Calibri" w:cs="Calibri" w:eastAsia="Calibri" w:hAnsi="Calibri"/>
                <w:sz w:val="18"/>
                <w:szCs w:val="18"/>
                <w:b w:val="1"/>
                <w:bCs w:val="1"/>
                <w:color w:val="auto"/>
              </w:rPr>
              <w:t>$</w:t>
            </w:r>
          </w:p>
        </w:tc>
        <w:tc>
          <w:tcPr>
            <w:tcW w:w="1300" w:type="dxa"/>
            <w:vAlign w:val="bottom"/>
            <w:gridSpan w:val="2"/>
            <w:shd w:val="clear" w:color="auto" w:fill="CFF0FC"/>
          </w:tcPr>
          <w:p>
            <w:pPr>
              <w:ind w:left="1020"/>
              <w:spacing w:after="0" w:line="209" w:lineRule="exact"/>
              <w:rPr>
                <w:sz w:val="20"/>
                <w:szCs w:val="20"/>
                <w:color w:val="auto"/>
              </w:rPr>
            </w:pPr>
            <w:r>
              <w:rPr>
                <w:rFonts w:ascii="Calibri" w:cs="Calibri" w:eastAsia="Calibri" w:hAnsi="Calibri"/>
                <w:sz w:val="18"/>
                <w:szCs w:val="18"/>
                <w:b w:val="1"/>
                <w:bCs w:val="1"/>
                <w:color w:val="auto"/>
              </w:rPr>
              <w:t>—</w:t>
            </w:r>
          </w:p>
        </w:tc>
      </w:tr>
      <w:tr>
        <w:trPr>
          <w:trHeight w:val="215"/>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Granted to employees</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3,601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Granted to consultants:</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3700" w:type="dxa"/>
            <w:vAlign w:val="bottom"/>
          </w:tcPr>
          <w:p>
            <w:pPr>
              <w:ind w:left="120"/>
              <w:spacing w:after="0" w:line="215" w:lineRule="exact"/>
              <w:rPr>
                <w:sz w:val="20"/>
                <w:szCs w:val="20"/>
                <w:color w:val="auto"/>
              </w:rPr>
            </w:pPr>
            <w:r>
              <w:rPr>
                <w:rFonts w:ascii="Calibri" w:cs="Calibri" w:eastAsia="Calibri" w:hAnsi="Calibri"/>
                <w:sz w:val="18"/>
                <w:szCs w:val="18"/>
                <w:color w:val="auto"/>
              </w:rPr>
              <w:t>Tranche #1</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7.98</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7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Tranche #2</w:t>
            </w: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17.00</w:t>
            </w:r>
          </w:p>
        </w:tc>
        <w:tc>
          <w:tcPr>
            <w:tcW w:w="22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3700" w:type="dxa"/>
            <w:vAlign w:val="bottom"/>
          </w:tcPr>
          <w:p>
            <w:pPr>
              <w:ind w:left="120"/>
              <w:spacing w:after="0" w:line="215" w:lineRule="exact"/>
              <w:rPr>
                <w:sz w:val="20"/>
                <w:szCs w:val="20"/>
                <w:color w:val="auto"/>
              </w:rPr>
            </w:pPr>
            <w:r>
              <w:rPr>
                <w:rFonts w:ascii="Calibri" w:cs="Calibri" w:eastAsia="Calibri" w:hAnsi="Calibri"/>
                <w:sz w:val="18"/>
                <w:szCs w:val="18"/>
                <w:color w:val="auto"/>
              </w:rPr>
              <w:t>Tranche #3</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23.00</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Expired</w:t>
            </w:r>
          </w:p>
        </w:tc>
        <w:tc>
          <w:tcPr>
            <w:tcW w:w="144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(29 )</w:t>
            </w:r>
          </w:p>
        </w:tc>
        <w:tc>
          <w:tcPr>
            <w:tcW w:w="1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13.35</w:t>
            </w:r>
          </w:p>
        </w:tc>
        <w:tc>
          <w:tcPr>
            <w:tcW w:w="22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Cancelled</w:t>
            </w:r>
          </w:p>
        </w:tc>
        <w:tc>
          <w:tcPr>
            <w:tcW w:w="14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(1,790 )</w:t>
            </w:r>
          </w:p>
        </w:tc>
        <w:tc>
          <w:tcPr>
            <w:tcW w:w="10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13.93</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7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Outstanding at December 31, 2023</w:t>
            </w:r>
          </w:p>
        </w:tc>
        <w:tc>
          <w:tcPr>
            <w:tcW w:w="12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8,807</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8.02</w:t>
            </w:r>
          </w:p>
        </w:tc>
        <w:tc>
          <w:tcPr>
            <w:tcW w:w="220" w:type="dxa"/>
            <w:vAlign w:val="bottom"/>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8.7</w:t>
            </w: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ind w:left="1020"/>
              <w:spacing w:after="0" w:line="210" w:lineRule="exact"/>
              <w:rPr>
                <w:sz w:val="20"/>
                <w:szCs w:val="20"/>
                <w:color w:val="auto"/>
              </w:rPr>
            </w:pPr>
            <w:r>
              <w:rPr>
                <w:rFonts w:ascii="Calibri" w:cs="Calibri" w:eastAsia="Calibri" w:hAnsi="Calibri"/>
                <w:sz w:val="18"/>
                <w:szCs w:val="18"/>
                <w:b w:val="1"/>
                <w:bCs w:val="1"/>
                <w:color w:val="auto"/>
                <w:w w:val="97"/>
              </w:rPr>
              <w:t>—</w:t>
            </w:r>
          </w:p>
        </w:tc>
        <w:tc>
          <w:tcPr>
            <w:tcW w:w="100" w:type="dxa"/>
            <w:vAlign w:val="bottom"/>
            <w:shd w:val="clear" w:color="auto" w:fill="CFF0FC"/>
          </w:tcPr>
          <w:p>
            <w:pPr>
              <w:spacing w:after="0"/>
              <w:rPr>
                <w:sz w:val="18"/>
                <w:szCs w:val="18"/>
                <w:color w:val="auto"/>
              </w:rPr>
            </w:pPr>
          </w:p>
        </w:tc>
      </w:tr>
      <w:tr>
        <w:trPr>
          <w:trHeight w:val="215"/>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4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(557 )</w:t>
            </w:r>
          </w:p>
        </w:tc>
        <w:tc>
          <w:tcPr>
            <w:tcW w:w="10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7.01</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Expired</w:t>
            </w:r>
          </w:p>
        </w:tc>
        <w:tc>
          <w:tcPr>
            <w:tcW w:w="144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(148 )</w:t>
            </w:r>
          </w:p>
        </w:tc>
        <w:tc>
          <w:tcPr>
            <w:tcW w:w="1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6.90</w:t>
            </w:r>
          </w:p>
        </w:tc>
        <w:tc>
          <w:tcPr>
            <w:tcW w:w="22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370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b w:val="1"/>
                <w:bCs w:val="1"/>
                <w:color w:val="auto"/>
              </w:rPr>
              <w:t>Outstanding at December 31, 2024</w:t>
            </w:r>
          </w:p>
        </w:tc>
        <w:tc>
          <w:tcPr>
            <w:tcW w:w="12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8,102</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8.11</w:t>
            </w:r>
          </w:p>
        </w:tc>
        <w:tc>
          <w:tcPr>
            <w:tcW w:w="2300" w:type="dxa"/>
            <w:vAlign w:val="bottom"/>
            <w:tcBorders>
              <w:top w:val="single" w:sz="8" w:color="CFF0FC"/>
            </w:tcBorders>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7.7</w:t>
            </w: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gridSpan w:val="2"/>
          </w:tcPr>
          <w:p>
            <w:pPr>
              <w:ind w:left="1020"/>
              <w:spacing w:after="0" w:line="209" w:lineRule="exact"/>
              <w:rPr>
                <w:sz w:val="20"/>
                <w:szCs w:val="20"/>
                <w:color w:val="auto"/>
              </w:rPr>
            </w:pPr>
            <w:r>
              <w:rPr>
                <w:rFonts w:ascii="Calibri" w:cs="Calibri" w:eastAsia="Calibri" w:hAnsi="Calibri"/>
                <w:sz w:val="18"/>
                <w:szCs w:val="18"/>
                <w:b w:val="1"/>
                <w:bCs w:val="1"/>
                <w:color w:val="auto"/>
              </w:rPr>
              <w:t>—</w:t>
            </w:r>
          </w:p>
        </w:tc>
      </w:tr>
      <w:tr>
        <w:trPr>
          <w:trHeight w:val="250"/>
        </w:trPr>
        <w:tc>
          <w:tcPr>
            <w:tcW w:w="37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Vested and exercisable at December 31, 2024</w:t>
            </w:r>
          </w:p>
        </w:tc>
        <w:tc>
          <w:tcPr>
            <w:tcW w:w="12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5,661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8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7.47</w:t>
            </w:r>
          </w:p>
        </w:tc>
        <w:tc>
          <w:tcPr>
            <w:tcW w:w="22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-316230</wp:posOffset>
            </wp:positionV>
            <wp:extent cx="774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-316230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weighted-average grant date fair value for stock optons outstanding during the years ended December 31, 2024, 2023, and 2022 was $3.44, $2.88, and $3.82, respectvely. The weighted-average grant date fair value for stock optons forfeited during the years ended December 31, 2024, 2023, and 2022 was $3.53, zero, and $3.83, respectvely. The weighted-average grant-date fair value for stock optons vested during the years ended December 31, 2024, 2023, and 2022 was $3.58, $3.89, and $3.71, respectvely. The weighted-average grant-date fair value for stock optons cancelled was $3.68 during the year ended December 31,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Hoya Topco Profts Interests and Phantom Units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Prior to the Merger Transacton, certain members of management received equity-based compensaton awards for profts interests in Hoya Topco in the form of incentve units, phantom units, Class D Units, and Class E Units. Each incentve unit vests ratably over fve years and accelerates upon a change in control of Hoya Topco. We do not expect any future profts interests to be granted afer the Merger Transacton. The fair value of the incentve units granted is estmated using the Black-Scholes model.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Black-Scholes model requires certain subjectve inputs and assumptons, including the fair value Hoya Topco’s equity, the expected term, risk-free interest rates, and expected equity volatlity. The fair value of incentve units is recognized as equity-based compensaton expense on a straight-line basis over the requisite service period. We account for forfeitures as they occur. Changes in assumptons made on expected term, the risk-free rate of interest, and expected volatlity can materially impact the estmate of fair value and, ultmately, how much share-based compensaton expense is recognized. The expected term is estmated based on the tming and probabilites untl a major liquidity event. The risk-free interest rate is based on the U.S. Treasury yield curve in efect at the tme of grant and corresponds to the expected term. The expected volatlity is estmated on the date of grant based on the average historical stock price volatlity of comparable publicly traded companies.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10, 2024, the Board of Managers of Hoya Topco (the “Hoya Topco Board”) approved the redempton, repurchase and cancellaton by Hoya Topco (using Hoya Topco’s funds) of all of its outstanding profts interests held by our current employees (including the Class B-1, Class D, and Class E Units discussed elsewhere in this Report). Accordingly, we recognized equity-based compensaton expense related to the profts interests of $4.6 million for the year ended December 31, 2024.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7" w:name="page108"/>
    <w:bookmarkEnd w:id="10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10, 2024, the Hoya Topco Board also approved the repurchase and cancellaton by Hoya Topco (using Hoya Topco’s funds) of all of its outstanding phantom units held by our employees. The phantom units held service and performance conditons, requiring us to recognize a liability for the fair value of the outstanding phantom units only when we conclude it is probable that the performance conditons will be achieved. Accordingly, we recognized equity-based compensaton expense related to the phantom units of $5.0 million for the year ended December 31, 2024. There was no equity-based compensaton expense previously recognized related to the phantom units.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Hoya Topco had no outstanding profts interests or phantom units held by our current employees, and we had no unrecognized equity-based compensaton expense related thereto, as of December 31, 2024.</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summary of the total actvity for the Hoya Topco incentve units, Class D Units, and Class E Units during the years ended December 31, 2024, 2023, and 2022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19"/>
                <w:szCs w:val="19"/>
                <w:color w:val="auto"/>
              </w:rPr>
            </w:pPr>
          </w:p>
        </w:tc>
        <w:tc>
          <w:tcPr>
            <w:tcW w:w="2660" w:type="dxa"/>
            <w:vAlign w:val="bottom"/>
            <w:gridSpan w:val="4"/>
          </w:tcPr>
          <w:p>
            <w:pPr>
              <w:jc w:val="right"/>
              <w:ind w:right="690"/>
              <w:spacing w:after="0"/>
              <w:rPr>
                <w:sz w:val="20"/>
                <w:szCs w:val="20"/>
                <w:color w:val="auto"/>
              </w:rPr>
            </w:pPr>
            <w:r>
              <w:rPr>
                <w:rFonts w:ascii="Calibri" w:cs="Calibri" w:eastAsia="Calibri" w:hAnsi="Calibri"/>
                <w:sz w:val="18"/>
                <w:szCs w:val="18"/>
                <w:b w:val="1"/>
                <w:bCs w:val="1"/>
                <w:color w:val="auto"/>
              </w:rPr>
              <w:t>Incentve Units</w:t>
            </w:r>
          </w:p>
        </w:tc>
        <w:tc>
          <w:tcPr>
            <w:tcW w:w="220" w:type="dxa"/>
            <w:vAlign w:val="bottom"/>
          </w:tcPr>
          <w:p>
            <w:pPr>
              <w:spacing w:after="0"/>
              <w:rPr>
                <w:sz w:val="19"/>
                <w:szCs w:val="19"/>
                <w:color w:val="auto"/>
              </w:rPr>
            </w:pPr>
          </w:p>
        </w:tc>
        <w:tc>
          <w:tcPr>
            <w:tcW w:w="2920" w:type="dxa"/>
            <w:vAlign w:val="bottom"/>
            <w:gridSpan w:val="4"/>
          </w:tcPr>
          <w:p>
            <w:pPr>
              <w:jc w:val="right"/>
              <w:ind w:right="910"/>
              <w:spacing w:after="0"/>
              <w:rPr>
                <w:sz w:val="20"/>
                <w:szCs w:val="20"/>
                <w:color w:val="auto"/>
              </w:rPr>
            </w:pPr>
            <w:r>
              <w:rPr>
                <w:rFonts w:ascii="Calibri" w:cs="Calibri" w:eastAsia="Calibri" w:hAnsi="Calibri"/>
                <w:sz w:val="18"/>
                <w:szCs w:val="18"/>
                <w:b w:val="1"/>
                <w:bCs w:val="1"/>
                <w:color w:val="auto"/>
              </w:rPr>
              <w:t>Class D Units</w:t>
            </w:r>
          </w:p>
        </w:tc>
        <w:tc>
          <w:tcPr>
            <w:tcW w:w="220" w:type="dxa"/>
            <w:vAlign w:val="bottom"/>
          </w:tcPr>
          <w:p>
            <w:pPr>
              <w:spacing w:after="0"/>
              <w:rPr>
                <w:sz w:val="19"/>
                <w:szCs w:val="19"/>
                <w:color w:val="auto"/>
              </w:rPr>
            </w:pPr>
          </w:p>
        </w:tc>
        <w:tc>
          <w:tcPr>
            <w:tcW w:w="2740" w:type="dxa"/>
            <w:vAlign w:val="bottom"/>
            <w:gridSpan w:val="5"/>
          </w:tcPr>
          <w:p>
            <w:pPr>
              <w:ind w:left="860"/>
              <w:spacing w:after="0"/>
              <w:rPr>
                <w:sz w:val="20"/>
                <w:szCs w:val="20"/>
                <w:color w:val="auto"/>
              </w:rPr>
            </w:pPr>
            <w:r>
              <w:rPr>
                <w:rFonts w:ascii="Calibri" w:cs="Calibri" w:eastAsia="Calibri" w:hAnsi="Calibri"/>
                <w:sz w:val="18"/>
                <w:szCs w:val="18"/>
                <w:b w:val="1"/>
                <w:bCs w:val="1"/>
                <w:color w:val="auto"/>
              </w:rPr>
              <w:t>Class E Units</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30"/>
              <w:spacing w:after="0" w:line="187" w:lineRule="exact"/>
              <w:rPr>
                <w:sz w:val="20"/>
                <w:szCs w:val="20"/>
                <w:color w:val="auto"/>
              </w:rPr>
            </w:pPr>
            <w:r>
              <w:rPr>
                <w:rFonts w:ascii="Calibri" w:cs="Calibri" w:eastAsia="Calibri" w:hAnsi="Calibri"/>
                <w:sz w:val="18"/>
                <w:szCs w:val="18"/>
                <w:b w:val="1"/>
                <w:bCs w:val="1"/>
                <w:color w:val="auto"/>
                <w:w w:val="95"/>
              </w:rPr>
              <w:t>Weighted</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30"/>
              <w:spacing w:after="0" w:line="187" w:lineRule="exact"/>
              <w:rPr>
                <w:sz w:val="20"/>
                <w:szCs w:val="20"/>
                <w:color w:val="auto"/>
              </w:rPr>
            </w:pPr>
            <w:r>
              <w:rPr>
                <w:rFonts w:ascii="Calibri" w:cs="Calibri" w:eastAsia="Calibri" w:hAnsi="Calibri"/>
                <w:sz w:val="18"/>
                <w:szCs w:val="18"/>
                <w:b w:val="1"/>
                <w:bCs w:val="1"/>
                <w:color w:val="auto"/>
                <w:w w:val="98"/>
              </w:rPr>
              <w:t>Weighted</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5" w:lineRule="exact"/>
              <w:rPr>
                <w:sz w:val="20"/>
                <w:szCs w:val="20"/>
                <w:color w:val="auto"/>
              </w:rPr>
            </w:pPr>
            <w:r>
              <w:rPr>
                <w:rFonts w:ascii="Calibri" w:cs="Calibri" w:eastAsia="Calibri" w:hAnsi="Calibri"/>
                <w:sz w:val="18"/>
                <w:szCs w:val="18"/>
                <w:b w:val="1"/>
                <w:bCs w:val="1"/>
                <w:color w:val="auto"/>
                <w:w w:val="98"/>
              </w:rPr>
              <w:t>Average Grant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spacing w:after="0" w:line="215" w:lineRule="exact"/>
              <w:rPr>
                <w:sz w:val="20"/>
                <w:szCs w:val="20"/>
                <w:color w:val="auto"/>
              </w:rPr>
            </w:pPr>
            <w:r>
              <w:rPr>
                <w:rFonts w:ascii="Calibri" w:cs="Calibri" w:eastAsia="Calibri" w:hAnsi="Calibri"/>
                <w:sz w:val="18"/>
                <w:szCs w:val="18"/>
                <w:b w:val="1"/>
                <w:bCs w:val="1"/>
                <w:color w:val="auto"/>
                <w:w w:val="98"/>
              </w:rPr>
              <w:t>Weighted Average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line="215" w:lineRule="exact"/>
              <w:rPr>
                <w:sz w:val="20"/>
                <w:szCs w:val="20"/>
                <w:color w:val="auto"/>
              </w:rPr>
            </w:pPr>
            <w:r>
              <w:rPr>
                <w:rFonts w:ascii="Calibri" w:cs="Calibri" w:eastAsia="Calibri" w:hAnsi="Calibri"/>
                <w:sz w:val="18"/>
                <w:szCs w:val="18"/>
                <w:b w:val="1"/>
                <w:bCs w:val="1"/>
                <w:color w:val="auto"/>
                <w:w w:val="96"/>
              </w:rPr>
              <w:t>Average Grant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7"/>
              </w:rPr>
              <w:t>Date Fair Value</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70"/>
              <w:spacing w:after="0" w:line="216" w:lineRule="exact"/>
              <w:rPr>
                <w:sz w:val="20"/>
                <w:szCs w:val="20"/>
                <w:color w:val="auto"/>
              </w:rPr>
            </w:pPr>
            <w:r>
              <w:rPr>
                <w:rFonts w:ascii="Calibri" w:cs="Calibri" w:eastAsia="Calibri" w:hAnsi="Calibri"/>
                <w:sz w:val="18"/>
                <w:szCs w:val="18"/>
                <w:b w:val="1"/>
                <w:bCs w:val="1"/>
                <w:color w:val="auto"/>
                <w:w w:val="96"/>
              </w:rPr>
              <w:t>Grant Date Fair</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line="216" w:lineRule="exact"/>
              <w:rPr>
                <w:sz w:val="20"/>
                <w:szCs w:val="20"/>
                <w:color w:val="auto"/>
              </w:rPr>
            </w:pPr>
            <w:r>
              <w:rPr>
                <w:rFonts w:ascii="Calibri" w:cs="Calibri" w:eastAsia="Calibri" w:hAnsi="Calibri"/>
                <w:sz w:val="18"/>
                <w:szCs w:val="18"/>
                <w:b w:val="1"/>
                <w:bCs w:val="1"/>
                <w:color w:val="auto"/>
                <w:w w:val="97"/>
              </w:rPr>
              <w:t>Date Fair Value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400" w:type="dxa"/>
            <w:vAlign w:val="bottom"/>
            <w:gridSpan w:val="2"/>
          </w:tcPr>
          <w:p>
            <w:pPr>
              <w:jc w:val="right"/>
              <w:ind w:right="620"/>
              <w:spacing w:after="0" w:line="216" w:lineRule="exact"/>
              <w:rPr>
                <w:sz w:val="20"/>
                <w:szCs w:val="20"/>
                <w:color w:val="auto"/>
              </w:rPr>
            </w:pPr>
            <w:r>
              <w:rPr>
                <w:rFonts w:ascii="Calibri" w:cs="Calibri" w:eastAsia="Calibri" w:hAnsi="Calibri"/>
                <w:sz w:val="18"/>
                <w:szCs w:val="18"/>
                <w:b w:val="1"/>
                <w:bCs w:val="1"/>
                <w:color w:val="auto"/>
              </w:rPr>
              <w:t>Units</w:t>
            </w:r>
          </w:p>
        </w:tc>
        <w:tc>
          <w:tcPr>
            <w:tcW w:w="180" w:type="dxa"/>
            <w:vAlign w:val="bottom"/>
          </w:tcPr>
          <w:p>
            <w:pPr>
              <w:spacing w:after="0"/>
              <w:rPr>
                <w:sz w:val="18"/>
                <w:szCs w:val="18"/>
                <w:color w:val="auto"/>
              </w:rPr>
            </w:pPr>
          </w:p>
        </w:tc>
        <w:tc>
          <w:tcPr>
            <w:tcW w:w="108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7"/>
              </w:rPr>
              <w:t>Per Unit</w:t>
            </w:r>
          </w:p>
        </w:tc>
        <w:tc>
          <w:tcPr>
            <w:tcW w:w="220" w:type="dxa"/>
            <w:vAlign w:val="bottom"/>
          </w:tcPr>
          <w:p>
            <w:pPr>
              <w:spacing w:after="0"/>
              <w:rPr>
                <w:sz w:val="18"/>
                <w:szCs w:val="18"/>
                <w:color w:val="auto"/>
              </w:rPr>
            </w:pPr>
          </w:p>
        </w:tc>
        <w:tc>
          <w:tcPr>
            <w:tcW w:w="1540" w:type="dxa"/>
            <w:vAlign w:val="bottom"/>
            <w:gridSpan w:val="2"/>
          </w:tcPr>
          <w:p>
            <w:pPr>
              <w:jc w:val="right"/>
              <w:ind w:right="700"/>
              <w:spacing w:after="0" w:line="216" w:lineRule="exact"/>
              <w:rPr>
                <w:sz w:val="20"/>
                <w:szCs w:val="20"/>
                <w:color w:val="auto"/>
              </w:rPr>
            </w:pPr>
            <w:r>
              <w:rPr>
                <w:rFonts w:ascii="Calibri" w:cs="Calibri" w:eastAsia="Calibri" w:hAnsi="Calibri"/>
                <w:sz w:val="18"/>
                <w:szCs w:val="18"/>
                <w:b w:val="1"/>
                <w:bCs w:val="1"/>
                <w:color w:val="auto"/>
              </w:rPr>
              <w:t>Units</w:t>
            </w:r>
          </w:p>
        </w:tc>
        <w:tc>
          <w:tcPr>
            <w:tcW w:w="100" w:type="dxa"/>
            <w:vAlign w:val="bottom"/>
          </w:tcPr>
          <w:p>
            <w:pPr>
              <w:spacing w:after="0"/>
              <w:rPr>
                <w:sz w:val="18"/>
                <w:szCs w:val="18"/>
                <w:color w:val="auto"/>
              </w:rPr>
            </w:pPr>
          </w:p>
        </w:tc>
        <w:tc>
          <w:tcPr>
            <w:tcW w:w="1280" w:type="dxa"/>
            <w:vAlign w:val="bottom"/>
          </w:tcPr>
          <w:p>
            <w:pPr>
              <w:jc w:val="right"/>
              <w:ind w:right="70"/>
              <w:spacing w:after="0" w:line="216" w:lineRule="exact"/>
              <w:rPr>
                <w:sz w:val="20"/>
                <w:szCs w:val="20"/>
                <w:color w:val="auto"/>
              </w:rPr>
            </w:pPr>
            <w:r>
              <w:rPr>
                <w:rFonts w:ascii="Calibri" w:cs="Calibri" w:eastAsia="Calibri" w:hAnsi="Calibri"/>
                <w:sz w:val="18"/>
                <w:szCs w:val="18"/>
                <w:b w:val="1"/>
                <w:bCs w:val="1"/>
                <w:color w:val="auto"/>
              </w:rPr>
              <w:t>Value Per Unit</w:t>
            </w:r>
          </w:p>
        </w:tc>
        <w:tc>
          <w:tcPr>
            <w:tcW w:w="220" w:type="dxa"/>
            <w:vAlign w:val="bottom"/>
          </w:tcPr>
          <w:p>
            <w:pPr>
              <w:spacing w:after="0"/>
              <w:rPr>
                <w:sz w:val="18"/>
                <w:szCs w:val="18"/>
                <w:color w:val="auto"/>
              </w:rPr>
            </w:pPr>
          </w:p>
        </w:tc>
        <w:tc>
          <w:tcPr>
            <w:tcW w:w="1400" w:type="dxa"/>
            <w:vAlign w:val="bottom"/>
            <w:gridSpan w:val="2"/>
          </w:tcPr>
          <w:p>
            <w:pPr>
              <w:jc w:val="right"/>
              <w:ind w:right="620"/>
              <w:spacing w:after="0" w:line="216" w:lineRule="exact"/>
              <w:rPr>
                <w:sz w:val="20"/>
                <w:szCs w:val="20"/>
                <w:color w:val="auto"/>
              </w:rPr>
            </w:pPr>
            <w:r>
              <w:rPr>
                <w:rFonts w:ascii="Calibri" w:cs="Calibri" w:eastAsia="Calibri" w:hAnsi="Calibri"/>
                <w:sz w:val="18"/>
                <w:szCs w:val="18"/>
                <w:b w:val="1"/>
                <w:bCs w:val="1"/>
                <w:color w:val="auto"/>
              </w:rPr>
              <w:t>Units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7"/>
              </w:rPr>
              <w:t>Per Unit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480" w:type="dxa"/>
            <w:vAlign w:val="bottom"/>
            <w:shd w:val="clear" w:color="auto" w:fill="CFF0FC"/>
          </w:tcPr>
          <w:p>
            <w:pPr>
              <w:ind w:left="20"/>
              <w:spacing w:after="0" w:line="187" w:lineRule="exact"/>
              <w:rPr>
                <w:sz w:val="20"/>
                <w:szCs w:val="20"/>
                <w:color w:val="auto"/>
              </w:rPr>
            </w:pPr>
            <w:r>
              <w:rPr>
                <w:rFonts w:ascii="Calibri" w:cs="Calibri" w:eastAsia="Calibri" w:hAnsi="Calibri"/>
                <w:sz w:val="18"/>
                <w:szCs w:val="18"/>
                <w:b w:val="1"/>
                <w:bCs w:val="1"/>
                <w:color w:val="auto"/>
              </w:rPr>
              <w:t>Outstanding at December 31,</w:t>
            </w: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2022</w:t>
            </w: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836,000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2.32</w:t>
            </w:r>
          </w:p>
        </w:tc>
        <w:tc>
          <w:tcPr>
            <w:tcW w:w="15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1,952,330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w w:val="87"/>
              </w:rPr>
              <w:t>$</w:t>
            </w: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4.60</w:t>
            </w:r>
          </w:p>
        </w:tc>
        <w:tc>
          <w:tcPr>
            <w:tcW w:w="14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500,765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25.46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line="215" w:lineRule="exact"/>
              <w:rPr>
                <w:sz w:val="20"/>
                <w:szCs w:val="20"/>
                <w:color w:val="auto"/>
              </w:rPr>
            </w:pPr>
            <w:r>
              <w:rPr>
                <w:rFonts w:ascii="Calibri" w:cs="Calibri" w:eastAsia="Calibri" w:hAnsi="Calibri"/>
                <w:sz w:val="18"/>
                <w:szCs w:val="18"/>
                <w:color w:val="auto"/>
              </w:rPr>
              <w:t>Repurchased</w:t>
            </w:r>
          </w:p>
        </w:tc>
        <w:tc>
          <w:tcPr>
            <w:tcW w:w="14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7"/>
        </w:trPr>
        <w:tc>
          <w:tcPr>
            <w:tcW w:w="24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Cancelled</w:t>
            </w:r>
          </w:p>
        </w:tc>
        <w:tc>
          <w:tcPr>
            <w:tcW w:w="140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4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88"/>
        </w:trPr>
        <w:tc>
          <w:tcPr>
            <w:tcW w:w="2480" w:type="dxa"/>
            <w:vAlign w:val="bottom"/>
            <w:shd w:val="clear" w:color="auto" w:fill="CFF0FC"/>
          </w:tcPr>
          <w:p>
            <w:pPr>
              <w:ind w:left="20"/>
              <w:spacing w:after="0" w:line="187" w:lineRule="exact"/>
              <w:rPr>
                <w:sz w:val="20"/>
                <w:szCs w:val="20"/>
                <w:color w:val="auto"/>
              </w:rPr>
            </w:pPr>
            <w:r>
              <w:rPr>
                <w:rFonts w:ascii="Calibri" w:cs="Calibri" w:eastAsia="Calibri" w:hAnsi="Calibri"/>
                <w:sz w:val="18"/>
                <w:szCs w:val="18"/>
                <w:b w:val="1"/>
                <w:bCs w:val="1"/>
                <w:color w:val="auto"/>
              </w:rPr>
              <w:t>Outstanding at December 31,</w:t>
            </w:r>
          </w:p>
        </w:tc>
        <w:tc>
          <w:tcPr>
            <w:tcW w:w="11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2023</w:t>
            </w: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836,000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2.32</w:t>
            </w:r>
          </w:p>
        </w:tc>
        <w:tc>
          <w:tcPr>
            <w:tcW w:w="15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1,952,330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4.60</w:t>
            </w:r>
          </w:p>
        </w:tc>
        <w:tc>
          <w:tcPr>
            <w:tcW w:w="14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500,765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25.46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line="215" w:lineRule="exact"/>
              <w:rPr>
                <w:sz w:val="20"/>
                <w:szCs w:val="20"/>
                <w:color w:val="auto"/>
              </w:rPr>
            </w:pPr>
            <w:r>
              <w:rPr>
                <w:rFonts w:ascii="Calibri" w:cs="Calibri" w:eastAsia="Calibri" w:hAnsi="Calibri"/>
                <w:sz w:val="18"/>
                <w:szCs w:val="18"/>
                <w:color w:val="auto"/>
              </w:rPr>
              <w:t>Repurchased</w:t>
            </w:r>
          </w:p>
        </w:tc>
        <w:tc>
          <w:tcPr>
            <w:tcW w:w="14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(820,600 )</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2.32</w:t>
            </w:r>
          </w:p>
        </w:tc>
        <w:tc>
          <w:tcPr>
            <w:tcW w:w="220" w:type="dxa"/>
            <w:vAlign w:val="bottom"/>
          </w:tcPr>
          <w:p>
            <w:pPr>
              <w:spacing w:after="0"/>
              <w:rPr>
                <w:sz w:val="18"/>
                <w:szCs w:val="18"/>
                <w:color w:val="auto"/>
              </w:rPr>
            </w:pPr>
          </w:p>
        </w:tc>
        <w:tc>
          <w:tcPr>
            <w:tcW w:w="15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7"/>
        </w:trPr>
        <w:tc>
          <w:tcPr>
            <w:tcW w:w="24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Cancelled</w:t>
            </w:r>
          </w:p>
        </w:tc>
        <w:tc>
          <w:tcPr>
            <w:tcW w:w="140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760" w:type="dxa"/>
            <w:vAlign w:val="bottom"/>
            <w:gridSpan w:val="3"/>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(1,904,250 )</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4.31</w:t>
            </w:r>
          </w:p>
        </w:tc>
        <w:tc>
          <w:tcPr>
            <w:tcW w:w="1620" w:type="dxa"/>
            <w:vAlign w:val="bottom"/>
            <w:gridSpan w:val="3"/>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(500,765 )</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line="215" w:lineRule="exact"/>
              <w:rPr>
                <w:sz w:val="20"/>
                <w:szCs w:val="20"/>
                <w:color w:val="auto"/>
              </w:rPr>
            </w:pPr>
            <w:r>
              <w:rPr>
                <w:rFonts w:ascii="Calibri" w:cs="Calibri" w:eastAsia="Calibri" w:hAnsi="Calibri"/>
                <w:sz w:val="18"/>
                <w:szCs w:val="18"/>
                <w:color w:val="auto"/>
              </w:rPr>
              <w:t>Forfeited</w:t>
            </w:r>
          </w:p>
        </w:tc>
        <w:tc>
          <w:tcPr>
            <w:tcW w:w="14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(15,400 )</w:t>
            </w:r>
          </w:p>
        </w:tc>
        <w:tc>
          <w:tcPr>
            <w:tcW w:w="18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2.32</w:t>
            </w:r>
          </w:p>
        </w:tc>
        <w:tc>
          <w:tcPr>
            <w:tcW w:w="220" w:type="dxa"/>
            <w:vAlign w:val="bottom"/>
          </w:tcPr>
          <w:p>
            <w:pPr>
              <w:spacing w:after="0"/>
              <w:rPr>
                <w:sz w:val="18"/>
                <w:szCs w:val="18"/>
                <w:color w:val="auto"/>
              </w:rPr>
            </w:pPr>
          </w:p>
        </w:tc>
        <w:tc>
          <w:tcPr>
            <w:tcW w:w="15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88"/>
        </w:trPr>
        <w:tc>
          <w:tcPr>
            <w:tcW w:w="2480" w:type="dxa"/>
            <w:vAlign w:val="bottom"/>
            <w:shd w:val="clear" w:color="auto" w:fill="CFF0FC"/>
          </w:tcPr>
          <w:p>
            <w:pPr>
              <w:ind w:left="20"/>
              <w:spacing w:after="0" w:line="187" w:lineRule="exact"/>
              <w:rPr>
                <w:sz w:val="20"/>
                <w:szCs w:val="20"/>
                <w:color w:val="auto"/>
              </w:rPr>
            </w:pPr>
            <w:r>
              <w:rPr>
                <w:rFonts w:ascii="Calibri" w:cs="Calibri" w:eastAsia="Calibri" w:hAnsi="Calibri"/>
                <w:sz w:val="18"/>
                <w:szCs w:val="18"/>
                <w:b w:val="1"/>
                <w:bCs w:val="1"/>
                <w:color w:val="auto"/>
              </w:rPr>
              <w:t>Outstanding at December 31,</w:t>
            </w: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240" w:type="dxa"/>
            <w:vAlign w:val="bottom"/>
            <w:vMerge w:val="restart"/>
            <w:shd w:val="clear" w:color="auto" w:fill="CFF0FC"/>
          </w:tcPr>
          <w:p>
            <w:pPr>
              <w:spacing w:after="0"/>
              <w:rPr>
                <w:sz w:val="16"/>
                <w:szCs w:val="16"/>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w w:val="87"/>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220" w:type="dxa"/>
            <w:vAlign w:val="bottom"/>
            <w:vMerge w:val="restart"/>
            <w:shd w:val="clear" w:color="auto" w:fill="CFF0FC"/>
          </w:tcPr>
          <w:p>
            <w:pPr>
              <w:spacing w:after="0"/>
              <w:rPr>
                <w:sz w:val="16"/>
                <w:szCs w:val="16"/>
                <w:color w:val="auto"/>
              </w:rPr>
            </w:pPr>
          </w:p>
        </w:tc>
        <w:tc>
          <w:tcPr>
            <w:tcW w:w="132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48,080</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vMerge w:val="restart"/>
            <w:shd w:val="clear" w:color="auto" w:fill="CFF0FC"/>
          </w:tcPr>
          <w:p>
            <w:pPr>
              <w:spacing w:after="0"/>
              <w:rPr>
                <w:sz w:val="20"/>
                <w:szCs w:val="20"/>
                <w:color w:val="auto"/>
              </w:rPr>
            </w:pPr>
            <w:r>
              <w:rPr>
                <w:rFonts w:ascii="Calibri" w:cs="Calibri" w:eastAsia="Calibri" w:hAnsi="Calibri"/>
                <w:sz w:val="18"/>
                <w:szCs w:val="18"/>
                <w:b w:val="1"/>
                <w:bCs w:val="1"/>
                <w:color w:val="auto"/>
                <w:w w:val="87"/>
              </w:rPr>
              <w:t>$</w:t>
            </w:r>
          </w:p>
        </w:tc>
        <w:tc>
          <w:tcPr>
            <w:tcW w:w="12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16.09</w:t>
            </w:r>
          </w:p>
        </w:tc>
        <w:tc>
          <w:tcPr>
            <w:tcW w:w="220" w:type="dxa"/>
            <w:vAlign w:val="bottom"/>
            <w:shd w:val="clear" w:color="auto" w:fill="CFF0FC"/>
          </w:tcPr>
          <w:p>
            <w:pPr>
              <w:spacing w:after="0"/>
              <w:rPr>
                <w:sz w:val="16"/>
                <w:szCs w:val="16"/>
                <w:color w:val="auto"/>
              </w:rPr>
            </w:pP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220" w:type="dxa"/>
            <w:vAlign w:val="bottom"/>
            <w:vMerge w:val="restart"/>
            <w:shd w:val="clear" w:color="auto" w:fill="CFF0FC"/>
          </w:tcPr>
          <w:p>
            <w:pPr>
              <w:spacing w:after="0"/>
              <w:rPr>
                <w:sz w:val="16"/>
                <w:szCs w:val="16"/>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w w:val="87"/>
              </w:rPr>
              <w:t>$</w:t>
            </w: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80" w:type="dxa"/>
            <w:vAlign w:val="bottom"/>
            <w:tcBorders>
              <w:bottom w:val="single" w:sz="8" w:color="CFF0FC"/>
            </w:tcBorders>
            <w:shd w:val="clear" w:color="auto" w:fill="CFF0FC"/>
          </w:tcPr>
          <w:p>
            <w:pPr>
              <w:ind w:left="20"/>
              <w:spacing w:after="0" w:line="198" w:lineRule="exact"/>
              <w:rPr>
                <w:sz w:val="20"/>
                <w:szCs w:val="20"/>
                <w:color w:val="auto"/>
              </w:rPr>
            </w:pPr>
            <w:r>
              <w:rPr>
                <w:rFonts w:ascii="Calibri" w:cs="Calibri" w:eastAsia="Calibri" w:hAnsi="Calibri"/>
                <w:sz w:val="18"/>
                <w:szCs w:val="18"/>
                <w:b w:val="1"/>
                <w:bCs w:val="1"/>
                <w:color w:val="auto"/>
              </w:rPr>
              <w:t>2024</w:t>
            </w: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-25400</wp:posOffset>
            </wp:positionV>
            <wp:extent cx="768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-8255</wp:posOffset>
            </wp:positionV>
            <wp:extent cx="768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 remaining outstanding Class D units are fully vested and held by former employees such that any future actvity would not impact our fnancial results.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Expense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2024, 2023, and 2022, equity-based compensaton expense related to RSUs was $31.0 million, $14.3 million, and $8.4 million, respectvely. Unrecognized compensaton expense relatng to unvested RSUs as of December 31, 2024 was approximately $51.3 million, which is expected to be recognized over a weighted average period of approximately one year.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2024, 2023, and 2022, equity-based compensaton expense related to stock optons was $10.7 million, $10.2 million, and $6.2 million, respectvely. Unrecognized compensaton expense relatng to unvested stock optons as of December 31, 2024 was approximately $7.3 million, which is expected to be recognized over a weighted average period of approximately 0.5 years.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2024, 2023, and 2022, equity-based compensaton expense related to profts interests was $4.6 million, $3.5 million, and $4.5 million, respectvely. There was no unrecognized compensaton expense relatng to profts interests as of December 31, 2024.</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For the years ended December 31, 2024, 2023, and 2022, equity-based compensaton expense excludes $0.8 million, $0.4 million, and $0.1 million related to capitalized development costs.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8" w:name="page109"/>
    <w:bookmarkEnd w:id="10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22. Earnings Per Share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calculate basic and diluted net income per share of Class A common stock in accordance with ASC Topic 260, </w:t>
      </w:r>
      <w:r>
        <w:rPr>
          <w:rFonts w:ascii="Calibri" w:cs="Calibri" w:eastAsia="Calibri" w:hAnsi="Calibri"/>
          <w:sz w:val="18"/>
          <w:szCs w:val="18"/>
          <w:i w:val="1"/>
          <w:iCs w:val="1"/>
          <w:color w:val="auto"/>
        </w:rPr>
        <w:t>Earnings per Share</w:t>
      </w:r>
      <w:r>
        <w:rPr>
          <w:rFonts w:ascii="Calibri" w:cs="Calibri" w:eastAsia="Calibri" w:hAnsi="Calibri"/>
          <w:sz w:val="18"/>
          <w:szCs w:val="18"/>
          <w:color w:val="auto"/>
        </w:rPr>
        <w:t>. Because our Class B common stock does not have economic rights in VSI, it is not considered a partcipatng security for basic and diluted net income per share, and we do not present basic and diluted net income per share of Class B common stock. However, our Class B common stockholders are allocated income in Hoya Intermediate (our operatng entty) according to their weighted average percentage ownership of Intermediate Units during each quarter.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Net income atributable to redeemable noncontrolling interests is calculated by multplying Hoya Intermediate’s net income in each quarterly period by Hoya Topco’s weighted average percentage ownership of Intermediate Units during the period. See Note 16, </w:t>
      </w:r>
      <w:r>
        <w:rPr>
          <w:rFonts w:ascii="Calibri" w:cs="Calibri" w:eastAsia="Calibri" w:hAnsi="Calibri"/>
          <w:sz w:val="18"/>
          <w:szCs w:val="18"/>
          <w:i w:val="1"/>
          <w:iCs w:val="1"/>
          <w:color w:val="auto"/>
        </w:rPr>
        <w:t>Redeemable Noncontrolling Interests,</w:t>
      </w:r>
      <w:r>
        <w:rPr>
          <w:rFonts w:ascii="Calibri" w:cs="Calibri" w:eastAsia="Calibri" w:hAnsi="Calibri"/>
          <w:sz w:val="18"/>
          <w:szCs w:val="18"/>
          <w:color w:val="auto"/>
        </w:rPr>
        <w:t xml:space="preserve"> for more informaton regarding Hoya Topco’s right to exchange its Intermediate Units.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provides the net income atributable to Hoya Topco’s redeemable noncontrolling interests for the years ended December 31, 2024, 2023, and 2022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0" w:type="dxa"/>
            <w:vAlign w:val="bottom"/>
            <w:gridSpan w:val="6"/>
          </w:tcPr>
          <w:p>
            <w:pPr>
              <w:jc w:val="right"/>
              <w:ind w:right="110"/>
              <w:spacing w:after="0"/>
              <w:rPr>
                <w:sz w:val="20"/>
                <w:szCs w:val="20"/>
                <w:color w:val="auto"/>
              </w:rPr>
            </w:pPr>
            <w:r>
              <w:rPr>
                <w:rFonts w:ascii="Calibri" w:cs="Calibri" w:eastAsia="Calibri" w:hAnsi="Calibri"/>
                <w:sz w:val="18"/>
                <w:szCs w:val="18"/>
                <w:b w:val="1"/>
                <w:bCs w:val="1"/>
                <w:color w:val="auto"/>
              </w:rPr>
              <w:t>Years Ended December 31,</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6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income—Hoya Intermediate</w:t>
            </w:r>
          </w:p>
        </w:tc>
        <w:tc>
          <w:tcPr>
            <w:tcW w:w="28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13,427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69,420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70,794</w:t>
            </w:r>
          </w:p>
        </w:tc>
        <w:tc>
          <w:tcPr>
            <w:tcW w:w="160" w:type="dxa"/>
            <w:vAlign w:val="bottom"/>
            <w:shd w:val="clear" w:color="auto" w:fill="CFF0FC"/>
          </w:tcPr>
          <w:p>
            <w:pPr>
              <w:spacing w:after="0"/>
              <w:rPr>
                <w:sz w:val="18"/>
                <w:szCs w:val="18"/>
                <w:color w:val="auto"/>
              </w:rPr>
            </w:pPr>
          </w:p>
        </w:tc>
      </w:tr>
      <w:tr>
        <w:trPr>
          <w:trHeight w:val="215"/>
        </w:trPr>
        <w:tc>
          <w:tcPr>
            <w:tcW w:w="6860" w:type="dxa"/>
            <w:vAlign w:val="bottom"/>
          </w:tcPr>
          <w:p>
            <w:pPr>
              <w:ind w:left="20"/>
              <w:spacing w:after="0" w:line="215" w:lineRule="exact"/>
              <w:rPr>
                <w:sz w:val="20"/>
                <w:szCs w:val="20"/>
                <w:color w:val="auto"/>
              </w:rPr>
            </w:pPr>
            <w:r>
              <w:rPr>
                <w:rFonts w:ascii="Calibri" w:cs="Calibri" w:eastAsia="Calibri" w:hAnsi="Calibri"/>
                <w:sz w:val="18"/>
                <w:szCs w:val="18"/>
                <w:color w:val="auto"/>
              </w:rPr>
              <w:t>Hoya Topco’s weighted average % allocaton of Hoya Intermediate's net income</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36.3 %</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55.6 %</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59.5 %</w:t>
            </w:r>
          </w:p>
        </w:tc>
      </w:tr>
      <w:tr>
        <w:trPr>
          <w:trHeight w:val="249"/>
        </w:trPr>
        <w:tc>
          <w:tcPr>
            <w:tcW w:w="68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Net income atributable to Hoya Topco's redeemable noncontrolling interests</w:t>
            </w:r>
          </w:p>
        </w:tc>
        <w:tc>
          <w:tcPr>
            <w:tcW w:w="280" w:type="dxa"/>
            <w:vAlign w:val="bottom"/>
            <w:tcBorders>
              <w:top w:val="single" w:sz="8" w:color="auto"/>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b w:val="1"/>
                <w:bCs w:val="1"/>
                <w:color w:val="auto"/>
              </w:rPr>
              <w:t>$</w:t>
            </w:r>
          </w:p>
        </w:tc>
        <w:tc>
          <w:tcPr>
            <w:tcW w:w="9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4,877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9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38,605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9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42,117</w:t>
            </w:r>
          </w:p>
        </w:tc>
        <w:tc>
          <w:tcPr>
            <w:tcW w:w="1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1028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1028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1028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1028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income atributable to Class A common stockholders–basic is calculated by subtractng the porton of Hoya Intermediate’s net income atributable to redeemable noncontrolling interests from our total net income, which includes our net income for actvites outside of our investment in Hoya Intermediate, including income tax expense (beneft) for VSI’s porton of income, as well as the full results of Hoya Intermediate on a consolidated basis.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income per Class A common stock–diluted is based on the average number of shares of our Class A common stock used for the basic earnings per share calculaton, adjusted for the weighted average number of Class A common share equivalents outstanding for the period determined using the treasury stock and if-converted methods, as applicable. Net income atributable to Class A common stockholders–diluted is adjusted for (i) our share of Hoya Intermediate’s consolidated net income afer giving efect to Intermediate Units that convert into potental shares of our Class A common stock, to the extent it is dilutve, and (ii) the impact of changes in the fair value of the Intermediate Warrants, to the extent they are dilutve.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9" w:name="page110"/>
    <w:bookmarkEnd w:id="10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sets forth the computaton of basic and diluted net income per share of Class A common stock for the years ended December 31, 2023 and 2022 (in thousands, except share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Calibri" w:cs="Calibri" w:eastAsia="Calibri" w:hAnsi="Calibri"/>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7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8"/>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172"/>
        </w:trPr>
        <w:tc>
          <w:tcPr>
            <w:tcW w:w="7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Numerator—basic</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3"/>
        </w:trPr>
        <w:tc>
          <w:tcPr>
            <w:tcW w:w="7020" w:type="dxa"/>
            <w:vAlign w:val="bottom"/>
          </w:tcPr>
          <w:p>
            <w:pPr>
              <w:ind w:left="20"/>
              <w:spacing w:after="0"/>
              <w:rPr>
                <w:sz w:val="20"/>
                <w:szCs w:val="20"/>
                <w:color w:val="auto"/>
              </w:rPr>
            </w:pPr>
            <w:r>
              <w:rPr>
                <w:rFonts w:ascii="Calibri" w:cs="Calibri" w:eastAsia="Calibri" w:hAnsi="Calibri"/>
                <w:sz w:val="14"/>
                <w:szCs w:val="14"/>
                <w:color w:val="auto"/>
              </w:rPr>
              <w:t>Net income</w:t>
            </w:r>
          </w:p>
        </w:tc>
        <w:tc>
          <w:tcPr>
            <w:tcW w:w="260" w:type="dxa"/>
            <w:vAlign w:val="bottom"/>
          </w:tcPr>
          <w:p>
            <w:pPr>
              <w:jc w:val="right"/>
              <w:ind w:right="108"/>
              <w:spacing w:after="0"/>
              <w:rPr>
                <w:sz w:val="20"/>
                <w:szCs w:val="20"/>
                <w:color w:val="auto"/>
              </w:rPr>
            </w:pPr>
            <w:r>
              <w:rPr>
                <w:rFonts w:ascii="Calibri" w:cs="Calibri" w:eastAsia="Calibri" w:hAnsi="Calibri"/>
                <w:sz w:val="14"/>
                <w:szCs w:val="14"/>
                <w:color w:val="auto"/>
                <w:w w:val="83"/>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14,302</w:t>
            </w:r>
          </w:p>
        </w:tc>
        <w:tc>
          <w:tcPr>
            <w:tcW w:w="520" w:type="dxa"/>
            <w:vAlign w:val="bottom"/>
            <w:gridSpan w:val="2"/>
          </w:tcPr>
          <w:p>
            <w:pPr>
              <w:jc w:val="right"/>
              <w:ind w:right="128"/>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113,141</w:t>
            </w:r>
          </w:p>
        </w:tc>
        <w:tc>
          <w:tcPr>
            <w:tcW w:w="2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70,779</w:t>
            </w:r>
          </w:p>
        </w:tc>
        <w:tc>
          <w:tcPr>
            <w:tcW w:w="100" w:type="dxa"/>
            <w:vAlign w:val="bottom"/>
          </w:tcPr>
          <w:p>
            <w:pPr>
              <w:spacing w:after="0"/>
              <w:rPr>
                <w:sz w:val="15"/>
                <w:szCs w:val="15"/>
                <w:color w:val="auto"/>
              </w:rPr>
            </w:pPr>
          </w:p>
        </w:tc>
      </w:tr>
      <w:tr>
        <w:trPr>
          <w:trHeight w:val="175"/>
        </w:trPr>
        <w:tc>
          <w:tcPr>
            <w:tcW w:w="70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Less: net income atributable to redeemable noncontrolling interests</w:t>
            </w: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Calibri" w:cs="Calibri" w:eastAsia="Calibri" w:hAnsi="Calibri"/>
                <w:sz w:val="14"/>
                <w:szCs w:val="14"/>
                <w:color w:val="auto"/>
              </w:rPr>
              <w:t>(4,877 )</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(38,605 )</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(42,117 )</w:t>
            </w:r>
          </w:p>
        </w:tc>
      </w:tr>
      <w:tr>
        <w:trPr>
          <w:trHeight w:val="169"/>
        </w:trPr>
        <w:tc>
          <w:tcPr>
            <w:tcW w:w="7020" w:type="dxa"/>
            <w:vAlign w:val="bottom"/>
            <w:tcBorders>
              <w:top w:val="single" w:sz="8" w:color="CFF0FC"/>
            </w:tcBorders>
          </w:tcPr>
          <w:p>
            <w:pPr>
              <w:ind w:left="20"/>
              <w:spacing w:after="0" w:line="169" w:lineRule="exact"/>
              <w:rPr>
                <w:sz w:val="20"/>
                <w:szCs w:val="20"/>
                <w:color w:val="auto"/>
              </w:rPr>
            </w:pPr>
            <w:r>
              <w:rPr>
                <w:rFonts w:ascii="Calibri" w:cs="Calibri" w:eastAsia="Calibri" w:hAnsi="Calibri"/>
                <w:sz w:val="14"/>
                <w:szCs w:val="14"/>
                <w:color w:val="auto"/>
              </w:rPr>
              <w:t>Net income atributable to Class A common stockholders—basic</w:t>
            </w: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9,425</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74,536</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28,662</w:t>
            </w:r>
          </w:p>
        </w:tc>
        <w:tc>
          <w:tcPr>
            <w:tcW w:w="100" w:type="dxa"/>
            <w:vAlign w:val="bottom"/>
            <w:tcBorders>
              <w:top w:val="single" w:sz="8" w:color="CFF0FC"/>
            </w:tcBorders>
          </w:tcPr>
          <w:p>
            <w:pPr>
              <w:spacing w:after="0"/>
              <w:rPr>
                <w:sz w:val="14"/>
                <w:szCs w:val="14"/>
                <w:color w:val="auto"/>
              </w:rPr>
            </w:pPr>
          </w:p>
        </w:tc>
      </w:tr>
      <w:tr>
        <w:trPr>
          <w:trHeight w:val="178"/>
        </w:trPr>
        <w:tc>
          <w:tcPr>
            <w:tcW w:w="7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Denominator—basic</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7020" w:type="dxa"/>
            <w:vAlign w:val="bottom"/>
          </w:tcPr>
          <w:p>
            <w:pPr>
              <w:ind w:left="20"/>
              <w:spacing w:after="0"/>
              <w:rPr>
                <w:sz w:val="20"/>
                <w:szCs w:val="20"/>
                <w:color w:val="auto"/>
              </w:rPr>
            </w:pPr>
            <w:r>
              <w:rPr>
                <w:rFonts w:ascii="Calibri" w:cs="Calibri" w:eastAsia="Calibri" w:hAnsi="Calibri"/>
                <w:sz w:val="14"/>
                <w:szCs w:val="14"/>
                <w:color w:val="auto"/>
              </w:rPr>
              <w:t>Weighted average Class A common stock outstanding—basic</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132,330,914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92,678,514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80,257,247</w:t>
            </w:r>
          </w:p>
        </w:tc>
        <w:tc>
          <w:tcPr>
            <w:tcW w:w="100" w:type="dxa"/>
            <w:vAlign w:val="bottom"/>
          </w:tcPr>
          <w:p>
            <w:pPr>
              <w:spacing w:after="0"/>
              <w:rPr>
                <w:sz w:val="15"/>
                <w:szCs w:val="15"/>
                <w:color w:val="auto"/>
              </w:rPr>
            </w:pPr>
          </w:p>
        </w:tc>
      </w:tr>
      <w:tr>
        <w:trPr>
          <w:trHeight w:val="209"/>
        </w:trPr>
        <w:tc>
          <w:tcPr>
            <w:tcW w:w="7020" w:type="dxa"/>
            <w:vAlign w:val="bottom"/>
            <w:shd w:val="clear" w:color="auto" w:fill="CFF0FC"/>
          </w:tcPr>
          <w:p>
            <w:pPr>
              <w:ind w:left="20"/>
              <w:spacing w:after="0" w:line="169" w:lineRule="exact"/>
              <w:rPr>
                <w:sz w:val="20"/>
                <w:szCs w:val="20"/>
                <w:color w:val="auto"/>
              </w:rPr>
            </w:pPr>
            <w:r>
              <w:rPr>
                <w:rFonts w:ascii="Calibri" w:cs="Calibri" w:eastAsia="Calibri" w:hAnsi="Calibri"/>
                <w:sz w:val="14"/>
                <w:szCs w:val="14"/>
                <w:b w:val="1"/>
                <w:bCs w:val="1"/>
                <w:color w:val="auto"/>
              </w:rPr>
              <w:t>Net income per Class A common stock—basic</w:t>
            </w:r>
          </w:p>
        </w:tc>
        <w:tc>
          <w:tcPr>
            <w:tcW w:w="260" w:type="dxa"/>
            <w:vAlign w:val="bottom"/>
            <w:shd w:val="clear" w:color="auto" w:fill="CFF0FC"/>
          </w:tcPr>
          <w:p>
            <w:pPr>
              <w:jc w:val="right"/>
              <w:ind w:right="108"/>
              <w:spacing w:after="0" w:line="169" w:lineRule="exact"/>
              <w:rPr>
                <w:sz w:val="20"/>
                <w:szCs w:val="20"/>
                <w:color w:val="auto"/>
              </w:rPr>
            </w:pPr>
            <w:r>
              <w:rPr>
                <w:rFonts w:ascii="Calibri" w:cs="Calibri" w:eastAsia="Calibri" w:hAnsi="Calibri"/>
                <w:sz w:val="14"/>
                <w:szCs w:val="14"/>
                <w:b w:val="1"/>
                <w:bCs w:val="1"/>
                <w:color w:val="auto"/>
                <w:w w:val="83"/>
              </w:rPr>
              <w:t>$</w:t>
            </w:r>
          </w:p>
        </w:tc>
        <w:tc>
          <w:tcPr>
            <w:tcW w:w="940" w:type="dxa"/>
            <w:vAlign w:val="bottom"/>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0.07</w:t>
            </w:r>
          </w:p>
        </w:tc>
        <w:tc>
          <w:tcPr>
            <w:tcW w:w="520" w:type="dxa"/>
            <w:vAlign w:val="bottom"/>
            <w:gridSpan w:val="2"/>
            <w:shd w:val="clear" w:color="auto" w:fill="CFF0FC"/>
          </w:tcPr>
          <w:p>
            <w:pPr>
              <w:jc w:val="right"/>
              <w:ind w:right="128"/>
              <w:spacing w:after="0" w:line="169" w:lineRule="exact"/>
              <w:rPr>
                <w:sz w:val="20"/>
                <w:szCs w:val="20"/>
                <w:color w:val="auto"/>
              </w:rPr>
            </w:pPr>
            <w:r>
              <w:rPr>
                <w:rFonts w:ascii="Calibri" w:cs="Calibri" w:eastAsia="Calibri" w:hAnsi="Calibri"/>
                <w:sz w:val="14"/>
                <w:szCs w:val="14"/>
                <w:b w:val="1"/>
                <w:bCs w:val="1"/>
                <w:color w:val="auto"/>
              </w:rPr>
              <w:t>$</w:t>
            </w:r>
          </w:p>
        </w:tc>
        <w:tc>
          <w:tcPr>
            <w:tcW w:w="940" w:type="dxa"/>
            <w:vAlign w:val="bottom"/>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0.80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8"/>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0.36</w:t>
            </w:r>
          </w:p>
        </w:tc>
        <w:tc>
          <w:tcPr>
            <w:tcW w:w="100" w:type="dxa"/>
            <w:vAlign w:val="bottom"/>
            <w:shd w:val="clear" w:color="auto" w:fill="CFF0FC"/>
          </w:tcPr>
          <w:p>
            <w:pPr>
              <w:spacing w:after="0"/>
              <w:rPr>
                <w:sz w:val="18"/>
                <w:szCs w:val="18"/>
                <w:color w:val="auto"/>
              </w:rPr>
            </w:pPr>
          </w:p>
        </w:tc>
      </w:tr>
      <w:tr>
        <w:trPr>
          <w:trHeight w:val="159"/>
        </w:trPr>
        <w:tc>
          <w:tcPr>
            <w:tcW w:w="70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70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Numerator—diluted</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7020" w:type="dxa"/>
            <w:vAlign w:val="bottom"/>
          </w:tcPr>
          <w:p>
            <w:pPr>
              <w:ind w:left="20"/>
              <w:spacing w:after="0"/>
              <w:rPr>
                <w:sz w:val="20"/>
                <w:szCs w:val="20"/>
                <w:color w:val="auto"/>
              </w:rPr>
            </w:pPr>
            <w:r>
              <w:rPr>
                <w:rFonts w:ascii="Calibri" w:cs="Calibri" w:eastAsia="Calibri" w:hAnsi="Calibri"/>
                <w:sz w:val="14"/>
                <w:szCs w:val="14"/>
                <w:color w:val="auto"/>
              </w:rPr>
              <w:t>Net income atributable to Class A common stockholders—basic</w:t>
            </w:r>
          </w:p>
        </w:tc>
        <w:tc>
          <w:tcPr>
            <w:tcW w:w="260" w:type="dxa"/>
            <w:vAlign w:val="bottom"/>
          </w:tcPr>
          <w:p>
            <w:pPr>
              <w:jc w:val="right"/>
              <w:ind w:right="108"/>
              <w:spacing w:after="0"/>
              <w:rPr>
                <w:sz w:val="20"/>
                <w:szCs w:val="20"/>
                <w:color w:val="auto"/>
              </w:rPr>
            </w:pPr>
            <w:r>
              <w:rPr>
                <w:rFonts w:ascii="Calibri" w:cs="Calibri" w:eastAsia="Calibri" w:hAnsi="Calibri"/>
                <w:sz w:val="14"/>
                <w:szCs w:val="14"/>
                <w:color w:val="auto"/>
                <w:w w:val="83"/>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9,425</w:t>
            </w:r>
          </w:p>
        </w:tc>
        <w:tc>
          <w:tcPr>
            <w:tcW w:w="520" w:type="dxa"/>
            <w:vAlign w:val="bottom"/>
            <w:gridSpan w:val="2"/>
          </w:tcPr>
          <w:p>
            <w:pPr>
              <w:jc w:val="right"/>
              <w:ind w:right="128"/>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74,536</w:t>
            </w:r>
          </w:p>
        </w:tc>
        <w:tc>
          <w:tcPr>
            <w:tcW w:w="2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Calibri" w:cs="Calibri" w:eastAsia="Calibri" w:hAnsi="Calibri"/>
                <w:sz w:val="14"/>
                <w:szCs w:val="14"/>
                <w:color w:val="auto"/>
              </w:rPr>
              <w: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28,662</w:t>
            </w:r>
          </w:p>
        </w:tc>
        <w:tc>
          <w:tcPr>
            <w:tcW w:w="100" w:type="dxa"/>
            <w:vAlign w:val="bottom"/>
          </w:tcPr>
          <w:p>
            <w:pPr>
              <w:spacing w:after="0"/>
              <w:rPr>
                <w:sz w:val="15"/>
                <w:szCs w:val="15"/>
                <w:color w:val="auto"/>
              </w:rPr>
            </w:pPr>
          </w:p>
        </w:tc>
      </w:tr>
      <w:tr>
        <w:trPr>
          <w:trHeight w:val="178"/>
        </w:trPr>
        <w:tc>
          <w:tcPr>
            <w:tcW w:w="70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Weighted average efect of dilutve securites:</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7020" w:type="dxa"/>
            <w:vAlign w:val="bottom"/>
          </w:tcPr>
          <w:p>
            <w:pPr>
              <w:ind w:left="100"/>
              <w:spacing w:after="0"/>
              <w:rPr>
                <w:sz w:val="20"/>
                <w:szCs w:val="20"/>
                <w:color w:val="auto"/>
              </w:rPr>
            </w:pPr>
            <w:r>
              <w:rPr>
                <w:rFonts w:ascii="Calibri" w:cs="Calibri" w:eastAsia="Calibri" w:hAnsi="Calibri"/>
                <w:sz w:val="14"/>
                <w:szCs w:val="14"/>
                <w:color w:val="auto"/>
              </w:rPr>
              <w:t>RSUs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79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6</w:t>
            </w:r>
          </w:p>
        </w:tc>
        <w:tc>
          <w:tcPr>
            <w:tcW w:w="100" w:type="dxa"/>
            <w:vAlign w:val="bottom"/>
          </w:tcPr>
          <w:p>
            <w:pPr>
              <w:spacing w:after="0"/>
              <w:rPr>
                <w:sz w:val="15"/>
                <w:szCs w:val="15"/>
                <w:color w:val="auto"/>
              </w:rPr>
            </w:pPr>
          </w:p>
        </w:tc>
      </w:tr>
      <w:tr>
        <w:trPr>
          <w:trHeight w:val="178"/>
        </w:trPr>
        <w:tc>
          <w:tcPr>
            <w:tcW w:w="7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Redeemable noncontrolling interests</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2,310</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(23,401 )</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42,056</w:t>
            </w:r>
          </w:p>
        </w:tc>
        <w:tc>
          <w:tcPr>
            <w:tcW w:w="100" w:type="dxa"/>
            <w:vAlign w:val="bottom"/>
            <w:shd w:val="clear" w:color="auto" w:fill="CFF0FC"/>
          </w:tcPr>
          <w:p>
            <w:pPr>
              <w:spacing w:after="0"/>
              <w:rPr>
                <w:sz w:val="15"/>
                <w:szCs w:val="15"/>
                <w:color w:val="auto"/>
              </w:rPr>
            </w:pPr>
          </w:p>
        </w:tc>
      </w:tr>
      <w:tr>
        <w:trPr>
          <w:trHeight w:val="173"/>
        </w:trPr>
        <w:tc>
          <w:tcPr>
            <w:tcW w:w="7020" w:type="dxa"/>
            <w:vAlign w:val="bottom"/>
          </w:tcPr>
          <w:p>
            <w:pPr>
              <w:ind w:left="100"/>
              <w:spacing w:after="0"/>
              <w:rPr>
                <w:sz w:val="20"/>
                <w:szCs w:val="20"/>
                <w:color w:val="auto"/>
              </w:rPr>
            </w:pPr>
            <w:r>
              <w:rPr>
                <w:rFonts w:ascii="Calibri" w:cs="Calibri" w:eastAsia="Calibri" w:hAnsi="Calibri"/>
                <w:sz w:val="14"/>
                <w:szCs w:val="14"/>
                <w:color w:val="auto"/>
              </w:rPr>
              <w:t>Exercise Warrants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55</w:t>
            </w:r>
          </w:p>
        </w:tc>
        <w:tc>
          <w:tcPr>
            <w:tcW w:w="100" w:type="dxa"/>
            <w:vAlign w:val="bottom"/>
          </w:tcPr>
          <w:p>
            <w:pPr>
              <w:spacing w:after="0"/>
              <w:rPr>
                <w:sz w:val="15"/>
                <w:szCs w:val="15"/>
                <w:color w:val="auto"/>
              </w:rPr>
            </w:pPr>
          </w:p>
        </w:tc>
      </w:tr>
      <w:tr>
        <w:trPr>
          <w:trHeight w:val="172"/>
        </w:trPr>
        <w:tc>
          <w:tcPr>
            <w:tcW w:w="70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Net income atributable to Class A common stockholders—diluted</w:t>
            </w:r>
          </w:p>
        </w:tc>
        <w:tc>
          <w:tcPr>
            <w:tcW w:w="2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11,743</w:t>
            </w:r>
          </w:p>
        </w:tc>
        <w:tc>
          <w:tcPr>
            <w:tcW w:w="2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51,214</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70,779</w:t>
            </w:r>
          </w:p>
        </w:tc>
        <w:tc>
          <w:tcPr>
            <w:tcW w:w="100" w:type="dxa"/>
            <w:vAlign w:val="bottom"/>
            <w:shd w:val="clear" w:color="auto" w:fill="CFF0FC"/>
          </w:tcPr>
          <w:p>
            <w:pPr>
              <w:spacing w:after="0"/>
              <w:rPr>
                <w:sz w:val="14"/>
                <w:szCs w:val="14"/>
                <w:color w:val="auto"/>
              </w:rPr>
            </w:pPr>
          </w:p>
        </w:tc>
      </w:tr>
      <w:tr>
        <w:trPr>
          <w:trHeight w:val="173"/>
        </w:trPr>
        <w:tc>
          <w:tcPr>
            <w:tcW w:w="7020" w:type="dxa"/>
            <w:vAlign w:val="bottom"/>
          </w:tcPr>
          <w:p>
            <w:pPr>
              <w:ind w:left="20"/>
              <w:spacing w:after="0"/>
              <w:rPr>
                <w:sz w:val="20"/>
                <w:szCs w:val="20"/>
                <w:color w:val="auto"/>
              </w:rPr>
            </w:pPr>
            <w:r>
              <w:rPr>
                <w:rFonts w:ascii="Calibri" w:cs="Calibri" w:eastAsia="Calibri" w:hAnsi="Calibri"/>
                <w:sz w:val="14"/>
                <w:szCs w:val="14"/>
                <w:b w:val="1"/>
                <w:bCs w:val="1"/>
                <w:color w:val="auto"/>
              </w:rPr>
              <w:t>Denominator—diluted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70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Weighted average Class A common stock outstanding—basic</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132,330,914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92,678,514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80,257,247</w:t>
            </w:r>
          </w:p>
        </w:tc>
        <w:tc>
          <w:tcPr>
            <w:tcW w:w="100" w:type="dxa"/>
            <w:vAlign w:val="bottom"/>
            <w:shd w:val="clear" w:color="auto" w:fill="CFF0FC"/>
          </w:tcPr>
          <w:p>
            <w:pPr>
              <w:spacing w:after="0"/>
              <w:rPr>
                <w:sz w:val="15"/>
                <w:szCs w:val="15"/>
                <w:color w:val="auto"/>
              </w:rPr>
            </w:pPr>
          </w:p>
        </w:tc>
      </w:tr>
      <w:tr>
        <w:trPr>
          <w:trHeight w:val="173"/>
        </w:trPr>
        <w:tc>
          <w:tcPr>
            <w:tcW w:w="7020" w:type="dxa"/>
            <w:vAlign w:val="bottom"/>
          </w:tcPr>
          <w:p>
            <w:pPr>
              <w:ind w:left="20"/>
              <w:spacing w:after="0"/>
              <w:rPr>
                <w:sz w:val="20"/>
                <w:szCs w:val="20"/>
                <w:color w:val="auto"/>
              </w:rPr>
            </w:pPr>
            <w:r>
              <w:rPr>
                <w:rFonts w:ascii="Calibri" w:cs="Calibri" w:eastAsia="Calibri" w:hAnsi="Calibri"/>
                <w:sz w:val="14"/>
                <w:szCs w:val="14"/>
                <w:color w:val="auto"/>
              </w:rPr>
              <w:t>Weighted average efect of dilutve securites: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7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RSUs</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586,713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424,954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28,228</w:t>
            </w:r>
          </w:p>
        </w:tc>
        <w:tc>
          <w:tcPr>
            <w:tcW w:w="100" w:type="dxa"/>
            <w:vAlign w:val="bottom"/>
            <w:shd w:val="clear" w:color="auto" w:fill="CFF0FC"/>
          </w:tcPr>
          <w:p>
            <w:pPr>
              <w:spacing w:after="0"/>
              <w:rPr>
                <w:sz w:val="15"/>
                <w:szCs w:val="15"/>
                <w:color w:val="auto"/>
              </w:rPr>
            </w:pPr>
          </w:p>
        </w:tc>
      </w:tr>
      <w:tr>
        <w:trPr>
          <w:trHeight w:val="173"/>
        </w:trPr>
        <w:tc>
          <w:tcPr>
            <w:tcW w:w="7020" w:type="dxa"/>
            <w:vAlign w:val="bottom"/>
          </w:tcPr>
          <w:p>
            <w:pPr>
              <w:ind w:left="100"/>
              <w:spacing w:after="0"/>
              <w:rPr>
                <w:sz w:val="20"/>
                <w:szCs w:val="20"/>
                <w:color w:val="auto"/>
              </w:rPr>
            </w:pPr>
            <w:r>
              <w:rPr>
                <w:rFonts w:ascii="Calibri" w:cs="Calibri" w:eastAsia="Calibri" w:hAnsi="Calibri"/>
                <w:sz w:val="14"/>
                <w:szCs w:val="14"/>
                <w:color w:val="auto"/>
              </w:rPr>
              <w:t>Redeemable noncontrolling interests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76,225,000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105,773,973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auto"/>
              </w:rPr>
              <w:t>118,200,000</w:t>
            </w:r>
          </w:p>
        </w:tc>
        <w:tc>
          <w:tcPr>
            <w:tcW w:w="100" w:type="dxa"/>
            <w:vAlign w:val="bottom"/>
          </w:tcPr>
          <w:p>
            <w:pPr>
              <w:spacing w:after="0"/>
              <w:rPr>
                <w:sz w:val="15"/>
                <w:szCs w:val="15"/>
                <w:color w:val="auto"/>
              </w:rPr>
            </w:pPr>
          </w:p>
        </w:tc>
      </w:tr>
      <w:tr>
        <w:trPr>
          <w:trHeight w:val="176"/>
        </w:trPr>
        <w:tc>
          <w:tcPr>
            <w:tcW w:w="7020" w:type="dxa"/>
            <w:vAlign w:val="bottom"/>
            <w:shd w:val="clear" w:color="auto" w:fill="CFF0FC"/>
          </w:tcPr>
          <w:p>
            <w:pPr>
              <w:ind w:left="100"/>
              <w:spacing w:after="0"/>
              <w:rPr>
                <w:sz w:val="20"/>
                <w:szCs w:val="20"/>
                <w:color w:val="auto"/>
              </w:rPr>
            </w:pPr>
            <w:r>
              <w:rPr>
                <w:rFonts w:ascii="Calibri" w:cs="Calibri" w:eastAsia="Calibri" w:hAnsi="Calibri"/>
                <w:sz w:val="14"/>
                <w:szCs w:val="14"/>
                <w:color w:val="auto"/>
              </w:rPr>
              <w:t>Exercise Warrants</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258,906</w:t>
            </w:r>
          </w:p>
        </w:tc>
        <w:tc>
          <w:tcPr>
            <w:tcW w:w="100" w:type="dxa"/>
            <w:vAlign w:val="bottom"/>
            <w:shd w:val="clear" w:color="auto" w:fill="CFF0FC"/>
          </w:tcPr>
          <w:p>
            <w:pPr>
              <w:spacing w:after="0"/>
              <w:rPr>
                <w:sz w:val="15"/>
                <w:szCs w:val="15"/>
                <w:color w:val="auto"/>
              </w:rPr>
            </w:pPr>
          </w:p>
        </w:tc>
      </w:tr>
      <w:tr>
        <w:trPr>
          <w:trHeight w:val="169"/>
        </w:trPr>
        <w:tc>
          <w:tcPr>
            <w:tcW w:w="7020" w:type="dxa"/>
            <w:vAlign w:val="bottom"/>
            <w:tcBorders>
              <w:top w:val="single" w:sz="8" w:color="CFF0FC"/>
            </w:tcBorders>
          </w:tcPr>
          <w:p>
            <w:pPr>
              <w:ind w:left="20"/>
              <w:spacing w:after="0" w:line="169" w:lineRule="exact"/>
              <w:rPr>
                <w:sz w:val="20"/>
                <w:szCs w:val="20"/>
                <w:color w:val="auto"/>
              </w:rPr>
            </w:pPr>
            <w:r>
              <w:rPr>
                <w:rFonts w:ascii="Calibri" w:cs="Calibri" w:eastAsia="Calibri" w:hAnsi="Calibri"/>
                <w:sz w:val="14"/>
                <w:szCs w:val="14"/>
                <w:color w:val="auto"/>
              </w:rPr>
              <w:t>Weighted average Class A common stock outstanding—diluted</w:t>
            </w: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209,142,627</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198,877,441</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198,744,381</w:t>
            </w:r>
          </w:p>
        </w:tc>
        <w:tc>
          <w:tcPr>
            <w:tcW w:w="100" w:type="dxa"/>
            <w:vAlign w:val="bottom"/>
            <w:tcBorders>
              <w:top w:val="single" w:sz="8" w:color="CFF0FC"/>
            </w:tcBorders>
          </w:tcPr>
          <w:p>
            <w:pPr>
              <w:spacing w:after="0"/>
              <w:rPr>
                <w:sz w:val="14"/>
                <w:szCs w:val="14"/>
                <w:color w:val="auto"/>
              </w:rPr>
            </w:pPr>
          </w:p>
        </w:tc>
      </w:tr>
      <w:tr>
        <w:trPr>
          <w:trHeight w:val="209"/>
        </w:trPr>
        <w:tc>
          <w:tcPr>
            <w:tcW w:w="7020" w:type="dxa"/>
            <w:vAlign w:val="bottom"/>
            <w:tcBorders>
              <w:bottom w:val="single" w:sz="8" w:color="CFF0FC"/>
            </w:tcBorders>
            <w:shd w:val="clear" w:color="auto" w:fill="CFF0FC"/>
          </w:tcPr>
          <w:p>
            <w:pPr>
              <w:ind w:left="20"/>
              <w:spacing w:after="0" w:line="169" w:lineRule="exact"/>
              <w:rPr>
                <w:sz w:val="20"/>
                <w:szCs w:val="20"/>
                <w:color w:val="auto"/>
              </w:rPr>
            </w:pPr>
            <w:r>
              <w:rPr>
                <w:rFonts w:ascii="Calibri" w:cs="Calibri" w:eastAsia="Calibri" w:hAnsi="Calibri"/>
                <w:sz w:val="14"/>
                <w:szCs w:val="14"/>
                <w:b w:val="1"/>
                <w:bCs w:val="1"/>
                <w:color w:val="auto"/>
              </w:rPr>
              <w:t>Net income per Class A common stock—diluted</w:t>
            </w:r>
          </w:p>
        </w:tc>
        <w:tc>
          <w:tcPr>
            <w:tcW w:w="260" w:type="dxa"/>
            <w:vAlign w:val="bottom"/>
            <w:tcBorders>
              <w:bottom w:val="single" w:sz="8" w:color="auto"/>
            </w:tcBorders>
            <w:shd w:val="clear" w:color="auto" w:fill="CFF0FC"/>
          </w:tcPr>
          <w:p>
            <w:pPr>
              <w:jc w:val="right"/>
              <w:ind w:right="108"/>
              <w:spacing w:after="0" w:line="169" w:lineRule="exact"/>
              <w:rPr>
                <w:sz w:val="20"/>
                <w:szCs w:val="20"/>
                <w:color w:val="auto"/>
              </w:rPr>
            </w:pPr>
            <w:r>
              <w:rPr>
                <w:rFonts w:ascii="Calibri" w:cs="Calibri" w:eastAsia="Calibri" w:hAnsi="Calibri"/>
                <w:sz w:val="14"/>
                <w:szCs w:val="14"/>
                <w:b w:val="1"/>
                <w:bCs w:val="1"/>
                <w:color w:val="auto"/>
                <w:w w:val="83"/>
              </w:rPr>
              <w:t>$</w:t>
            </w: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0.06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line="169" w:lineRule="exact"/>
              <w:rPr>
                <w:sz w:val="20"/>
                <w:szCs w:val="20"/>
                <w:color w:val="auto"/>
              </w:rPr>
            </w:pPr>
            <w:r>
              <w:rPr>
                <w:rFonts w:ascii="Calibri" w:cs="Calibri" w:eastAsia="Calibri" w:hAnsi="Calibri"/>
                <w:sz w:val="14"/>
                <w:szCs w:val="14"/>
                <w:b w:val="1"/>
                <w:bCs w:val="1"/>
                <w:color w:val="auto"/>
                <w:w w:val="83"/>
              </w:rPr>
              <w:t>$</w:t>
            </w: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0.26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08"/>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Calibri" w:cs="Calibri" w:eastAsia="Calibri" w:hAnsi="Calibri"/>
                <w:sz w:val="14"/>
                <w:szCs w:val="14"/>
                <w:b w:val="1"/>
                <w:bCs w:val="1"/>
                <w:color w:val="auto"/>
              </w:rPr>
              <w:t>0.36</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-2322195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-2322195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-1859280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-1842135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-1859280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-1842135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-264795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-264795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Potental shares of our Class A common stock are excluded from the computaton of diluted net income per share of Class A common stock if their efect would have been ant-dilutve for the periods presented or if the issuance of shares is contngent upon events that did not occur by the end of the periods presented. The diluton refected in diluted net income per share of Class A common stock during the year ended December 31, 2023 relates primarily to an assumed conversion of redeemable noncontrolling interests to shares of our Class A common stock, which would not have had a commensurate efect on net income, primarily due to the release of the valuaton allowance which beneft is atributable to VSI only. The Vegas.com Acquisiton and the subsequent pushdown of the acquired entty to Hoya Intermediate primarily resulted in the recogniton of incremental deferred tax expense, which is recognized in Income tax expense (beneft) in the Consolidated Statements of Operatons.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potentally dilutve securites that are excluded from the computaton of diluted net income per share of Class A common stock for the years ended December 31, 2024, 2023, and 2022 that could potentally dilute earnings per share in the future: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80" w:type="dxa"/>
            <w:vAlign w:val="bottom"/>
            <w:gridSpan w:val="5"/>
          </w:tcPr>
          <w:p>
            <w:pPr>
              <w:ind w:left="1160"/>
              <w:spacing w:after="0"/>
              <w:rPr>
                <w:sz w:val="20"/>
                <w:szCs w:val="20"/>
                <w:color w:val="auto"/>
              </w:rPr>
            </w:pPr>
            <w:r>
              <w:rPr>
                <w:rFonts w:ascii="Calibri" w:cs="Calibri" w:eastAsia="Calibri" w:hAnsi="Calibri"/>
                <w:sz w:val="18"/>
                <w:szCs w:val="18"/>
                <w:b w:val="1"/>
                <w:bCs w:val="1"/>
                <w:color w:val="auto"/>
              </w:rPr>
              <w:t>Years Ended December 31,</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780" w:type="dxa"/>
            <w:vAlign w:val="bottom"/>
            <w:vMerge w:val="restart"/>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28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RSUs</w:t>
            </w:r>
          </w:p>
        </w:tc>
        <w:tc>
          <w:tcPr>
            <w:tcW w:w="406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4,568,900</w:t>
            </w:r>
          </w:p>
        </w:tc>
        <w:tc>
          <w:tcPr>
            <w:tcW w:w="148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734,588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1,224,919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40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7,401,783</w:t>
            </w:r>
          </w:p>
        </w:tc>
        <w:tc>
          <w:tcPr>
            <w:tcW w:w="1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8,807,848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6,300,837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Public Warrants and Private Warrants</w:t>
            </w:r>
          </w:p>
        </w:tc>
        <w:tc>
          <w:tcPr>
            <w:tcW w:w="40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13,286,644</w:t>
            </w:r>
          </w:p>
        </w:tc>
        <w:tc>
          <w:tcPr>
            <w:tcW w:w="14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13,286,644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13,286,644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40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1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17,000,000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Intermediate Warrants</w:t>
            </w:r>
          </w:p>
        </w:tc>
        <w:tc>
          <w:tcPr>
            <w:tcW w:w="40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4,000,000</w:t>
            </w:r>
          </w:p>
        </w:tc>
        <w:tc>
          <w:tcPr>
            <w:tcW w:w="14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4,000,000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40"/>
        </w:trPr>
        <w:tc>
          <w:tcPr>
            <w:tcW w:w="4100" w:type="dxa"/>
            <w:vAlign w:val="bottom"/>
          </w:tcPr>
          <w:p>
            <w:pPr>
              <w:spacing w:after="0"/>
              <w:rPr>
                <w:sz w:val="24"/>
                <w:szCs w:val="24"/>
                <w:color w:val="auto"/>
              </w:rPr>
            </w:pPr>
          </w:p>
        </w:tc>
        <w:tc>
          <w:tcPr>
            <w:tcW w:w="2780" w:type="dxa"/>
            <w:vAlign w:val="bottom"/>
          </w:tcPr>
          <w:p>
            <w:pPr>
              <w:jc w:val="right"/>
              <w:ind w:right="1030"/>
              <w:spacing w:after="0"/>
              <w:rPr>
                <w:sz w:val="20"/>
                <w:szCs w:val="20"/>
                <w:color w:val="auto"/>
              </w:rPr>
            </w:pPr>
            <w:r>
              <w:rPr>
                <w:rFonts w:ascii="Calibri" w:cs="Calibri" w:eastAsia="Calibri" w:hAnsi="Calibri"/>
                <w:sz w:val="18"/>
                <w:szCs w:val="18"/>
                <w:color w:val="auto"/>
              </w:rPr>
              <w:t>108</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41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0" w:name="page111"/>
    <w:bookmarkEnd w:id="11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23. Subsequent Events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5, 2025, we amended the 2024 First Lien Loan to reprice all $393.0 million of the then-outstanding balance, reducing the applicable interest thereon to SOFR (subject to a 0.5% foor) plus a margin of 2.25%;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such margin may be reduced to 2.00% if the corporate ratng assigned to us by Moody’s Investors Service, Inc. and S&amp;P Global Ratngs is at least Ba3/BB- (in each case, stable or beter). The amendment did not materially change any of the other terms and conditons of the 2024 First Lien Loan; accordingly, except as set forth in the preceding sentence, the repriced 2024 First Lien Loan has the same material terms (including with respect to maturity, prepayment, security, covenants and events of default) as described under “2024 First Lien Loan” in Note 13, </w:t>
      </w:r>
      <w:r>
        <w:rPr>
          <w:rFonts w:ascii="Calibri" w:cs="Calibri" w:eastAsia="Calibri" w:hAnsi="Calibri"/>
          <w:sz w:val="18"/>
          <w:szCs w:val="18"/>
          <w:i w:val="1"/>
          <w:iCs w:val="1"/>
          <w:color w:val="auto"/>
        </w:rPr>
        <w:t>Long-Term Debt – Net</w:t>
      </w:r>
      <w:r>
        <w:rPr>
          <w:rFonts w:ascii="Calibri" w:cs="Calibri" w:eastAsia="Calibri" w:hAnsi="Calibri"/>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1" w:name="page112"/>
    <w:bookmarkEnd w:id="111"/>
    <w:p>
      <w:pPr>
        <w:jc w:val="center"/>
        <w:spacing w:after="0"/>
        <w:rPr>
          <w:sz w:val="20"/>
          <w:szCs w:val="20"/>
          <w:color w:val="auto"/>
        </w:rPr>
      </w:pPr>
      <w:r>
        <w:rPr>
          <w:rFonts w:ascii="Calibri" w:cs="Calibri" w:eastAsia="Calibri" w:hAnsi="Calibri"/>
          <w:sz w:val="18"/>
          <w:szCs w:val="18"/>
          <w:b w:val="1"/>
          <w:bCs w:val="1"/>
          <w:color w:val="auto"/>
        </w:rPr>
        <w:t>Item 9. Changes in Disagreements With Accountants on Accountng and Financial Disclosure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Disclosure 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designing and evaluatng our disclosure controls and procedures (as defned in Rules 13a-15(e) or 15d-15(e) under the Exchange Act), management recognizes that any controls and procedures, no mater how well designed and operated, can provide only reasonable assurance of achieving the desired control objectves.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Disclosure controls and procedures (as defned in Rules 13a-15(e) or 15d-15(e) under the Exchange Act) are designed to ensure that informaton required to be disclosed by us in the reports that we fle or submit under the Exchange Act is recorded, processed, summarized, and reported within the tme periods specifed in the SEC’s rules and forms, and that such informaton is accumulated and communicated to management, including our principal executve and principal fnancial ofcers, as appropriate, to allow tmely decisions regarding required disclosure.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has evaluated, with the partcipaton of our principal executve and principal fnancial ofcers, the efectveness of our disclosure controls and procedures (as defned in Rules 13a-15(e) and 15d-15(e) under the Exchange Act) as of December 31, 2024. Based on such evaluaton, our principal executve and principal fnancial ofcers concluded that our disclosure controls and procedures were not efectve at the reasonable assurance level as of December 31, 2024 due to the material weakness in our internal control over fnancial reportng described below.</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Internal Control Over Financial Reportng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Material Weakness and Remediaton Actvites</w:t>
      </w:r>
    </w:p>
    <w:p>
      <w:pPr>
        <w:spacing w:after="0" w:line="10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We previously identfed and disclosed defciencies in our internal control over fnancial reportng (as defned in Rules 13a-15(f) or 15d-15(f) under the Exchange Act) related to the implementaton of segregaton of dutes as part of our control actvites, the establishment of clearly defned roles within our fnance and accountng functons, and the number of personnel in those functons with an appropriate level of technical accountng and SEC reportng experience, which, in the aggregate, consttute a material weakness.</w:t>
      </w:r>
    </w:p>
    <w:p>
      <w:pPr>
        <w:spacing w:after="0" w:line="219"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Management, with the partcipaton of our Board and its Audit Commitee, began the implementaton of remediaton actvites in 2022 and has since contnued to develop and implement additonal remediaton actvites. We believe signifcant progress has been made in our remediaton eforts, which during the year ended December 31, 2024 included:</w:t>
      </w:r>
    </w:p>
    <w:p>
      <w:pPr>
        <w:spacing w:after="0" w:line="11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implementng segregaton of dutes over business process and informaton technology control actvites;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establishing clearly defned roles within our fnance and accountng functons;</w:t>
      </w:r>
    </w:p>
    <w:p>
      <w:pPr>
        <w:spacing w:after="0" w:line="122" w:lineRule="exact"/>
        <w:rPr>
          <w:rFonts w:ascii="Times New Roman" w:cs="Times New Roman" w:eastAsia="Times New Roman" w:hAnsi="Times New Roman"/>
          <w:sz w:val="18"/>
          <w:szCs w:val="18"/>
          <w:color w:val="auto"/>
        </w:rPr>
      </w:pPr>
    </w:p>
    <w:p>
      <w:pPr>
        <w:ind w:left="1020" w:right="320" w:hanging="503"/>
        <w:spacing w:after="0" w:line="235" w:lineRule="auto"/>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increasing the number of personnel in our fnance and accountng functons that have an appropriate level of technical accountng and SEC reportng experience; and</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designing and implementng additonal internal controls.</w:t>
      </w:r>
    </w:p>
    <w:p>
      <w:pPr>
        <w:spacing w:after="0" w:line="217"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While not yet remediated, management believes that the measures described above will remediate the material weakness and strengthen our overall internal control over fnancial reportng. The material weakness will not be considered remediated untl the applicable remediated controls operate for a sufcient period of tme and management has concluded, through testng, that these controls are operatng efectvely. We contnue to devote signifcant tme and atenton to these eforts.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spacing w:after="0"/>
        <w:rPr>
          <w:sz w:val="20"/>
          <w:szCs w:val="20"/>
          <w:color w:val="auto"/>
        </w:rPr>
      </w:pPr>
      <w:r>
        <w:rPr>
          <w:rFonts w:ascii="Calibri" w:cs="Calibri" w:eastAsia="Calibri" w:hAnsi="Calibri"/>
          <w:sz w:val="18"/>
          <w:szCs w:val="18"/>
          <w:i w:val="1"/>
          <w:iCs w:val="1"/>
          <w:color w:val="auto"/>
        </w:rPr>
        <w:t>Management’s Annual Report On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is responsible for establishing and maintaining adequate internal control over fnancial reportng (as defned in Rules 13a-15(f) or 15d-15(f) under the Exchange Act) for us. Our internal control over fnancial reportng is a process designed to provide reasonable assurance regarding the reliability of fnancial reportng and the preparaton of fnancial statements for external purposes in accordance with U.S. GAAP.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has evaluated, with the partcipaton of our principal executve and principal fnancial ofcers, the efectveness of our internal control over fnancial reportng as of December 31, 2024 based on the framework in Internal Control-Integrated Framework (2013), issued by the Commitee of Sponsoring Organizatons of the Treadway Commission. Based on such evaluaton, management concluded that our internal control over fnancial reportng was not efectve as of December 31, 2024 due to the material weakness in our internal control over fnancial reportng described above.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8, 2023 and November 3, 2023, we completed our acquisitons of Wavedash and Vegas.com, respectvely. During 2024, as we integrated Wavedash and Vegas.com into our overall internal control over fnancial reportng process, we incorporated internal controls over signifcant processes specifc to Wavedash and Vegas.com that we believe to be appropriate and necessary.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with respect to our contnuing remediaton actvites and the changes resultng from the integraton of Wavedash and Vegas.com into our overall internal control over fnancial reportng process, each as discussed above, there were no changes in our internal control over fnancial reportng (as defned in Rules 13a-15(f) or 15d-15(f) under the Exchange Act) during the quarter ended December 31, 2024 that have materially afected, or are reasonably likely to materially afect, our internal control over fnancial reportng.</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9B. Other Informaton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9C. Disclosure Regarding Foreign Jurisdictons that Prevent Inspectons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ind w:left="5340"/>
        <w:spacing w:after="0"/>
        <w:rPr>
          <w:sz w:val="20"/>
          <w:szCs w:val="20"/>
          <w:color w:val="auto"/>
        </w:rPr>
      </w:pPr>
      <w:r>
        <w:rPr>
          <w:rFonts w:ascii="Calibri" w:cs="Calibri" w:eastAsia="Calibri" w:hAnsi="Calibri"/>
          <w:sz w:val="18"/>
          <w:szCs w:val="18"/>
          <w:b w:val="1"/>
          <w:bCs w:val="1"/>
          <w:color w:val="auto"/>
        </w:rPr>
        <w:t>PART III</w:t>
      </w:r>
    </w:p>
    <w:p>
      <w:pPr>
        <w:spacing w:after="0" w:line="104" w:lineRule="exact"/>
        <w:rPr>
          <w:sz w:val="20"/>
          <w:szCs w:val="20"/>
          <w:color w:val="auto"/>
        </w:rPr>
      </w:pPr>
    </w:p>
    <w:p>
      <w:pPr>
        <w:ind w:left="3280"/>
        <w:spacing w:after="0"/>
        <w:rPr>
          <w:sz w:val="20"/>
          <w:szCs w:val="20"/>
          <w:color w:val="auto"/>
        </w:rPr>
      </w:pPr>
      <w:r>
        <w:rPr>
          <w:rFonts w:ascii="Calibri" w:cs="Calibri" w:eastAsia="Calibri" w:hAnsi="Calibri"/>
          <w:sz w:val="18"/>
          <w:szCs w:val="18"/>
          <w:b w:val="1"/>
          <w:bCs w:val="1"/>
          <w:color w:val="auto"/>
        </w:rPr>
        <w:t>Item 10. Directors, Executve Ofcers and Corporate Governance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Informaton about our directors and executve ofcers is included in Part I, Item 1 of this Report.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Board has adopted a writen Code of Business Conduct &amp; Ethics (the “Code”), which applies to all of our directors, ofcers, and employees and is available on our Investor Relatons website, </w:t>
      </w:r>
      <w:r>
        <w:rPr>
          <w:rFonts w:ascii="Calibri" w:cs="Calibri" w:eastAsia="Calibri" w:hAnsi="Calibri"/>
          <w:sz w:val="18"/>
          <w:szCs w:val="18"/>
          <w:i w:val="1"/>
          <w:iCs w:val="1"/>
          <w:color w:val="auto"/>
        </w:rPr>
        <w:t>investors.vividseats.com</w:t>
      </w:r>
      <w:r>
        <w:rPr>
          <w:rFonts w:ascii="Calibri" w:cs="Calibri" w:eastAsia="Calibri" w:hAnsi="Calibri"/>
          <w:sz w:val="18"/>
          <w:szCs w:val="18"/>
          <w:color w:val="auto"/>
        </w:rPr>
        <w:t>. We intend to satsfy the disclosure requirements regarding any applicable amendment to or waiver from the Code by postng such informaton on our Investor Relatons website rather than by fling a Current Report on Form 8-K.</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All other informaton required by this item will be included in the defnitve proxy statement relatng to our 2025 Annual Meetng of Stockholders and is incorporated herein by reference.</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11. Executve Compensaton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informaton required by this item will be included in the defnitve proxy statement relatng to our 2025 Annual Meetng of Stockholders and is incorporated herein by reference.</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12. Security Ownership of Certain Benefcial Owners And Management And Related Stockholder Maters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informaton required by this item will be included in the defnitve proxy statement relatng to our 2025 Annual Meetng of Stockholders and is incorporated herein by reference.</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13. Certain Relatonships and Related Transactons, and Director Independence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informaton required by this item will be included in the defnitve proxy statement relatng to our 2025 Annual Meetng of Stockholders and is incorporated herein by reference.</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14. Principal Accountant Fees and Services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informaton required by this item will be included in the defnitve proxy statement relatng to our 2025 Annual Meetng of Stockholders and is incorporated herein by reference.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spacing w:after="0" w:line="1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IV</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(a)(1) Financial Statements.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See Part II, Item 8 of this Report.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(a)(2) Financial Statement Schedules.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All fnancial statement schedules have been omited because they are not applicable, not required, or the informaton is shown in our audited consolidated fnancial statements and accompanying notes included in Part II, Item 8 of this Report.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(a)(3) Exhibits.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lists the documents that are required to be fled or furnished as exhibits to this Report.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jc w:val="center"/>
              <w:ind w:right="1260"/>
              <w:spacing w:after="0"/>
              <w:rPr>
                <w:sz w:val="20"/>
                <w:szCs w:val="20"/>
                <w:color w:val="auto"/>
              </w:rPr>
            </w:pPr>
            <w:r>
              <w:rPr>
                <w:rFonts w:ascii="Calibri" w:cs="Calibri" w:eastAsia="Calibri" w:hAnsi="Calibri"/>
                <w:sz w:val="18"/>
                <w:szCs w:val="18"/>
                <w:b w:val="1"/>
                <w:bCs w:val="1"/>
                <w:color w:val="auto"/>
                <w:w w:val="98"/>
              </w:rPr>
              <w:t>Exhibits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1040" w:type="dxa"/>
            <w:vAlign w:val="bottom"/>
            <w:vMerge w:val="restart"/>
          </w:tcPr>
          <w:p>
            <w:pPr>
              <w:jc w:val="center"/>
              <w:ind w:right="50"/>
              <w:spacing w:after="0"/>
              <w:rPr>
                <w:sz w:val="20"/>
                <w:szCs w:val="20"/>
                <w:color w:val="auto"/>
              </w:rPr>
            </w:pPr>
            <w:r>
              <w:rPr>
                <w:rFonts w:ascii="Calibri" w:cs="Calibri" w:eastAsia="Calibri" w:hAnsi="Calibri"/>
                <w:sz w:val="18"/>
                <w:szCs w:val="18"/>
                <w:b w:val="1"/>
                <w:bCs w:val="1"/>
                <w:color w:val="auto"/>
                <w:w w:val="97"/>
              </w:rPr>
              <w:t>Exhibit</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3"/>
            <w:vMerge w:val="restart"/>
          </w:tcPr>
          <w:p>
            <w:pPr>
              <w:ind w:left="360"/>
              <w:spacing w:after="0"/>
              <w:rPr>
                <w:sz w:val="20"/>
                <w:szCs w:val="20"/>
                <w:color w:val="auto"/>
              </w:rPr>
            </w:pPr>
            <w:r>
              <w:rPr>
                <w:rFonts w:ascii="Calibri" w:cs="Calibri" w:eastAsia="Calibri" w:hAnsi="Calibri"/>
                <w:sz w:val="18"/>
                <w:szCs w:val="18"/>
                <w:b w:val="1"/>
                <w:bCs w:val="1"/>
                <w:color w:val="auto"/>
              </w:rPr>
              <w:t>Incorporated by Reference</w:t>
            </w:r>
          </w:p>
        </w:tc>
        <w:tc>
          <w:tcPr>
            <w:tcW w:w="102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Filed /</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80" w:type="dxa"/>
            <w:vAlign w:val="bottom"/>
            <w:gridSpan w:val="3"/>
            <w:vMerge w:val="continue"/>
          </w:tcPr>
          <w:p>
            <w:pPr>
              <w:spacing w:after="0"/>
              <w:rPr>
                <w:sz w:val="7"/>
                <w:szCs w:val="7"/>
                <w:color w:val="auto"/>
              </w:rPr>
            </w:pPr>
          </w:p>
        </w:tc>
        <w:tc>
          <w:tcPr>
            <w:tcW w:w="102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7"/>
              </w:rPr>
              <w:t>Furnished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4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7"/>
              </w:rPr>
              <w:t>Number</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9"/>
          </w:tcPr>
          <w:p>
            <w:pPr>
              <w:ind w:left="380"/>
              <w:spacing w:after="0" w:line="216" w:lineRule="exact"/>
              <w:rPr>
                <w:sz w:val="20"/>
                <w:szCs w:val="20"/>
                <w:color w:val="auto"/>
              </w:rPr>
            </w:pPr>
            <w:r>
              <w:rPr>
                <w:rFonts w:ascii="Calibri" w:cs="Calibri" w:eastAsia="Calibri" w:hAnsi="Calibri"/>
                <w:sz w:val="18"/>
                <w:szCs w:val="18"/>
                <w:b w:val="1"/>
                <w:bCs w:val="1"/>
                <w:color w:val="auto"/>
              </w:rPr>
              <w:t>Descripton</w:t>
            </w:r>
          </w:p>
        </w:tc>
        <w:tc>
          <w:tcPr>
            <w:tcW w:w="6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Form</w:t>
            </w:r>
          </w:p>
        </w:tc>
        <w:tc>
          <w:tcPr>
            <w:tcW w:w="80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Exhibit</w:t>
            </w:r>
          </w:p>
        </w:tc>
        <w:tc>
          <w:tcPr>
            <w:tcW w:w="1220" w:type="dxa"/>
            <w:vAlign w:val="bottom"/>
          </w:tcPr>
          <w:p>
            <w:pPr>
              <w:ind w:left="220"/>
              <w:spacing w:after="0" w:line="216" w:lineRule="exact"/>
              <w:rPr>
                <w:sz w:val="20"/>
                <w:szCs w:val="20"/>
                <w:color w:val="auto"/>
              </w:rPr>
            </w:pPr>
            <w:r>
              <w:rPr>
                <w:rFonts w:ascii="Calibri" w:cs="Calibri" w:eastAsia="Calibri" w:hAnsi="Calibri"/>
                <w:sz w:val="18"/>
                <w:szCs w:val="18"/>
                <w:b w:val="1"/>
                <w:bCs w:val="1"/>
                <w:color w:val="auto"/>
              </w:rPr>
              <w:t>Filing Date</w:t>
            </w:r>
          </w:p>
        </w:tc>
        <w:tc>
          <w:tcPr>
            <w:tcW w:w="10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Herewith</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040" w:type="dxa"/>
            <w:vAlign w:val="bottom"/>
          </w:tcPr>
          <w:p>
            <w:pPr>
              <w:jc w:val="center"/>
              <w:ind w:right="50"/>
              <w:spacing w:after="0" w:line="169" w:lineRule="exact"/>
              <w:rPr>
                <w:sz w:val="20"/>
                <w:szCs w:val="20"/>
                <w:color w:val="auto"/>
              </w:rPr>
            </w:pPr>
            <w:r>
              <w:rPr>
                <w:rFonts w:ascii="Calibri" w:cs="Calibri" w:eastAsia="Calibri" w:hAnsi="Calibri"/>
                <w:sz w:val="18"/>
                <w:szCs w:val="18"/>
                <w:color w:val="auto"/>
                <w:w w:val="96"/>
              </w:rPr>
              <w:t>2.1</w:t>
            </w:r>
          </w:p>
        </w:tc>
        <w:tc>
          <w:tcPr>
            <w:tcW w:w="5960" w:type="dxa"/>
            <w:vAlign w:val="bottom"/>
            <w:tcBorders>
              <w:bottom w:val="single" w:sz="8" w:color="0000FF"/>
            </w:tcBorders>
            <w:gridSpan w:val="12"/>
          </w:tcPr>
          <w:p>
            <w:pPr>
              <w:spacing w:after="0" w:line="169" w:lineRule="exact"/>
              <w:rPr>
                <w:rFonts w:ascii="Calibri" w:cs="Calibri" w:eastAsia="Calibri" w:hAnsi="Calibri"/>
                <w:sz w:val="18"/>
                <w:szCs w:val="18"/>
                <w:color w:val="0000FF"/>
              </w:rPr>
            </w:pPr>
            <w:hyperlink r:id="rId509">
              <w:r>
                <w:rPr>
                  <w:rFonts w:ascii="Calibri" w:cs="Calibri" w:eastAsia="Calibri" w:hAnsi="Calibri"/>
                  <w:sz w:val="18"/>
                  <w:szCs w:val="18"/>
                  <w:color w:val="0000FF"/>
                </w:rPr>
                <w:t>Transacton  Agreement,  dated  April  21,  2021,  among  Horizon  Acquisiton</w:t>
              </w:r>
            </w:hyperlink>
          </w:p>
        </w:tc>
        <w:tc>
          <w:tcPr>
            <w:tcW w:w="200" w:type="dxa"/>
            <w:vAlign w:val="bottom"/>
            <w:gridSpan w:val="2"/>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Calibri" w:cs="Calibri" w:eastAsia="Calibri" w:hAnsi="Calibri"/>
                <w:sz w:val="18"/>
                <w:szCs w:val="18"/>
                <w:color w:val="auto"/>
                <w:w w:val="95"/>
              </w:rPr>
              <w:t>S-4</w:t>
            </w:r>
          </w:p>
        </w:tc>
        <w:tc>
          <w:tcPr>
            <w:tcW w:w="800" w:type="dxa"/>
            <w:vAlign w:val="bottom"/>
          </w:tcPr>
          <w:p>
            <w:pPr>
              <w:jc w:val="center"/>
              <w:spacing w:after="0" w:line="169" w:lineRule="exact"/>
              <w:rPr>
                <w:sz w:val="20"/>
                <w:szCs w:val="20"/>
                <w:color w:val="auto"/>
              </w:rPr>
            </w:pPr>
            <w:r>
              <w:rPr>
                <w:rFonts w:ascii="Calibri" w:cs="Calibri" w:eastAsia="Calibri" w:hAnsi="Calibri"/>
                <w:sz w:val="18"/>
                <w:szCs w:val="18"/>
                <w:color w:val="auto"/>
                <w:w w:val="96"/>
              </w:rPr>
              <w:t>2.1</w:t>
            </w:r>
          </w:p>
        </w:tc>
        <w:tc>
          <w:tcPr>
            <w:tcW w:w="1220" w:type="dxa"/>
            <w:vAlign w:val="bottom"/>
          </w:tcPr>
          <w:p>
            <w:pPr>
              <w:jc w:val="center"/>
              <w:spacing w:after="0" w:line="169" w:lineRule="exact"/>
              <w:rPr>
                <w:sz w:val="20"/>
                <w:szCs w:val="20"/>
                <w:color w:val="auto"/>
              </w:rPr>
            </w:pPr>
            <w:r>
              <w:rPr>
                <w:rFonts w:ascii="Calibri" w:cs="Calibri" w:eastAsia="Calibri" w:hAnsi="Calibri"/>
                <w:sz w:val="18"/>
                <w:szCs w:val="18"/>
                <w:color w:val="auto"/>
                <w:w w:val="97"/>
              </w:rPr>
              <w:t>5/28/2021</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960" w:type="dxa"/>
            <w:vAlign w:val="bottom"/>
            <w:tcBorders>
              <w:bottom w:val="single" w:sz="8" w:color="0000FF"/>
            </w:tcBorders>
            <w:gridSpan w:val="12"/>
          </w:tcPr>
          <w:p>
            <w:pPr>
              <w:spacing w:after="0" w:line="196" w:lineRule="exact"/>
              <w:rPr>
                <w:rFonts w:ascii="Calibri" w:cs="Calibri" w:eastAsia="Calibri" w:hAnsi="Calibri"/>
                <w:sz w:val="18"/>
                <w:szCs w:val="18"/>
                <w:color w:val="0000FF"/>
              </w:rPr>
            </w:pPr>
            <w:hyperlink r:id="rId509">
              <w:r>
                <w:rPr>
                  <w:rFonts w:ascii="Calibri" w:cs="Calibri" w:eastAsia="Calibri" w:hAnsi="Calibri"/>
                  <w:sz w:val="18"/>
                  <w:szCs w:val="18"/>
                  <w:color w:val="0000FF"/>
                </w:rPr>
                <w:t>Corporaton, Horizon Sponsor, LLC, Hoya Topco, LLC, Hoya Intermediate, LLC, and</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Borders>
              <w:bottom w:val="single" w:sz="8" w:color="0000FF"/>
            </w:tcBorders>
          </w:tcPr>
          <w:p>
            <w:pPr>
              <w:spacing w:after="0" w:line="196" w:lineRule="exact"/>
              <w:rPr>
                <w:rFonts w:ascii="Calibri" w:cs="Calibri" w:eastAsia="Calibri" w:hAnsi="Calibri"/>
                <w:sz w:val="18"/>
                <w:szCs w:val="18"/>
                <w:color w:val="0000FF"/>
                <w:w w:val="95"/>
              </w:rPr>
            </w:pPr>
            <w:hyperlink r:id="rId509">
              <w:r>
                <w:rPr>
                  <w:rFonts w:ascii="Calibri" w:cs="Calibri" w:eastAsia="Calibri" w:hAnsi="Calibri"/>
                  <w:sz w:val="18"/>
                  <w:szCs w:val="18"/>
                  <w:color w:val="0000FF"/>
                  <w:w w:val="95"/>
                </w:rPr>
                <w:t>Vivid Seats Inc.</w:t>
              </w:r>
            </w:hyperlink>
          </w:p>
        </w:tc>
        <w:tc>
          <w:tcPr>
            <w:tcW w:w="20" w:type="dxa"/>
            <w:vAlign w:val="bottom"/>
            <w:tcBorders>
              <w:bottom w:val="single" w:sz="8" w:color="0000EE"/>
            </w:tcBorders>
          </w:tcPr>
          <w:p>
            <w:pPr>
              <w:spacing w:after="0"/>
              <w:rPr>
                <w:sz w:val="17"/>
                <w:szCs w:val="17"/>
                <w:color w:val="auto"/>
              </w:rPr>
            </w:pPr>
          </w:p>
        </w:tc>
        <w:tc>
          <w:tcPr>
            <w:tcW w:w="508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2.2</w:t>
            </w:r>
          </w:p>
        </w:tc>
        <w:tc>
          <w:tcPr>
            <w:tcW w:w="6060" w:type="dxa"/>
            <w:vAlign w:val="bottom"/>
            <w:tcBorders>
              <w:bottom w:val="single" w:sz="8" w:color="0000FF"/>
            </w:tcBorders>
            <w:gridSpan w:val="13"/>
          </w:tcPr>
          <w:p>
            <w:pPr>
              <w:spacing w:after="0"/>
              <w:rPr>
                <w:rFonts w:ascii="Calibri" w:cs="Calibri" w:eastAsia="Calibri" w:hAnsi="Calibri"/>
                <w:sz w:val="18"/>
                <w:szCs w:val="18"/>
                <w:color w:val="0000FF"/>
              </w:rPr>
            </w:pPr>
            <w:hyperlink r:id="rId510">
              <w:r>
                <w:rPr>
                  <w:rFonts w:ascii="Calibri" w:cs="Calibri" w:eastAsia="Calibri" w:hAnsi="Calibri"/>
                  <w:sz w:val="18"/>
                  <w:szCs w:val="18"/>
                  <w:color w:val="0000FF"/>
                </w:rPr>
                <w:t>Purchase, Sale and Redempton Agreement, dated April 21, 2021, among Hoya</w:t>
              </w:r>
            </w:hyperlink>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95"/>
              </w:rPr>
              <w:t>S-4</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2.2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5/28/2021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60" w:type="dxa"/>
            <w:vAlign w:val="bottom"/>
            <w:gridSpan w:val="14"/>
          </w:tcPr>
          <w:p>
            <w:pPr>
              <w:spacing w:after="0" w:line="196" w:lineRule="exact"/>
              <w:rPr>
                <w:rFonts w:ascii="Calibri" w:cs="Calibri" w:eastAsia="Calibri" w:hAnsi="Calibri"/>
                <w:sz w:val="18"/>
                <w:szCs w:val="18"/>
                <w:color w:val="0000FF"/>
              </w:rPr>
            </w:pPr>
            <w:hyperlink r:id="rId510">
              <w:r>
                <w:rPr>
                  <w:rFonts w:ascii="Calibri" w:cs="Calibri" w:eastAsia="Calibri" w:hAnsi="Calibri"/>
                  <w:sz w:val="18"/>
                  <w:szCs w:val="18"/>
                  <w:color w:val="0000FF"/>
                </w:rPr>
                <w:t>Topco, LLC, Hoya Intermediate, LLC, Vivid Seats Inc., Crescent Mezzanine Partners</w:t>
              </w:r>
            </w:hyperlink>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960" w:type="dxa"/>
            <w:vAlign w:val="bottom"/>
            <w:tcBorders>
              <w:bottom w:val="single" w:sz="8" w:color="0000FF"/>
            </w:tcBorders>
            <w:gridSpan w:val="12"/>
          </w:tcPr>
          <w:p>
            <w:pPr>
              <w:spacing w:after="0" w:line="196" w:lineRule="exact"/>
              <w:rPr>
                <w:rFonts w:ascii="Calibri" w:cs="Calibri" w:eastAsia="Calibri" w:hAnsi="Calibri"/>
                <w:sz w:val="18"/>
                <w:szCs w:val="18"/>
                <w:color w:val="0000FF"/>
                <w:w w:val="97"/>
              </w:rPr>
            </w:pPr>
            <w:hyperlink r:id="rId510">
              <w:r>
                <w:rPr>
                  <w:rFonts w:ascii="Calibri" w:cs="Calibri" w:eastAsia="Calibri" w:hAnsi="Calibri"/>
                  <w:sz w:val="18"/>
                  <w:szCs w:val="18"/>
                  <w:color w:val="0000FF"/>
                  <w:w w:val="97"/>
                </w:rPr>
                <w:t>VIB, L.P., Crescent Mezzanine Partners VIC, L.P., NPS/Crescent Strategic Partnership</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60" w:type="dxa"/>
            <w:vAlign w:val="bottom"/>
            <w:gridSpan w:val="14"/>
          </w:tcPr>
          <w:p>
            <w:pPr>
              <w:spacing w:after="0" w:line="196" w:lineRule="exact"/>
              <w:rPr>
                <w:rFonts w:ascii="Calibri" w:cs="Calibri" w:eastAsia="Calibri" w:hAnsi="Calibri"/>
                <w:sz w:val="18"/>
                <w:szCs w:val="18"/>
                <w:color w:val="0000FF"/>
              </w:rPr>
            </w:pPr>
            <w:hyperlink r:id="rId510">
              <w:r>
                <w:rPr>
                  <w:rFonts w:ascii="Calibri" w:cs="Calibri" w:eastAsia="Calibri" w:hAnsi="Calibri"/>
                  <w:sz w:val="18"/>
                  <w:szCs w:val="18"/>
                  <w:color w:val="0000FF"/>
                </w:rPr>
                <w:t>II, LP, CM7C VS Equity Holdings, LP, Crescent Mezzanine Partners VIIB, L.P., CM6B</w:t>
              </w:r>
            </w:hyperlink>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60" w:type="dxa"/>
            <w:vAlign w:val="bottom"/>
            <w:gridSpan w:val="14"/>
          </w:tcPr>
          <w:p>
            <w:pPr>
              <w:spacing w:after="0" w:line="196" w:lineRule="exact"/>
              <w:rPr>
                <w:rFonts w:ascii="Calibri" w:cs="Calibri" w:eastAsia="Calibri" w:hAnsi="Calibri"/>
                <w:sz w:val="18"/>
                <w:szCs w:val="18"/>
                <w:color w:val="0000FF"/>
              </w:rPr>
            </w:pPr>
            <w:hyperlink r:id="rId510">
              <w:r>
                <w:rPr>
                  <w:rFonts w:ascii="Calibri" w:cs="Calibri" w:eastAsia="Calibri" w:hAnsi="Calibri"/>
                  <w:sz w:val="18"/>
                  <w:szCs w:val="18"/>
                  <w:color w:val="0000FF"/>
                </w:rPr>
                <w:t>Vivid Equity, Inc., CM6C Vivid Equity, Inc., CM7C VS Equity, LLC, CM7B VS Equity,</w:t>
              </w:r>
            </w:hyperlink>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60" w:type="dxa"/>
            <w:vAlign w:val="bottom"/>
            <w:gridSpan w:val="14"/>
          </w:tcPr>
          <w:p>
            <w:pPr>
              <w:spacing w:after="0" w:line="196" w:lineRule="exact"/>
              <w:rPr>
                <w:rFonts w:ascii="Calibri" w:cs="Calibri" w:eastAsia="Calibri" w:hAnsi="Calibri"/>
                <w:sz w:val="18"/>
                <w:szCs w:val="18"/>
                <w:color w:val="0000FF"/>
              </w:rPr>
            </w:pPr>
            <w:hyperlink r:id="rId510">
              <w:r>
                <w:rPr>
                  <w:rFonts w:ascii="Calibri" w:cs="Calibri" w:eastAsia="Calibri" w:hAnsi="Calibri"/>
                  <w:sz w:val="18"/>
                  <w:szCs w:val="18"/>
                  <w:color w:val="0000FF"/>
                </w:rPr>
                <w:t>LLC, Crescent Mezzanine Partners VI, L.P., Crescent Mezzanine Partners VII, L.P.,</w:t>
              </w:r>
            </w:hyperlink>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60" w:type="dxa"/>
            <w:vAlign w:val="bottom"/>
            <w:tcBorders>
              <w:bottom w:val="single" w:sz="8" w:color="0000FF"/>
            </w:tcBorders>
            <w:gridSpan w:val="13"/>
          </w:tcPr>
          <w:p>
            <w:pPr>
              <w:spacing w:after="0" w:line="196" w:lineRule="exact"/>
              <w:rPr>
                <w:rFonts w:ascii="Calibri" w:cs="Calibri" w:eastAsia="Calibri" w:hAnsi="Calibri"/>
                <w:sz w:val="18"/>
                <w:szCs w:val="18"/>
                <w:color w:val="0000FF"/>
              </w:rPr>
            </w:pPr>
            <w:hyperlink r:id="rId510">
              <w:r>
                <w:rPr>
                  <w:rFonts w:ascii="Calibri" w:cs="Calibri" w:eastAsia="Calibri" w:hAnsi="Calibri"/>
                  <w:sz w:val="18"/>
                  <w:szCs w:val="18"/>
                  <w:color w:val="0000FF"/>
                </w:rPr>
                <w:t>Crescent Mezzanine Partners VII (LTL), L.P., CBDC Universal Equity, Inc., Crescent</w:t>
              </w:r>
            </w:hyperlink>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60" w:type="dxa"/>
            <w:vAlign w:val="bottom"/>
            <w:gridSpan w:val="14"/>
          </w:tcPr>
          <w:p>
            <w:pPr>
              <w:spacing w:after="0" w:line="196" w:lineRule="exact"/>
              <w:rPr>
                <w:rFonts w:ascii="Calibri" w:cs="Calibri" w:eastAsia="Calibri" w:hAnsi="Calibri"/>
                <w:sz w:val="18"/>
                <w:szCs w:val="18"/>
                <w:color w:val="0000FF"/>
              </w:rPr>
            </w:pPr>
            <w:hyperlink r:id="rId510">
              <w:r>
                <w:rPr>
                  <w:rFonts w:ascii="Calibri" w:cs="Calibri" w:eastAsia="Calibri" w:hAnsi="Calibri"/>
                  <w:sz w:val="18"/>
                  <w:szCs w:val="18"/>
                  <w:color w:val="0000FF"/>
                </w:rPr>
                <w:t>Capital Group, LP, and Horizon Acquisiton Corporaton</w:t>
              </w:r>
            </w:hyperlink>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2.3</w:t>
            </w:r>
          </w:p>
        </w:tc>
        <w:tc>
          <w:tcPr>
            <w:tcW w:w="5960" w:type="dxa"/>
            <w:vAlign w:val="bottom"/>
            <w:tcBorders>
              <w:bottom w:val="single" w:sz="8" w:color="0000FF"/>
            </w:tcBorders>
            <w:gridSpan w:val="12"/>
          </w:tcPr>
          <w:p>
            <w:pPr>
              <w:spacing w:after="0"/>
              <w:rPr>
                <w:rFonts w:ascii="Calibri" w:cs="Calibri" w:eastAsia="Calibri" w:hAnsi="Calibri"/>
                <w:sz w:val="18"/>
                <w:szCs w:val="18"/>
                <w:color w:val="0000FF"/>
              </w:rPr>
            </w:pPr>
            <w:hyperlink r:id="rId511">
              <w:r>
                <w:rPr>
                  <w:rFonts w:ascii="Calibri" w:cs="Calibri" w:eastAsia="Calibri" w:hAnsi="Calibri"/>
                  <w:sz w:val="18"/>
                  <w:szCs w:val="18"/>
                  <w:color w:val="0000FF"/>
                </w:rPr>
                <w:t>Plan of Merger, dated October 18, 2021, among Horizon Acquisiton Corporaton,</w:t>
              </w:r>
            </w:hyperlink>
          </w:p>
        </w:tc>
        <w:tc>
          <w:tcPr>
            <w:tcW w:w="200" w:type="dxa"/>
            <w:vAlign w:val="bottom"/>
            <w:gridSpan w:val="2"/>
          </w:tcPr>
          <w:p>
            <w:pPr>
              <w:spacing w:after="0"/>
              <w:rPr>
                <w:sz w:val="20"/>
                <w:szCs w:val="20"/>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2.3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6"/>
              </w:rPr>
              <w:t>11/15/2021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60" w:type="dxa"/>
            <w:vAlign w:val="bottom"/>
            <w:gridSpan w:val="14"/>
          </w:tcPr>
          <w:p>
            <w:pPr>
              <w:spacing w:after="0" w:line="196" w:lineRule="exact"/>
              <w:rPr>
                <w:rFonts w:ascii="Calibri" w:cs="Calibri" w:eastAsia="Calibri" w:hAnsi="Calibri"/>
                <w:sz w:val="18"/>
                <w:szCs w:val="18"/>
                <w:color w:val="0000FF"/>
              </w:rPr>
            </w:pPr>
            <w:hyperlink r:id="rId511">
              <w:r>
                <w:rPr>
                  <w:rFonts w:ascii="Calibri" w:cs="Calibri" w:eastAsia="Calibri" w:hAnsi="Calibri"/>
                  <w:sz w:val="18"/>
                  <w:szCs w:val="18"/>
                  <w:color w:val="0000FF"/>
                </w:rPr>
                <w:t>Horizon Sponsor, LLC, Hoya Topco, LLC, Hoya Intermediate, LLC, and Vivid Seats Inc.</w:t>
              </w:r>
            </w:hyperlink>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2.4</w:t>
            </w:r>
          </w:p>
        </w:tc>
        <w:tc>
          <w:tcPr>
            <w:tcW w:w="5960" w:type="dxa"/>
            <w:vAlign w:val="bottom"/>
            <w:tcBorders>
              <w:bottom w:val="single" w:sz="8" w:color="0000FF"/>
            </w:tcBorders>
            <w:gridSpan w:val="12"/>
          </w:tcPr>
          <w:p>
            <w:pPr>
              <w:spacing w:after="0"/>
              <w:rPr>
                <w:rFonts w:ascii="Calibri" w:cs="Calibri" w:eastAsia="Calibri" w:hAnsi="Calibri"/>
                <w:sz w:val="18"/>
                <w:szCs w:val="18"/>
                <w:color w:val="0000FF"/>
                <w:w w:val="99"/>
              </w:rPr>
            </w:pPr>
            <w:hyperlink r:id="rId512">
              <w:r>
                <w:rPr>
                  <w:rFonts w:ascii="Calibri" w:cs="Calibri" w:eastAsia="Calibri" w:hAnsi="Calibri"/>
                  <w:sz w:val="18"/>
                  <w:szCs w:val="18"/>
                  <w:color w:val="0000FF"/>
                  <w:w w:val="99"/>
                </w:rPr>
                <w:t>Agreement and Plan of Merger, dated November 3, 2023, among Vivid Seats Inc.,</w:t>
              </w:r>
            </w:hyperlink>
          </w:p>
        </w:tc>
        <w:tc>
          <w:tcPr>
            <w:tcW w:w="200" w:type="dxa"/>
            <w:vAlign w:val="bottom"/>
            <w:gridSpan w:val="2"/>
          </w:tcPr>
          <w:p>
            <w:pPr>
              <w:spacing w:after="0"/>
              <w:rPr>
                <w:sz w:val="20"/>
                <w:szCs w:val="20"/>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2.1</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11/7/2023</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960" w:type="dxa"/>
            <w:vAlign w:val="bottom"/>
            <w:tcBorders>
              <w:bottom w:val="single" w:sz="8" w:color="0000FF"/>
            </w:tcBorders>
            <w:gridSpan w:val="12"/>
          </w:tcPr>
          <w:p>
            <w:pPr>
              <w:spacing w:after="0" w:line="196" w:lineRule="exact"/>
              <w:rPr>
                <w:rFonts w:ascii="Calibri" w:cs="Calibri" w:eastAsia="Calibri" w:hAnsi="Calibri"/>
                <w:sz w:val="18"/>
                <w:szCs w:val="18"/>
                <w:color w:val="0000FF"/>
              </w:rPr>
            </w:pPr>
            <w:hyperlink r:id="rId512">
              <w:r>
                <w:rPr>
                  <w:rFonts w:ascii="Calibri" w:cs="Calibri" w:eastAsia="Calibri" w:hAnsi="Calibri"/>
                  <w:sz w:val="18"/>
                  <w:szCs w:val="18"/>
                  <w:color w:val="0000FF"/>
                </w:rPr>
                <w:t>Viva Merger Sub I, LLC, Viva Merger Sub II, LLC, VDC Holdco, LLC, the Unitholders</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20" w:type="dxa"/>
            <w:vAlign w:val="bottom"/>
            <w:tcBorders>
              <w:bottom w:val="single" w:sz="8" w:color="0000FF"/>
            </w:tcBorders>
            <w:gridSpan w:val="10"/>
          </w:tcPr>
          <w:p>
            <w:pPr>
              <w:spacing w:after="0" w:line="196" w:lineRule="exact"/>
              <w:rPr>
                <w:rFonts w:ascii="Calibri" w:cs="Calibri" w:eastAsia="Calibri" w:hAnsi="Calibri"/>
                <w:sz w:val="18"/>
                <w:szCs w:val="18"/>
                <w:color w:val="0000FF"/>
                <w:w w:val="97"/>
              </w:rPr>
            </w:pPr>
            <w:hyperlink r:id="rId512">
              <w:r>
                <w:rPr>
                  <w:rFonts w:ascii="Calibri" w:cs="Calibri" w:eastAsia="Calibri" w:hAnsi="Calibri"/>
                  <w:sz w:val="18"/>
                  <w:szCs w:val="18"/>
                  <w:color w:val="0000FF"/>
                  <w:w w:val="97"/>
                </w:rPr>
                <w:t>named therein, and the Unitholders’ Representatve named therein</w:t>
              </w:r>
            </w:hyperlink>
          </w:p>
        </w:tc>
        <w:tc>
          <w:tcPr>
            <w:tcW w:w="13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3.1</w:t>
            </w:r>
          </w:p>
        </w:tc>
        <w:tc>
          <w:tcPr>
            <w:tcW w:w="6160" w:type="dxa"/>
            <w:vAlign w:val="bottom"/>
            <w:gridSpan w:val="14"/>
          </w:tcPr>
          <w:p>
            <w:pPr>
              <w:spacing w:after="0"/>
              <w:rPr>
                <w:rFonts w:ascii="Calibri" w:cs="Calibri" w:eastAsia="Calibri" w:hAnsi="Calibri"/>
                <w:sz w:val="18"/>
                <w:szCs w:val="18"/>
                <w:color w:val="0000FF"/>
              </w:rPr>
            </w:pPr>
            <w:hyperlink r:id="rId513">
              <w:r>
                <w:rPr>
                  <w:rFonts w:ascii="Calibri" w:cs="Calibri" w:eastAsia="Calibri" w:hAnsi="Calibri"/>
                  <w:sz w:val="18"/>
                  <w:szCs w:val="18"/>
                  <w:color w:val="0000FF"/>
                </w:rPr>
                <w:t>Amended and Restated Certfcate of Incorporaton</w:t>
              </w:r>
            </w:hyperlink>
          </w:p>
        </w:tc>
        <w:tc>
          <w:tcPr>
            <w:tcW w:w="66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3.1</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6"/>
              </w:rPr>
              <w:t>10/22/2021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3.2</w:t>
            </w:r>
          </w:p>
        </w:tc>
        <w:tc>
          <w:tcPr>
            <w:tcW w:w="2200" w:type="dxa"/>
            <w:vAlign w:val="bottom"/>
            <w:tcBorders>
              <w:top w:val="single" w:sz="8" w:color="0000FF"/>
              <w:bottom w:val="single" w:sz="8" w:color="0000FF"/>
            </w:tcBorders>
            <w:gridSpan w:val="5"/>
          </w:tcPr>
          <w:p>
            <w:pPr>
              <w:spacing w:after="0"/>
              <w:rPr>
                <w:rFonts w:ascii="Calibri" w:cs="Calibri" w:eastAsia="Calibri" w:hAnsi="Calibri"/>
                <w:sz w:val="18"/>
                <w:szCs w:val="18"/>
                <w:color w:val="0000FF"/>
                <w:w w:val="96"/>
              </w:rPr>
            </w:pPr>
            <w:hyperlink r:id="rId514">
              <w:r>
                <w:rPr>
                  <w:rFonts w:ascii="Calibri" w:cs="Calibri" w:eastAsia="Calibri" w:hAnsi="Calibri"/>
                  <w:sz w:val="18"/>
                  <w:szCs w:val="18"/>
                  <w:color w:val="0000FF"/>
                  <w:w w:val="96"/>
                </w:rPr>
                <w:t>Amended and Restated Bylaws</w:t>
              </w:r>
            </w:hyperlink>
          </w:p>
        </w:tc>
        <w:tc>
          <w:tcPr>
            <w:tcW w:w="1440" w:type="dxa"/>
            <w:vAlign w:val="bottom"/>
            <w:tcBorders>
              <w:top w:val="single" w:sz="8" w:color="0000FF"/>
            </w:tcBorders>
            <w:gridSpan w:val="2"/>
          </w:tcPr>
          <w:p>
            <w:pPr>
              <w:spacing w:after="0"/>
              <w:rPr>
                <w:sz w:val="20"/>
                <w:szCs w:val="20"/>
                <w:color w:val="auto"/>
              </w:rPr>
            </w:pPr>
          </w:p>
        </w:tc>
        <w:tc>
          <w:tcPr>
            <w:tcW w:w="2520" w:type="dxa"/>
            <w:vAlign w:val="bottom"/>
            <w:gridSpan w:val="7"/>
          </w:tcPr>
          <w:p>
            <w:pPr>
              <w:spacing w:after="0"/>
              <w:rPr>
                <w:sz w:val="20"/>
                <w:szCs w:val="20"/>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6"/>
              </w:rPr>
              <w:t>10/22/2021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3.3</w:t>
            </w:r>
          </w:p>
        </w:tc>
        <w:tc>
          <w:tcPr>
            <w:tcW w:w="6160" w:type="dxa"/>
            <w:vAlign w:val="bottom"/>
            <w:gridSpan w:val="14"/>
          </w:tcPr>
          <w:p>
            <w:pPr>
              <w:spacing w:after="0"/>
              <w:rPr>
                <w:rFonts w:ascii="Calibri" w:cs="Calibri" w:eastAsia="Calibri" w:hAnsi="Calibri"/>
                <w:sz w:val="18"/>
                <w:szCs w:val="18"/>
                <w:color w:val="0000FF"/>
              </w:rPr>
            </w:pPr>
            <w:hyperlink r:id="rId515">
              <w:r>
                <w:rPr>
                  <w:rFonts w:ascii="Calibri" w:cs="Calibri" w:eastAsia="Calibri" w:hAnsi="Calibri"/>
                  <w:sz w:val="18"/>
                  <w:szCs w:val="18"/>
                  <w:color w:val="0000FF"/>
                </w:rPr>
                <w:t>First Amendment to Amended and Restated Bylaws</w:t>
              </w:r>
            </w:hyperlink>
          </w:p>
        </w:tc>
        <w:tc>
          <w:tcPr>
            <w:tcW w:w="660" w:type="dxa"/>
            <w:vAlign w:val="bottom"/>
          </w:tcPr>
          <w:p>
            <w:pPr>
              <w:jc w:val="center"/>
              <w:spacing w:after="0"/>
              <w:rPr>
                <w:sz w:val="20"/>
                <w:szCs w:val="20"/>
                <w:color w:val="auto"/>
              </w:rPr>
            </w:pPr>
            <w:r>
              <w:rPr>
                <w:rFonts w:ascii="Calibri" w:cs="Calibri" w:eastAsia="Calibri" w:hAnsi="Calibri"/>
                <w:sz w:val="18"/>
                <w:szCs w:val="18"/>
                <w:color w:val="auto"/>
              </w:rPr>
              <w:t>10-Q</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5/10/2022</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4.1</w:t>
            </w:r>
          </w:p>
        </w:tc>
        <w:tc>
          <w:tcPr>
            <w:tcW w:w="5960" w:type="dxa"/>
            <w:vAlign w:val="bottom"/>
            <w:tcBorders>
              <w:bottom w:val="single" w:sz="8" w:color="0000FF"/>
            </w:tcBorders>
            <w:gridSpan w:val="12"/>
          </w:tcPr>
          <w:p>
            <w:pPr>
              <w:spacing w:after="0"/>
              <w:rPr>
                <w:rFonts w:ascii="Calibri" w:cs="Calibri" w:eastAsia="Calibri" w:hAnsi="Calibri"/>
                <w:sz w:val="18"/>
                <w:szCs w:val="18"/>
                <w:color w:val="0000FF"/>
              </w:rPr>
            </w:pPr>
            <w:hyperlink r:id="rId516">
              <w:r>
                <w:rPr>
                  <w:rFonts w:ascii="Calibri" w:cs="Calibri" w:eastAsia="Calibri" w:hAnsi="Calibri"/>
                  <w:sz w:val="18"/>
                  <w:szCs w:val="18"/>
                  <w:color w:val="0000FF"/>
                </w:rPr>
                <w:t>Amended and Restated Warrant Agreement, dated October 14, 2021, between</w:t>
              </w:r>
            </w:hyperlink>
          </w:p>
        </w:tc>
        <w:tc>
          <w:tcPr>
            <w:tcW w:w="200" w:type="dxa"/>
            <w:vAlign w:val="bottom"/>
            <w:gridSpan w:val="2"/>
          </w:tcPr>
          <w:p>
            <w:pPr>
              <w:spacing w:after="0"/>
              <w:rPr>
                <w:sz w:val="20"/>
                <w:szCs w:val="20"/>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800" w:type="dxa"/>
            <w:vAlign w:val="bottom"/>
          </w:tcPr>
          <w:p>
            <w:pPr>
              <w:jc w:val="center"/>
              <w:spacing w:after="0"/>
              <w:rPr>
                <w:sz w:val="20"/>
                <w:szCs w:val="20"/>
                <w:color w:val="auto"/>
              </w:rPr>
            </w:pPr>
            <w:r>
              <w:rPr>
                <w:rFonts w:ascii="Calibri" w:cs="Calibri" w:eastAsia="Calibri" w:hAnsi="Calibri"/>
                <w:sz w:val="18"/>
                <w:szCs w:val="18"/>
                <w:color w:val="auto"/>
              </w:rPr>
              <w:t>10.7</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6"/>
              </w:rPr>
              <w:t>10/22/2021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0" w:type="dxa"/>
            <w:vAlign w:val="bottom"/>
            <w:tcBorders>
              <w:bottom w:val="single" w:sz="8" w:color="0000FF"/>
            </w:tcBorders>
            <w:gridSpan w:val="11"/>
          </w:tcPr>
          <w:p>
            <w:pPr>
              <w:spacing w:after="0" w:line="196" w:lineRule="exact"/>
              <w:rPr>
                <w:rFonts w:ascii="Calibri" w:cs="Calibri" w:eastAsia="Calibri" w:hAnsi="Calibri"/>
                <w:sz w:val="18"/>
                <w:szCs w:val="18"/>
                <w:color w:val="0000FF"/>
                <w:w w:val="99"/>
              </w:rPr>
            </w:pPr>
            <w:hyperlink r:id="rId516">
              <w:r>
                <w:rPr>
                  <w:rFonts w:ascii="Calibri" w:cs="Calibri" w:eastAsia="Calibri" w:hAnsi="Calibri"/>
                  <w:sz w:val="18"/>
                  <w:szCs w:val="18"/>
                  <w:color w:val="0000FF"/>
                  <w:w w:val="99"/>
                </w:rPr>
                <w:t>Horizon Acquisiton Corporaton and Contnental Stock Transfer &amp; Trust Company</w:t>
              </w:r>
            </w:hyperlink>
          </w:p>
        </w:tc>
        <w:tc>
          <w:tcPr>
            <w:tcW w:w="3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4.2</w:t>
            </w:r>
          </w:p>
        </w:tc>
        <w:tc>
          <w:tcPr>
            <w:tcW w:w="3120" w:type="dxa"/>
            <w:vAlign w:val="bottom"/>
            <w:tcBorders>
              <w:bottom w:val="single" w:sz="8" w:color="0000FF"/>
            </w:tcBorders>
            <w:gridSpan w:val="6"/>
          </w:tcPr>
          <w:p>
            <w:pPr>
              <w:spacing w:after="0"/>
              <w:rPr>
                <w:rFonts w:ascii="Calibri" w:cs="Calibri" w:eastAsia="Calibri" w:hAnsi="Calibri"/>
                <w:sz w:val="18"/>
                <w:szCs w:val="18"/>
                <w:color w:val="0000FF"/>
                <w:w w:val="99"/>
              </w:rPr>
            </w:pPr>
            <w:hyperlink r:id="rId517">
              <w:r>
                <w:rPr>
                  <w:rFonts w:ascii="Calibri" w:cs="Calibri" w:eastAsia="Calibri" w:hAnsi="Calibri"/>
                  <w:sz w:val="18"/>
                  <w:szCs w:val="18"/>
                  <w:color w:val="0000FF"/>
                  <w:w w:val="99"/>
                </w:rPr>
                <w:t>Specimen Class A Common Stock Certfcate</w:t>
              </w:r>
            </w:hyperlink>
          </w:p>
        </w:tc>
        <w:tc>
          <w:tcPr>
            <w:tcW w:w="3040" w:type="dxa"/>
            <w:vAlign w:val="bottom"/>
            <w:gridSpan w:val="8"/>
          </w:tcPr>
          <w:p>
            <w:pPr>
              <w:spacing w:after="0"/>
              <w:rPr>
                <w:sz w:val="20"/>
                <w:szCs w:val="20"/>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4.3</w:t>
            </w:r>
          </w:p>
        </w:tc>
        <w:tc>
          <w:tcPr>
            <w:tcW w:w="6160" w:type="dxa"/>
            <w:vAlign w:val="bottom"/>
            <w:gridSpan w:val="14"/>
          </w:tcPr>
          <w:p>
            <w:pPr>
              <w:spacing w:after="0"/>
              <w:rPr>
                <w:rFonts w:ascii="Calibri" w:cs="Calibri" w:eastAsia="Calibri" w:hAnsi="Calibri"/>
                <w:sz w:val="18"/>
                <w:szCs w:val="18"/>
                <w:color w:val="0000FF"/>
              </w:rPr>
            </w:pPr>
            <w:hyperlink r:id="rId518">
              <w:r>
                <w:rPr>
                  <w:rFonts w:ascii="Calibri" w:cs="Calibri" w:eastAsia="Calibri" w:hAnsi="Calibri"/>
                  <w:sz w:val="18"/>
                  <w:szCs w:val="18"/>
                  <w:color w:val="0000FF"/>
                </w:rPr>
                <w:t>Specimen Warrant Certfcate</w:t>
              </w:r>
            </w:hyperlink>
          </w:p>
        </w:tc>
        <w:tc>
          <w:tcPr>
            <w:tcW w:w="66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4.3</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Calibri" w:cs="Calibri" w:eastAsia="Calibri" w:hAnsi="Calibri"/>
                <w:sz w:val="18"/>
                <w:szCs w:val="18"/>
                <w:color w:val="auto"/>
                <w:w w:val="96"/>
              </w:rPr>
              <w:t>4.4</w:t>
            </w:r>
          </w:p>
        </w:tc>
        <w:tc>
          <w:tcPr>
            <w:tcW w:w="2100" w:type="dxa"/>
            <w:vAlign w:val="bottom"/>
            <w:tcBorders>
              <w:top w:val="single" w:sz="8" w:color="0000FF"/>
            </w:tcBorders>
            <w:gridSpan w:val="4"/>
          </w:tcPr>
          <w:p>
            <w:pPr>
              <w:spacing w:after="0"/>
              <w:rPr>
                <w:rFonts w:ascii="Calibri" w:cs="Calibri" w:eastAsia="Calibri" w:hAnsi="Calibri"/>
                <w:sz w:val="18"/>
                <w:szCs w:val="18"/>
                <w:color w:val="0000FF"/>
              </w:rPr>
            </w:pPr>
            <w:hyperlink r:id="rId519">
              <w:r>
                <w:rPr>
                  <w:rFonts w:ascii="Calibri" w:cs="Calibri" w:eastAsia="Calibri" w:hAnsi="Calibri"/>
                  <w:sz w:val="18"/>
                  <w:szCs w:val="18"/>
                  <w:color w:val="0000FF"/>
                </w:rPr>
                <w:t>Descripton of Capital Stock</w:t>
              </w:r>
            </w:hyperlink>
          </w:p>
        </w:tc>
        <w:tc>
          <w:tcPr>
            <w:tcW w:w="4060" w:type="dxa"/>
            <w:vAlign w:val="bottom"/>
            <w:gridSpan w:val="10"/>
          </w:tcPr>
          <w:p>
            <w:pPr>
              <w:spacing w:after="0"/>
              <w:rPr>
                <w:sz w:val="20"/>
                <w:szCs w:val="20"/>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800" w:type="dxa"/>
            <w:vAlign w:val="bottom"/>
          </w:tcPr>
          <w:p>
            <w:pPr>
              <w:jc w:val="center"/>
              <w:spacing w:after="0"/>
              <w:rPr>
                <w:sz w:val="20"/>
                <w:szCs w:val="20"/>
                <w:color w:val="auto"/>
              </w:rPr>
            </w:pPr>
            <w:r>
              <w:rPr>
                <w:rFonts w:ascii="Calibri" w:cs="Calibri" w:eastAsia="Calibri" w:hAnsi="Calibri"/>
                <w:sz w:val="18"/>
                <w:szCs w:val="18"/>
                <w:color w:val="auto"/>
                <w:w w:val="96"/>
              </w:rPr>
              <w:t>4.4</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7"/>
              </w:rPr>
              <w:t>3/15/2022</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5"/>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40" w:type="dxa"/>
            <w:vAlign w:val="bottom"/>
            <w:tcBorders>
              <w:top w:val="single" w:sz="8" w:color="0000FF"/>
            </w:tcBorders>
            <w:gridSpan w:val="3"/>
          </w:tcPr>
          <w:p>
            <w:pPr>
              <w:spacing w:after="0"/>
              <w:rPr>
                <w:sz w:val="24"/>
                <w:szCs w:val="24"/>
                <w:color w:val="auto"/>
              </w:rPr>
            </w:pPr>
          </w:p>
        </w:tc>
        <w:tc>
          <w:tcPr>
            <w:tcW w:w="2880" w:type="dxa"/>
            <w:vAlign w:val="bottom"/>
            <w:gridSpan w:val="7"/>
          </w:tcPr>
          <w:p>
            <w:pPr>
              <w:jc w:val="right"/>
              <w:ind w:right="190"/>
              <w:spacing w:after="0"/>
              <w:rPr>
                <w:sz w:val="20"/>
                <w:szCs w:val="20"/>
                <w:color w:val="auto"/>
              </w:rPr>
            </w:pPr>
            <w:r>
              <w:rPr>
                <w:rFonts w:ascii="Calibri" w:cs="Calibri" w:eastAsia="Calibri" w:hAnsi="Calibri"/>
                <w:sz w:val="18"/>
                <w:szCs w:val="18"/>
                <w:color w:val="auto"/>
              </w:rPr>
              <w:t>113</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7"/>
        </w:trPr>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5" w:lineRule="exact"/>
        <w:rPr>
          <w:sz w:val="20"/>
          <w:szCs w:val="20"/>
          <w:color w:val="auto"/>
        </w:rPr>
      </w:pPr>
    </w:p>
    <w:p>
      <w:pPr>
        <w:jc w:val="both"/>
        <w:ind w:left="840" w:right="2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w:t>
      </w:r>
      <w:r>
        <w:rPr>
          <w:sz w:val="20"/>
          <w:szCs w:val="20"/>
          <w:color w:val="auto"/>
        </w:rPr>
        <w:tab/>
      </w:r>
      <w:hyperlink r:id="rId522">
        <w:r>
          <w:rPr>
            <w:rFonts w:ascii="Calibri" w:cs="Calibri" w:eastAsia="Calibri" w:hAnsi="Calibri"/>
            <w:sz w:val="18"/>
            <w:szCs w:val="18"/>
            <w:u w:val="single" w:color="auto"/>
            <w:color w:val="0000FF"/>
          </w:rPr>
          <w:t>Hoya Intermediate, LLC Second Amended and Restated Limited Liability Company</w:t>
        </w:r>
      </w:hyperlink>
      <w:r>
        <w:rPr>
          <w:rFonts w:ascii="Calibri" w:cs="Calibri" w:eastAsia="Calibri" w:hAnsi="Calibri"/>
          <w:sz w:val="18"/>
          <w:szCs w:val="18"/>
          <w:u w:val="single" w:color="auto"/>
          <w:color w:val="0000FF"/>
        </w:rPr>
        <w:t xml:space="preserve"> </w:t>
      </w:r>
      <w:hyperlink r:id="rId522">
        <w:r>
          <w:rPr>
            <w:rFonts w:ascii="Calibri" w:cs="Calibri" w:eastAsia="Calibri" w:hAnsi="Calibri"/>
            <w:sz w:val="18"/>
            <w:szCs w:val="18"/>
            <w:u w:val="single" w:color="auto"/>
            <w:color w:val="0000FF"/>
          </w:rPr>
          <w:t>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381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50673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22" w:lineRule="exact"/>
        <w:rPr>
          <w:sz w:val="20"/>
          <w:szCs w:val="20"/>
          <w:color w:val="auto"/>
        </w:rPr>
      </w:pPr>
    </w:p>
    <w:p>
      <w:pPr>
        <w:jc w:val="both"/>
        <w:ind w:left="840" w:right="2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w:t>
      </w:r>
      <w:r>
        <w:rPr>
          <w:sz w:val="20"/>
          <w:szCs w:val="20"/>
          <w:color w:val="auto"/>
        </w:rPr>
        <w:tab/>
      </w:r>
      <w:hyperlink r:id="rId525">
        <w:r>
          <w:rPr>
            <w:rFonts w:ascii="Calibri" w:cs="Calibri" w:eastAsia="Calibri" w:hAnsi="Calibri"/>
            <w:sz w:val="18"/>
            <w:szCs w:val="18"/>
            <w:u w:val="single" w:color="auto"/>
            <w:color w:val="0000FF"/>
          </w:rPr>
          <w:t>Stockholders’ Agreement, dated October 18, 2021, among Vivid Seats Inc., Hoya</w:t>
        </w:r>
      </w:hyperlink>
      <w:r>
        <w:rPr>
          <w:rFonts w:ascii="Calibri" w:cs="Calibri" w:eastAsia="Calibri" w:hAnsi="Calibri"/>
          <w:sz w:val="18"/>
          <w:szCs w:val="18"/>
          <w:u w:val="single" w:color="auto"/>
          <w:color w:val="0000FF"/>
        </w:rPr>
        <w:t xml:space="preserve"> </w:t>
      </w:r>
      <w:hyperlink r:id="rId525">
        <w:r>
          <w:rPr>
            <w:rFonts w:ascii="Calibri" w:cs="Calibri" w:eastAsia="Calibri" w:hAnsi="Calibri"/>
            <w:sz w:val="18"/>
            <w:szCs w:val="18"/>
            <w:u w:val="single" w:color="auto"/>
            <w:color w:val="0000FF"/>
          </w:rPr>
          <w:t>Topco, LLC, and Horizon Sponsor,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317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6859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1685925" cy="8255"/>
                    </a:xfrm>
                    <a:prstGeom prst="rect">
                      <a:avLst/>
                    </a:prstGeom>
                    <a:noFill/>
                  </pic:spPr>
                </pic:pic>
              </a:graphicData>
            </a:graphic>
          </wp:anchor>
        </w:drawing>
      </w:r>
    </w:p>
    <w:p>
      <w:pPr>
        <w:spacing w:after="0" w:line="22" w:lineRule="exact"/>
        <w:rPr>
          <w:sz w:val="20"/>
          <w:szCs w:val="20"/>
          <w:color w:val="auto"/>
        </w:rPr>
      </w:pPr>
    </w:p>
    <w:p>
      <w:pPr>
        <w:jc w:val="both"/>
        <w:ind w:left="840" w:right="20" w:hanging="743"/>
        <w:spacing w:after="0" w:line="235" w:lineRule="auto"/>
        <w:tabs>
          <w:tab w:leader="none" w:pos="820" w:val="left"/>
        </w:tabs>
        <w:rPr>
          <w:sz w:val="20"/>
          <w:szCs w:val="20"/>
          <w:color w:val="auto"/>
        </w:rPr>
      </w:pPr>
      <w:r>
        <w:rPr>
          <w:rFonts w:ascii="Calibri" w:cs="Calibri" w:eastAsia="Calibri" w:hAnsi="Calibri"/>
          <w:sz w:val="18"/>
          <w:szCs w:val="18"/>
          <w:color w:val="auto"/>
        </w:rPr>
        <w:t>10.3</w:t>
      </w:r>
      <w:r>
        <w:rPr>
          <w:sz w:val="20"/>
          <w:szCs w:val="20"/>
          <w:color w:val="auto"/>
        </w:rPr>
        <w:tab/>
      </w:r>
      <w:r>
        <w:rPr>
          <w:rFonts w:ascii="Calibri" w:cs="Calibri" w:eastAsia="Calibri" w:hAnsi="Calibri"/>
          <w:sz w:val="18"/>
          <w:szCs w:val="18"/>
          <w:u w:val="single" w:color="auto"/>
          <w:color w:val="0000FF"/>
        </w:rPr>
        <w:t>Amendment No. 1 to Stockholders’ Agreement, dated October 1, 2024, among Vivid Seats Inc., Hoya Topco, LLC, and Horizon Sponsor,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698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381698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24244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2424430" cy="8890"/>
                    </a:xfrm>
                    <a:prstGeom prst="rect">
                      <a:avLst/>
                    </a:prstGeom>
                    <a:noFill/>
                  </pic:spPr>
                </pic:pic>
              </a:graphicData>
            </a:graphic>
          </wp:anchor>
        </w:drawing>
      </w:r>
    </w:p>
    <w:p>
      <w:pPr>
        <w:spacing w:after="0" w:line="22" w:lineRule="exact"/>
        <w:rPr>
          <w:sz w:val="20"/>
          <w:szCs w:val="20"/>
          <w:color w:val="auto"/>
        </w:rPr>
      </w:pPr>
    </w:p>
    <w:p>
      <w:pPr>
        <w:jc w:val="both"/>
        <w:ind w:left="840" w:right="2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10.4</w:t>
      </w:r>
      <w:r>
        <w:rPr>
          <w:sz w:val="20"/>
          <w:szCs w:val="20"/>
          <w:color w:val="auto"/>
        </w:rPr>
        <w:tab/>
      </w:r>
      <w:hyperlink r:id="rId530">
        <w:r>
          <w:rPr>
            <w:rFonts w:ascii="Calibri" w:cs="Calibri" w:eastAsia="Calibri" w:hAnsi="Calibri"/>
            <w:sz w:val="18"/>
            <w:szCs w:val="18"/>
            <w:u w:val="single" w:color="auto"/>
            <w:color w:val="0000FF"/>
          </w:rPr>
          <w:t>Amended and Restated Registraton Rights Agreement, dated October 18, 2021,</w:t>
        </w:r>
      </w:hyperlink>
      <w:r>
        <w:rPr>
          <w:rFonts w:ascii="Calibri" w:cs="Calibri" w:eastAsia="Calibri" w:hAnsi="Calibri"/>
          <w:sz w:val="18"/>
          <w:szCs w:val="18"/>
          <w:u w:val="single" w:color="auto"/>
          <w:color w:val="0000FF"/>
        </w:rPr>
        <w:t xml:space="preserve"> </w:t>
      </w:r>
      <w:hyperlink r:id="rId530">
        <w:r>
          <w:rPr>
            <w:rFonts w:ascii="Calibri" w:cs="Calibri" w:eastAsia="Calibri" w:hAnsi="Calibri"/>
            <w:sz w:val="18"/>
            <w:szCs w:val="18"/>
            <w:u w:val="single" w:color="auto"/>
            <w:color w:val="0000FF"/>
          </w:rPr>
          <w:t>among Vivid Seats Inc., Hoya Topco, LLC, and Horizon Sponsor,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444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38144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30099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 w:lineRule="exact"/>
        <w:rPr>
          <w:sz w:val="20"/>
          <w:szCs w:val="20"/>
          <w:color w:val="auto"/>
        </w:rPr>
      </w:pPr>
    </w:p>
    <w:p>
      <w:pPr>
        <w:jc w:val="both"/>
        <w:ind w:left="840" w:right="2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10.5</w:t>
      </w:r>
      <w:r>
        <w:rPr>
          <w:sz w:val="20"/>
          <w:szCs w:val="20"/>
          <w:color w:val="auto"/>
        </w:rPr>
        <w:tab/>
      </w:r>
      <w:hyperlink r:id="rId533">
        <w:r>
          <w:rPr>
            <w:rFonts w:ascii="Calibri" w:cs="Calibri" w:eastAsia="Calibri" w:hAnsi="Calibri"/>
            <w:sz w:val="18"/>
            <w:szCs w:val="18"/>
            <w:u w:val="single" w:color="auto"/>
            <w:color w:val="0000FF"/>
          </w:rPr>
          <w:t>Registraton Rights and Lockup Agreement, dated November 3, 2023, among Vivid</w:t>
        </w:r>
      </w:hyperlink>
      <w:r>
        <w:rPr>
          <w:rFonts w:ascii="Calibri" w:cs="Calibri" w:eastAsia="Calibri" w:hAnsi="Calibri"/>
          <w:sz w:val="18"/>
          <w:szCs w:val="18"/>
          <w:u w:val="single" w:color="auto"/>
          <w:color w:val="0000FF"/>
        </w:rPr>
        <w:t xml:space="preserve"> </w:t>
      </w:r>
      <w:hyperlink r:id="rId533">
        <w:r>
          <w:rPr>
            <w:rFonts w:ascii="Calibri" w:cs="Calibri" w:eastAsia="Calibri" w:hAnsi="Calibri"/>
            <w:sz w:val="18"/>
            <w:szCs w:val="18"/>
            <w:u w:val="single" w:color="auto"/>
            <w:color w:val="0000FF"/>
          </w:rPr>
          <w:t>Seats Inc., TZP Capital Partners III-A (Blocker), L.P., TZP Capital Partners III, L.P.,</w:t>
        </w:r>
      </w:hyperlink>
      <w:r>
        <w:rPr>
          <w:rFonts w:ascii="Calibri" w:cs="Calibri" w:eastAsia="Calibri" w:hAnsi="Calibri"/>
          <w:sz w:val="18"/>
          <w:szCs w:val="18"/>
          <w:u w:val="single" w:color="auto"/>
          <w:color w:val="0000FF"/>
        </w:rPr>
        <w:t xml:space="preserve"> </w:t>
      </w:r>
      <w:hyperlink r:id="rId533">
        <w:r>
          <w:rPr>
            <w:rFonts w:ascii="Calibri" w:cs="Calibri" w:eastAsia="Calibri" w:hAnsi="Calibri"/>
            <w:sz w:val="18"/>
            <w:szCs w:val="18"/>
            <w:u w:val="single" w:color="auto"/>
            <w:color w:val="0000FF"/>
          </w:rPr>
          <w:t>Michael Reichartz, and Adam White</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-292100</wp:posOffset>
            </wp:positionV>
            <wp:extent cx="3820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4">
                      <a:extLst>
                        <a:ext uri="{28A0092B-C50C-407E-A947-70E740481C1C}"/>
                      </a:extLst>
                    </a:blip>
                    <a:srcRect/>
                    <a:stretch>
                      <a:fillRect/>
                    </a:stretch>
                  </pic:blipFill>
                  <pic:spPr bwMode="auto">
                    <a:xfrm>
                      <a:off x="0" y="0"/>
                      <a:ext cx="3820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-154940</wp:posOffset>
            </wp:positionV>
            <wp:extent cx="381635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5">
                      <a:extLst>
                        <a:ext uri="{28A0092B-C50C-407E-A947-70E740481C1C}"/>
                      </a:extLst>
                    </a:blip>
                    <a:srcRect/>
                    <a:stretch>
                      <a:fillRect/>
                    </a:stretch>
                  </pic:blipFill>
                  <pic:spPr bwMode="auto">
                    <a:xfrm>
                      <a:off x="0" y="0"/>
                      <a:ext cx="381635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-17780</wp:posOffset>
            </wp:positionV>
            <wp:extent cx="16224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6">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23" w:lineRule="exact"/>
        <w:rPr>
          <w:rFonts w:ascii="Calibri" w:cs="Calibri" w:eastAsia="Calibri" w:hAnsi="Calibri"/>
          <w:sz w:val="18"/>
          <w:szCs w:val="18"/>
          <w:u w:val="single" w:color="auto"/>
          <w:color w:val="0000FF"/>
        </w:rPr>
      </w:pPr>
    </w:p>
    <w:p>
      <w:pPr>
        <w:jc w:val="both"/>
        <w:ind w:left="840" w:right="2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10.6</w:t>
      </w:r>
      <w:r>
        <w:rPr>
          <w:sz w:val="20"/>
          <w:szCs w:val="20"/>
          <w:color w:val="auto"/>
        </w:rPr>
        <w:tab/>
      </w:r>
      <w:hyperlink r:id="rId537">
        <w:r>
          <w:rPr>
            <w:rFonts w:ascii="Calibri" w:cs="Calibri" w:eastAsia="Calibri" w:hAnsi="Calibri"/>
            <w:sz w:val="18"/>
            <w:szCs w:val="18"/>
            <w:u w:val="single" w:color="auto"/>
            <w:color w:val="0000FF"/>
          </w:rPr>
          <w:t>Tax Receivable Agreement, dated October 18, 2021, among Vivid Seats Inc., Hoya</w:t>
        </w:r>
      </w:hyperlink>
      <w:r>
        <w:rPr>
          <w:rFonts w:ascii="Calibri" w:cs="Calibri" w:eastAsia="Calibri" w:hAnsi="Calibri"/>
          <w:sz w:val="18"/>
          <w:szCs w:val="18"/>
          <w:u w:val="single" w:color="auto"/>
          <w:color w:val="0000FF"/>
        </w:rPr>
        <w:t xml:space="preserve"> </w:t>
      </w:r>
      <w:hyperlink r:id="rId537">
        <w:r>
          <w:rPr>
            <w:rFonts w:ascii="Calibri" w:cs="Calibri" w:eastAsia="Calibri" w:hAnsi="Calibri"/>
            <w:sz w:val="18"/>
            <w:szCs w:val="18"/>
            <w:u w:val="single" w:color="auto"/>
            <w:color w:val="0000FF"/>
          </w:rPr>
          <w:t>Intermediate, LLC, GTCR Management XI, LLC, Hoya Topco, LLC, and the Blocker TRA</w:t>
        </w:r>
      </w:hyperlink>
      <w:r>
        <w:rPr>
          <w:rFonts w:ascii="Calibri" w:cs="Calibri" w:eastAsia="Calibri" w:hAnsi="Calibri"/>
          <w:sz w:val="18"/>
          <w:szCs w:val="18"/>
          <w:u w:val="single" w:color="auto"/>
          <w:color w:val="0000FF"/>
        </w:rPr>
        <w:t xml:space="preserve"> </w:t>
      </w:r>
      <w:hyperlink r:id="rId537">
        <w:r>
          <w:rPr>
            <w:rFonts w:ascii="Calibri" w:cs="Calibri" w:eastAsia="Calibri" w:hAnsi="Calibri"/>
            <w:sz w:val="18"/>
            <w:szCs w:val="18"/>
            <w:u w:val="single" w:color="auto"/>
            <w:color w:val="0000FF"/>
          </w:rPr>
          <w:t>Holders named therein</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-292100</wp:posOffset>
            </wp:positionV>
            <wp:extent cx="381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381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-154940</wp:posOffset>
            </wp:positionV>
            <wp:extent cx="381698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381698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-17780</wp:posOffset>
            </wp:positionV>
            <wp:extent cx="104521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23" w:lineRule="exact"/>
        <w:rPr>
          <w:rFonts w:ascii="Calibri" w:cs="Calibri" w:eastAsia="Calibri" w:hAnsi="Calibri"/>
          <w:sz w:val="18"/>
          <w:szCs w:val="18"/>
          <w:u w:val="single" w:color="auto"/>
          <w:color w:val="0000FF"/>
        </w:rPr>
      </w:pPr>
    </w:p>
    <w:p>
      <w:pPr>
        <w:jc w:val="both"/>
        <w:ind w:left="840" w:right="2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10.7</w:t>
      </w:r>
      <w:r>
        <w:rPr>
          <w:sz w:val="20"/>
          <w:szCs w:val="20"/>
          <w:color w:val="auto"/>
        </w:rPr>
        <w:tab/>
      </w:r>
      <w:hyperlink r:id="rId541">
        <w:r>
          <w:rPr>
            <w:rFonts w:ascii="Calibri" w:cs="Calibri" w:eastAsia="Calibri" w:hAnsi="Calibri"/>
            <w:sz w:val="18"/>
            <w:szCs w:val="18"/>
            <w:u w:val="single" w:color="auto"/>
            <w:color w:val="0000FF"/>
          </w:rPr>
          <w:t>Private Warrant Agreement, dated October 18, 2021, between Vivid Seats Inc. and</w:t>
        </w:r>
      </w:hyperlink>
      <w:r>
        <w:rPr>
          <w:rFonts w:ascii="Calibri" w:cs="Calibri" w:eastAsia="Calibri" w:hAnsi="Calibri"/>
          <w:sz w:val="18"/>
          <w:szCs w:val="18"/>
          <w:u w:val="single" w:color="auto"/>
          <w:color w:val="0000FF"/>
        </w:rPr>
        <w:t xml:space="preserve"> </w:t>
      </w:r>
      <w:hyperlink r:id="rId541">
        <w:r>
          <w:rPr>
            <w:rFonts w:ascii="Calibri" w:cs="Calibri" w:eastAsia="Calibri" w:hAnsi="Calibri"/>
            <w:sz w:val="18"/>
            <w:szCs w:val="18"/>
            <w:u w:val="single" w:color="auto"/>
            <w:color w:val="0000FF"/>
          </w:rPr>
          <w:t>Hoya Topco,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01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382016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7410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2" w:lineRule="exact"/>
        <w:rPr>
          <w:sz w:val="20"/>
          <w:szCs w:val="20"/>
          <w:color w:val="auto"/>
        </w:rPr>
      </w:pPr>
    </w:p>
    <w:p>
      <w:pPr>
        <w:jc w:val="both"/>
        <w:ind w:left="840" w:right="2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10.8</w:t>
      </w:r>
      <w:r>
        <w:rPr>
          <w:sz w:val="20"/>
          <w:szCs w:val="20"/>
          <w:color w:val="auto"/>
        </w:rPr>
        <w:tab/>
      </w:r>
      <w:hyperlink r:id="rId544">
        <w:r>
          <w:rPr>
            <w:rFonts w:ascii="Calibri" w:cs="Calibri" w:eastAsia="Calibri" w:hAnsi="Calibri"/>
            <w:sz w:val="18"/>
            <w:szCs w:val="18"/>
            <w:u w:val="single" w:color="auto"/>
            <w:color w:val="0000FF"/>
          </w:rPr>
          <w:t>Leter Agreement Re Private Warrant Agreement, dated December 7, 2023,</w:t>
        </w:r>
      </w:hyperlink>
      <w:r>
        <w:rPr>
          <w:rFonts w:ascii="Calibri" w:cs="Calibri" w:eastAsia="Calibri" w:hAnsi="Calibri"/>
          <w:sz w:val="18"/>
          <w:szCs w:val="18"/>
          <w:u w:val="single" w:color="auto"/>
          <w:color w:val="0000FF"/>
        </w:rPr>
        <w:t xml:space="preserve"> </w:t>
      </w:r>
      <w:hyperlink r:id="rId544">
        <w:r>
          <w:rPr>
            <w:rFonts w:ascii="Calibri" w:cs="Calibri" w:eastAsia="Calibri" w:hAnsi="Calibri"/>
            <w:sz w:val="18"/>
            <w:szCs w:val="18"/>
            <w:u w:val="single" w:color="auto"/>
            <w:color w:val="0000FF"/>
          </w:rPr>
          <w:t>between Vivid Seats Inc. and Hoya Topco,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381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381381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20637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2063750" cy="8255"/>
                    </a:xfrm>
                    <a:prstGeom prst="rect">
                      <a:avLst/>
                    </a:prstGeom>
                    <a:noFill/>
                  </pic:spPr>
                </pic:pic>
              </a:graphicData>
            </a:graphic>
          </wp:anchor>
        </w:drawing>
      </w:r>
    </w:p>
    <w:p>
      <w:pPr>
        <w:spacing w:after="0" w:line="22" w:lineRule="exact"/>
        <w:rPr>
          <w:sz w:val="20"/>
          <w:szCs w:val="20"/>
          <w:color w:val="auto"/>
        </w:rPr>
      </w:pPr>
    </w:p>
    <w:p>
      <w:pPr>
        <w:jc w:val="both"/>
        <w:ind w:left="840" w:hanging="743"/>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10.9</w:t>
      </w:r>
      <w:r>
        <w:rPr>
          <w:sz w:val="20"/>
          <w:szCs w:val="20"/>
          <w:color w:val="auto"/>
        </w:rPr>
        <w:tab/>
      </w:r>
      <w:hyperlink r:id="rId516">
        <w:r>
          <w:rPr>
            <w:rFonts w:ascii="Calibri" w:cs="Calibri" w:eastAsia="Calibri" w:hAnsi="Calibri"/>
            <w:sz w:val="18"/>
            <w:szCs w:val="18"/>
            <w:u w:val="single" w:color="auto"/>
            <w:color w:val="0000FF"/>
          </w:rPr>
          <w:t>Amended and Restated Warrant Agreement, dated October 14, 2021, between</w:t>
        </w:r>
      </w:hyperlink>
      <w:r>
        <w:rPr>
          <w:rFonts w:ascii="Calibri" w:cs="Calibri" w:eastAsia="Calibri" w:hAnsi="Calibri"/>
          <w:sz w:val="18"/>
          <w:szCs w:val="18"/>
          <w:u w:val="single" w:color="auto"/>
          <w:color w:val="0000FF"/>
        </w:rPr>
        <w:t xml:space="preserve"> </w:t>
      </w:r>
      <w:hyperlink r:id="rId516">
        <w:r>
          <w:rPr>
            <w:rFonts w:ascii="Calibri" w:cs="Calibri" w:eastAsia="Calibri" w:hAnsi="Calibri"/>
            <w:sz w:val="18"/>
            <w:szCs w:val="18"/>
            <w:u w:val="single" w:color="auto"/>
            <w:color w:val="0000FF"/>
          </w:rPr>
          <w:t>Hoya Acquisiton Corporaton and Contnental 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143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382143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3564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22" w:lineRule="exact"/>
        <w:rPr>
          <w:sz w:val="20"/>
          <w:szCs w:val="20"/>
          <w:color w:val="auto"/>
        </w:rPr>
      </w:pPr>
    </w:p>
    <w:p>
      <w:pPr>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10.10</w:t>
      </w:r>
      <w:r>
        <w:rPr>
          <w:sz w:val="20"/>
          <w:szCs w:val="20"/>
          <w:color w:val="auto"/>
        </w:rPr>
        <w:tab/>
      </w:r>
      <w:hyperlink r:id="rId549">
        <w:r>
          <w:rPr>
            <w:rFonts w:ascii="Calibri" w:cs="Calibri" w:eastAsia="Calibri" w:hAnsi="Calibri"/>
            <w:sz w:val="18"/>
            <w:szCs w:val="18"/>
            <w:u w:val="single" w:color="auto"/>
            <w:color w:val="0000FF"/>
          </w:rPr>
          <w:t>Private Warrant Agreement, dated October 15, 2021, between Hoya Acquisiton</w:t>
        </w:r>
      </w:hyperlink>
      <w:r>
        <w:rPr>
          <w:rFonts w:ascii="Calibri" w:cs="Calibri" w:eastAsia="Calibri" w:hAnsi="Calibri"/>
          <w:sz w:val="18"/>
          <w:szCs w:val="18"/>
          <w:u w:val="single" w:color="auto"/>
          <w:color w:val="0000FF"/>
        </w:rPr>
        <w:t xml:space="preserve"> </w:t>
      </w:r>
      <w:hyperlink r:id="rId549">
        <w:r>
          <w:rPr>
            <w:rFonts w:ascii="Calibri" w:cs="Calibri" w:eastAsia="Calibri" w:hAnsi="Calibri"/>
            <w:sz w:val="18"/>
            <w:szCs w:val="18"/>
            <w:u w:val="single" w:color="auto"/>
            <w:color w:val="0000FF"/>
          </w:rPr>
          <w:t>Corporaton and Contnental 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952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0">
                      <a:extLst>
                        <a:ext uri="{28A0092B-C50C-407E-A947-70E740481C1C}"/>
                      </a:extLst>
                    </a:blip>
                    <a:srcRect/>
                    <a:stretch>
                      <a:fillRect/>
                    </a:stretch>
                  </pic:blipFill>
                  <pic:spPr bwMode="auto">
                    <a:xfrm>
                      <a:off x="0" y="0"/>
                      <a:ext cx="38195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277939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1">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22" w:lineRule="exact"/>
        <w:rPr>
          <w:sz w:val="20"/>
          <w:szCs w:val="20"/>
          <w:color w:val="auto"/>
        </w:rPr>
      </w:pPr>
    </w:p>
    <w:p>
      <w:pPr>
        <w:ind w:left="84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10.11</w:t>
      </w:r>
      <w:r>
        <w:rPr>
          <w:sz w:val="20"/>
          <w:szCs w:val="20"/>
          <w:color w:val="auto"/>
        </w:rPr>
        <w:tab/>
      </w:r>
      <w:hyperlink r:id="rId552">
        <w:r>
          <w:rPr>
            <w:rFonts w:ascii="Calibri" w:cs="Calibri" w:eastAsia="Calibri" w:hAnsi="Calibri"/>
            <w:sz w:val="18"/>
            <w:szCs w:val="18"/>
            <w:u w:val="single" w:color="auto"/>
            <w:color w:val="0000FF"/>
          </w:rPr>
          <w:t>Private Warrant Agreement, dated October 15, 2021, between Horizon Acquisiton</w:t>
        </w:r>
      </w:hyperlink>
      <w:r>
        <w:rPr>
          <w:rFonts w:ascii="Calibri" w:cs="Calibri" w:eastAsia="Calibri" w:hAnsi="Calibri"/>
          <w:sz w:val="18"/>
          <w:szCs w:val="18"/>
          <w:u w:val="single" w:color="auto"/>
          <w:color w:val="0000FF"/>
        </w:rPr>
        <w:t xml:space="preserve"> </w:t>
      </w:r>
      <w:hyperlink r:id="rId552">
        <w:r>
          <w:rPr>
            <w:rFonts w:ascii="Calibri" w:cs="Calibri" w:eastAsia="Calibri" w:hAnsi="Calibri"/>
            <w:sz w:val="18"/>
            <w:szCs w:val="18"/>
            <w:u w:val="single" w:color="auto"/>
            <w:color w:val="0000FF"/>
          </w:rPr>
          <w:t>Corporaton and Contnental 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143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3">
                      <a:extLst>
                        <a:ext uri="{28A0092B-C50C-407E-A947-70E740481C1C}"/>
                      </a:extLst>
                    </a:blip>
                    <a:srcRect/>
                    <a:stretch>
                      <a:fillRect/>
                    </a:stretch>
                  </pic:blipFill>
                  <pic:spPr bwMode="auto">
                    <a:xfrm>
                      <a:off x="0" y="0"/>
                      <a:ext cx="382143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277939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4">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22" w:lineRule="exact"/>
        <w:rPr>
          <w:sz w:val="20"/>
          <w:szCs w:val="20"/>
          <w:color w:val="auto"/>
        </w:rPr>
      </w:pPr>
    </w:p>
    <w:p>
      <w:pPr>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10.12</w:t>
      </w:r>
      <w:r>
        <w:rPr>
          <w:sz w:val="20"/>
          <w:szCs w:val="20"/>
          <w:color w:val="auto"/>
        </w:rPr>
        <w:tab/>
      </w:r>
      <w:hyperlink r:id="rId555">
        <w:r>
          <w:rPr>
            <w:rFonts w:ascii="Calibri" w:cs="Calibri" w:eastAsia="Calibri" w:hAnsi="Calibri"/>
            <w:sz w:val="18"/>
            <w:szCs w:val="18"/>
            <w:u w:val="single" w:color="auto"/>
            <w:color w:val="0000FF"/>
          </w:rPr>
          <w:t>Private Warrant Agreement ($10.00 exercise price) dated, October 18, 2021,</w:t>
        </w:r>
      </w:hyperlink>
      <w:r>
        <w:rPr>
          <w:rFonts w:ascii="Calibri" w:cs="Calibri" w:eastAsia="Calibri" w:hAnsi="Calibri"/>
          <w:sz w:val="18"/>
          <w:szCs w:val="18"/>
          <w:u w:val="single" w:color="auto"/>
          <w:color w:val="0000FF"/>
        </w:rPr>
        <w:t xml:space="preserve"> </w:t>
      </w:r>
      <w:hyperlink r:id="rId555">
        <w:r>
          <w:rPr>
            <w:rFonts w:ascii="Calibri" w:cs="Calibri" w:eastAsia="Calibri" w:hAnsi="Calibri"/>
            <w:sz w:val="18"/>
            <w:szCs w:val="18"/>
            <w:u w:val="single" w:color="auto"/>
            <w:color w:val="0000FF"/>
          </w:rPr>
          <w:t>between Hoya Intermediate, LLC and Hoya Topco,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079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6">
                      <a:extLst>
                        <a:ext uri="{28A0092B-C50C-407E-A947-70E740481C1C}"/>
                      </a:extLst>
                    </a:blip>
                    <a:srcRect/>
                    <a:stretch>
                      <a:fillRect/>
                    </a:stretch>
                  </pic:blipFill>
                  <pic:spPr bwMode="auto">
                    <a:xfrm>
                      <a:off x="0" y="0"/>
                      <a:ext cx="38207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24434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7">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22" w:lineRule="exact"/>
        <w:rPr>
          <w:sz w:val="20"/>
          <w:szCs w:val="20"/>
          <w:color w:val="auto"/>
        </w:rPr>
      </w:pPr>
    </w:p>
    <w:p>
      <w:pPr>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10.13</w:t>
      </w:r>
      <w:r>
        <w:rPr>
          <w:sz w:val="20"/>
          <w:szCs w:val="20"/>
          <w:color w:val="auto"/>
        </w:rPr>
        <w:tab/>
      </w:r>
      <w:hyperlink r:id="rId558">
        <w:r>
          <w:rPr>
            <w:rFonts w:ascii="Calibri" w:cs="Calibri" w:eastAsia="Calibri" w:hAnsi="Calibri"/>
            <w:sz w:val="18"/>
            <w:szCs w:val="18"/>
            <w:u w:val="single" w:color="auto"/>
            <w:color w:val="0000FF"/>
          </w:rPr>
          <w:t>Private Warrant Agreement ($15.00 exercise price), dated October 18, 2021,</w:t>
        </w:r>
      </w:hyperlink>
      <w:r>
        <w:rPr>
          <w:rFonts w:ascii="Calibri" w:cs="Calibri" w:eastAsia="Calibri" w:hAnsi="Calibri"/>
          <w:sz w:val="18"/>
          <w:szCs w:val="18"/>
          <w:u w:val="single" w:color="auto"/>
          <w:color w:val="0000FF"/>
        </w:rPr>
        <w:t xml:space="preserve"> </w:t>
      </w:r>
      <w:hyperlink r:id="rId558">
        <w:r>
          <w:rPr>
            <w:rFonts w:ascii="Calibri" w:cs="Calibri" w:eastAsia="Calibri" w:hAnsi="Calibri"/>
            <w:sz w:val="18"/>
            <w:szCs w:val="18"/>
            <w:u w:val="single" w:color="auto"/>
            <w:color w:val="0000FF"/>
          </w:rPr>
          <w:t>between Hoya Intermediate, LLC and Hoya Topco,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079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382079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24434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22" w:lineRule="exact"/>
        <w:rPr>
          <w:sz w:val="20"/>
          <w:szCs w:val="20"/>
          <w:color w:val="auto"/>
        </w:rPr>
      </w:pPr>
    </w:p>
    <w:p>
      <w:pPr>
        <w:jc w:val="right"/>
        <w:ind w:left="40" w:right="20"/>
        <w:spacing w:after="0" w:line="235" w:lineRule="auto"/>
        <w:rPr>
          <w:rFonts w:ascii="Calibri" w:cs="Calibri" w:eastAsia="Calibri" w:hAnsi="Calibri"/>
          <w:sz w:val="18"/>
          <w:szCs w:val="18"/>
          <w:u w:val="single" w:color="auto"/>
          <w:color w:val="0000FF"/>
        </w:rPr>
      </w:pPr>
      <w:r>
        <w:rPr>
          <w:rFonts w:ascii="Calibri" w:cs="Calibri" w:eastAsia="Calibri" w:hAnsi="Calibri"/>
          <w:sz w:val="18"/>
          <w:szCs w:val="18"/>
          <w:color w:val="auto"/>
        </w:rPr>
        <w:t xml:space="preserve">10.14     </w:t>
      </w:r>
      <w:hyperlink r:id="rId561">
        <w:r>
          <w:rPr>
            <w:rFonts w:ascii="Calibri" w:cs="Calibri" w:eastAsia="Calibri" w:hAnsi="Calibri"/>
            <w:sz w:val="18"/>
            <w:szCs w:val="18"/>
            <w:u w:val="single" w:color="auto"/>
            <w:color w:val="0000FF"/>
          </w:rPr>
          <w:t>Leter Agreement Re Private Warrant Agreements ($10.00 and $15.00 exercise</w:t>
        </w:r>
      </w:hyperlink>
      <w:r>
        <w:rPr>
          <w:rFonts w:ascii="Calibri" w:cs="Calibri" w:eastAsia="Calibri" w:hAnsi="Calibri"/>
          <w:sz w:val="18"/>
          <w:szCs w:val="18"/>
          <w:color w:val="auto"/>
        </w:rPr>
        <w:t xml:space="preserve"> </w:t>
      </w:r>
      <w:hyperlink r:id="rId561">
        <w:r>
          <w:rPr>
            <w:rFonts w:ascii="Calibri" w:cs="Calibri" w:eastAsia="Calibri" w:hAnsi="Calibri"/>
            <w:sz w:val="18"/>
            <w:szCs w:val="18"/>
            <w:u w:val="single" w:color="auto"/>
            <w:color w:val="0000FF"/>
          </w:rPr>
          <w:t>prices), dated December 7, 2023, between Hoya Intermediate, LLC and Hoya Topco,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7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2">
                      <a:extLst>
                        <a:ext uri="{28A0092B-C50C-407E-A947-70E740481C1C}"/>
                      </a:extLst>
                    </a:blip>
                    <a:srcRect/>
                    <a:stretch>
                      <a:fillRect/>
                    </a:stretch>
                  </pic:blipFill>
                  <pic:spPr bwMode="auto">
                    <a:xfrm>
                      <a:off x="0" y="0"/>
                      <a:ext cx="381762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38176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3">
                      <a:extLst>
                        <a:ext uri="{28A0092B-C50C-407E-A947-70E740481C1C}"/>
                      </a:extLst>
                    </a:blip>
                    <a:srcRect/>
                    <a:stretch>
                      <a:fillRect/>
                    </a:stretch>
                  </pic:blipFill>
                  <pic:spPr bwMode="auto">
                    <a:xfrm>
                      <a:off x="0" y="0"/>
                      <a:ext cx="3817620" cy="8255"/>
                    </a:xfrm>
                    <a:prstGeom prst="rect">
                      <a:avLst/>
                    </a:prstGeom>
                    <a:noFill/>
                  </pic:spPr>
                </pic:pic>
              </a:graphicData>
            </a:graphic>
          </wp:anchor>
        </w:drawing>
      </w:r>
    </w:p>
    <w:p>
      <w:pPr>
        <w:ind w:left="840"/>
        <w:spacing w:after="0" w:line="236" w:lineRule="auto"/>
        <w:rPr>
          <w:rFonts w:ascii="Calibri" w:cs="Calibri" w:eastAsia="Calibri" w:hAnsi="Calibri"/>
          <w:sz w:val="18"/>
          <w:szCs w:val="18"/>
          <w:u w:val="single" w:color="auto"/>
          <w:color w:val="0000FF"/>
        </w:rPr>
      </w:pPr>
      <w:hyperlink r:id="rId561">
        <w:r>
          <w:rPr>
            <w:rFonts w:ascii="Calibri" w:cs="Calibri" w:eastAsia="Calibri" w:hAnsi="Calibri"/>
            <w:sz w:val="18"/>
            <w:szCs w:val="18"/>
            <w:u w:val="single" w:color="auto"/>
            <w:color w:val="0000FF"/>
          </w:rPr>
          <w:t>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-18415</wp:posOffset>
            </wp:positionV>
            <wp:extent cx="1530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4">
                      <a:extLst>
                        <a:ext uri="{28A0092B-C50C-407E-A947-70E740481C1C}"/>
                      </a:extLst>
                    </a:blip>
                    <a:srcRect/>
                    <a:stretch>
                      <a:fillRect/>
                    </a:stretch>
                  </pic:blipFill>
                  <pic:spPr bwMode="auto">
                    <a:xfrm>
                      <a:off x="0" y="0"/>
                      <a:ext cx="153035" cy="8255"/>
                    </a:xfrm>
                    <a:prstGeom prst="rect">
                      <a:avLst/>
                    </a:prstGeom>
                    <a:noFill/>
                  </pic:spPr>
                </pic:pic>
              </a:graphicData>
            </a:graphic>
          </wp:anchor>
        </w:drawing>
      </w:r>
    </w:p>
    <w:p>
      <w:pPr>
        <w:spacing w:after="0" w:line="17" w:lineRule="exact"/>
        <w:rPr>
          <w:sz w:val="20"/>
          <w:szCs w:val="20"/>
          <w:color w:val="auto"/>
        </w:rPr>
      </w:pPr>
    </w:p>
    <w:p>
      <w:pPr>
        <w:ind w:left="40"/>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10.15</w:t>
      </w:r>
      <w:r>
        <w:rPr>
          <w:sz w:val="20"/>
          <w:szCs w:val="20"/>
          <w:color w:val="auto"/>
        </w:rPr>
        <w:tab/>
      </w:r>
      <w:hyperlink r:id="rId565">
        <w:r>
          <w:rPr>
            <w:rFonts w:ascii="Calibri" w:cs="Calibri" w:eastAsia="Calibri" w:hAnsi="Calibri"/>
            <w:sz w:val="17"/>
            <w:szCs w:val="17"/>
            <w:u w:val="single" w:color="auto"/>
            <w:color w:val="0000FF"/>
          </w:rPr>
          <w:t>Form of Subscripton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-18415</wp:posOffset>
            </wp:positionV>
            <wp:extent cx="1474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10.16#</w:t>
      </w:r>
      <w:r>
        <w:rPr>
          <w:sz w:val="20"/>
          <w:szCs w:val="20"/>
          <w:color w:val="auto"/>
        </w:rPr>
        <w:tab/>
      </w:r>
      <w:hyperlink r:id="rId567">
        <w:r>
          <w:rPr>
            <w:rFonts w:ascii="Calibri" w:cs="Calibri" w:eastAsia="Calibri" w:hAnsi="Calibri"/>
            <w:sz w:val="18"/>
            <w:szCs w:val="18"/>
            <w:u w:val="single" w:color="auto"/>
            <w:color w:val="0000FF"/>
          </w:rPr>
          <w:t>Form of Indemnifcaton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16256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1625600" cy="8890"/>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10.17#</w:t>
      </w:r>
      <w:r>
        <w:rPr>
          <w:sz w:val="20"/>
          <w:szCs w:val="20"/>
          <w:color w:val="auto"/>
        </w:rPr>
        <w:tab/>
      </w:r>
      <w:hyperlink r:id="rId569">
        <w:r>
          <w:rPr>
            <w:rFonts w:ascii="Calibri" w:cs="Calibri" w:eastAsia="Calibri" w:hAnsi="Calibri"/>
            <w:sz w:val="17"/>
            <w:szCs w:val="17"/>
            <w:u w:val="single" w:color="auto"/>
            <w:color w:val="0000FF"/>
          </w:rPr>
          <w:t>2021 Incentve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-18415</wp:posOffset>
            </wp:positionV>
            <wp:extent cx="12071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10.18#</w:t>
      </w:r>
      <w:r>
        <w:rPr>
          <w:sz w:val="20"/>
          <w:szCs w:val="20"/>
          <w:color w:val="auto"/>
        </w:rPr>
        <w:tab/>
      </w:r>
      <w:hyperlink r:id="rId571">
        <w:r>
          <w:rPr>
            <w:rFonts w:ascii="Calibri" w:cs="Calibri" w:eastAsia="Calibri" w:hAnsi="Calibri"/>
            <w:sz w:val="17"/>
            <w:szCs w:val="17"/>
            <w:u w:val="single" w:color="auto"/>
            <w:color w:val="0000FF"/>
          </w:rPr>
          <w:t>First Amendment to 2021 Incentve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21418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2141855" cy="8890"/>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10.19#</w:t>
      </w:r>
      <w:r>
        <w:rPr>
          <w:sz w:val="20"/>
          <w:szCs w:val="20"/>
          <w:color w:val="auto"/>
        </w:rPr>
        <w:tab/>
      </w:r>
      <w:hyperlink r:id="rId573">
        <w:r>
          <w:rPr>
            <w:rFonts w:ascii="Calibri" w:cs="Calibri" w:eastAsia="Calibri" w:hAnsi="Calibri"/>
            <w:sz w:val="17"/>
            <w:szCs w:val="17"/>
            <w:u w:val="single" w:color="auto"/>
            <w:color w:val="0000FF"/>
          </w:rPr>
          <w:t>2021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-18415</wp:posOffset>
            </wp:positionV>
            <wp:extent cx="16275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4">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10.20#</w:t>
      </w:r>
      <w:r>
        <w:rPr>
          <w:sz w:val="20"/>
          <w:szCs w:val="20"/>
          <w:color w:val="auto"/>
        </w:rPr>
        <w:tab/>
      </w:r>
      <w:hyperlink r:id="rId575">
        <w:r>
          <w:rPr>
            <w:rFonts w:ascii="Calibri" w:cs="Calibri" w:eastAsia="Calibri" w:hAnsi="Calibri"/>
            <w:sz w:val="17"/>
            <w:szCs w:val="17"/>
            <w:u w:val="single" w:color="auto"/>
            <w:color w:val="0000FF"/>
          </w:rPr>
          <w:t>Form of Restricted Stock Unit Grant Notce and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266128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6">
                      <a:extLst>
                        <a:ext uri="{28A0092B-C50C-407E-A947-70E740481C1C}"/>
                      </a:extLst>
                    </a:blip>
                    <a:srcRect/>
                    <a:stretch>
                      <a:fillRect/>
                    </a:stretch>
                  </pic:blipFill>
                  <pic:spPr bwMode="auto">
                    <a:xfrm>
                      <a:off x="0" y="0"/>
                      <a:ext cx="26612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120"/>
        <w:spacing w:after="0"/>
        <w:rPr>
          <w:sz w:val="20"/>
          <w:szCs w:val="20"/>
          <w:color w:val="auto"/>
        </w:rPr>
      </w:pPr>
      <w:r>
        <w:rPr>
          <w:rFonts w:ascii="Calibri" w:cs="Calibri" w:eastAsia="Calibri" w:hAnsi="Calibri"/>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481965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6"/>
              </w:rPr>
              <w:t>10-K</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10.38</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3/7/2023</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7"/>
              </w:rPr>
              <w:t>11/7/2023</w:t>
            </w:r>
          </w:p>
        </w:tc>
      </w:tr>
      <w:tr>
        <w:trPr>
          <w:trHeight w:val="688"/>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10.3</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688"/>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10.6</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6"/>
              </w:rPr>
              <w:t>10-K</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10.41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3/8/2024</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10.7</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10.8</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10.9</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10.10</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10.11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6"/>
              </w:rPr>
              <w:t>10-K</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10.42</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3/8/2024</w:t>
            </w:r>
          </w:p>
        </w:tc>
      </w:tr>
      <w:tr>
        <w:trPr>
          <w:trHeight w:val="688"/>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10.4</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7"/>
              </w:rPr>
              <w:t>9/23/2021</w:t>
            </w:r>
          </w:p>
        </w:tc>
      </w:tr>
      <w:tr>
        <w:trPr>
          <w:trHeight w:val="257"/>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10.5</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10/22/2021</w:t>
            </w:r>
          </w:p>
        </w:tc>
      </w:tr>
      <w:tr>
        <w:trPr>
          <w:trHeight w:val="256"/>
        </w:trPr>
        <w:tc>
          <w:tcPr>
            <w:tcW w:w="560" w:type="dxa"/>
            <w:vAlign w:val="bottom"/>
          </w:tcPr>
          <w:p>
            <w:pPr>
              <w:jc w:val="center"/>
              <w:ind w:right="50"/>
              <w:spacing w:after="0"/>
              <w:rPr>
                <w:sz w:val="20"/>
                <w:szCs w:val="20"/>
                <w:color w:val="auto"/>
              </w:rPr>
            </w:pPr>
            <w:r>
              <w:rPr>
                <w:rFonts w:ascii="Calibri" w:cs="Calibri" w:eastAsia="Calibri" w:hAnsi="Calibri"/>
                <w:sz w:val="18"/>
                <w:szCs w:val="18"/>
                <w:color w:val="auto"/>
                <w:w w:val="95"/>
              </w:rPr>
              <w:t>S-8</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99.1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10/18/2021</w:t>
            </w:r>
          </w:p>
        </w:tc>
      </w:tr>
      <w:tr>
        <w:trPr>
          <w:trHeight w:val="257"/>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2/9/2024</w:t>
            </w:r>
          </w:p>
        </w:tc>
      </w:tr>
      <w:tr>
        <w:trPr>
          <w:trHeight w:val="256"/>
        </w:trPr>
        <w:tc>
          <w:tcPr>
            <w:tcW w:w="560" w:type="dxa"/>
            <w:vAlign w:val="bottom"/>
          </w:tcPr>
          <w:p>
            <w:pPr>
              <w:jc w:val="center"/>
              <w:ind w:right="50"/>
              <w:spacing w:after="0"/>
              <w:rPr>
                <w:sz w:val="20"/>
                <w:szCs w:val="20"/>
                <w:color w:val="auto"/>
              </w:rPr>
            </w:pPr>
            <w:r>
              <w:rPr>
                <w:rFonts w:ascii="Calibri" w:cs="Calibri" w:eastAsia="Calibri" w:hAnsi="Calibri"/>
                <w:sz w:val="18"/>
                <w:szCs w:val="18"/>
                <w:color w:val="auto"/>
                <w:w w:val="95"/>
              </w:rPr>
              <w:t>S-8</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99.2</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10/18/2021</w:t>
            </w:r>
          </w:p>
        </w:tc>
      </w:tr>
      <w:tr>
        <w:trPr>
          <w:trHeight w:val="257"/>
        </w:trPr>
        <w:tc>
          <w:tcPr>
            <w:tcW w:w="560" w:type="dxa"/>
            <w:vAlign w:val="bottom"/>
          </w:tcPr>
          <w:p>
            <w:pPr>
              <w:jc w:val="center"/>
              <w:ind w:right="50"/>
              <w:spacing w:after="0"/>
              <w:rPr>
                <w:sz w:val="20"/>
                <w:szCs w:val="20"/>
                <w:color w:val="auto"/>
              </w:rPr>
            </w:pPr>
            <w:r>
              <w:rPr>
                <w:rFonts w:ascii="Calibri" w:cs="Calibri" w:eastAsia="Calibri" w:hAnsi="Calibri"/>
                <w:sz w:val="18"/>
                <w:szCs w:val="18"/>
                <w:color w:val="auto"/>
                <w:w w:val="95"/>
              </w:rPr>
              <w:t>S-8</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99.3</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10/18/2021</w:t>
            </w:r>
          </w:p>
        </w:tc>
      </w:tr>
    </w:tbl>
    <w:p>
      <w:pPr>
        <w:sectPr>
          <w:pgSz w:w="11900" w:h="16838" w:orient="portrait"/>
          <w:cols w:equalWidth="0" w:num="2">
            <w:col w:w="6860" w:space="260"/>
            <w:col w:w="3120"/>
          </w:cols>
          <w:pgMar w:left="700" w:top="1422" w:right="959" w:bottom="1440" w:gutter="0" w:footer="0" w:header="0"/>
        </w:sectPr>
      </w:pPr>
    </w:p>
    <w:bookmarkStart w:id="116" w:name="page117"/>
    <w:bookmarkEnd w:id="116"/>
    <w:p>
      <w:pPr>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10.21#</w:t>
      </w:r>
      <w:r>
        <w:rPr>
          <w:sz w:val="20"/>
          <w:szCs w:val="20"/>
          <w:color w:val="auto"/>
        </w:rPr>
        <w:tab/>
      </w:r>
      <w:hyperlink r:id="rId578">
        <w:r>
          <w:rPr>
            <w:rFonts w:ascii="Calibri" w:cs="Calibri" w:eastAsia="Calibri" w:hAnsi="Calibri"/>
            <w:sz w:val="17"/>
            <w:szCs w:val="17"/>
            <w:u w:val="single" w:color="auto"/>
            <w:color w:val="0000FF"/>
          </w:rPr>
          <w:t>Form of Non-Employee Director Restricted Stock Unit Grant Notce and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375285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9">
                      <a:extLst>
                        <a:ext uri="{28A0092B-C50C-407E-A947-70E740481C1C}"/>
                      </a:extLst>
                    </a:blip>
                    <a:srcRect/>
                    <a:stretch>
                      <a:fillRect/>
                    </a:stretch>
                  </pic:blipFill>
                  <pic:spPr bwMode="auto">
                    <a:xfrm>
                      <a:off x="0" y="0"/>
                      <a:ext cx="3752850" cy="8890"/>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10.22#</w:t>
      </w:r>
      <w:r>
        <w:rPr>
          <w:sz w:val="20"/>
          <w:szCs w:val="20"/>
          <w:color w:val="auto"/>
        </w:rPr>
        <w:tab/>
      </w:r>
      <w:hyperlink r:id="rId580">
        <w:r>
          <w:rPr>
            <w:rFonts w:ascii="Calibri" w:cs="Calibri" w:eastAsia="Calibri" w:hAnsi="Calibri"/>
            <w:sz w:val="17"/>
            <w:szCs w:val="17"/>
            <w:u w:val="single" w:color="auto"/>
            <w:color w:val="0000FF"/>
          </w:rPr>
          <w:t>Form of Stock Opton Grant Notce and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2294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1">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10.23#</w:t>
      </w:r>
      <w:r>
        <w:rPr>
          <w:sz w:val="20"/>
          <w:szCs w:val="20"/>
          <w:color w:val="auto"/>
        </w:rPr>
        <w:tab/>
      </w:r>
      <w:hyperlink r:id="rId582">
        <w:r>
          <w:rPr>
            <w:rFonts w:ascii="Calibri" w:cs="Calibri" w:eastAsia="Calibri" w:hAnsi="Calibri"/>
            <w:sz w:val="17"/>
            <w:szCs w:val="17"/>
            <w:u w:val="single" w:color="auto"/>
            <w:color w:val="0000FF"/>
          </w:rPr>
          <w:t>Form of Stock Opton Cancellaton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20783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3">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sz w:val="20"/>
          <w:szCs w:val="20"/>
          <w:color w:val="auto"/>
        </w:rPr>
      </w:pPr>
      <w:r>
        <w:rPr>
          <w:rFonts w:ascii="Calibri" w:cs="Calibri" w:eastAsia="Calibri" w:hAnsi="Calibri"/>
          <w:sz w:val="18"/>
          <w:szCs w:val="18"/>
          <w:color w:val="auto"/>
        </w:rPr>
        <w:t>10.24#</w:t>
      </w:r>
      <w:r>
        <w:rPr>
          <w:sz w:val="20"/>
          <w:szCs w:val="20"/>
          <w:color w:val="auto"/>
        </w:rPr>
        <w:tab/>
      </w:r>
      <w:r>
        <w:rPr>
          <w:rFonts w:ascii="Calibri" w:cs="Calibri" w:eastAsia="Calibri" w:hAnsi="Calibri"/>
          <w:sz w:val="17"/>
          <w:szCs w:val="17"/>
          <w:u w:val="single" w:color="auto"/>
          <w:color w:val="0000FF"/>
        </w:rPr>
        <w:t>Non-Employee Director Compensaton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203835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4">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22" w:lineRule="exact"/>
        <w:rPr>
          <w:sz w:val="20"/>
          <w:szCs w:val="20"/>
          <w:color w:val="auto"/>
        </w:rPr>
      </w:pPr>
    </w:p>
    <w:p>
      <w:pPr>
        <w:ind w:left="840" w:right="20" w:hanging="831"/>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10.25#</w:t>
      </w:r>
      <w:r>
        <w:rPr>
          <w:sz w:val="20"/>
          <w:szCs w:val="20"/>
          <w:color w:val="auto"/>
        </w:rPr>
        <w:tab/>
      </w:r>
      <w:hyperlink r:id="rId585">
        <w:r>
          <w:rPr>
            <w:rFonts w:ascii="Calibri" w:cs="Calibri" w:eastAsia="Calibri" w:hAnsi="Calibri"/>
            <w:sz w:val="18"/>
            <w:szCs w:val="18"/>
            <w:u w:val="single" w:color="auto"/>
            <w:color w:val="0000FF"/>
          </w:rPr>
          <w:t>Employment Agreement, dated August 9, 2021, among Stanley Chia, Vivid Seats</w:t>
        </w:r>
      </w:hyperlink>
      <w:r>
        <w:rPr>
          <w:rFonts w:ascii="Calibri" w:cs="Calibri" w:eastAsia="Calibri" w:hAnsi="Calibri"/>
          <w:sz w:val="18"/>
          <w:szCs w:val="18"/>
          <w:u w:val="single" w:color="auto"/>
          <w:color w:val="0000FF"/>
        </w:rPr>
        <w:t xml:space="preserve"> </w:t>
      </w:r>
      <w:hyperlink r:id="rId585">
        <w:r>
          <w:rPr>
            <w:rFonts w:ascii="Calibri" w:cs="Calibri" w:eastAsia="Calibri" w:hAnsi="Calibri"/>
            <w:sz w:val="18"/>
            <w:szCs w:val="18"/>
            <w:u w:val="single" w:color="auto"/>
            <w:color w:val="0000FF"/>
          </w:rPr>
          <w:t>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6">
                      <a:extLst>
                        <a:ext uri="{28A0092B-C50C-407E-A947-70E740481C1C}"/>
                      </a:extLst>
                    </a:blip>
                    <a:srcRect/>
                    <a:stretch>
                      <a:fillRect/>
                    </a:stretch>
                  </pic:blipFill>
                  <pic:spPr bwMode="auto">
                    <a:xfrm>
                      <a:off x="0" y="0"/>
                      <a:ext cx="381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07823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7">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22" w:lineRule="exact"/>
        <w:rPr>
          <w:sz w:val="20"/>
          <w:szCs w:val="20"/>
          <w:color w:val="auto"/>
        </w:rPr>
      </w:pPr>
    </w:p>
    <w:p>
      <w:pPr>
        <w:ind w:left="840" w:right="20" w:hanging="831"/>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10.26#</w:t>
      </w:r>
      <w:r>
        <w:rPr>
          <w:sz w:val="20"/>
          <w:szCs w:val="20"/>
          <w:color w:val="auto"/>
        </w:rPr>
        <w:tab/>
      </w:r>
      <w:hyperlink r:id="rId588">
        <w:r>
          <w:rPr>
            <w:rFonts w:ascii="Calibri" w:cs="Calibri" w:eastAsia="Calibri" w:hAnsi="Calibri"/>
            <w:sz w:val="18"/>
            <w:szCs w:val="18"/>
            <w:u w:val="single" w:color="auto"/>
            <w:color w:val="0000FF"/>
          </w:rPr>
          <w:t>Amendment to Employment Agreement, dated June 26, 2024, among Stanley Chia,</w:t>
        </w:r>
      </w:hyperlink>
      <w:r>
        <w:rPr>
          <w:rFonts w:ascii="Calibri" w:cs="Calibri" w:eastAsia="Calibri" w:hAnsi="Calibri"/>
          <w:sz w:val="18"/>
          <w:szCs w:val="18"/>
          <w:u w:val="single" w:color="auto"/>
          <w:color w:val="0000FF"/>
        </w:rPr>
        <w:t xml:space="preserve"> </w:t>
      </w:r>
      <w:hyperlink r:id="rId588">
        <w:r>
          <w:rPr>
            <w:rFonts w:ascii="Calibri" w:cs="Calibri" w:eastAsia="Calibri" w:hAnsi="Calibri"/>
            <w:sz w:val="18"/>
            <w:szCs w:val="18"/>
            <w:u w:val="single" w:color="auto"/>
            <w:color w:val="0000FF"/>
          </w:rPr>
          <w:t>Vivid Seats 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079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9">
                      <a:extLst>
                        <a:ext uri="{28A0092B-C50C-407E-A947-70E740481C1C}"/>
                      </a:extLst>
                    </a:blip>
                    <a:srcRect/>
                    <a:stretch>
                      <a:fillRect/>
                    </a:stretch>
                  </pic:blipFill>
                  <pic:spPr bwMode="auto">
                    <a:xfrm>
                      <a:off x="0" y="0"/>
                      <a:ext cx="382079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592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0">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22" w:lineRule="exact"/>
        <w:rPr>
          <w:sz w:val="20"/>
          <w:szCs w:val="20"/>
          <w:color w:val="auto"/>
        </w:rPr>
      </w:pPr>
    </w:p>
    <w:p>
      <w:pPr>
        <w:ind w:left="840" w:hanging="831"/>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10.27#</w:t>
      </w:r>
      <w:r>
        <w:rPr>
          <w:sz w:val="20"/>
          <w:szCs w:val="20"/>
          <w:color w:val="auto"/>
        </w:rPr>
        <w:tab/>
      </w:r>
      <w:hyperlink r:id="rId591">
        <w:r>
          <w:rPr>
            <w:rFonts w:ascii="Calibri" w:cs="Calibri" w:eastAsia="Calibri" w:hAnsi="Calibri"/>
            <w:sz w:val="18"/>
            <w:szCs w:val="18"/>
            <w:u w:val="single" w:color="auto"/>
            <w:color w:val="0000FF"/>
          </w:rPr>
          <w:t>Employment and Restrictve Covenants Agreement, dated April 1, 2020, between</w:t>
        </w:r>
      </w:hyperlink>
      <w:r>
        <w:rPr>
          <w:rFonts w:ascii="Calibri" w:cs="Calibri" w:eastAsia="Calibri" w:hAnsi="Calibri"/>
          <w:sz w:val="18"/>
          <w:szCs w:val="18"/>
          <w:u w:val="single" w:color="auto"/>
          <w:color w:val="0000FF"/>
        </w:rPr>
        <w:t xml:space="preserve"> </w:t>
      </w:r>
      <w:hyperlink r:id="rId591">
        <w:r>
          <w:rPr>
            <w:rFonts w:ascii="Calibri" w:cs="Calibri" w:eastAsia="Calibri" w:hAnsi="Calibri"/>
            <w:sz w:val="18"/>
            <w:szCs w:val="18"/>
            <w:u w:val="single" w:color="auto"/>
            <w:color w:val="0000FF"/>
          </w:rPr>
          <w:t>Lawrence Fey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143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2">
                      <a:extLst>
                        <a:ext uri="{28A0092B-C50C-407E-A947-70E740481C1C}"/>
                      </a:extLst>
                    </a:blip>
                    <a:srcRect/>
                    <a:stretch>
                      <a:fillRect/>
                    </a:stretch>
                  </pic:blipFill>
                  <pic:spPr bwMode="auto">
                    <a:xfrm>
                      <a:off x="0" y="0"/>
                      <a:ext cx="382143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5062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3">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2" w:lineRule="exact"/>
        <w:rPr>
          <w:sz w:val="20"/>
          <w:szCs w:val="20"/>
          <w:color w:val="auto"/>
        </w:rPr>
      </w:pPr>
    </w:p>
    <w:p>
      <w:pPr>
        <w:ind w:left="840" w:right="20" w:hanging="831"/>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10.28#</w:t>
      </w:r>
      <w:r>
        <w:rPr>
          <w:sz w:val="20"/>
          <w:szCs w:val="20"/>
          <w:color w:val="auto"/>
        </w:rPr>
        <w:tab/>
      </w:r>
      <w:hyperlink r:id="rId594">
        <w:r>
          <w:rPr>
            <w:rFonts w:ascii="Calibri" w:cs="Calibri" w:eastAsia="Calibri" w:hAnsi="Calibri"/>
            <w:sz w:val="18"/>
            <w:szCs w:val="18"/>
            <w:u w:val="single" w:color="auto"/>
            <w:color w:val="0000FF"/>
          </w:rPr>
          <w:t>Employment Agreement, dated August 9, 2021, among Lawrence Fey, Vivid Seats</w:t>
        </w:r>
      </w:hyperlink>
      <w:r>
        <w:rPr>
          <w:rFonts w:ascii="Calibri" w:cs="Calibri" w:eastAsia="Calibri" w:hAnsi="Calibri"/>
          <w:sz w:val="18"/>
          <w:szCs w:val="18"/>
          <w:u w:val="single" w:color="auto"/>
          <w:color w:val="0000FF"/>
        </w:rPr>
        <w:t xml:space="preserve"> </w:t>
      </w:r>
      <w:hyperlink r:id="rId594">
        <w:r>
          <w:rPr>
            <w:rFonts w:ascii="Calibri" w:cs="Calibri" w:eastAsia="Calibri" w:hAnsi="Calibri"/>
            <w:sz w:val="18"/>
            <w:szCs w:val="18"/>
            <w:u w:val="single" w:color="auto"/>
            <w:color w:val="0000FF"/>
          </w:rPr>
          <w:t>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381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5">
                      <a:extLst>
                        <a:ext uri="{28A0092B-C50C-407E-A947-70E740481C1C}"/>
                      </a:extLst>
                    </a:blip>
                    <a:srcRect/>
                    <a:stretch>
                      <a:fillRect/>
                    </a:stretch>
                  </pic:blipFill>
                  <pic:spPr bwMode="auto">
                    <a:xfrm>
                      <a:off x="0" y="0"/>
                      <a:ext cx="381381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07823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6">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22" w:lineRule="exact"/>
        <w:rPr>
          <w:sz w:val="20"/>
          <w:szCs w:val="20"/>
          <w:color w:val="auto"/>
        </w:rPr>
      </w:pPr>
    </w:p>
    <w:p>
      <w:pPr>
        <w:ind w:left="840" w:right="20" w:hanging="831"/>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10.29#</w:t>
      </w:r>
      <w:r>
        <w:rPr>
          <w:sz w:val="20"/>
          <w:szCs w:val="20"/>
          <w:color w:val="auto"/>
        </w:rPr>
        <w:tab/>
      </w:r>
      <w:hyperlink r:id="rId597">
        <w:r>
          <w:rPr>
            <w:rFonts w:ascii="Calibri" w:cs="Calibri" w:eastAsia="Calibri" w:hAnsi="Calibri"/>
            <w:sz w:val="18"/>
            <w:szCs w:val="18"/>
            <w:u w:val="single" w:color="auto"/>
            <w:color w:val="0000FF"/>
          </w:rPr>
          <w:t>Amendment to Employment Agreement, dated June 26, 2024, among Lawrence</w:t>
        </w:r>
      </w:hyperlink>
      <w:r>
        <w:rPr>
          <w:rFonts w:ascii="Calibri" w:cs="Calibri" w:eastAsia="Calibri" w:hAnsi="Calibri"/>
          <w:sz w:val="18"/>
          <w:szCs w:val="18"/>
          <w:u w:val="single" w:color="auto"/>
          <w:color w:val="0000FF"/>
        </w:rPr>
        <w:t xml:space="preserve"> </w:t>
      </w:r>
      <w:hyperlink r:id="rId597">
        <w:r>
          <w:rPr>
            <w:rFonts w:ascii="Calibri" w:cs="Calibri" w:eastAsia="Calibri" w:hAnsi="Calibri"/>
            <w:sz w:val="18"/>
            <w:szCs w:val="18"/>
            <w:u w:val="single" w:color="auto"/>
            <w:color w:val="0000FF"/>
          </w:rPr>
          <w:t>Fey, Vivid Seats 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016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8">
                      <a:extLst>
                        <a:ext uri="{28A0092B-C50C-407E-A947-70E740481C1C}"/>
                      </a:extLst>
                    </a:blip>
                    <a:srcRect/>
                    <a:stretch>
                      <a:fillRect/>
                    </a:stretch>
                  </pic:blipFill>
                  <pic:spPr bwMode="auto">
                    <a:xfrm>
                      <a:off x="0" y="0"/>
                      <a:ext cx="382016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80276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9">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22" w:lineRule="exact"/>
        <w:rPr>
          <w:sz w:val="20"/>
          <w:szCs w:val="20"/>
          <w:color w:val="auto"/>
        </w:rPr>
      </w:pPr>
    </w:p>
    <w:p>
      <w:pPr>
        <w:ind w:left="840" w:right="20" w:hanging="831"/>
        <w:spacing w:after="0" w:line="235" w:lineRule="auto"/>
        <w:tabs>
          <w:tab w:leader="none" w:pos="820" w:val="left"/>
        </w:tabs>
        <w:rPr>
          <w:sz w:val="20"/>
          <w:szCs w:val="20"/>
          <w:color w:val="auto"/>
        </w:rPr>
      </w:pPr>
      <w:r>
        <w:rPr>
          <w:rFonts w:ascii="Calibri" w:cs="Calibri" w:eastAsia="Calibri" w:hAnsi="Calibri"/>
          <w:sz w:val="18"/>
          <w:szCs w:val="18"/>
          <w:color w:val="auto"/>
        </w:rPr>
        <w:t>10.30#</w:t>
      </w:r>
      <w:r>
        <w:rPr>
          <w:sz w:val="20"/>
          <w:szCs w:val="20"/>
          <w:color w:val="auto"/>
        </w:rPr>
        <w:tab/>
      </w:r>
      <w:r>
        <w:rPr>
          <w:rFonts w:ascii="Calibri" w:cs="Calibri" w:eastAsia="Calibri" w:hAnsi="Calibri"/>
          <w:sz w:val="18"/>
          <w:szCs w:val="18"/>
          <w:u w:val="single" w:color="auto"/>
          <w:color w:val="0000FF"/>
        </w:rPr>
        <w:t>Employment Agreement, dated August 13, 2021, among Riva Bakal, Vivid Seats Inc., and Vivid Seats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444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0">
                      <a:extLst>
                        <a:ext uri="{28A0092B-C50C-407E-A947-70E740481C1C}"/>
                      </a:extLst>
                    </a:blip>
                    <a:srcRect/>
                    <a:stretch>
                      <a:fillRect/>
                    </a:stretch>
                  </pic:blipFill>
                  <pic:spPr bwMode="auto">
                    <a:xfrm>
                      <a:off x="0" y="0"/>
                      <a:ext cx="381444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86296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1">
                      <a:extLst>
                        <a:ext uri="{28A0092B-C50C-407E-A947-70E740481C1C}"/>
                      </a:extLst>
                    </a:blip>
                    <a:srcRect/>
                    <a:stretch>
                      <a:fillRect/>
                    </a:stretch>
                  </pic:blipFill>
                  <pic:spPr bwMode="auto">
                    <a:xfrm>
                      <a:off x="0" y="0"/>
                      <a:ext cx="862965" cy="8890"/>
                    </a:xfrm>
                    <a:prstGeom prst="rect">
                      <a:avLst/>
                    </a:prstGeom>
                    <a:noFill/>
                  </pic:spPr>
                </pic:pic>
              </a:graphicData>
            </a:graphic>
          </wp:anchor>
        </w:drawing>
      </w:r>
    </w:p>
    <w:p>
      <w:pPr>
        <w:spacing w:after="0" w:line="22" w:lineRule="exact"/>
        <w:rPr>
          <w:sz w:val="20"/>
          <w:szCs w:val="20"/>
          <w:color w:val="auto"/>
        </w:rPr>
      </w:pPr>
    </w:p>
    <w:p>
      <w:pPr>
        <w:ind w:left="840" w:right="20" w:hanging="831"/>
        <w:spacing w:after="0" w:line="235" w:lineRule="auto"/>
        <w:tabs>
          <w:tab w:leader="none" w:pos="820" w:val="left"/>
        </w:tabs>
        <w:rPr>
          <w:sz w:val="20"/>
          <w:szCs w:val="20"/>
          <w:color w:val="auto"/>
        </w:rPr>
      </w:pPr>
      <w:r>
        <w:rPr>
          <w:rFonts w:ascii="Calibri" w:cs="Calibri" w:eastAsia="Calibri" w:hAnsi="Calibri"/>
          <w:sz w:val="18"/>
          <w:szCs w:val="18"/>
          <w:color w:val="auto"/>
        </w:rPr>
        <w:t>10.31#</w:t>
      </w:r>
      <w:r>
        <w:rPr>
          <w:sz w:val="20"/>
          <w:szCs w:val="20"/>
          <w:color w:val="auto"/>
        </w:rPr>
        <w:tab/>
      </w:r>
      <w:r>
        <w:rPr>
          <w:rFonts w:ascii="Calibri" w:cs="Calibri" w:eastAsia="Calibri" w:hAnsi="Calibri"/>
          <w:sz w:val="18"/>
          <w:szCs w:val="18"/>
          <w:u w:val="single" w:color="auto"/>
          <w:color w:val="0000FF"/>
        </w:rPr>
        <w:t>Amendment to Employment Agreement, dated June 26, 2024, among Riva Bakal, Vivid Seats Inc., and Vivid Seats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0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2">
                      <a:extLst>
                        <a:ext uri="{28A0092B-C50C-407E-A947-70E740481C1C}"/>
                      </a:extLst>
                    </a:blip>
                    <a:srcRect/>
                    <a:stretch>
                      <a:fillRect/>
                    </a:stretch>
                  </pic:blipFill>
                  <pic:spPr bwMode="auto">
                    <a:xfrm>
                      <a:off x="0" y="0"/>
                      <a:ext cx="3820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592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3">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spacing w:after="0" w:line="17" w:lineRule="exact"/>
        <w:rPr>
          <w:sz w:val="20"/>
          <w:szCs w:val="20"/>
          <w:color w:val="auto"/>
        </w:rPr>
      </w:pPr>
    </w:p>
    <w:p>
      <w:pPr>
        <w:ind w:left="40"/>
        <w:spacing w:after="0"/>
        <w:tabs>
          <w:tab w:leader="none" w:pos="82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10.32</w:t>
      </w:r>
      <w:r>
        <w:rPr>
          <w:sz w:val="20"/>
          <w:szCs w:val="20"/>
          <w:color w:val="auto"/>
        </w:rPr>
        <w:tab/>
      </w:r>
      <w:hyperlink r:id="rId604">
        <w:r>
          <w:rPr>
            <w:rFonts w:ascii="Calibri" w:cs="Calibri" w:eastAsia="Calibri" w:hAnsi="Calibri"/>
            <w:sz w:val="17"/>
            <w:szCs w:val="17"/>
            <w:u w:val="single" w:color="auto"/>
            <w:color w:val="0000FF"/>
          </w:rPr>
          <w:t>Form of Redempton, Repurchase and Cancellaton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-19050</wp:posOffset>
            </wp:positionV>
            <wp:extent cx="28321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5">
                      <a:extLst>
                        <a:ext uri="{28A0092B-C50C-407E-A947-70E740481C1C}"/>
                      </a:extLst>
                    </a:blip>
                    <a:srcRect/>
                    <a:stretch>
                      <a:fillRect/>
                    </a:stretch>
                  </pic:blipFill>
                  <pic:spPr bwMode="auto">
                    <a:xfrm>
                      <a:off x="0" y="0"/>
                      <a:ext cx="2832100" cy="8255"/>
                    </a:xfrm>
                    <a:prstGeom prst="rect">
                      <a:avLst/>
                    </a:prstGeom>
                    <a:noFill/>
                  </pic:spPr>
                </pic:pic>
              </a:graphicData>
            </a:graphic>
          </wp:anchor>
        </w:drawing>
      </w:r>
    </w:p>
    <w:p>
      <w:pPr>
        <w:spacing w:after="0" w:line="22" w:lineRule="exact"/>
        <w:rPr>
          <w:sz w:val="20"/>
          <w:szCs w:val="20"/>
          <w:color w:val="auto"/>
        </w:rPr>
      </w:pPr>
    </w:p>
    <w:p>
      <w:pPr>
        <w:jc w:val="both"/>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10.33</w:t>
      </w:r>
      <w:r>
        <w:rPr>
          <w:sz w:val="20"/>
          <w:szCs w:val="20"/>
          <w:color w:val="auto"/>
        </w:rPr>
        <w:tab/>
      </w:r>
      <w:hyperlink r:id="rId606">
        <w:r>
          <w:rPr>
            <w:rFonts w:ascii="Calibri" w:cs="Calibri" w:eastAsia="Calibri" w:hAnsi="Calibri"/>
            <w:sz w:val="18"/>
            <w:szCs w:val="18"/>
            <w:u w:val="single" w:color="auto"/>
            <w:color w:val="0000FF"/>
          </w:rPr>
          <w:t>Ofce Lease, dated December 21, 2021, between Vivid Seats LLC and BSREP II SS</w:t>
        </w:r>
      </w:hyperlink>
      <w:r>
        <w:rPr>
          <w:rFonts w:ascii="Calibri" w:cs="Calibri" w:eastAsia="Calibri" w:hAnsi="Calibri"/>
          <w:sz w:val="18"/>
          <w:szCs w:val="18"/>
          <w:u w:val="single" w:color="auto"/>
          <w:color w:val="0000FF"/>
        </w:rPr>
        <w:t xml:space="preserve"> </w:t>
      </w:r>
      <w:hyperlink r:id="rId606">
        <w:r>
          <w:rPr>
            <w:rFonts w:ascii="Calibri" w:cs="Calibri" w:eastAsia="Calibri" w:hAnsi="Calibri"/>
            <w:sz w:val="18"/>
            <w:szCs w:val="18"/>
            <w:u w:val="single" w:color="auto"/>
            <w:color w:val="0000FF"/>
          </w:rPr>
          <w:t>Chicago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381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7">
                      <a:extLst>
                        <a:ext uri="{28A0092B-C50C-407E-A947-70E740481C1C}"/>
                      </a:extLst>
                    </a:blip>
                    <a:srcRect/>
                    <a:stretch>
                      <a:fillRect/>
                    </a:stretch>
                  </pic:blipFill>
                  <pic:spPr bwMode="auto">
                    <a:xfrm>
                      <a:off x="0" y="0"/>
                      <a:ext cx="38138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5334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8">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22" w:lineRule="exact"/>
        <w:rPr>
          <w:sz w:val="20"/>
          <w:szCs w:val="20"/>
          <w:color w:val="auto"/>
        </w:rPr>
      </w:pPr>
    </w:p>
    <w:p>
      <w:pPr>
        <w:jc w:val="both"/>
        <w:ind w:left="840" w:right="20" w:hanging="788"/>
        <w:spacing w:after="0" w:line="235" w:lineRule="auto"/>
        <w:tabs>
          <w:tab w:leader="none" w:pos="820" w:val="left"/>
        </w:tabs>
        <w:rPr>
          <w:sz w:val="20"/>
          <w:szCs w:val="20"/>
          <w:color w:val="auto"/>
        </w:rPr>
      </w:pPr>
      <w:r>
        <w:rPr>
          <w:rFonts w:ascii="Calibri" w:cs="Calibri" w:eastAsia="Calibri" w:hAnsi="Calibri"/>
          <w:sz w:val="18"/>
          <w:szCs w:val="18"/>
          <w:color w:val="auto"/>
        </w:rPr>
        <w:t>10.34</w:t>
      </w:r>
      <w:r>
        <w:rPr>
          <w:sz w:val="20"/>
          <w:szCs w:val="20"/>
          <w:color w:val="auto"/>
        </w:rPr>
        <w:tab/>
      </w:r>
      <w:r>
        <w:rPr>
          <w:rFonts w:ascii="Calibri" w:cs="Calibri" w:eastAsia="Calibri" w:hAnsi="Calibri"/>
          <w:sz w:val="18"/>
          <w:szCs w:val="18"/>
          <w:u w:val="single" w:color="auto"/>
          <w:color w:val="0000FF"/>
        </w:rPr>
        <w:t>First Amendment to Ofce Lease, dated April 16, 2024, between Vivid Seats LLC and BSREP II SS Chicago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201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9">
                      <a:extLst>
                        <a:ext uri="{28A0092B-C50C-407E-A947-70E740481C1C}"/>
                      </a:extLst>
                    </a:blip>
                    <a:srcRect/>
                    <a:stretch>
                      <a:fillRect/>
                    </a:stretch>
                  </pic:blipFill>
                  <pic:spPr bwMode="auto">
                    <a:xfrm>
                      <a:off x="0" y="0"/>
                      <a:ext cx="3820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05219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0">
                      <a:extLst>
                        <a:ext uri="{28A0092B-C50C-407E-A947-70E740481C1C}"/>
                      </a:extLst>
                    </a:blip>
                    <a:srcRect/>
                    <a:stretch>
                      <a:fillRect/>
                    </a:stretch>
                  </pic:blipFill>
                  <pic:spPr bwMode="auto">
                    <a:xfrm>
                      <a:off x="0" y="0"/>
                      <a:ext cx="1052195" cy="8890"/>
                    </a:xfrm>
                    <a:prstGeom prst="rect">
                      <a:avLst/>
                    </a:prstGeom>
                    <a:noFill/>
                  </pic:spPr>
                </pic:pic>
              </a:graphicData>
            </a:graphic>
          </wp:anchor>
        </w:drawing>
      </w:r>
    </w:p>
    <w:p>
      <w:pPr>
        <w:spacing w:after="0" w:line="22" w:lineRule="exact"/>
        <w:rPr>
          <w:sz w:val="20"/>
          <w:szCs w:val="20"/>
          <w:color w:val="auto"/>
        </w:rPr>
      </w:pPr>
    </w:p>
    <w:p>
      <w:pPr>
        <w:jc w:val="both"/>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10.35</w:t>
      </w:r>
      <w:r>
        <w:rPr>
          <w:sz w:val="20"/>
          <w:szCs w:val="20"/>
          <w:color w:val="auto"/>
        </w:rPr>
        <w:tab/>
      </w:r>
      <w:hyperlink r:id="rId611">
        <w:r>
          <w:rPr>
            <w:rFonts w:ascii="Calibri" w:cs="Calibri" w:eastAsia="Calibri" w:hAnsi="Calibri"/>
            <w:sz w:val="18"/>
            <w:szCs w:val="18"/>
            <w:u w:val="single" w:color="auto"/>
            <w:color w:val="0000FF"/>
          </w:rPr>
          <w:t>First Lien Credit Agreement, dated June 30, 2017, among Hoya Midco, LLC, Hoya</w:t>
        </w:r>
      </w:hyperlink>
      <w:r>
        <w:rPr>
          <w:rFonts w:ascii="Calibri" w:cs="Calibri" w:eastAsia="Calibri" w:hAnsi="Calibri"/>
          <w:sz w:val="18"/>
          <w:szCs w:val="18"/>
          <w:u w:val="single" w:color="auto"/>
          <w:color w:val="0000FF"/>
        </w:rPr>
        <w:t xml:space="preserve"> </w:t>
      </w:r>
      <w:hyperlink r:id="rId611">
        <w:r>
          <w:rPr>
            <w:rFonts w:ascii="Calibri" w:cs="Calibri" w:eastAsia="Calibri" w:hAnsi="Calibri"/>
            <w:sz w:val="18"/>
            <w:szCs w:val="18"/>
            <w:u w:val="single" w:color="auto"/>
            <w:color w:val="0000FF"/>
          </w:rPr>
          <w:t>Intermediate, LLC, Barclays Bank PLC, and the lenders and loan partes from tme to</w:t>
        </w:r>
      </w:hyperlink>
      <w:r>
        <w:rPr>
          <w:rFonts w:ascii="Calibri" w:cs="Calibri" w:eastAsia="Calibri" w:hAnsi="Calibri"/>
          <w:sz w:val="18"/>
          <w:szCs w:val="18"/>
          <w:u w:val="single" w:color="auto"/>
          <w:color w:val="0000FF"/>
        </w:rPr>
        <w:t xml:space="preserve"> </w:t>
      </w:r>
      <w:hyperlink r:id="rId611">
        <w:r>
          <w:rPr>
            <w:rFonts w:ascii="Calibri" w:cs="Calibri" w:eastAsia="Calibri" w:hAnsi="Calibri"/>
            <w:sz w:val="18"/>
            <w:szCs w:val="18"/>
            <w:u w:val="single" w:color="auto"/>
            <w:color w:val="0000FF"/>
          </w:rPr>
          <w:t>tme party thereto</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-292100</wp:posOffset>
            </wp:positionV>
            <wp:extent cx="3820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2">
                      <a:extLst>
                        <a:ext uri="{28A0092B-C50C-407E-A947-70E740481C1C}"/>
                      </a:extLst>
                    </a:blip>
                    <a:srcRect/>
                    <a:stretch>
                      <a:fillRect/>
                    </a:stretch>
                  </pic:blipFill>
                  <pic:spPr bwMode="auto">
                    <a:xfrm>
                      <a:off x="0" y="0"/>
                      <a:ext cx="3820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-154940</wp:posOffset>
            </wp:positionV>
            <wp:extent cx="381952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3">
                      <a:extLst>
                        <a:ext uri="{28A0092B-C50C-407E-A947-70E740481C1C}"/>
                      </a:extLst>
                    </a:blip>
                    <a:srcRect/>
                    <a:stretch>
                      <a:fillRect/>
                    </a:stretch>
                  </pic:blipFill>
                  <pic:spPr bwMode="auto">
                    <a:xfrm>
                      <a:off x="0" y="0"/>
                      <a:ext cx="38195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-17780</wp:posOffset>
            </wp:positionV>
            <wp:extent cx="83693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4">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23" w:lineRule="exact"/>
        <w:rPr>
          <w:rFonts w:ascii="Calibri" w:cs="Calibri" w:eastAsia="Calibri" w:hAnsi="Calibri"/>
          <w:sz w:val="18"/>
          <w:szCs w:val="18"/>
          <w:u w:val="single" w:color="auto"/>
          <w:color w:val="0000FF"/>
        </w:rPr>
      </w:pPr>
    </w:p>
    <w:p>
      <w:pPr>
        <w:jc w:val="both"/>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10.36</w:t>
      </w:r>
      <w:r>
        <w:rPr>
          <w:sz w:val="20"/>
          <w:szCs w:val="20"/>
          <w:color w:val="auto"/>
        </w:rPr>
        <w:tab/>
      </w:r>
      <w:hyperlink r:id="rId615">
        <w:r>
          <w:rPr>
            <w:rFonts w:ascii="Calibri" w:cs="Calibri" w:eastAsia="Calibri" w:hAnsi="Calibri"/>
            <w:sz w:val="18"/>
            <w:szCs w:val="18"/>
            <w:u w:val="single" w:color="auto"/>
            <w:color w:val="0000FF"/>
          </w:rPr>
          <w:t>Amendment No. 1 to First Lien Credit Agreement, dated March 28, 2018, among</w:t>
        </w:r>
      </w:hyperlink>
      <w:r>
        <w:rPr>
          <w:rFonts w:ascii="Calibri" w:cs="Calibri" w:eastAsia="Calibri" w:hAnsi="Calibri"/>
          <w:sz w:val="18"/>
          <w:szCs w:val="18"/>
          <w:u w:val="single" w:color="auto"/>
          <w:color w:val="0000FF"/>
        </w:rPr>
        <w:t xml:space="preserve"> </w:t>
      </w:r>
      <w:hyperlink r:id="rId615">
        <w:r>
          <w:rPr>
            <w:rFonts w:ascii="Calibri" w:cs="Calibri" w:eastAsia="Calibri" w:hAnsi="Calibri"/>
            <w:sz w:val="18"/>
            <w:szCs w:val="18"/>
            <w:u w:val="single" w:color="auto"/>
            <w:color w:val="0000FF"/>
          </w:rPr>
          <w:t>Hoya Midco, LLC, Hoya Intermediate, LLC, Barclays Bank PLC, and the lenders and</w:t>
        </w:r>
      </w:hyperlink>
      <w:r>
        <w:rPr>
          <w:rFonts w:ascii="Calibri" w:cs="Calibri" w:eastAsia="Calibri" w:hAnsi="Calibri"/>
          <w:sz w:val="18"/>
          <w:szCs w:val="18"/>
          <w:u w:val="single" w:color="auto"/>
          <w:color w:val="0000FF"/>
        </w:rPr>
        <w:t xml:space="preserve"> </w:t>
      </w:r>
      <w:hyperlink r:id="rId615">
        <w:r>
          <w:rPr>
            <w:rFonts w:ascii="Calibri" w:cs="Calibri" w:eastAsia="Calibri" w:hAnsi="Calibri"/>
            <w:sz w:val="18"/>
            <w:szCs w:val="18"/>
            <w:u w:val="single" w:color="auto"/>
            <w:color w:val="0000FF"/>
          </w:rPr>
          <w:t>loan partes from tme to tme party thereto</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-292100</wp:posOffset>
            </wp:positionV>
            <wp:extent cx="381635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6">
                      <a:extLst>
                        <a:ext uri="{28A0092B-C50C-407E-A947-70E740481C1C}"/>
                      </a:extLst>
                    </a:blip>
                    <a:srcRect/>
                    <a:stretch>
                      <a:fillRect/>
                    </a:stretch>
                  </pic:blipFill>
                  <pic:spPr bwMode="auto">
                    <a:xfrm>
                      <a:off x="0" y="0"/>
                      <a:ext cx="381635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-154940</wp:posOffset>
            </wp:positionV>
            <wp:extent cx="381571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7">
                      <a:extLst>
                        <a:ext uri="{28A0092B-C50C-407E-A947-70E740481C1C}"/>
                      </a:extLst>
                    </a:blip>
                    <a:srcRect/>
                    <a:stretch>
                      <a:fillRect/>
                    </a:stretch>
                  </pic:blipFill>
                  <pic:spPr bwMode="auto">
                    <a:xfrm>
                      <a:off x="0" y="0"/>
                      <a:ext cx="38157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-17780</wp:posOffset>
            </wp:positionV>
            <wp:extent cx="19945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8">
                      <a:extLst>
                        <a:ext uri="{28A0092B-C50C-407E-A947-70E740481C1C}"/>
                      </a:extLst>
                    </a:blip>
                    <a:srcRect/>
                    <a:stretch>
                      <a:fillRect/>
                    </a:stretch>
                  </pic:blipFill>
                  <pic:spPr bwMode="auto">
                    <a:xfrm>
                      <a:off x="0" y="0"/>
                      <a:ext cx="1994535" cy="8255"/>
                    </a:xfrm>
                    <a:prstGeom prst="rect">
                      <a:avLst/>
                    </a:prstGeom>
                    <a:noFill/>
                  </pic:spPr>
                </pic:pic>
              </a:graphicData>
            </a:graphic>
          </wp:anchor>
        </w:drawing>
      </w:r>
    </w:p>
    <w:p>
      <w:pPr>
        <w:spacing w:after="0" w:line="23" w:lineRule="exact"/>
        <w:rPr>
          <w:rFonts w:ascii="Calibri" w:cs="Calibri" w:eastAsia="Calibri" w:hAnsi="Calibri"/>
          <w:sz w:val="18"/>
          <w:szCs w:val="18"/>
          <w:u w:val="single" w:color="auto"/>
          <w:color w:val="0000FF"/>
        </w:rPr>
      </w:pPr>
    </w:p>
    <w:p>
      <w:pPr>
        <w:jc w:val="both"/>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10.37</w:t>
      </w:r>
      <w:r>
        <w:rPr>
          <w:sz w:val="20"/>
          <w:szCs w:val="20"/>
          <w:color w:val="auto"/>
        </w:rPr>
        <w:tab/>
      </w:r>
      <w:hyperlink r:id="rId619">
        <w:r>
          <w:rPr>
            <w:rFonts w:ascii="Calibri" w:cs="Calibri" w:eastAsia="Calibri" w:hAnsi="Calibri"/>
            <w:sz w:val="18"/>
            <w:szCs w:val="18"/>
            <w:u w:val="single" w:color="auto"/>
            <w:color w:val="0000FF"/>
          </w:rPr>
          <w:t>Amendment No. 2 to First Lien Credit Agreement, dated July 2, 2018, among Hoya</w:t>
        </w:r>
      </w:hyperlink>
      <w:r>
        <w:rPr>
          <w:rFonts w:ascii="Calibri" w:cs="Calibri" w:eastAsia="Calibri" w:hAnsi="Calibri"/>
          <w:sz w:val="18"/>
          <w:szCs w:val="18"/>
          <w:u w:val="single" w:color="auto"/>
          <w:color w:val="0000FF"/>
        </w:rPr>
        <w:t xml:space="preserve"> </w:t>
      </w:r>
      <w:hyperlink r:id="rId619">
        <w:r>
          <w:rPr>
            <w:rFonts w:ascii="Calibri" w:cs="Calibri" w:eastAsia="Calibri" w:hAnsi="Calibri"/>
            <w:sz w:val="18"/>
            <w:szCs w:val="18"/>
            <w:u w:val="single" w:color="auto"/>
            <w:color w:val="0000FF"/>
          </w:rPr>
          <w:t>Midco, LLC, Hoya Intermediate, LLC, Barclays Bank PLC, and the lenders and loan</w:t>
        </w:r>
      </w:hyperlink>
      <w:r>
        <w:rPr>
          <w:rFonts w:ascii="Calibri" w:cs="Calibri" w:eastAsia="Calibri" w:hAnsi="Calibri"/>
          <w:sz w:val="18"/>
          <w:szCs w:val="18"/>
          <w:u w:val="single" w:color="auto"/>
          <w:color w:val="0000FF"/>
        </w:rPr>
        <w:t xml:space="preserve"> </w:t>
      </w:r>
      <w:hyperlink r:id="rId619">
        <w:r>
          <w:rPr>
            <w:rFonts w:ascii="Calibri" w:cs="Calibri" w:eastAsia="Calibri" w:hAnsi="Calibri"/>
            <w:sz w:val="18"/>
            <w:szCs w:val="18"/>
            <w:u w:val="single" w:color="auto"/>
            <w:color w:val="0000FF"/>
          </w:rPr>
          <w:t>partes from tme to tme party thereto</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-292100</wp:posOffset>
            </wp:positionV>
            <wp:extent cx="381698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0">
                      <a:extLst>
                        <a:ext uri="{28A0092B-C50C-407E-A947-70E740481C1C}"/>
                      </a:extLst>
                    </a:blip>
                    <a:srcRect/>
                    <a:stretch>
                      <a:fillRect/>
                    </a:stretch>
                  </pic:blipFill>
                  <pic:spPr bwMode="auto">
                    <a:xfrm>
                      <a:off x="0" y="0"/>
                      <a:ext cx="381698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-154940</wp:posOffset>
            </wp:positionV>
            <wp:extent cx="381381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1">
                      <a:extLst>
                        <a:ext uri="{28A0092B-C50C-407E-A947-70E740481C1C}"/>
                      </a:extLst>
                    </a:blip>
                    <a:srcRect/>
                    <a:stretch>
                      <a:fillRect/>
                    </a:stretch>
                  </pic:blipFill>
                  <pic:spPr bwMode="auto">
                    <a:xfrm>
                      <a:off x="0" y="0"/>
                      <a:ext cx="38138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-17780</wp:posOffset>
            </wp:positionV>
            <wp:extent cx="17729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2">
                      <a:extLst>
                        <a:ext uri="{28A0092B-C50C-407E-A947-70E740481C1C}"/>
                      </a:extLst>
                    </a:blip>
                    <a:srcRect/>
                    <a:stretch>
                      <a:fillRect/>
                    </a:stretch>
                  </pic:blipFill>
                  <pic:spPr bwMode="auto">
                    <a:xfrm>
                      <a:off x="0" y="0"/>
                      <a:ext cx="1772920" cy="8890"/>
                    </a:xfrm>
                    <a:prstGeom prst="rect">
                      <a:avLst/>
                    </a:prstGeom>
                    <a:noFill/>
                  </pic:spPr>
                </pic:pic>
              </a:graphicData>
            </a:graphic>
          </wp:anchor>
        </w:drawing>
      </w:r>
    </w:p>
    <w:p>
      <w:pPr>
        <w:spacing w:after="0" w:line="23" w:lineRule="exact"/>
        <w:rPr>
          <w:rFonts w:ascii="Calibri" w:cs="Calibri" w:eastAsia="Calibri" w:hAnsi="Calibri"/>
          <w:sz w:val="18"/>
          <w:szCs w:val="18"/>
          <w:u w:val="single" w:color="auto"/>
          <w:color w:val="0000FF"/>
        </w:rPr>
      </w:pPr>
    </w:p>
    <w:p>
      <w:pPr>
        <w:jc w:val="both"/>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10.38</w:t>
      </w:r>
      <w:r>
        <w:rPr>
          <w:sz w:val="20"/>
          <w:szCs w:val="20"/>
          <w:color w:val="auto"/>
        </w:rPr>
        <w:tab/>
      </w:r>
      <w:hyperlink r:id="rId623">
        <w:r>
          <w:rPr>
            <w:rFonts w:ascii="Calibri" w:cs="Calibri" w:eastAsia="Calibri" w:hAnsi="Calibri"/>
            <w:sz w:val="18"/>
            <w:szCs w:val="18"/>
            <w:u w:val="single" w:color="auto"/>
            <w:color w:val="0000FF"/>
          </w:rPr>
          <w:t>Amendment No. 3 to First Lien Credit Agreement, dated May 22, 2020, among Hoya</w:t>
        </w:r>
      </w:hyperlink>
      <w:r>
        <w:rPr>
          <w:rFonts w:ascii="Calibri" w:cs="Calibri" w:eastAsia="Calibri" w:hAnsi="Calibri"/>
          <w:sz w:val="18"/>
          <w:szCs w:val="18"/>
          <w:u w:val="single" w:color="auto"/>
          <w:color w:val="0000FF"/>
        </w:rPr>
        <w:t xml:space="preserve"> </w:t>
      </w:r>
      <w:hyperlink r:id="rId623">
        <w:r>
          <w:rPr>
            <w:rFonts w:ascii="Calibri" w:cs="Calibri" w:eastAsia="Calibri" w:hAnsi="Calibri"/>
            <w:sz w:val="18"/>
            <w:szCs w:val="18"/>
            <w:u w:val="single" w:color="auto"/>
            <w:color w:val="0000FF"/>
          </w:rPr>
          <w:t>Midco, LLC, Hoya Intermediate, LLC, Barclays Bank PLC, and the lenders and loan</w:t>
        </w:r>
      </w:hyperlink>
      <w:r>
        <w:rPr>
          <w:rFonts w:ascii="Calibri" w:cs="Calibri" w:eastAsia="Calibri" w:hAnsi="Calibri"/>
          <w:sz w:val="18"/>
          <w:szCs w:val="18"/>
          <w:u w:val="single" w:color="auto"/>
          <w:color w:val="0000FF"/>
        </w:rPr>
        <w:t xml:space="preserve"> </w:t>
      </w:r>
      <w:hyperlink r:id="rId623">
        <w:r>
          <w:rPr>
            <w:rFonts w:ascii="Calibri" w:cs="Calibri" w:eastAsia="Calibri" w:hAnsi="Calibri"/>
            <w:sz w:val="18"/>
            <w:szCs w:val="18"/>
            <w:u w:val="single" w:color="auto"/>
            <w:color w:val="0000FF"/>
          </w:rPr>
          <w:t>partes from tme to tme party thereto</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-292100</wp:posOffset>
            </wp:positionV>
            <wp:extent cx="381635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4">
                      <a:extLst>
                        <a:ext uri="{28A0092B-C50C-407E-A947-70E740481C1C}"/>
                      </a:extLst>
                    </a:blip>
                    <a:srcRect/>
                    <a:stretch>
                      <a:fillRect/>
                    </a:stretch>
                  </pic:blipFill>
                  <pic:spPr bwMode="auto">
                    <a:xfrm>
                      <a:off x="0" y="0"/>
                      <a:ext cx="381635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-154940</wp:posOffset>
            </wp:positionV>
            <wp:extent cx="381381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5">
                      <a:extLst>
                        <a:ext uri="{28A0092B-C50C-407E-A947-70E740481C1C}"/>
                      </a:extLst>
                    </a:blip>
                    <a:srcRect/>
                    <a:stretch>
                      <a:fillRect/>
                    </a:stretch>
                  </pic:blipFill>
                  <pic:spPr bwMode="auto">
                    <a:xfrm>
                      <a:off x="0" y="0"/>
                      <a:ext cx="38138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-17780</wp:posOffset>
            </wp:positionV>
            <wp:extent cx="177292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6">
                      <a:extLst>
                        <a:ext uri="{28A0092B-C50C-407E-A947-70E740481C1C}"/>
                      </a:extLst>
                    </a:blip>
                    <a:srcRect/>
                    <a:stretch>
                      <a:fillRect/>
                    </a:stretch>
                  </pic:blipFill>
                  <pic:spPr bwMode="auto">
                    <a:xfrm>
                      <a:off x="0" y="0"/>
                      <a:ext cx="1772920" cy="8890"/>
                    </a:xfrm>
                    <a:prstGeom prst="rect">
                      <a:avLst/>
                    </a:prstGeom>
                    <a:noFill/>
                  </pic:spPr>
                </pic:pic>
              </a:graphicData>
            </a:graphic>
          </wp:anchor>
        </w:drawing>
      </w:r>
    </w:p>
    <w:p>
      <w:pPr>
        <w:spacing w:after="0" w:line="23" w:lineRule="exact"/>
        <w:rPr>
          <w:rFonts w:ascii="Calibri" w:cs="Calibri" w:eastAsia="Calibri" w:hAnsi="Calibri"/>
          <w:sz w:val="18"/>
          <w:szCs w:val="18"/>
          <w:u w:val="single" w:color="auto"/>
          <w:color w:val="0000FF"/>
        </w:rPr>
      </w:pPr>
    </w:p>
    <w:p>
      <w:pPr>
        <w:jc w:val="both"/>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10.39</w:t>
      </w:r>
      <w:r>
        <w:rPr>
          <w:sz w:val="20"/>
          <w:szCs w:val="20"/>
          <w:color w:val="auto"/>
        </w:rPr>
        <w:tab/>
      </w:r>
      <w:hyperlink r:id="rId627">
        <w:r>
          <w:rPr>
            <w:rFonts w:ascii="Calibri" w:cs="Calibri" w:eastAsia="Calibri" w:hAnsi="Calibri"/>
            <w:sz w:val="18"/>
            <w:szCs w:val="18"/>
            <w:u w:val="single" w:color="auto"/>
            <w:color w:val="0000FF"/>
          </w:rPr>
          <w:t>Amendment No. 4 to First Lien Credit Agreement, dated February 3, 2022, among</w:t>
        </w:r>
      </w:hyperlink>
      <w:r>
        <w:rPr>
          <w:rFonts w:ascii="Calibri" w:cs="Calibri" w:eastAsia="Calibri" w:hAnsi="Calibri"/>
          <w:sz w:val="18"/>
          <w:szCs w:val="18"/>
          <w:u w:val="single" w:color="auto"/>
          <w:color w:val="0000FF"/>
        </w:rPr>
        <w:t xml:space="preserve"> </w:t>
      </w:r>
      <w:hyperlink r:id="rId627">
        <w:r>
          <w:rPr>
            <w:rFonts w:ascii="Calibri" w:cs="Calibri" w:eastAsia="Calibri" w:hAnsi="Calibri"/>
            <w:sz w:val="18"/>
            <w:szCs w:val="18"/>
            <w:u w:val="single" w:color="auto"/>
            <w:color w:val="0000FF"/>
          </w:rPr>
          <w:t>Hoya Midco, LLC, Hoya Intermediate, LLC, Barclays Bank PLC, and the lenders and</w:t>
        </w:r>
      </w:hyperlink>
      <w:r>
        <w:rPr>
          <w:rFonts w:ascii="Calibri" w:cs="Calibri" w:eastAsia="Calibri" w:hAnsi="Calibri"/>
          <w:sz w:val="18"/>
          <w:szCs w:val="18"/>
          <w:u w:val="single" w:color="auto"/>
          <w:color w:val="0000FF"/>
        </w:rPr>
        <w:t xml:space="preserve"> </w:t>
      </w:r>
      <w:hyperlink r:id="rId627">
        <w:r>
          <w:rPr>
            <w:rFonts w:ascii="Calibri" w:cs="Calibri" w:eastAsia="Calibri" w:hAnsi="Calibri"/>
            <w:sz w:val="18"/>
            <w:szCs w:val="18"/>
            <w:u w:val="single" w:color="auto"/>
            <w:color w:val="0000FF"/>
          </w:rPr>
          <w:t>loan partes from tme to tme party thereto</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527685</wp:posOffset>
            </wp:positionH>
            <wp:positionV relativeFrom="paragraph">
              <wp:posOffset>-292100</wp:posOffset>
            </wp:positionV>
            <wp:extent cx="3820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8">
                      <a:extLst>
                        <a:ext uri="{28A0092B-C50C-407E-A947-70E740481C1C}"/>
                      </a:extLst>
                    </a:blip>
                    <a:srcRect/>
                    <a:stretch>
                      <a:fillRect/>
                    </a:stretch>
                  </pic:blipFill>
                  <pic:spPr bwMode="auto">
                    <a:xfrm>
                      <a:off x="0" y="0"/>
                      <a:ext cx="3820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-154940</wp:posOffset>
            </wp:positionV>
            <wp:extent cx="381571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9">
                      <a:extLst>
                        <a:ext uri="{28A0092B-C50C-407E-A947-70E740481C1C}"/>
                      </a:extLst>
                    </a:blip>
                    <a:srcRect/>
                    <a:stretch>
                      <a:fillRect/>
                    </a:stretch>
                  </pic:blipFill>
                  <pic:spPr bwMode="auto">
                    <a:xfrm>
                      <a:off x="0" y="0"/>
                      <a:ext cx="38157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-17780</wp:posOffset>
            </wp:positionV>
            <wp:extent cx="19945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0">
                      <a:extLst>
                        <a:ext uri="{28A0092B-C50C-407E-A947-70E740481C1C}"/>
                      </a:extLst>
                    </a:blip>
                    <a:srcRect/>
                    <a:stretch>
                      <a:fillRect/>
                    </a:stretch>
                  </pic:blipFill>
                  <pic:spPr bwMode="auto">
                    <a:xfrm>
                      <a:off x="0" y="0"/>
                      <a:ext cx="1994535" cy="8255"/>
                    </a:xfrm>
                    <a:prstGeom prst="rect">
                      <a:avLst/>
                    </a:prstGeom>
                    <a:noFill/>
                  </pic:spPr>
                </pic:pic>
              </a:graphicData>
            </a:graphic>
          </wp:anchor>
        </w:drawing>
      </w:r>
    </w:p>
    <w:p>
      <w:pPr>
        <w:spacing w:after="0" w:line="23" w:lineRule="exact"/>
        <w:rPr>
          <w:rFonts w:ascii="Calibri" w:cs="Calibri" w:eastAsia="Calibri" w:hAnsi="Calibri"/>
          <w:sz w:val="18"/>
          <w:szCs w:val="18"/>
          <w:u w:val="single" w:color="auto"/>
          <w:color w:val="0000FF"/>
        </w:rPr>
      </w:pPr>
    </w:p>
    <w:p>
      <w:pPr>
        <w:jc w:val="both"/>
        <w:ind w:left="840" w:right="20" w:hanging="788"/>
        <w:spacing w:after="0" w:line="235" w:lineRule="auto"/>
        <w:tabs>
          <w:tab w:leader="none" w:pos="82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10.40</w:t>
      </w:r>
      <w:r>
        <w:rPr>
          <w:sz w:val="20"/>
          <w:szCs w:val="20"/>
          <w:color w:val="auto"/>
        </w:rPr>
        <w:tab/>
      </w:r>
      <w:hyperlink r:id="rId631">
        <w:r>
          <w:rPr>
            <w:rFonts w:ascii="Calibri" w:cs="Calibri" w:eastAsia="Calibri" w:hAnsi="Calibri"/>
            <w:sz w:val="18"/>
            <w:szCs w:val="18"/>
            <w:u w:val="single" w:color="auto"/>
            <w:color w:val="0000FF"/>
          </w:rPr>
          <w:t>Amendment No. 5 to First Lien Credit Agreement, dated June 14, 2024, among Hoya</w:t>
        </w:r>
      </w:hyperlink>
      <w:r>
        <w:rPr>
          <w:rFonts w:ascii="Calibri" w:cs="Calibri" w:eastAsia="Calibri" w:hAnsi="Calibri"/>
          <w:sz w:val="18"/>
          <w:szCs w:val="18"/>
          <w:u w:val="single" w:color="auto"/>
          <w:color w:val="0000FF"/>
        </w:rPr>
        <w:t xml:space="preserve"> </w:t>
      </w:r>
      <w:hyperlink r:id="rId631">
        <w:r>
          <w:rPr>
            <w:rFonts w:ascii="Calibri" w:cs="Calibri" w:eastAsia="Calibri" w:hAnsi="Calibri"/>
            <w:sz w:val="18"/>
            <w:szCs w:val="18"/>
            <w:u w:val="single" w:color="auto"/>
            <w:color w:val="0000FF"/>
          </w:rPr>
          <w:t>Midco, LLC, Hoya Intermediate,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381698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2">
                      <a:extLst>
                        <a:ext uri="{28A0092B-C50C-407E-A947-70E740481C1C}"/>
                      </a:extLst>
                    </a:blip>
                    <a:srcRect/>
                    <a:stretch>
                      <a:fillRect/>
                    </a:stretch>
                  </pic:blipFill>
                  <pic:spPr bwMode="auto">
                    <a:xfrm>
                      <a:off x="0" y="0"/>
                      <a:ext cx="381698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-18415</wp:posOffset>
            </wp:positionV>
            <wp:extent cx="165354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3">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120"/>
        <w:spacing w:after="0"/>
        <w:rPr>
          <w:sz w:val="20"/>
          <w:szCs w:val="20"/>
          <w:color w:val="auto"/>
        </w:rPr>
      </w:pPr>
      <w:r>
        <w:rPr>
          <w:rFonts w:ascii="Calibri" w:cs="Calibri" w:eastAsia="Calibri" w:hAnsi="Calibri"/>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481965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jc w:val="center"/>
              <w:ind w:right="50"/>
              <w:spacing w:after="0"/>
              <w:rPr>
                <w:sz w:val="20"/>
                <w:szCs w:val="20"/>
                <w:color w:val="auto"/>
              </w:rPr>
            </w:pPr>
            <w:r>
              <w:rPr>
                <w:rFonts w:ascii="Calibri" w:cs="Calibri" w:eastAsia="Calibri" w:hAnsi="Calibri"/>
                <w:sz w:val="18"/>
                <w:szCs w:val="18"/>
                <w:color w:val="auto"/>
                <w:w w:val="95"/>
              </w:rPr>
              <w:t>S-8</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99.4</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10/18/2021</w:t>
            </w:r>
          </w:p>
        </w:tc>
      </w:tr>
      <w:tr>
        <w:trPr>
          <w:trHeight w:val="257"/>
        </w:trPr>
        <w:tc>
          <w:tcPr>
            <w:tcW w:w="560" w:type="dxa"/>
            <w:vAlign w:val="bottom"/>
          </w:tcPr>
          <w:p>
            <w:pPr>
              <w:jc w:val="center"/>
              <w:ind w:right="50"/>
              <w:spacing w:after="0"/>
              <w:rPr>
                <w:sz w:val="20"/>
                <w:szCs w:val="20"/>
                <w:color w:val="auto"/>
              </w:rPr>
            </w:pPr>
            <w:r>
              <w:rPr>
                <w:rFonts w:ascii="Calibri" w:cs="Calibri" w:eastAsia="Calibri" w:hAnsi="Calibri"/>
                <w:sz w:val="18"/>
                <w:szCs w:val="18"/>
                <w:color w:val="auto"/>
                <w:w w:val="95"/>
              </w:rPr>
              <w:t>S-8</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99.5</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10/18/2021</w:t>
            </w:r>
          </w:p>
        </w:tc>
      </w:tr>
      <w:tr>
        <w:trPr>
          <w:trHeight w:val="257"/>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6"/>
              </w:rPr>
              <w:t>10-K</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10.43</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3/8/2024</w:t>
            </w:r>
          </w:p>
        </w:tc>
      </w:tr>
      <w:tr>
        <w:trPr>
          <w:trHeight w:val="257"/>
        </w:trPr>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6"/>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10.14</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7"/>
              </w:rPr>
              <w:t>8/16/2021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rPr>
              <w:t>10-Q</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8/6/2024</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10.19</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7"/>
              </w:rPr>
              <w:t>8/16/2021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10.18</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7"/>
              </w:rPr>
              <w:t>8/16/2021</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rPr>
              <w:t>10-Q</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10.3</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8/6/2024</w:t>
            </w:r>
          </w:p>
        </w:tc>
      </w:tr>
      <w:tr>
        <w:trPr>
          <w:trHeight w:val="473"/>
        </w:trPr>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473"/>
        </w:trPr>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473"/>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rPr>
              <w:t>10-Q</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10.4</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8/6/2024</w:t>
            </w:r>
          </w:p>
        </w:tc>
      </w:tr>
      <w:tr>
        <w:trPr>
          <w:trHeight w:val="257"/>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6"/>
              </w:rPr>
              <w:t>12/22/2021</w:t>
            </w:r>
          </w:p>
        </w:tc>
      </w:tr>
      <w:tr>
        <w:trPr>
          <w:trHeight w:val="473"/>
        </w:trPr>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472"/>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10.7</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7/7/2021</w:t>
            </w:r>
          </w:p>
        </w:tc>
      </w:tr>
      <w:tr>
        <w:trPr>
          <w:trHeight w:val="689"/>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10.8</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7/7/2021</w:t>
            </w:r>
          </w:p>
        </w:tc>
      </w:tr>
      <w:tr>
        <w:trPr>
          <w:trHeight w:val="688"/>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10.9</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7/7/2021</w:t>
            </w:r>
          </w:p>
        </w:tc>
      </w:tr>
      <w:tr>
        <w:trPr>
          <w:trHeight w:val="688"/>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S-4/A</w:t>
            </w:r>
          </w:p>
        </w:tc>
        <w:tc>
          <w:tcPr>
            <w:tcW w:w="760" w:type="dxa"/>
            <w:vAlign w:val="bottom"/>
          </w:tcPr>
          <w:p>
            <w:pPr>
              <w:jc w:val="center"/>
              <w:spacing w:after="0"/>
              <w:rPr>
                <w:sz w:val="20"/>
                <w:szCs w:val="20"/>
                <w:color w:val="auto"/>
              </w:rPr>
            </w:pPr>
            <w:r>
              <w:rPr>
                <w:rFonts w:ascii="Calibri" w:cs="Calibri" w:eastAsia="Calibri" w:hAnsi="Calibri"/>
                <w:sz w:val="18"/>
                <w:szCs w:val="18"/>
                <w:color w:val="auto"/>
                <w:w w:val="97"/>
              </w:rPr>
              <w:t>10.10</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7/7/2021</w:t>
            </w:r>
          </w:p>
        </w:tc>
      </w:tr>
      <w:tr>
        <w:trPr>
          <w:trHeight w:val="689"/>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8"/>
              </w:rPr>
              <w:t>2/7/2022</w:t>
            </w:r>
          </w:p>
        </w:tc>
      </w:tr>
      <w:tr>
        <w:trPr>
          <w:trHeight w:val="688"/>
        </w:trPr>
        <w:tc>
          <w:tcPr>
            <w:tcW w:w="560" w:type="dxa"/>
            <w:vAlign w:val="bottom"/>
          </w:tcPr>
          <w:p>
            <w:pPr>
              <w:jc w:val="center"/>
              <w:ind w:right="70"/>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800" w:type="dxa"/>
            <w:vAlign w:val="bottom"/>
          </w:tcPr>
          <w:p>
            <w:pPr>
              <w:jc w:val="center"/>
              <w:ind w:right="470"/>
              <w:spacing w:after="0"/>
              <w:rPr>
                <w:sz w:val="20"/>
                <w:szCs w:val="20"/>
                <w:color w:val="auto"/>
              </w:rPr>
            </w:pPr>
            <w:r>
              <w:rPr>
                <w:rFonts w:ascii="Calibri" w:cs="Calibri" w:eastAsia="Calibri" w:hAnsi="Calibri"/>
                <w:sz w:val="18"/>
                <w:szCs w:val="18"/>
                <w:color w:val="auto"/>
                <w:w w:val="97"/>
              </w:rPr>
              <w:t>6/20/2024</w:t>
            </w:r>
          </w:p>
        </w:tc>
      </w:tr>
    </w:tbl>
    <w:p>
      <w:pPr>
        <w:sectPr>
          <w:pgSz w:w="11900" w:h="16838" w:orient="portrait"/>
          <w:cols w:equalWidth="0" w:num="2">
            <w:col w:w="6860" w:space="260"/>
            <w:col w:w="3120"/>
          </w:cols>
          <w:pgMar w:left="700" w:top="1422" w:right="959" w:bottom="1440" w:gutter="0" w:footer="0" w:header="0"/>
        </w:sectPr>
      </w:pPr>
    </w:p>
    <w:bookmarkStart w:id="117" w:name="page118"/>
    <w:bookmarkEnd w:id="117"/>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900" w:type="dxa"/>
            <w:vAlign w:val="bottom"/>
          </w:tcPr>
          <w:p>
            <w:pPr>
              <w:spacing w:after="0"/>
              <w:rPr>
                <w:sz w:val="19"/>
                <w:szCs w:val="19"/>
                <w:color w:val="auto"/>
              </w:rPr>
            </w:pPr>
          </w:p>
        </w:tc>
        <w:tc>
          <w:tcPr>
            <w:tcW w:w="5960" w:type="dxa"/>
            <w:vAlign w:val="bottom"/>
            <w:tcBorders>
              <w:bottom w:val="single" w:sz="8" w:color="0000FF"/>
            </w:tcBorders>
            <w:gridSpan w:val="12"/>
          </w:tcPr>
          <w:p>
            <w:pPr>
              <w:spacing w:after="0"/>
              <w:rPr>
                <w:rFonts w:ascii="Calibri" w:cs="Calibri" w:eastAsia="Calibri" w:hAnsi="Calibri"/>
                <w:sz w:val="18"/>
                <w:szCs w:val="18"/>
                <w:color w:val="0000FF"/>
                <w:w w:val="99"/>
              </w:rPr>
            </w:pPr>
            <w:hyperlink r:id="rId631">
              <w:r>
                <w:rPr>
                  <w:rFonts w:ascii="Calibri" w:cs="Calibri" w:eastAsia="Calibri" w:hAnsi="Calibri"/>
                  <w:sz w:val="18"/>
                  <w:szCs w:val="18"/>
                  <w:color w:val="0000FF"/>
                  <w:w w:val="99"/>
                </w:rPr>
                <w:t>Barclays Bank PLC, and the lenders and loan partes from tme to tme party thereto</w:t>
              </w:r>
            </w:hyperlink>
          </w:p>
        </w:tc>
        <w:tc>
          <w:tcPr>
            <w:tcW w:w="20" w:type="dxa"/>
            <w:vAlign w:val="bottom"/>
            <w:tcBorders>
              <w:bottom w:val="single" w:sz="8" w:color="0000EE"/>
            </w:tcBorders>
          </w:tcPr>
          <w:p>
            <w:pPr>
              <w:spacing w:after="0"/>
              <w:rPr>
                <w:sz w:val="19"/>
                <w:szCs w:val="19"/>
                <w:color w:val="auto"/>
              </w:rPr>
            </w:pPr>
          </w:p>
        </w:tc>
        <w:tc>
          <w:tcPr>
            <w:tcW w:w="18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w w:val="97"/>
              </w:rPr>
              <w:t>10.41</w:t>
            </w:r>
          </w:p>
        </w:tc>
        <w:tc>
          <w:tcPr>
            <w:tcW w:w="6020" w:type="dxa"/>
            <w:vAlign w:val="bottom"/>
            <w:tcBorders>
              <w:bottom w:val="single" w:sz="8" w:color="0000FF"/>
            </w:tcBorders>
            <w:gridSpan w:val="15"/>
          </w:tcPr>
          <w:p>
            <w:pPr>
              <w:spacing w:after="0"/>
              <w:rPr>
                <w:rFonts w:ascii="Calibri" w:cs="Calibri" w:eastAsia="Calibri" w:hAnsi="Calibri"/>
                <w:sz w:val="18"/>
                <w:szCs w:val="18"/>
                <w:color w:val="0000FF"/>
              </w:rPr>
            </w:pPr>
            <w:hyperlink r:id="rId635">
              <w:r>
                <w:rPr>
                  <w:rFonts w:ascii="Calibri" w:cs="Calibri" w:eastAsia="Calibri" w:hAnsi="Calibri"/>
                  <w:sz w:val="18"/>
                  <w:szCs w:val="18"/>
                  <w:color w:val="0000FF"/>
                </w:rPr>
                <w:t>Amendment No. 6 to First Lien Credit Agreement, dated February 5, 2025, among</w:t>
              </w:r>
            </w:hyperlink>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760" w:type="dxa"/>
            <w:vAlign w:val="bottom"/>
          </w:tcPr>
          <w:p>
            <w:pPr>
              <w:jc w:val="right"/>
              <w:ind w:right="150"/>
              <w:spacing w:after="0"/>
              <w:rPr>
                <w:sz w:val="20"/>
                <w:szCs w:val="20"/>
                <w:color w:val="auto"/>
              </w:rPr>
            </w:pPr>
            <w:r>
              <w:rPr>
                <w:rFonts w:ascii="Calibri" w:cs="Calibri" w:eastAsia="Calibri" w:hAnsi="Calibri"/>
                <w:sz w:val="18"/>
                <w:szCs w:val="18"/>
                <w:color w:val="auto"/>
              </w:rPr>
              <w:t>10.1</w:t>
            </w:r>
          </w:p>
        </w:tc>
        <w:tc>
          <w:tcPr>
            <w:tcW w:w="1840" w:type="dxa"/>
            <w:vAlign w:val="bottom"/>
          </w:tcPr>
          <w:p>
            <w:pPr>
              <w:jc w:val="right"/>
              <w:ind w:right="750"/>
              <w:spacing w:after="0"/>
              <w:rPr>
                <w:sz w:val="20"/>
                <w:szCs w:val="20"/>
                <w:color w:val="auto"/>
              </w:rPr>
            </w:pPr>
            <w:r>
              <w:rPr>
                <w:rFonts w:ascii="Calibri" w:cs="Calibri" w:eastAsia="Calibri" w:hAnsi="Calibri"/>
                <w:sz w:val="18"/>
                <w:szCs w:val="18"/>
                <w:color w:val="auto"/>
              </w:rPr>
              <w:t>2/11/2025</w:t>
            </w:r>
          </w:p>
        </w:tc>
      </w:tr>
      <w:tr>
        <w:trPr>
          <w:trHeight w:val="196"/>
        </w:trPr>
        <w:tc>
          <w:tcPr>
            <w:tcW w:w="900" w:type="dxa"/>
            <w:vAlign w:val="bottom"/>
          </w:tcPr>
          <w:p>
            <w:pPr>
              <w:spacing w:after="0"/>
              <w:rPr>
                <w:sz w:val="17"/>
                <w:szCs w:val="17"/>
                <w:color w:val="auto"/>
              </w:rPr>
            </w:pPr>
          </w:p>
        </w:tc>
        <w:tc>
          <w:tcPr>
            <w:tcW w:w="6160" w:type="dxa"/>
            <w:vAlign w:val="bottom"/>
            <w:gridSpan w:val="16"/>
          </w:tcPr>
          <w:p>
            <w:pPr>
              <w:spacing w:after="0" w:line="196" w:lineRule="exact"/>
              <w:rPr>
                <w:rFonts w:ascii="Calibri" w:cs="Calibri" w:eastAsia="Calibri" w:hAnsi="Calibri"/>
                <w:sz w:val="18"/>
                <w:szCs w:val="18"/>
                <w:color w:val="0000FF"/>
              </w:rPr>
            </w:pPr>
            <w:hyperlink r:id="rId635">
              <w:r>
                <w:rPr>
                  <w:rFonts w:ascii="Calibri" w:cs="Calibri" w:eastAsia="Calibri" w:hAnsi="Calibri"/>
                  <w:sz w:val="18"/>
                  <w:szCs w:val="18"/>
                  <w:color w:val="0000FF"/>
                </w:rPr>
                <w:t>Hoya Midco, LLC, Hoya Intermediate, LLC, Barclays Bank PLC, and the lenders and</w:t>
              </w:r>
            </w:hyperlink>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6"/>
          </w:tcPr>
          <w:p>
            <w:pPr>
              <w:spacing w:after="0" w:line="196" w:lineRule="exact"/>
              <w:rPr>
                <w:rFonts w:ascii="Calibri" w:cs="Calibri" w:eastAsia="Calibri" w:hAnsi="Calibri"/>
                <w:sz w:val="18"/>
                <w:szCs w:val="18"/>
                <w:color w:val="0000FF"/>
              </w:rPr>
            </w:pPr>
            <w:hyperlink r:id="rId635">
              <w:r>
                <w:rPr>
                  <w:rFonts w:ascii="Calibri" w:cs="Calibri" w:eastAsia="Calibri" w:hAnsi="Calibri"/>
                  <w:sz w:val="18"/>
                  <w:szCs w:val="18"/>
                  <w:color w:val="0000FF"/>
                </w:rPr>
                <w:t>loan partes from tme to tme party thereto</w:t>
              </w:r>
            </w:hyperlink>
          </w:p>
        </w:tc>
        <w:tc>
          <w:tcPr>
            <w:tcW w:w="2860" w:type="dxa"/>
            <w:vAlign w:val="bottom"/>
            <w:tcBorders>
              <w:top w:val="single" w:sz="8" w:color="0000FF"/>
            </w:tcBorders>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19.1</w:t>
            </w:r>
          </w:p>
        </w:tc>
        <w:tc>
          <w:tcPr>
            <w:tcW w:w="1520" w:type="dxa"/>
            <w:vAlign w:val="bottom"/>
            <w:tcBorders>
              <w:bottom w:val="single" w:sz="8" w:color="0000FF"/>
            </w:tcBorders>
            <w:gridSpan w:val="2"/>
          </w:tcPr>
          <w:p>
            <w:pPr>
              <w:spacing w:after="0"/>
              <w:rPr>
                <w:sz w:val="20"/>
                <w:szCs w:val="20"/>
                <w:color w:val="auto"/>
              </w:rPr>
            </w:pPr>
            <w:r>
              <w:rPr>
                <w:rFonts w:ascii="Calibri" w:cs="Calibri" w:eastAsia="Calibri" w:hAnsi="Calibri"/>
                <w:sz w:val="18"/>
                <w:szCs w:val="18"/>
                <w:color w:val="0000FF"/>
                <w:w w:val="96"/>
              </w:rPr>
              <w:t>Insider Trading Policy</w:t>
            </w:r>
          </w:p>
        </w:tc>
        <w:tc>
          <w:tcPr>
            <w:tcW w:w="4640" w:type="dxa"/>
            <w:vAlign w:val="bottom"/>
            <w:gridSpan w:val="14"/>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3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21.1</w:t>
            </w:r>
          </w:p>
        </w:tc>
        <w:tc>
          <w:tcPr>
            <w:tcW w:w="6160" w:type="dxa"/>
            <w:vAlign w:val="bottom"/>
            <w:gridSpan w:val="16"/>
          </w:tcPr>
          <w:p>
            <w:pPr>
              <w:spacing w:after="0"/>
              <w:rPr>
                <w:sz w:val="20"/>
                <w:szCs w:val="20"/>
                <w:color w:val="auto"/>
              </w:rPr>
            </w:pPr>
            <w:r>
              <w:rPr>
                <w:rFonts w:ascii="Calibri" w:cs="Calibri" w:eastAsia="Calibri" w:hAnsi="Calibri"/>
                <w:sz w:val="18"/>
                <w:szCs w:val="18"/>
                <w:color w:val="0000FF"/>
              </w:rPr>
              <w:t>Subsidiaries</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0"/>
        </w:trPr>
        <w:tc>
          <w:tcPr>
            <w:tcW w:w="90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23.1</w:t>
            </w:r>
          </w:p>
        </w:tc>
        <w:tc>
          <w:tcPr>
            <w:tcW w:w="6160" w:type="dxa"/>
            <w:vAlign w:val="bottom"/>
            <w:gridSpan w:val="16"/>
          </w:tcPr>
          <w:p>
            <w:pPr>
              <w:spacing w:after="0"/>
              <w:rPr>
                <w:sz w:val="20"/>
                <w:szCs w:val="20"/>
                <w:color w:val="auto"/>
              </w:rPr>
            </w:pPr>
            <w:r>
              <w:rPr>
                <w:rFonts w:ascii="Calibri" w:cs="Calibri" w:eastAsia="Calibri" w:hAnsi="Calibri"/>
                <w:sz w:val="18"/>
                <w:szCs w:val="18"/>
                <w:color w:val="0000FF"/>
              </w:rPr>
              <w:t>Consent of Deloite &amp; Touche LLP</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0"/>
        </w:trPr>
        <w:tc>
          <w:tcPr>
            <w:tcW w:w="90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6"/>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24.1</w:t>
            </w:r>
          </w:p>
        </w:tc>
        <w:tc>
          <w:tcPr>
            <w:tcW w:w="6160" w:type="dxa"/>
            <w:vAlign w:val="bottom"/>
            <w:gridSpan w:val="16"/>
          </w:tcPr>
          <w:p>
            <w:pPr>
              <w:spacing w:after="0"/>
              <w:rPr>
                <w:sz w:val="20"/>
                <w:szCs w:val="20"/>
                <w:color w:val="auto"/>
              </w:rPr>
            </w:pPr>
            <w:r>
              <w:rPr>
                <w:rFonts w:ascii="Calibri" w:cs="Calibri" w:eastAsia="Calibri" w:hAnsi="Calibri"/>
                <w:sz w:val="18"/>
                <w:szCs w:val="18"/>
                <w:color w:val="0000FF"/>
              </w:rPr>
              <w:t>Power of Atorney (included on the signature page of this Report)</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0"/>
        </w:trPr>
        <w:tc>
          <w:tcPr>
            <w:tcW w:w="90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31.1</w:t>
            </w:r>
          </w:p>
        </w:tc>
        <w:tc>
          <w:tcPr>
            <w:tcW w:w="6160" w:type="dxa"/>
            <w:vAlign w:val="bottom"/>
            <w:gridSpan w:val="16"/>
          </w:tcPr>
          <w:p>
            <w:pPr>
              <w:spacing w:after="0"/>
              <w:rPr>
                <w:sz w:val="20"/>
                <w:szCs w:val="20"/>
                <w:color w:val="auto"/>
              </w:rPr>
            </w:pPr>
            <w:r>
              <w:rPr>
                <w:rFonts w:ascii="Calibri" w:cs="Calibri" w:eastAsia="Calibri" w:hAnsi="Calibri"/>
                <w:sz w:val="18"/>
                <w:szCs w:val="18"/>
                <w:color w:val="0000FF"/>
              </w:rPr>
              <w:t>Rule 13a-14(a)/15d-14(a) Certfcaton of Principal Executve Ofcer</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3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31.2</w:t>
            </w:r>
          </w:p>
        </w:tc>
        <w:tc>
          <w:tcPr>
            <w:tcW w:w="4740" w:type="dxa"/>
            <w:vAlign w:val="bottom"/>
            <w:tcBorders>
              <w:top w:val="single" w:sz="8" w:color="0000FF"/>
              <w:bottom w:val="single" w:sz="8" w:color="0000FF"/>
            </w:tcBorders>
            <w:gridSpan w:val="10"/>
          </w:tcPr>
          <w:p>
            <w:pPr>
              <w:spacing w:after="0"/>
              <w:rPr>
                <w:sz w:val="20"/>
                <w:szCs w:val="20"/>
                <w:color w:val="auto"/>
              </w:rPr>
            </w:pPr>
            <w:r>
              <w:rPr>
                <w:rFonts w:ascii="Calibri" w:cs="Calibri" w:eastAsia="Calibri" w:hAnsi="Calibri"/>
                <w:sz w:val="18"/>
                <w:szCs w:val="18"/>
                <w:color w:val="0000FF"/>
              </w:rPr>
              <w:t>Rule 13a-14(a)/15d-14(a) Certfcaton of Principal Financial Ofcer</w:t>
            </w:r>
          </w:p>
        </w:tc>
        <w:tc>
          <w:tcPr>
            <w:tcW w:w="40" w:type="dxa"/>
            <w:vAlign w:val="bottom"/>
            <w:tcBorders>
              <w:top w:val="single" w:sz="8" w:color="0000FF"/>
            </w:tcBorders>
          </w:tcPr>
          <w:p>
            <w:pPr>
              <w:spacing w:after="0"/>
              <w:rPr>
                <w:sz w:val="20"/>
                <w:szCs w:val="20"/>
                <w:color w:val="auto"/>
              </w:rPr>
            </w:pPr>
          </w:p>
        </w:tc>
        <w:tc>
          <w:tcPr>
            <w:tcW w:w="1380" w:type="dxa"/>
            <w:vAlign w:val="bottom"/>
            <w:gridSpan w:val="5"/>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3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32.1</w:t>
            </w:r>
          </w:p>
        </w:tc>
        <w:tc>
          <w:tcPr>
            <w:tcW w:w="6160" w:type="dxa"/>
            <w:vAlign w:val="bottom"/>
            <w:gridSpan w:val="16"/>
          </w:tcPr>
          <w:p>
            <w:pPr>
              <w:spacing w:after="0"/>
              <w:rPr>
                <w:sz w:val="20"/>
                <w:szCs w:val="20"/>
                <w:color w:val="auto"/>
              </w:rPr>
            </w:pPr>
            <w:r>
              <w:rPr>
                <w:rFonts w:ascii="Calibri" w:cs="Calibri" w:eastAsia="Calibri" w:hAnsi="Calibri"/>
                <w:sz w:val="18"/>
                <w:szCs w:val="18"/>
                <w:color w:val="0000FF"/>
              </w:rPr>
              <w:t>18 U.S.C. Secton 1350 Certfcaton of Principal Executve Ofcer</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36"/>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32.2</w:t>
            </w:r>
          </w:p>
        </w:tc>
        <w:tc>
          <w:tcPr>
            <w:tcW w:w="4540" w:type="dxa"/>
            <w:vAlign w:val="bottom"/>
            <w:tcBorders>
              <w:top w:val="single" w:sz="8" w:color="0000FF"/>
              <w:bottom w:val="single" w:sz="8" w:color="0000FF"/>
            </w:tcBorders>
            <w:gridSpan w:val="7"/>
          </w:tcPr>
          <w:p>
            <w:pPr>
              <w:spacing w:after="0"/>
              <w:rPr>
                <w:sz w:val="20"/>
                <w:szCs w:val="20"/>
                <w:color w:val="auto"/>
              </w:rPr>
            </w:pPr>
            <w:r>
              <w:rPr>
                <w:rFonts w:ascii="Calibri" w:cs="Calibri" w:eastAsia="Calibri" w:hAnsi="Calibri"/>
                <w:sz w:val="18"/>
                <w:szCs w:val="18"/>
                <w:color w:val="0000FF"/>
              </w:rPr>
              <w:t>18 U.S.C. Secton 1350 Certfcaton of Principal Financial Ofcer</w:t>
            </w:r>
          </w:p>
        </w:tc>
        <w:tc>
          <w:tcPr>
            <w:tcW w:w="40" w:type="dxa"/>
            <w:vAlign w:val="bottom"/>
            <w:tcBorders>
              <w:top w:val="single" w:sz="8" w:color="0000FF"/>
            </w:tcBorders>
          </w:tcPr>
          <w:p>
            <w:pPr>
              <w:spacing w:after="0"/>
              <w:rPr>
                <w:sz w:val="20"/>
                <w:szCs w:val="20"/>
                <w:color w:val="auto"/>
              </w:rPr>
            </w:pPr>
          </w:p>
        </w:tc>
        <w:tc>
          <w:tcPr>
            <w:tcW w:w="1580" w:type="dxa"/>
            <w:vAlign w:val="bottom"/>
            <w:gridSpan w:val="8"/>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3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97.1</w:t>
            </w:r>
          </w:p>
        </w:tc>
        <w:tc>
          <w:tcPr>
            <w:tcW w:w="2180" w:type="dxa"/>
            <w:vAlign w:val="bottom"/>
            <w:tcBorders>
              <w:bottom w:val="single" w:sz="8" w:color="0000FF"/>
            </w:tcBorders>
            <w:gridSpan w:val="3"/>
          </w:tcPr>
          <w:p>
            <w:pPr>
              <w:spacing w:after="0"/>
              <w:rPr>
                <w:rFonts w:ascii="Calibri" w:cs="Calibri" w:eastAsia="Calibri" w:hAnsi="Calibri"/>
                <w:sz w:val="18"/>
                <w:szCs w:val="18"/>
                <w:color w:val="0000FF"/>
                <w:w w:val="98"/>
              </w:rPr>
            </w:pPr>
            <w:hyperlink r:id="rId636">
              <w:r>
                <w:rPr>
                  <w:rFonts w:ascii="Calibri" w:cs="Calibri" w:eastAsia="Calibri" w:hAnsi="Calibri"/>
                  <w:sz w:val="18"/>
                  <w:szCs w:val="18"/>
                  <w:color w:val="0000FF"/>
                  <w:w w:val="98"/>
                </w:rPr>
                <w:t>Compensaton Recovery Policy</w:t>
              </w:r>
            </w:hyperlink>
          </w:p>
        </w:tc>
        <w:tc>
          <w:tcPr>
            <w:tcW w:w="20" w:type="dxa"/>
            <w:vAlign w:val="bottom"/>
            <w:tcBorders>
              <w:bottom w:val="single" w:sz="8" w:color="0000EE"/>
            </w:tcBorders>
          </w:tcPr>
          <w:p>
            <w:pPr>
              <w:spacing w:after="0"/>
              <w:rPr>
                <w:sz w:val="20"/>
                <w:szCs w:val="20"/>
                <w:color w:val="auto"/>
              </w:rPr>
            </w:pPr>
          </w:p>
        </w:tc>
        <w:tc>
          <w:tcPr>
            <w:tcW w:w="3960" w:type="dxa"/>
            <w:vAlign w:val="bottom"/>
            <w:gridSpan w:val="12"/>
          </w:tcPr>
          <w:p>
            <w:pPr>
              <w:spacing w:after="0"/>
              <w:rPr>
                <w:sz w:val="20"/>
                <w:szCs w:val="20"/>
                <w:color w:val="auto"/>
              </w:rPr>
            </w:pPr>
          </w:p>
        </w:tc>
        <w:tc>
          <w:tcPr>
            <w:tcW w:w="680" w:type="dxa"/>
            <w:vAlign w:val="bottom"/>
          </w:tcPr>
          <w:p>
            <w:pPr>
              <w:jc w:val="center"/>
              <w:spacing w:after="0"/>
              <w:rPr>
                <w:sz w:val="20"/>
                <w:szCs w:val="20"/>
                <w:color w:val="auto"/>
              </w:rPr>
            </w:pPr>
            <w:r>
              <w:rPr>
                <w:rFonts w:ascii="Calibri" w:cs="Calibri" w:eastAsia="Calibri" w:hAnsi="Calibri"/>
                <w:sz w:val="18"/>
                <w:szCs w:val="18"/>
                <w:color w:val="auto"/>
                <w:w w:val="96"/>
              </w:rPr>
              <w:t>10-K</w:t>
            </w:r>
          </w:p>
        </w:tc>
        <w:tc>
          <w:tcPr>
            <w:tcW w:w="760" w:type="dxa"/>
            <w:vAlign w:val="bottom"/>
          </w:tcPr>
          <w:p>
            <w:pPr>
              <w:jc w:val="right"/>
              <w:ind w:right="150"/>
              <w:spacing w:after="0"/>
              <w:rPr>
                <w:sz w:val="20"/>
                <w:szCs w:val="20"/>
                <w:color w:val="auto"/>
              </w:rPr>
            </w:pPr>
            <w:r>
              <w:rPr>
                <w:rFonts w:ascii="Calibri" w:cs="Calibri" w:eastAsia="Calibri" w:hAnsi="Calibri"/>
                <w:sz w:val="18"/>
                <w:szCs w:val="18"/>
                <w:color w:val="auto"/>
              </w:rPr>
              <w:t>97.1</w:t>
            </w:r>
          </w:p>
        </w:tc>
        <w:tc>
          <w:tcPr>
            <w:tcW w:w="1840" w:type="dxa"/>
            <w:vAlign w:val="bottom"/>
          </w:tcPr>
          <w:p>
            <w:pPr>
              <w:jc w:val="right"/>
              <w:ind w:right="790"/>
              <w:spacing w:after="0"/>
              <w:rPr>
                <w:sz w:val="20"/>
                <w:szCs w:val="20"/>
                <w:color w:val="auto"/>
              </w:rPr>
            </w:pPr>
            <w:r>
              <w:rPr>
                <w:rFonts w:ascii="Calibri" w:cs="Calibri" w:eastAsia="Calibri" w:hAnsi="Calibri"/>
                <w:sz w:val="18"/>
                <w:szCs w:val="18"/>
                <w:color w:val="auto"/>
              </w:rPr>
              <w:t>3/8/2024</w:t>
            </w:r>
          </w:p>
        </w:tc>
      </w:tr>
      <w:tr>
        <w:trPr>
          <w:trHeight w:val="267"/>
        </w:trPr>
        <w:tc>
          <w:tcPr>
            <w:tcW w:w="900" w:type="dxa"/>
            <w:vAlign w:val="bottom"/>
          </w:tcPr>
          <w:p>
            <w:pPr>
              <w:ind w:left="20"/>
              <w:spacing w:after="0"/>
              <w:rPr>
                <w:sz w:val="20"/>
                <w:szCs w:val="20"/>
                <w:color w:val="auto"/>
              </w:rPr>
            </w:pPr>
            <w:r>
              <w:rPr>
                <w:rFonts w:ascii="Calibri" w:cs="Calibri" w:eastAsia="Calibri" w:hAnsi="Calibri"/>
                <w:sz w:val="18"/>
                <w:szCs w:val="18"/>
                <w:color w:val="auto"/>
              </w:rPr>
              <w:t>101.INS</w:t>
            </w:r>
          </w:p>
        </w:tc>
        <w:tc>
          <w:tcPr>
            <w:tcW w:w="6160" w:type="dxa"/>
            <w:vAlign w:val="bottom"/>
            <w:gridSpan w:val="16"/>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w:t>
            </w: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16"/>
        </w:trPr>
        <w:tc>
          <w:tcPr>
            <w:tcW w:w="900" w:type="dxa"/>
            <w:vAlign w:val="bottom"/>
          </w:tcPr>
          <w:p>
            <w:pPr>
              <w:spacing w:after="0"/>
              <w:rPr>
                <w:sz w:val="18"/>
                <w:szCs w:val="18"/>
                <w:color w:val="auto"/>
              </w:rPr>
            </w:pPr>
          </w:p>
        </w:tc>
        <w:tc>
          <w:tcPr>
            <w:tcW w:w="6160" w:type="dxa"/>
            <w:vAlign w:val="bottom"/>
            <w:gridSpan w:val="16"/>
          </w:tcPr>
          <w:p>
            <w:pPr>
              <w:spacing w:after="0" w:line="216" w:lineRule="exact"/>
              <w:rPr>
                <w:sz w:val="20"/>
                <w:szCs w:val="20"/>
                <w:color w:val="auto"/>
              </w:rPr>
            </w:pPr>
            <w:r>
              <w:rPr>
                <w:rFonts w:ascii="Calibri" w:cs="Calibri" w:eastAsia="Calibri" w:hAnsi="Calibri"/>
                <w:sz w:val="18"/>
                <w:szCs w:val="18"/>
                <w:color w:val="auto"/>
              </w:rPr>
              <w:t>Interactve Data File because XBRL tags are embedded within the Inline XBRL</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6160" w:type="dxa"/>
            <w:vAlign w:val="bottom"/>
            <w:gridSpan w:val="16"/>
          </w:tcPr>
          <w:p>
            <w:pPr>
              <w:spacing w:after="0" w:line="216" w:lineRule="exact"/>
              <w:rPr>
                <w:sz w:val="20"/>
                <w:szCs w:val="20"/>
                <w:color w:val="auto"/>
              </w:rPr>
            </w:pPr>
            <w:r>
              <w:rPr>
                <w:rFonts w:ascii="Calibri" w:cs="Calibri" w:eastAsia="Calibri" w:hAnsi="Calibri"/>
                <w:sz w:val="18"/>
                <w:szCs w:val="18"/>
                <w:color w:val="auto"/>
              </w:rPr>
              <w:t>document</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7"/>
        </w:trPr>
        <w:tc>
          <w:tcPr>
            <w:tcW w:w="900" w:type="dxa"/>
            <w:vAlign w:val="bottom"/>
          </w:tcPr>
          <w:p>
            <w:pPr>
              <w:spacing w:after="0"/>
              <w:rPr>
                <w:sz w:val="20"/>
                <w:szCs w:val="20"/>
                <w:color w:val="auto"/>
              </w:rPr>
            </w:pPr>
            <w:r>
              <w:rPr>
                <w:rFonts w:ascii="Calibri" w:cs="Calibri" w:eastAsia="Calibri" w:hAnsi="Calibri"/>
                <w:sz w:val="18"/>
                <w:szCs w:val="18"/>
                <w:color w:val="auto"/>
              </w:rPr>
              <w:t>101.SCH</w:t>
            </w:r>
          </w:p>
        </w:tc>
        <w:tc>
          <w:tcPr>
            <w:tcW w:w="6160" w:type="dxa"/>
            <w:vAlign w:val="bottom"/>
            <w:gridSpan w:val="16"/>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57"/>
        </w:trPr>
        <w:tc>
          <w:tcPr>
            <w:tcW w:w="900" w:type="dxa"/>
            <w:vAlign w:val="bottom"/>
          </w:tcPr>
          <w:p>
            <w:pPr>
              <w:ind w:left="20"/>
              <w:spacing w:after="0"/>
              <w:rPr>
                <w:sz w:val="20"/>
                <w:szCs w:val="20"/>
                <w:color w:val="auto"/>
              </w:rPr>
            </w:pPr>
            <w:r>
              <w:rPr>
                <w:rFonts w:ascii="Calibri" w:cs="Calibri" w:eastAsia="Calibri" w:hAnsi="Calibri"/>
                <w:sz w:val="18"/>
                <w:szCs w:val="18"/>
                <w:color w:val="auto"/>
              </w:rPr>
              <w:t>101.CAL</w:t>
            </w:r>
          </w:p>
        </w:tc>
        <w:tc>
          <w:tcPr>
            <w:tcW w:w="6160" w:type="dxa"/>
            <w:vAlign w:val="bottom"/>
            <w:gridSpan w:val="16"/>
          </w:tcPr>
          <w:p>
            <w:pPr>
              <w:spacing w:after="0"/>
              <w:rPr>
                <w:sz w:val="20"/>
                <w:szCs w:val="20"/>
                <w:color w:val="auto"/>
              </w:rPr>
            </w:pPr>
            <w:r>
              <w:rPr>
                <w:rFonts w:ascii="Calibri" w:cs="Calibri" w:eastAsia="Calibri" w:hAnsi="Calibri"/>
                <w:sz w:val="18"/>
                <w:szCs w:val="18"/>
                <w:color w:val="auto"/>
              </w:rPr>
              <w:t>Inline XBRL Taxonomy Extension Calculaton Linkbase Document</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56"/>
        </w:trPr>
        <w:tc>
          <w:tcPr>
            <w:tcW w:w="900" w:type="dxa"/>
            <w:vAlign w:val="bottom"/>
          </w:tcPr>
          <w:p>
            <w:pPr>
              <w:spacing w:after="0"/>
              <w:rPr>
                <w:sz w:val="20"/>
                <w:szCs w:val="20"/>
                <w:color w:val="auto"/>
              </w:rPr>
            </w:pPr>
            <w:r>
              <w:rPr>
                <w:rFonts w:ascii="Calibri" w:cs="Calibri" w:eastAsia="Calibri" w:hAnsi="Calibri"/>
                <w:sz w:val="18"/>
                <w:szCs w:val="18"/>
                <w:color w:val="auto"/>
              </w:rPr>
              <w:t>101.DEF</w:t>
            </w:r>
          </w:p>
        </w:tc>
        <w:tc>
          <w:tcPr>
            <w:tcW w:w="6160" w:type="dxa"/>
            <w:vAlign w:val="bottom"/>
            <w:gridSpan w:val="16"/>
          </w:tcPr>
          <w:p>
            <w:pPr>
              <w:spacing w:after="0"/>
              <w:rPr>
                <w:sz w:val="20"/>
                <w:szCs w:val="20"/>
                <w:color w:val="auto"/>
              </w:rPr>
            </w:pPr>
            <w:r>
              <w:rPr>
                <w:rFonts w:ascii="Calibri" w:cs="Calibri" w:eastAsia="Calibri" w:hAnsi="Calibri"/>
                <w:sz w:val="18"/>
                <w:szCs w:val="18"/>
                <w:color w:val="auto"/>
              </w:rPr>
              <w:t>Inline XBRL Taxonomy Extension Defniton Linkbase Document</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57"/>
        </w:trPr>
        <w:tc>
          <w:tcPr>
            <w:tcW w:w="900" w:type="dxa"/>
            <w:vAlign w:val="bottom"/>
          </w:tcPr>
          <w:p>
            <w:pPr>
              <w:ind w:left="20"/>
              <w:spacing w:after="0"/>
              <w:rPr>
                <w:sz w:val="20"/>
                <w:szCs w:val="20"/>
                <w:color w:val="auto"/>
              </w:rPr>
            </w:pPr>
            <w:r>
              <w:rPr>
                <w:rFonts w:ascii="Calibri" w:cs="Calibri" w:eastAsia="Calibri" w:hAnsi="Calibri"/>
                <w:sz w:val="18"/>
                <w:szCs w:val="18"/>
                <w:color w:val="auto"/>
              </w:rPr>
              <w:t>101.LAB</w:t>
            </w:r>
          </w:p>
        </w:tc>
        <w:tc>
          <w:tcPr>
            <w:tcW w:w="6160" w:type="dxa"/>
            <w:vAlign w:val="bottom"/>
            <w:gridSpan w:val="16"/>
          </w:tcPr>
          <w:p>
            <w:pPr>
              <w:spacing w:after="0"/>
              <w:rPr>
                <w:sz w:val="20"/>
                <w:szCs w:val="20"/>
                <w:color w:val="auto"/>
              </w:rPr>
            </w:pPr>
            <w:r>
              <w:rPr>
                <w:rFonts w:ascii="Calibri" w:cs="Calibri" w:eastAsia="Calibri" w:hAnsi="Calibri"/>
                <w:sz w:val="18"/>
                <w:szCs w:val="18"/>
                <w:color w:val="auto"/>
              </w:rPr>
              <w:t>Inline XBRL Taxonomy Extension Label Linkbase Document</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57"/>
        </w:trPr>
        <w:tc>
          <w:tcPr>
            <w:tcW w:w="900" w:type="dxa"/>
            <w:vAlign w:val="bottom"/>
          </w:tcPr>
          <w:p>
            <w:pPr>
              <w:ind w:left="20"/>
              <w:spacing w:after="0"/>
              <w:rPr>
                <w:sz w:val="20"/>
                <w:szCs w:val="20"/>
                <w:color w:val="auto"/>
              </w:rPr>
            </w:pPr>
            <w:r>
              <w:rPr>
                <w:rFonts w:ascii="Calibri" w:cs="Calibri" w:eastAsia="Calibri" w:hAnsi="Calibri"/>
                <w:sz w:val="18"/>
                <w:szCs w:val="18"/>
                <w:color w:val="auto"/>
              </w:rPr>
              <w:t>101.PRE</w:t>
            </w:r>
          </w:p>
        </w:tc>
        <w:tc>
          <w:tcPr>
            <w:tcW w:w="6160" w:type="dxa"/>
            <w:vAlign w:val="bottom"/>
            <w:gridSpan w:val="16"/>
          </w:tcPr>
          <w:p>
            <w:pPr>
              <w:spacing w:after="0"/>
              <w:rPr>
                <w:sz w:val="20"/>
                <w:szCs w:val="20"/>
                <w:color w:val="auto"/>
              </w:rPr>
            </w:pPr>
            <w:r>
              <w:rPr>
                <w:rFonts w:ascii="Calibri" w:cs="Calibri" w:eastAsia="Calibri" w:hAnsi="Calibri"/>
                <w:sz w:val="18"/>
                <w:szCs w:val="18"/>
                <w:color w:val="auto"/>
              </w:rPr>
              <w:t>Inline XBRL Taxonomy Extension Presentaton Linkbase Document</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r>
        <w:trPr>
          <w:trHeight w:val="257"/>
        </w:trPr>
        <w:tc>
          <w:tcPr>
            <w:tcW w:w="900" w:type="dxa"/>
            <w:vAlign w:val="bottom"/>
          </w:tcPr>
          <w:p>
            <w:pPr>
              <w:jc w:val="center"/>
              <w:ind w:right="210"/>
              <w:spacing w:after="0"/>
              <w:rPr>
                <w:sz w:val="20"/>
                <w:szCs w:val="20"/>
                <w:color w:val="auto"/>
              </w:rPr>
            </w:pPr>
            <w:r>
              <w:rPr>
                <w:rFonts w:ascii="Calibri" w:cs="Calibri" w:eastAsia="Calibri" w:hAnsi="Calibri"/>
                <w:sz w:val="18"/>
                <w:szCs w:val="18"/>
                <w:color w:val="auto"/>
              </w:rPr>
              <w:t>104</w:t>
            </w:r>
          </w:p>
        </w:tc>
        <w:tc>
          <w:tcPr>
            <w:tcW w:w="6160" w:type="dxa"/>
            <w:vAlign w:val="bottom"/>
            <w:gridSpan w:val="16"/>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40" w:type="dxa"/>
            <w:vAlign w:val="bottom"/>
          </w:tcPr>
          <w:p>
            <w:pPr>
              <w:jc w:val="center"/>
              <w:ind w:left="1570"/>
              <w:spacing w:after="0"/>
              <w:rPr>
                <w:sz w:val="20"/>
                <w:szCs w:val="20"/>
                <w:color w:val="auto"/>
              </w:rPr>
            </w:pPr>
            <w:r>
              <w:rPr>
                <w:rFonts w:ascii="Calibri" w:cs="Calibri" w:eastAsia="Calibri" w:hAnsi="Calibri"/>
                <w:sz w:val="18"/>
                <w:szCs w:val="18"/>
                <w:color w:val="auto"/>
              </w:rPr>
              <w:t>*</w:t>
            </w:r>
          </w:p>
        </w:tc>
      </w:tr>
    </w:tbl>
    <w:p>
      <w:pPr>
        <w:spacing w:after="0" w:line="131" w:lineRule="exact"/>
        <w:rPr>
          <w:sz w:val="20"/>
          <w:szCs w:val="20"/>
          <w:color w:val="auto"/>
        </w:rPr>
      </w:pPr>
    </w:p>
    <w:p>
      <w:pPr>
        <w:ind w:left="320" w:hanging="312"/>
        <w:spacing w:after="0"/>
        <w:tabs>
          <w:tab w:leader="none" w:pos="32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Filed herewith.</w:t>
      </w:r>
    </w:p>
    <w:p>
      <w:pPr>
        <w:spacing w:after="0"/>
        <w:tabs>
          <w:tab w:leader="none" w:pos="30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Furnished herewith.</w:t>
      </w:r>
    </w:p>
    <w:p>
      <w:pPr>
        <w:ind w:left="320" w:hanging="312"/>
        <w:spacing w:after="0" w:line="236" w:lineRule="auto"/>
        <w:tabs>
          <w:tab w:leader="none" w:pos="32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Management contract or compensatory plan.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documents fled as exhibits to this Report are not intended to provide factual informaton other than with respect to the terms of the documents themselves, and should not be relied on for that purpose. In partcular, any representatons and warrantes contained in any such document were made solely within the context of such document and do not apply in any other context or at any tme other than the date on which they were made.</w:t>
      </w:r>
    </w:p>
    <w:p>
      <w:pPr>
        <w:spacing w:after="0" w:line="1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18" w:name="page119"/>
    <w:bookmarkEnd w:id="118"/>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105" w:lineRule="exact"/>
        <w:rPr>
          <w:sz w:val="20"/>
          <w:szCs w:val="20"/>
          <w:color w:val="auto"/>
        </w:rPr>
      </w:pPr>
    </w:p>
    <w:p>
      <w:pPr>
        <w:ind w:left="5560"/>
        <w:spacing w:after="0"/>
        <w:rPr>
          <w:sz w:val="20"/>
          <w:szCs w:val="20"/>
          <w:color w:val="auto"/>
        </w:rPr>
      </w:pPr>
      <w:r>
        <w:rPr>
          <w:rFonts w:ascii="Calibri" w:cs="Calibri" w:eastAsia="Calibri" w:hAnsi="Calibri"/>
          <w:sz w:val="18"/>
          <w:szCs w:val="18"/>
          <w:color w:val="auto"/>
        </w:rPr>
        <w:t>VIVID SEATS INC.</w:t>
      </w:r>
    </w:p>
    <w:p>
      <w:pPr>
        <w:spacing w:after="0" w:line="131" w:lineRule="exact"/>
        <w:rPr>
          <w:sz w:val="20"/>
          <w:szCs w:val="20"/>
          <w:color w:val="auto"/>
        </w:rPr>
      </w:pPr>
    </w:p>
    <w:tbl>
      <w:tblPr>
        <w:tblLayout w:type="fixed"/>
        <w:tblInd w:w="556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Calibri" w:cs="Calibri" w:eastAsia="Calibri" w:hAnsi="Calibri"/>
                <w:sz w:val="18"/>
                <w:szCs w:val="18"/>
                <w:color w:val="auto"/>
              </w:rPr>
              <w:t>By:</w:t>
            </w:r>
          </w:p>
        </w:tc>
        <w:tc>
          <w:tcPr>
            <w:tcW w:w="5140" w:type="dxa"/>
            <w:vAlign w:val="bottom"/>
          </w:tcPr>
          <w:p>
            <w:pPr>
              <w:ind w:left="20"/>
              <w:spacing w:after="0"/>
              <w:rPr>
                <w:sz w:val="20"/>
                <w:szCs w:val="20"/>
                <w:color w:val="auto"/>
              </w:rPr>
            </w:pPr>
            <w:r>
              <w:rPr>
                <w:rFonts w:ascii="Calibri" w:cs="Calibri" w:eastAsia="Calibri" w:hAnsi="Calibri"/>
                <w:sz w:val="18"/>
                <w:szCs w:val="18"/>
                <w:color w:val="auto"/>
              </w:rPr>
              <w:t>/s/ Stanley Chia</w:t>
            </w:r>
          </w:p>
        </w:tc>
      </w:tr>
      <w:tr>
        <w:trPr>
          <w:trHeight w:val="23"/>
        </w:trPr>
        <w:tc>
          <w:tcPr>
            <w:tcW w:w="5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187"/>
        </w:trPr>
        <w:tc>
          <w:tcPr>
            <w:tcW w:w="540" w:type="dxa"/>
            <w:vAlign w:val="bottom"/>
          </w:tcPr>
          <w:p>
            <w:pPr>
              <w:spacing w:after="0"/>
              <w:rPr>
                <w:sz w:val="16"/>
                <w:szCs w:val="16"/>
                <w:color w:val="auto"/>
              </w:rPr>
            </w:pPr>
          </w:p>
        </w:tc>
        <w:tc>
          <w:tcPr>
            <w:tcW w:w="5140" w:type="dxa"/>
            <w:vAlign w:val="bottom"/>
          </w:tcPr>
          <w:p>
            <w:pPr>
              <w:ind w:left="20"/>
              <w:spacing w:after="0" w:line="187" w:lineRule="exact"/>
              <w:rPr>
                <w:sz w:val="20"/>
                <w:szCs w:val="20"/>
                <w:color w:val="auto"/>
              </w:rPr>
            </w:pPr>
            <w:r>
              <w:rPr>
                <w:rFonts w:ascii="Calibri" w:cs="Calibri" w:eastAsia="Calibri" w:hAnsi="Calibri"/>
                <w:sz w:val="18"/>
                <w:szCs w:val="18"/>
                <w:color w:val="auto"/>
              </w:rPr>
              <w:t>Stanley Chia</w:t>
            </w:r>
          </w:p>
        </w:tc>
      </w:tr>
      <w:tr>
        <w:trPr>
          <w:trHeight w:val="215"/>
        </w:trPr>
        <w:tc>
          <w:tcPr>
            <w:tcW w:w="540" w:type="dxa"/>
            <w:vAlign w:val="bottom"/>
          </w:tcPr>
          <w:p>
            <w:pPr>
              <w:spacing w:after="0"/>
              <w:rPr>
                <w:sz w:val="18"/>
                <w:szCs w:val="18"/>
                <w:color w:val="auto"/>
              </w:rPr>
            </w:pPr>
          </w:p>
        </w:tc>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w:t>
            </w:r>
          </w:p>
        </w:tc>
      </w:tr>
      <w:tr>
        <w:trPr>
          <w:trHeight w:val="216"/>
        </w:trPr>
        <w:tc>
          <w:tcPr>
            <w:tcW w:w="540" w:type="dxa"/>
            <w:vAlign w:val="bottom"/>
          </w:tcPr>
          <w:p>
            <w:pPr>
              <w:spacing w:after="0"/>
              <w:rPr>
                <w:sz w:val="18"/>
                <w:szCs w:val="18"/>
                <w:color w:val="auto"/>
              </w:rPr>
            </w:pPr>
          </w:p>
        </w:tc>
        <w:tc>
          <w:tcPr>
            <w:tcW w:w="5140" w:type="dxa"/>
            <w:vAlign w:val="bottom"/>
          </w:tcPr>
          <w:p>
            <w:pPr>
              <w:ind w:left="20"/>
              <w:spacing w:after="0" w:line="216" w:lineRule="exact"/>
              <w:rPr>
                <w:sz w:val="20"/>
                <w:szCs w:val="20"/>
                <w:color w:val="auto"/>
              </w:rPr>
            </w:pPr>
            <w:r>
              <w:rPr>
                <w:rFonts w:ascii="Calibri" w:cs="Calibri" w:eastAsia="Calibri" w:hAnsi="Calibri"/>
                <w:sz w:val="18"/>
                <w:szCs w:val="18"/>
                <w:color w:val="auto"/>
              </w:rPr>
              <w:t>(principal executve ofcer)</w:t>
            </w:r>
          </w:p>
        </w:tc>
      </w:tr>
      <w:tr>
        <w:trPr>
          <w:trHeight w:val="216"/>
        </w:trPr>
        <w:tc>
          <w:tcPr>
            <w:tcW w:w="540" w:type="dxa"/>
            <w:vAlign w:val="bottom"/>
          </w:tcPr>
          <w:p>
            <w:pPr>
              <w:spacing w:after="0" w:line="216" w:lineRule="exact"/>
              <w:rPr>
                <w:sz w:val="20"/>
                <w:szCs w:val="20"/>
                <w:color w:val="auto"/>
              </w:rPr>
            </w:pPr>
            <w:r>
              <w:rPr>
                <w:rFonts w:ascii="Calibri" w:cs="Calibri" w:eastAsia="Calibri" w:hAnsi="Calibri"/>
                <w:sz w:val="18"/>
                <w:szCs w:val="18"/>
                <w:color w:val="auto"/>
              </w:rPr>
              <w:t>Date:</w:t>
            </w:r>
          </w:p>
        </w:tc>
        <w:tc>
          <w:tcPr>
            <w:tcW w:w="5140" w:type="dxa"/>
            <w:vAlign w:val="bottom"/>
          </w:tcPr>
          <w:p>
            <w:pPr>
              <w:ind w:left="20"/>
              <w:spacing w:after="0" w:line="216" w:lineRule="exact"/>
              <w:rPr>
                <w:sz w:val="20"/>
                <w:szCs w:val="20"/>
                <w:color w:val="auto"/>
              </w:rPr>
            </w:pPr>
            <w:r>
              <w:rPr>
                <w:rFonts w:ascii="Calibri" w:cs="Calibri" w:eastAsia="Calibri" w:hAnsi="Calibri"/>
                <w:sz w:val="18"/>
                <w:szCs w:val="18"/>
                <w:color w:val="auto"/>
              </w:rPr>
              <w:t>March 12, 2025</w:t>
            </w:r>
          </w:p>
        </w:tc>
      </w:tr>
    </w:tbl>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Power of Atorney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KNOW ALL PERSONS BY THESE PRESENTS, that each person whose signature appears below consttutes and appoints Stanley Chia and Lawrence Fey, jointly and severally, as their atorney-in-fact, with the power of substtuton, in any and all capacites, to sign and fle with the Securites and Exchange Commission any amendments to this report, together with all exhibits thereto and other documents in connecton therewith, hereby ratfying and confrming all that such atorneys-in-fact, or their substtute(s), may do or cause to be done by virtue hereof.</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below by the following persons on behalf of the registrant and in the capacites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40" w:type="dxa"/>
            <w:vAlign w:val="bottom"/>
          </w:tcPr>
          <w:p>
            <w:pPr>
              <w:spacing w:after="0"/>
              <w:rPr>
                <w:sz w:val="19"/>
                <w:szCs w:val="19"/>
                <w:color w:val="auto"/>
              </w:rPr>
            </w:pPr>
          </w:p>
        </w:tc>
        <w:tc>
          <w:tcPr>
            <w:tcW w:w="2200" w:type="dxa"/>
            <w:vAlign w:val="bottom"/>
            <w:gridSpan w:val="2"/>
          </w:tcPr>
          <w:p>
            <w:pPr>
              <w:jc w:val="center"/>
              <w:ind w:right="1520"/>
              <w:spacing w:after="0"/>
              <w:rPr>
                <w:sz w:val="20"/>
                <w:szCs w:val="20"/>
                <w:color w:val="auto"/>
              </w:rPr>
            </w:pPr>
            <w:r>
              <w:rPr>
                <w:rFonts w:ascii="Calibri" w:cs="Calibri" w:eastAsia="Calibri" w:hAnsi="Calibri"/>
                <w:sz w:val="18"/>
                <w:szCs w:val="18"/>
                <w:b w:val="1"/>
                <w:bCs w:val="1"/>
                <w:color w:val="auto"/>
                <w:w w:val="95"/>
              </w:rPr>
              <w:t>Signature</w:t>
            </w:r>
          </w:p>
        </w:tc>
        <w:tc>
          <w:tcPr>
            <w:tcW w:w="1720" w:type="dxa"/>
            <w:vAlign w:val="bottom"/>
          </w:tcPr>
          <w:p>
            <w:pPr>
              <w:spacing w:after="0"/>
              <w:rPr>
                <w:sz w:val="19"/>
                <w:szCs w:val="19"/>
                <w:color w:val="auto"/>
              </w:rPr>
            </w:pPr>
          </w:p>
        </w:tc>
        <w:tc>
          <w:tcPr>
            <w:tcW w:w="2260" w:type="dxa"/>
            <w:vAlign w:val="bottom"/>
            <w:gridSpan w:val="2"/>
          </w:tcPr>
          <w:p>
            <w:pPr>
              <w:jc w:val="center"/>
              <w:ind w:right="1940"/>
              <w:spacing w:after="0"/>
              <w:rPr>
                <w:sz w:val="20"/>
                <w:szCs w:val="20"/>
                <w:color w:val="auto"/>
              </w:rPr>
            </w:pPr>
            <w:r>
              <w:rPr>
                <w:rFonts w:ascii="Calibri" w:cs="Calibri" w:eastAsia="Calibri" w:hAnsi="Calibri"/>
                <w:sz w:val="18"/>
                <w:szCs w:val="18"/>
                <w:b w:val="1"/>
                <w:bCs w:val="1"/>
                <w:color w:val="auto"/>
                <w:w w:val="96"/>
              </w:rPr>
              <w:t>Title</w:t>
            </w:r>
          </w:p>
        </w:tc>
        <w:tc>
          <w:tcPr>
            <w:tcW w:w="1480" w:type="dxa"/>
            <w:vAlign w:val="bottom"/>
          </w:tcPr>
          <w:p>
            <w:pPr>
              <w:spacing w:after="0"/>
              <w:rPr>
                <w:sz w:val="19"/>
                <w:szCs w:val="19"/>
                <w:color w:val="auto"/>
              </w:rPr>
            </w:pPr>
          </w:p>
        </w:tc>
        <w:tc>
          <w:tcPr>
            <w:tcW w:w="2040" w:type="dxa"/>
            <w:vAlign w:val="bottom"/>
            <w:gridSpan w:val="2"/>
          </w:tcPr>
          <w:p>
            <w:pPr>
              <w:jc w:val="center"/>
              <w:ind w:right="1700"/>
              <w:spacing w:after="0"/>
              <w:rPr>
                <w:sz w:val="20"/>
                <w:szCs w:val="20"/>
                <w:color w:val="auto"/>
              </w:rPr>
            </w:pPr>
            <w:r>
              <w:rPr>
                <w:rFonts w:ascii="Calibri" w:cs="Calibri" w:eastAsia="Calibri" w:hAnsi="Calibri"/>
                <w:sz w:val="18"/>
                <w:szCs w:val="18"/>
                <w:b w:val="1"/>
                <w:bCs w:val="1"/>
                <w:color w:val="auto"/>
                <w:w w:val="95"/>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7"/>
              </w:rPr>
              <w:t>/s/ Stanley Chia</w:t>
            </w:r>
          </w:p>
        </w:tc>
        <w:tc>
          <w:tcPr>
            <w:tcW w:w="3980" w:type="dxa"/>
            <w:vAlign w:val="bottom"/>
            <w:gridSpan w:val="3"/>
          </w:tcPr>
          <w:p>
            <w:pPr>
              <w:jc w:val="center"/>
              <w:ind w:right="280"/>
              <w:spacing w:after="0"/>
              <w:rPr>
                <w:sz w:val="20"/>
                <w:szCs w:val="20"/>
                <w:color w:val="auto"/>
              </w:rPr>
            </w:pPr>
            <w:r>
              <w:rPr>
                <w:rFonts w:ascii="Calibri" w:cs="Calibri" w:eastAsia="Calibri" w:hAnsi="Calibri"/>
                <w:sz w:val="18"/>
                <w:szCs w:val="18"/>
                <w:color w:val="auto"/>
                <w:w w:val="99"/>
              </w:rPr>
              <w:t>Chief Executve and 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980" w:type="dxa"/>
            <w:vAlign w:val="bottom"/>
            <w:gridSpan w:val="3"/>
            <w:vMerge w:val="restart"/>
          </w:tcPr>
          <w:p>
            <w:pPr>
              <w:jc w:val="center"/>
              <w:ind w:right="240"/>
              <w:spacing w:after="0"/>
              <w:rPr>
                <w:sz w:val="20"/>
                <w:szCs w:val="20"/>
                <w:color w:val="auto"/>
              </w:rPr>
            </w:pPr>
            <w:r>
              <w:rPr>
                <w:rFonts w:ascii="Calibri" w:cs="Calibri" w:eastAsia="Calibri" w:hAnsi="Calibri"/>
                <w:sz w:val="18"/>
                <w:szCs w:val="18"/>
                <w:color w:val="auto"/>
              </w:rPr>
              <w:t>(principal executve ofcer)</w:t>
            </w: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8"/>
              </w:rPr>
              <w:t>Stanley Chia</w:t>
            </w:r>
          </w:p>
        </w:tc>
        <w:tc>
          <w:tcPr>
            <w:tcW w:w="398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7"/>
              </w:rPr>
              <w:t>/s/ Lawrence Fey</w:t>
            </w:r>
          </w:p>
        </w:tc>
        <w:tc>
          <w:tcPr>
            <w:tcW w:w="3980" w:type="dxa"/>
            <w:vAlign w:val="bottom"/>
            <w:gridSpan w:val="3"/>
          </w:tcPr>
          <w:p>
            <w:pPr>
              <w:jc w:val="center"/>
              <w:ind w:right="260"/>
              <w:spacing w:after="0"/>
              <w:rPr>
                <w:sz w:val="20"/>
                <w:szCs w:val="20"/>
                <w:color w:val="auto"/>
              </w:rPr>
            </w:pPr>
            <w:r>
              <w:rPr>
                <w:rFonts w:ascii="Calibri" w:cs="Calibri" w:eastAsia="Calibri" w:hAnsi="Calibri"/>
                <w:sz w:val="18"/>
                <w:szCs w:val="18"/>
                <w:color w:val="auto"/>
              </w:rPr>
              <w:t>Chief Financial Ofcer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980" w:type="dxa"/>
            <w:vAlign w:val="bottom"/>
            <w:gridSpan w:val="3"/>
            <w:vMerge w:val="restart"/>
          </w:tcPr>
          <w:p>
            <w:pPr>
              <w:jc w:val="center"/>
              <w:ind w:right="240"/>
              <w:spacing w:after="0"/>
              <w:rPr>
                <w:sz w:val="20"/>
                <w:szCs w:val="20"/>
                <w:color w:val="auto"/>
              </w:rPr>
            </w:pPr>
            <w:r>
              <w:rPr>
                <w:rFonts w:ascii="Calibri" w:cs="Calibri" w:eastAsia="Calibri" w:hAnsi="Calibri"/>
                <w:sz w:val="18"/>
                <w:szCs w:val="18"/>
                <w:color w:val="auto"/>
              </w:rPr>
              <w:t>(principal fnancial ofcer)</w:t>
            </w: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Lawrence Fey</w:t>
            </w:r>
          </w:p>
        </w:tc>
        <w:tc>
          <w:tcPr>
            <w:tcW w:w="398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8"/>
              </w:rPr>
              <w:t>/s/ Edward Pickus</w:t>
            </w:r>
          </w:p>
        </w:tc>
        <w:tc>
          <w:tcPr>
            <w:tcW w:w="3980" w:type="dxa"/>
            <w:vAlign w:val="bottom"/>
            <w:gridSpan w:val="3"/>
          </w:tcPr>
          <w:p>
            <w:pPr>
              <w:jc w:val="center"/>
              <w:ind w:right="260"/>
              <w:spacing w:after="0"/>
              <w:rPr>
                <w:sz w:val="20"/>
                <w:szCs w:val="20"/>
                <w:color w:val="auto"/>
              </w:rPr>
            </w:pPr>
            <w:r>
              <w:rPr>
                <w:rFonts w:ascii="Calibri" w:cs="Calibri" w:eastAsia="Calibri" w:hAnsi="Calibri"/>
                <w:sz w:val="18"/>
                <w:szCs w:val="18"/>
                <w:color w:val="auto"/>
              </w:rPr>
              <w:t>Chief Accountng Ofcer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980" w:type="dxa"/>
            <w:vAlign w:val="bottom"/>
            <w:gridSpan w:val="3"/>
            <w:vMerge w:val="restart"/>
          </w:tcPr>
          <w:p>
            <w:pPr>
              <w:jc w:val="center"/>
              <w:ind w:right="260"/>
              <w:spacing w:after="0"/>
              <w:rPr>
                <w:sz w:val="20"/>
                <w:szCs w:val="20"/>
                <w:color w:val="auto"/>
              </w:rPr>
            </w:pPr>
            <w:r>
              <w:rPr>
                <w:rFonts w:ascii="Calibri" w:cs="Calibri" w:eastAsia="Calibri" w:hAnsi="Calibri"/>
                <w:sz w:val="18"/>
                <w:szCs w:val="18"/>
                <w:color w:val="auto"/>
              </w:rPr>
              <w:t>(principal accountng ofcer)</w:t>
            </w: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8"/>
              </w:rPr>
              <w:t>Edward Pickus</w:t>
            </w:r>
          </w:p>
        </w:tc>
        <w:tc>
          <w:tcPr>
            <w:tcW w:w="398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8"/>
              </w:rPr>
              <w:t>/s/ Mark Anderson</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8"/>
              </w:rPr>
              <w:t>Mark Anderson</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6"/>
              </w:rPr>
              <w:t>/s/ Todd Boehly</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Todd Boehly</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7"/>
              </w:rPr>
              <w:t>/s/ Jane DeFlorio</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7"/>
              </w:rPr>
              <w:t>Jane DeFlorio</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6"/>
              </w:rPr>
              <w:t>/s/ Craig Dixon</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Craig Dixon</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7"/>
              </w:rPr>
              <w:t>/s/ David Donnini</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7"/>
              </w:rPr>
              <w:t>David Donnini</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6"/>
              </w:rPr>
              <w:t>/s/ Julie Masino</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7"/>
              </w:rPr>
              <w:t>Julie Masino</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7"/>
              </w:rPr>
              <w:t>/s/ Adam Stewart</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w w:val="96"/>
              </w:rPr>
              <w:t>Adam Stewart</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740" w:type="dxa"/>
            <w:vAlign w:val="bottom"/>
            <w:gridSpan w:val="3"/>
          </w:tcPr>
          <w:p>
            <w:pPr>
              <w:jc w:val="center"/>
              <w:spacing w:after="0"/>
              <w:rPr>
                <w:sz w:val="20"/>
                <w:szCs w:val="20"/>
                <w:color w:val="auto"/>
              </w:rPr>
            </w:pPr>
            <w:r>
              <w:rPr>
                <w:rFonts w:ascii="Calibri" w:cs="Calibri" w:eastAsia="Calibri" w:hAnsi="Calibri"/>
                <w:sz w:val="18"/>
                <w:szCs w:val="18"/>
                <w:color w:val="auto"/>
                <w:w w:val="99"/>
              </w:rPr>
              <w:t>/s/ Martn Taylor</w:t>
            </w:r>
          </w:p>
        </w:tc>
        <w:tc>
          <w:tcPr>
            <w:tcW w:w="3980" w:type="dxa"/>
            <w:vAlign w:val="bottom"/>
            <w:gridSpan w:val="3"/>
          </w:tcPr>
          <w:p>
            <w:pPr>
              <w:jc w:val="center"/>
              <w:ind w:right="220"/>
              <w:spacing w:after="0"/>
              <w:rPr>
                <w:sz w:val="20"/>
                <w:szCs w:val="20"/>
                <w:color w:val="auto"/>
              </w:rPr>
            </w:pPr>
            <w:r>
              <w:rPr>
                <w:rFonts w:ascii="Calibri" w:cs="Calibri" w:eastAsia="Calibri" w:hAnsi="Calibri"/>
                <w:sz w:val="18"/>
                <w:szCs w:val="18"/>
                <w:color w:val="auto"/>
              </w:rPr>
              <w:t>Director</w:t>
            </w:r>
          </w:p>
        </w:tc>
        <w:tc>
          <w:tcPr>
            <w:tcW w:w="352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7"/>
              </w:rPr>
              <w:t>March 12,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jc w:val="center"/>
              <w:spacing w:after="0" w:line="208" w:lineRule="exact"/>
              <w:rPr>
                <w:sz w:val="20"/>
                <w:szCs w:val="20"/>
                <w:color w:val="auto"/>
              </w:rPr>
            </w:pPr>
            <w:r>
              <w:rPr>
                <w:rFonts w:ascii="Calibri" w:cs="Calibri" w:eastAsia="Calibri" w:hAnsi="Calibri"/>
                <w:sz w:val="18"/>
                <w:szCs w:val="18"/>
                <w:color w:val="auto"/>
              </w:rPr>
              <w:t>Martn Taylor</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2"/>
        </w:trPr>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Calibri" w:cs="Calibri" w:eastAsia="Calibri" w:hAnsi="Calibri"/>
                <w:sz w:val="18"/>
                <w:szCs w:val="18"/>
                <w:color w:val="auto"/>
              </w:rPr>
              <w:t>117</w:t>
            </w: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jc w:val="right"/>
        <w:spacing w:after="0"/>
        <w:rPr>
          <w:sz w:val="20"/>
          <w:szCs w:val="20"/>
          <w:color w:val="auto"/>
        </w:rPr>
      </w:pPr>
      <w:r>
        <w:rPr>
          <w:rFonts w:ascii="Calibri" w:cs="Calibri" w:eastAsia="Calibri" w:hAnsi="Calibri"/>
          <w:sz w:val="18"/>
          <w:szCs w:val="18"/>
          <w:b w:val="1"/>
          <w:bCs w:val="1"/>
          <w:color w:val="auto"/>
        </w:rPr>
        <w:t>Exhibit 10.3</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AMENDMENT NO. 1 TO STOCKHOLDERS’ AGREEMENT</w:t>
      </w:r>
    </w:p>
    <w:p>
      <w:pPr>
        <w:spacing w:after="0" w:line="190"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This Amendment No. 1 (this “</w:t>
      </w:r>
      <w:r>
        <w:rPr>
          <w:rFonts w:ascii="Calibri" w:cs="Calibri" w:eastAsia="Calibri" w:hAnsi="Calibri"/>
          <w:sz w:val="18"/>
          <w:szCs w:val="18"/>
          <w:u w:val="single" w:color="auto"/>
          <w:color w:val="auto"/>
        </w:rPr>
        <w:t>Amendment</w:t>
      </w:r>
      <w:r>
        <w:rPr>
          <w:rFonts w:ascii="Calibri" w:cs="Calibri" w:eastAsia="Calibri" w:hAnsi="Calibri"/>
          <w:sz w:val="18"/>
          <w:szCs w:val="18"/>
          <w:color w:val="auto"/>
        </w:rPr>
        <w:t>”) to the Stockholders’ Agreement, made as of October 18, 2021 by and among Vivid Seats Inc., Hoya Topco, LLC and Horizon Sponsor, LLC (the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is made as of October 1, 2024, by and among:</w:t>
      </w:r>
    </w:p>
    <w:p>
      <w:pPr>
        <w:spacing w:after="0" w:line="172" w:lineRule="exact"/>
        <w:rPr>
          <w:sz w:val="20"/>
          <w:szCs w:val="20"/>
          <w:color w:val="auto"/>
        </w:rPr>
      </w:pPr>
    </w:p>
    <w:p>
      <w:pPr>
        <w:ind w:left="940" w:hanging="183"/>
        <w:spacing w:after="0"/>
        <w:tabs>
          <w:tab w:leader="none" w:pos="94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Vivid Seats Inc., a Delaware corporaton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w:t>
      </w:r>
    </w:p>
    <w:p>
      <w:pPr>
        <w:spacing w:after="0" w:line="171" w:lineRule="exact"/>
        <w:rPr>
          <w:rFonts w:ascii="Calibri" w:cs="Calibri" w:eastAsia="Calibri" w:hAnsi="Calibri"/>
          <w:sz w:val="18"/>
          <w:szCs w:val="18"/>
          <w:color w:val="auto"/>
        </w:rPr>
      </w:pPr>
    </w:p>
    <w:p>
      <w:pPr>
        <w:ind w:left="980" w:hanging="223"/>
        <w:spacing w:after="0"/>
        <w:tabs>
          <w:tab w:leader="none" w:pos="9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Hoya Topco, LLC, a Delaware limited liability company (“</w:t>
      </w:r>
      <w:r>
        <w:rPr>
          <w:rFonts w:ascii="Calibri" w:cs="Calibri" w:eastAsia="Calibri" w:hAnsi="Calibri"/>
          <w:sz w:val="18"/>
          <w:szCs w:val="18"/>
          <w:u w:val="single" w:color="auto"/>
          <w:color w:val="auto"/>
        </w:rPr>
        <w:t>Topco</w:t>
      </w:r>
      <w:r>
        <w:rPr>
          <w:rFonts w:ascii="Calibri" w:cs="Calibri" w:eastAsia="Calibri" w:hAnsi="Calibri"/>
          <w:sz w:val="18"/>
          <w:szCs w:val="18"/>
          <w:color w:val="auto"/>
        </w:rPr>
        <w:t>”); and</w:t>
      </w:r>
    </w:p>
    <w:p>
      <w:pPr>
        <w:spacing w:after="0" w:line="190" w:lineRule="exact"/>
        <w:rPr>
          <w:rFonts w:ascii="Calibri" w:cs="Calibri" w:eastAsia="Calibri" w:hAnsi="Calibri"/>
          <w:sz w:val="18"/>
          <w:szCs w:val="18"/>
          <w:color w:val="auto"/>
        </w:rPr>
      </w:pPr>
    </w:p>
    <w:p>
      <w:pPr>
        <w:ind w:firstLine="757"/>
        <w:spacing w:after="0" w:line="235" w:lineRule="auto"/>
        <w:tabs>
          <w:tab w:leader="none" w:pos="1043"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Horizon Sponsor, LLC, a Delaware limited liability company (“</w:t>
      </w:r>
      <w:r>
        <w:rPr>
          <w:rFonts w:ascii="Calibri" w:cs="Calibri" w:eastAsia="Calibri" w:hAnsi="Calibri"/>
          <w:sz w:val="18"/>
          <w:szCs w:val="18"/>
          <w:u w:val="single" w:color="auto"/>
          <w:color w:val="auto"/>
        </w:rPr>
        <w:t>Horizon</w:t>
      </w:r>
      <w:r>
        <w:rPr>
          <w:rFonts w:ascii="Calibri" w:cs="Calibri" w:eastAsia="Calibri" w:hAnsi="Calibri"/>
          <w:sz w:val="18"/>
          <w:szCs w:val="18"/>
          <w:color w:val="auto"/>
        </w:rPr>
        <w:t>” and, together with Topco, each a “</w:t>
      </w:r>
      <w:r>
        <w:rPr>
          <w:rFonts w:ascii="Calibri" w:cs="Calibri" w:eastAsia="Calibri" w:hAnsi="Calibri"/>
          <w:sz w:val="18"/>
          <w:szCs w:val="18"/>
          <w:u w:val="single" w:color="auto"/>
          <w:color w:val="auto"/>
        </w:rPr>
        <w:t>Votng Party</w:t>
      </w:r>
      <w:r>
        <w:rPr>
          <w:rFonts w:ascii="Calibri" w:cs="Calibri" w:eastAsia="Calibri" w:hAnsi="Calibri"/>
          <w:sz w:val="18"/>
          <w:szCs w:val="18"/>
          <w:color w:val="auto"/>
        </w:rPr>
        <w:t>” and together the “</w:t>
      </w:r>
      <w:r>
        <w:rPr>
          <w:rFonts w:ascii="Calibri" w:cs="Calibri" w:eastAsia="Calibri" w:hAnsi="Calibri"/>
          <w:sz w:val="18"/>
          <w:szCs w:val="18"/>
          <w:u w:val="single" w:color="auto"/>
          <w:color w:val="auto"/>
        </w:rPr>
        <w:t>Votng Partes</w:t>
      </w:r>
      <w:r>
        <w:rPr>
          <w:rFonts w:ascii="Calibri" w:cs="Calibri" w:eastAsia="Calibri" w:hAnsi="Calibri"/>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RECITALS</w:t>
      </w:r>
    </w:p>
    <w:p>
      <w:pPr>
        <w:spacing w:after="0" w:line="17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in connecton with the Transactons (as defned in the Transacton Agreement, dated as of April 21, 2021, by and among the Company,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Votng Partes, Hoya Intermediate, LLC, a Delaware limited liability company, and Horizon Acquisiton Corporaton, a Cayman Islands exempted company), the Votng Partes agreed to execute and deliver the Agreement;</w:t>
      </w:r>
    </w:p>
    <w:p>
      <w:pPr>
        <w:spacing w:after="0" w:line="192"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the partes entered into the Agreement to provide for, among other things, certain rights with respect to the electon of the Company’s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Board of Directors (the “</w:t>
      </w:r>
      <w:r>
        <w:rPr>
          <w:rFonts w:ascii="Calibri" w:cs="Calibri" w:eastAsia="Calibri" w:hAnsi="Calibri"/>
          <w:sz w:val="18"/>
          <w:szCs w:val="18"/>
          <w:u w:val="single" w:color="auto"/>
          <w:color w:val="auto"/>
        </w:rPr>
        <w:t>Board</w:t>
      </w:r>
      <w:r>
        <w:rPr>
          <w:rFonts w:ascii="Calibri" w:cs="Calibri" w:eastAsia="Calibri" w:hAnsi="Calibri"/>
          <w:sz w:val="18"/>
          <w:szCs w:val="18"/>
          <w:color w:val="auto"/>
        </w:rPr>
        <w:t>”) and certain rights, as among the partes, with respect to the removal of certain members of the Company’s Board (the “</w:t>
      </w:r>
      <w:r>
        <w:rPr>
          <w:rFonts w:ascii="Calibri" w:cs="Calibri" w:eastAsia="Calibri" w:hAnsi="Calibri"/>
          <w:sz w:val="18"/>
          <w:szCs w:val="18"/>
          <w:u w:val="single" w:color="auto"/>
          <w:color w:val="auto"/>
        </w:rPr>
        <w:t>Removal Rights</w:t>
      </w:r>
      <w:r>
        <w:rPr>
          <w:rFonts w:ascii="Calibri" w:cs="Calibri" w:eastAsia="Calibri" w:hAnsi="Calibri"/>
          <w:sz w:val="18"/>
          <w:szCs w:val="18"/>
          <w:color w:val="auto"/>
        </w:rPr>
        <w:t>”);</w:t>
      </w:r>
    </w:p>
    <w:p>
      <w:pPr>
        <w:spacing w:after="0" w:line="17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pursuant to Secton 13 of the Agreement, any provision of the Agreement may be amended if, but only if, such amendment is in writng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is signed by the Company and the Votng Partes; and</w:t>
      </w:r>
    </w:p>
    <w:p>
      <w:pPr>
        <w:spacing w:after="0" w:line="17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for purposes of clarifying the intent of the partes with respect to the Removal Rights, the partes now wish to enter into this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Amendment.</w:t>
      </w:r>
    </w:p>
    <w:p>
      <w:pPr>
        <w:spacing w:after="0" w:line="191"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b w:val="1"/>
          <w:bCs w:val="1"/>
          <w:color w:val="auto"/>
        </w:rPr>
        <w:t>NOW THEREFORE</w:t>
      </w:r>
      <w:r>
        <w:rPr>
          <w:rFonts w:ascii="Calibri" w:cs="Calibri" w:eastAsia="Calibri" w:hAnsi="Calibri"/>
          <w:sz w:val="18"/>
          <w:szCs w:val="18"/>
          <w:color w:val="auto"/>
        </w:rPr>
        <w:t>, in consideraton of the foregoing and of the promises and covenants contained herein, the receipt and sufciency of which are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hereby acknowledged, the partes hereto agree as follows:</w:t>
      </w:r>
    </w:p>
    <w:p>
      <w:pPr>
        <w:spacing w:after="0" w:line="172" w:lineRule="exact"/>
        <w:rPr>
          <w:sz w:val="20"/>
          <w:szCs w:val="20"/>
          <w:color w:val="auto"/>
        </w:rPr>
      </w:pPr>
    </w:p>
    <w:p>
      <w:pPr>
        <w:ind w:left="1020" w:hanging="263"/>
        <w:spacing w:after="0"/>
        <w:tabs>
          <w:tab w:leader="none" w:pos="102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Capitalized terms used but not defned herein shall have the meanings given to them in the Agreement.</w:t>
      </w:r>
    </w:p>
    <w:p>
      <w:pPr>
        <w:spacing w:after="0" w:line="171" w:lineRule="exact"/>
        <w:rPr>
          <w:rFonts w:ascii="Calibri" w:cs="Calibri" w:eastAsia="Calibri" w:hAnsi="Calibri"/>
          <w:sz w:val="18"/>
          <w:szCs w:val="18"/>
          <w:color w:val="auto"/>
        </w:rPr>
      </w:pPr>
    </w:p>
    <w:p>
      <w:pPr>
        <w:ind w:left="1020" w:hanging="263"/>
        <w:spacing w:after="0"/>
        <w:tabs>
          <w:tab w:leader="none" w:pos="102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Secton 3(c) of the Agreement is hereby amended and restated in its entrety to read as follows:</w:t>
      </w:r>
    </w:p>
    <w:p>
      <w:pPr>
        <w:spacing w:after="0" w:line="185" w:lineRule="exact"/>
        <w:rPr>
          <w:rFonts w:ascii="Calibri" w:cs="Calibri" w:eastAsia="Calibri" w:hAnsi="Calibri"/>
          <w:sz w:val="18"/>
          <w:szCs w:val="18"/>
          <w:color w:val="auto"/>
        </w:rPr>
      </w:pPr>
    </w:p>
    <w:p>
      <w:pPr>
        <w:ind w:left="1080" w:hanging="323"/>
        <w:spacing w:after="0"/>
        <w:tabs>
          <w:tab w:leader="none" w:pos="1080" w:val="left"/>
        </w:tabs>
        <w:numPr>
          <w:ilvl w:val="0"/>
          <w:numId w:val="42"/>
        </w:numPr>
        <w:rPr>
          <w:rFonts w:ascii="Calibri" w:cs="Calibri" w:eastAsia="Calibri" w:hAnsi="Calibri"/>
          <w:sz w:val="18"/>
          <w:szCs w:val="18"/>
          <w:color w:val="auto"/>
        </w:rPr>
      </w:pPr>
      <w:r>
        <w:rPr>
          <w:rFonts w:ascii="Calibri" w:cs="Calibri" w:eastAsia="Calibri" w:hAnsi="Calibri"/>
          <w:sz w:val="18"/>
          <w:szCs w:val="18"/>
          <w:u w:val="single" w:color="auto"/>
          <w:color w:val="auto"/>
        </w:rPr>
        <w:t>Board of Directors</w:t>
      </w:r>
      <w:r>
        <w:rPr>
          <w:rFonts w:ascii="Calibri" w:cs="Calibri" w:eastAsia="Calibri" w:hAnsi="Calibri"/>
          <w:sz w:val="18"/>
          <w:szCs w:val="18"/>
          <w:color w:val="auto"/>
        </w:rPr>
        <w:t>.</w:t>
      </w:r>
    </w:p>
    <w:p>
      <w:pPr>
        <w:spacing w:after="0" w:line="171" w:lineRule="exact"/>
        <w:rPr>
          <w:rFonts w:ascii="Calibri" w:cs="Calibri" w:eastAsia="Calibri" w:hAnsi="Calibri"/>
          <w:sz w:val="18"/>
          <w:szCs w:val="18"/>
          <w:color w:val="auto"/>
        </w:rPr>
      </w:pPr>
    </w:p>
    <w:p>
      <w:pPr>
        <w:ind w:left="1820" w:hanging="315"/>
        <w:spacing w:after="0"/>
        <w:tabs>
          <w:tab w:leader="none" w:pos="1820" w:val="left"/>
        </w:tabs>
        <w:numPr>
          <w:ilvl w:val="1"/>
          <w:numId w:val="42"/>
        </w:numPr>
        <w:rPr>
          <w:rFonts w:ascii="Calibri" w:cs="Calibri" w:eastAsia="Calibri" w:hAnsi="Calibri"/>
          <w:sz w:val="18"/>
          <w:szCs w:val="18"/>
          <w:color w:val="auto"/>
        </w:rPr>
      </w:pPr>
      <w:r>
        <w:rPr>
          <w:rFonts w:ascii="Calibri" w:cs="Calibri" w:eastAsia="Calibri" w:hAnsi="Calibri"/>
          <w:sz w:val="18"/>
          <w:szCs w:val="18"/>
          <w:u w:val="single" w:color="auto"/>
          <w:color w:val="auto"/>
        </w:rPr>
        <w:t>Resignaton; Removal; Vacancies</w:t>
      </w:r>
      <w:r>
        <w:rPr>
          <w:rFonts w:ascii="Calibri" w:cs="Calibri" w:eastAsia="Calibri" w:hAnsi="Calibri"/>
          <w:sz w:val="18"/>
          <w:szCs w:val="18"/>
          <w:color w:val="auto"/>
        </w:rPr>
        <w:t>.</w:t>
      </w:r>
    </w:p>
    <w:p>
      <w:pPr>
        <w:spacing w:after="0" w:line="171" w:lineRule="exact"/>
        <w:rPr>
          <w:rFonts w:ascii="Calibri" w:cs="Calibri" w:eastAsia="Calibri" w:hAnsi="Calibri"/>
          <w:sz w:val="18"/>
          <w:szCs w:val="18"/>
          <w:color w:val="auto"/>
        </w:rPr>
      </w:pPr>
    </w:p>
    <w:p>
      <w:pPr>
        <w:ind w:left="2580" w:hanging="326"/>
        <w:spacing w:after="0"/>
        <w:tabs>
          <w:tab w:leader="none" w:pos="2580" w:val="left"/>
        </w:tabs>
        <w:numPr>
          <w:ilvl w:val="2"/>
          <w:numId w:val="42"/>
        </w:numPr>
        <w:rPr>
          <w:rFonts w:ascii="Calibri" w:cs="Calibri" w:eastAsia="Calibri" w:hAnsi="Calibri"/>
          <w:sz w:val="18"/>
          <w:szCs w:val="18"/>
          <w:color w:val="auto"/>
        </w:rPr>
      </w:pPr>
      <w:r>
        <w:rPr>
          <w:rFonts w:ascii="Calibri" w:cs="Calibri" w:eastAsia="Calibri" w:hAnsi="Calibri"/>
          <w:sz w:val="18"/>
          <w:szCs w:val="18"/>
          <w:color w:val="auto"/>
        </w:rPr>
        <w:t>Any Topco Designee or Horizon Designee may resign at any tme upon writen notce to the Board.</w:t>
      </w:r>
    </w:p>
    <w:p>
      <w:pPr>
        <w:spacing w:after="0" w:line="190" w:lineRule="exact"/>
        <w:rPr>
          <w:rFonts w:ascii="Calibri" w:cs="Calibri" w:eastAsia="Calibri" w:hAnsi="Calibri"/>
          <w:sz w:val="18"/>
          <w:szCs w:val="18"/>
          <w:color w:val="auto"/>
        </w:rPr>
      </w:pPr>
    </w:p>
    <w:p>
      <w:pPr>
        <w:jc w:val="both"/>
        <w:ind w:left="1500" w:firstLine="754"/>
        <w:spacing w:after="0" w:line="251" w:lineRule="auto"/>
        <w:tabs>
          <w:tab w:leader="none" w:pos="2566" w:val="left"/>
        </w:tabs>
        <w:numPr>
          <w:ilvl w:val="2"/>
          <w:numId w:val="42"/>
        </w:numPr>
        <w:rPr>
          <w:rFonts w:ascii="Calibri" w:cs="Calibri" w:eastAsia="Calibri" w:hAnsi="Calibri"/>
          <w:sz w:val="17"/>
          <w:szCs w:val="17"/>
          <w:color w:val="auto"/>
        </w:rPr>
      </w:pPr>
      <w:r>
        <w:rPr>
          <w:rFonts w:ascii="Calibri" w:cs="Calibri" w:eastAsia="Calibri" w:hAnsi="Calibri"/>
          <w:sz w:val="17"/>
          <w:szCs w:val="17"/>
          <w:color w:val="auto"/>
        </w:rPr>
        <w:t xml:space="preserve">As between the Topco Equityholders and the Horizon Equityholders, (A) the Topco Equityholders shall have the exclusive right to request the removal of one or more of the Topco Designees from the Board, and the Company and the Votng Partes shall take all Necessary Acton to cause the removal of any such Topco Designee(s) at the writen request of the Topco Equityholders and (B) the Topco Equityholders shall have the exclusive right, in accordance with </w:t>
      </w:r>
      <w:r>
        <w:rPr>
          <w:rFonts w:ascii="Calibri" w:cs="Calibri" w:eastAsia="Calibri" w:hAnsi="Calibri"/>
          <w:sz w:val="17"/>
          <w:szCs w:val="17"/>
          <w:u w:val="single" w:color="auto"/>
          <w:color w:val="auto"/>
        </w:rPr>
        <w:t>Secton 3(a)</w:t>
      </w:r>
      <w:r>
        <w:rPr>
          <w:rFonts w:ascii="Calibri" w:cs="Calibri" w:eastAsia="Calibri" w:hAnsi="Calibri"/>
          <w:sz w:val="17"/>
          <w:szCs w:val="17"/>
          <w:color w:val="auto"/>
        </w:rPr>
        <w:t>, to designate directors for electon to the Board to fll any vacancies created by reason of death, removal or resignaton of the Topco Designees, and the Company and the Votng Partes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ind w:left="1500"/>
        <w:spacing w:after="0" w:line="235" w:lineRule="auto"/>
        <w:rPr>
          <w:sz w:val="20"/>
          <w:szCs w:val="20"/>
          <w:color w:val="auto"/>
        </w:rPr>
      </w:pPr>
      <w:r>
        <w:rPr>
          <w:rFonts w:ascii="Calibri" w:cs="Calibri" w:eastAsia="Calibri" w:hAnsi="Calibri"/>
          <w:sz w:val="18"/>
          <w:szCs w:val="18"/>
          <w:color w:val="auto"/>
        </w:rPr>
        <w:t>shall take all Necessary Acton to cause any such vacancies to be flled by replacement Topco Designees as promptly as reasonably practcable.</w:t>
      </w:r>
    </w:p>
    <w:p>
      <w:pPr>
        <w:spacing w:after="0" w:line="177" w:lineRule="exact"/>
        <w:rPr>
          <w:sz w:val="20"/>
          <w:szCs w:val="20"/>
          <w:color w:val="auto"/>
        </w:rPr>
      </w:pPr>
    </w:p>
    <w:p>
      <w:pPr>
        <w:jc w:val="both"/>
        <w:ind w:left="1500" w:firstLine="754"/>
        <w:spacing w:after="0" w:line="251" w:lineRule="auto"/>
        <w:tabs>
          <w:tab w:leader="none" w:pos="2566" w:val="left"/>
        </w:tabs>
        <w:numPr>
          <w:ilvl w:val="1"/>
          <w:numId w:val="43"/>
        </w:numPr>
        <w:rPr>
          <w:rFonts w:ascii="Calibri" w:cs="Calibri" w:eastAsia="Calibri" w:hAnsi="Calibri"/>
          <w:sz w:val="17"/>
          <w:szCs w:val="17"/>
          <w:color w:val="auto"/>
        </w:rPr>
      </w:pPr>
      <w:r>
        <w:rPr>
          <w:rFonts w:ascii="Calibri" w:cs="Calibri" w:eastAsia="Calibri" w:hAnsi="Calibri"/>
          <w:sz w:val="17"/>
          <w:szCs w:val="17"/>
          <w:color w:val="auto"/>
        </w:rPr>
        <w:t xml:space="preserve">As between the Topco Equityholders and the Horizon Equityholders, (A) the Horizon Equityholders shall have the exclusive right to request the removal of the Horizon Designee from the Board, and the Company and the Votng Partes shall take all Necessary Acton to cause the removal the Horizon Designee at the writen request of the Horizon Equityholders and (B) the Horizon Equityholders shall have the exclusive right, in accordance with </w:t>
      </w:r>
      <w:r>
        <w:rPr>
          <w:rFonts w:ascii="Calibri" w:cs="Calibri" w:eastAsia="Calibri" w:hAnsi="Calibri"/>
          <w:sz w:val="17"/>
          <w:szCs w:val="17"/>
          <w:u w:val="single" w:color="auto"/>
          <w:color w:val="auto"/>
        </w:rPr>
        <w:t>Secton 3(a)</w:t>
      </w:r>
      <w:r>
        <w:rPr>
          <w:rFonts w:ascii="Calibri" w:cs="Calibri" w:eastAsia="Calibri" w:hAnsi="Calibri"/>
          <w:sz w:val="17"/>
          <w:szCs w:val="17"/>
          <w:color w:val="auto"/>
        </w:rPr>
        <w:t>, to designate a director for electon to the Board to fll any vacancy created by reason of death, removal or resignaton of the Horizon Designee, and the Company and the Votng Partes shall take all Necessary Acton to cause any such vacancy to be flled by a replacement Horizon Designee as promptly as reasonably practcable.</w:t>
      </w:r>
    </w:p>
    <w:p>
      <w:pPr>
        <w:spacing w:after="0" w:line="182" w:lineRule="exact"/>
        <w:rPr>
          <w:rFonts w:ascii="Calibri" w:cs="Calibri" w:eastAsia="Calibri" w:hAnsi="Calibri"/>
          <w:sz w:val="17"/>
          <w:szCs w:val="17"/>
          <w:color w:val="auto"/>
        </w:rPr>
      </w:pPr>
    </w:p>
    <w:p>
      <w:pPr>
        <w:ind w:firstLine="757"/>
        <w:spacing w:after="0" w:line="235" w:lineRule="auto"/>
        <w:tabs>
          <w:tab w:leader="none" w:pos="1018"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This Amendment shall be and hereby is incorporated in and forms part of the Agreement. Except as expressly provided herein, all terms and conditons of the Agreement shall remain in full force and efect.</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Remainder of page intentonally lef blank; signature pages follow</w:t>
      </w:r>
      <w:r>
        <w:rPr>
          <w:rFonts w:ascii="Calibri" w:cs="Calibri" w:eastAsia="Calibri" w:hAnsi="Calibri"/>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auto"/>
        </w:rPr>
        <w:t>IN WITNESS WHEREOF, the partes hereto have duly executed this Agreement as of the date frst above writen.</w:t>
      </w:r>
    </w:p>
    <w:p>
      <w:pPr>
        <w:sectPr>
          <w:pgSz w:w="11900" w:h="16838" w:orient="portrait"/>
          <w:cols w:equalWidth="0" w:num="1">
            <w:col w:w="9379"/>
          </w:cols>
          <w:pgMar w:left="1080" w:top="1440" w:right="1440" w:bottom="1440" w:gutter="0" w:footer="0" w:header="0"/>
        </w:sectPr>
      </w:pPr>
    </w:p>
    <w:p>
      <w:pPr>
        <w:spacing w:after="0" w:line="179" w:lineRule="exact"/>
        <w:rPr>
          <w:sz w:val="20"/>
          <w:szCs w:val="20"/>
          <w:color w:val="auto"/>
        </w:rPr>
      </w:pPr>
    </w:p>
    <w:p>
      <w:pPr>
        <w:jc w:val="center"/>
        <w:ind w:right="-420"/>
        <w:spacing w:after="0"/>
        <w:rPr>
          <w:sz w:val="20"/>
          <w:szCs w:val="20"/>
          <w:color w:val="auto"/>
        </w:rPr>
      </w:pPr>
      <w:r>
        <w:rPr>
          <w:rFonts w:ascii="Calibri" w:cs="Calibri" w:eastAsia="Calibri" w:hAnsi="Calibri"/>
          <w:sz w:val="18"/>
          <w:szCs w:val="18"/>
          <w:b w:val="1"/>
          <w:bCs w:val="1"/>
          <w:u w:val="single" w:color="auto"/>
          <w:color w:val="auto"/>
        </w:rPr>
        <w:t>COMPANY</w:t>
      </w:r>
      <w:r>
        <w:rPr>
          <w:rFonts w:ascii="Calibri" w:cs="Calibri" w:eastAsia="Calibri" w:hAnsi="Calibri"/>
          <w:sz w:val="18"/>
          <w:szCs w:val="18"/>
          <w:b w:val="1"/>
          <w:bCs w:val="1"/>
          <w:color w:val="auto"/>
        </w:rPr>
        <w:t>:</w:t>
      </w:r>
    </w:p>
    <w:p>
      <w:pPr>
        <w:spacing w:after="0" w:line="185"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color w:val="auto"/>
        </w:rPr>
        <w:t>Vivid Seats Inc.</w:t>
      </w:r>
    </w:p>
    <w:p>
      <w:pPr>
        <w:ind w:left="4480"/>
        <w:spacing w:after="0" w:line="235" w:lineRule="auto"/>
        <w:rPr>
          <w:sz w:val="20"/>
          <w:szCs w:val="20"/>
          <w:color w:val="auto"/>
        </w:rPr>
      </w:pPr>
      <w:r>
        <w:rPr>
          <w:rFonts w:ascii="Calibri" w:cs="Calibri" w:eastAsia="Calibri" w:hAnsi="Calibri"/>
          <w:sz w:val="18"/>
          <w:szCs w:val="18"/>
          <w:color w:val="auto"/>
        </w:rPr>
        <w:t>a Delaware corporaton</w:t>
      </w:r>
    </w:p>
    <w:p>
      <w:pPr>
        <w:spacing w:after="0" w:line="173" w:lineRule="exact"/>
        <w:rPr>
          <w:sz w:val="20"/>
          <w:szCs w:val="20"/>
          <w:color w:val="auto"/>
        </w:rPr>
      </w:pPr>
    </w:p>
    <w:p>
      <w:pPr>
        <w:ind w:left="4480"/>
        <w:spacing w:after="0"/>
        <w:rPr>
          <w:sz w:val="20"/>
          <w:szCs w:val="20"/>
          <w:color w:val="auto"/>
        </w:rPr>
      </w:pPr>
      <w:r>
        <w:rPr>
          <w:rFonts w:ascii="Calibri" w:cs="Calibri" w:eastAsia="Calibri" w:hAnsi="Calibri"/>
          <w:sz w:val="18"/>
          <w:szCs w:val="18"/>
          <w:color w:val="auto"/>
        </w:rPr>
        <w:t>By: /s/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-18415</wp:posOffset>
            </wp:positionV>
            <wp:extent cx="84137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2">
                      <a:extLst>
                        <a:ext uri="{28A0092B-C50C-407E-A947-70E740481C1C}"/>
                      </a:extLst>
                    </a:blip>
                    <a:srcRect/>
                    <a:stretch>
                      <a:fillRect/>
                    </a:stretch>
                  </pic:blipFill>
                  <pic:spPr bwMode="auto">
                    <a:xfrm>
                      <a:off x="0" y="0"/>
                      <a:ext cx="841375" cy="8890"/>
                    </a:xfrm>
                    <a:prstGeom prst="rect">
                      <a:avLst/>
                    </a:prstGeom>
                    <a:noFill/>
                  </pic:spPr>
                </pic:pic>
              </a:graphicData>
            </a:graphic>
          </wp:anchor>
        </w:drawing>
      </w:r>
    </w:p>
    <w:p>
      <w:pPr>
        <w:ind w:left="4480"/>
        <w:spacing w:after="0" w:line="235" w:lineRule="auto"/>
        <w:rPr>
          <w:sz w:val="20"/>
          <w:szCs w:val="20"/>
          <w:color w:val="auto"/>
        </w:rPr>
      </w:pPr>
      <w:r>
        <w:rPr>
          <w:rFonts w:ascii="Calibri" w:cs="Calibri" w:eastAsia="Calibri" w:hAnsi="Calibri"/>
          <w:sz w:val="18"/>
          <w:szCs w:val="18"/>
          <w:color w:val="auto"/>
        </w:rPr>
        <w:t>Name: Stanley Chia</w:t>
      </w:r>
    </w:p>
    <w:p>
      <w:pPr>
        <w:ind w:left="4480"/>
        <w:spacing w:after="0" w:line="236" w:lineRule="auto"/>
        <w:rPr>
          <w:sz w:val="20"/>
          <w:szCs w:val="20"/>
          <w:color w:val="auto"/>
        </w:rPr>
      </w:pPr>
      <w:r>
        <w:rPr>
          <w:rFonts w:ascii="Calibri" w:cs="Calibri" w:eastAsia="Calibri" w:hAnsi="Calibri"/>
          <w:sz w:val="18"/>
          <w:szCs w:val="18"/>
          <w:color w:val="auto"/>
        </w:rPr>
        <w:t>Title: Chief Executve Ofcer</w:t>
      </w:r>
    </w:p>
    <w:p>
      <w:pPr>
        <w:spacing w:after="0" w:line="173"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u w:val="single" w:color="auto"/>
          <w:color w:val="auto"/>
        </w:rPr>
        <w:t>VOTING PARTIES</w:t>
      </w:r>
      <w:r>
        <w:rPr>
          <w:rFonts w:ascii="Calibri" w:cs="Calibri" w:eastAsia="Calibri" w:hAnsi="Calibri"/>
          <w:sz w:val="18"/>
          <w:szCs w:val="18"/>
          <w:b w:val="1"/>
          <w:bCs w:val="1"/>
          <w:color w:val="auto"/>
        </w:rPr>
        <w:t>:</w:t>
      </w:r>
    </w:p>
    <w:p>
      <w:pPr>
        <w:spacing w:after="0" w:line="185"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color w:val="auto"/>
        </w:rPr>
        <w:t>Hoya Topco, LLC</w:t>
      </w:r>
    </w:p>
    <w:p>
      <w:pPr>
        <w:ind w:left="4480"/>
        <w:spacing w:after="0" w:line="235" w:lineRule="auto"/>
        <w:rPr>
          <w:sz w:val="20"/>
          <w:szCs w:val="20"/>
          <w:color w:val="auto"/>
        </w:rPr>
      </w:pPr>
      <w:r>
        <w:rPr>
          <w:rFonts w:ascii="Calibri" w:cs="Calibri" w:eastAsia="Calibri" w:hAnsi="Calibri"/>
          <w:sz w:val="18"/>
          <w:szCs w:val="18"/>
          <w:color w:val="auto"/>
        </w:rPr>
        <w:t>a Delaware limited liability company</w:t>
      </w:r>
    </w:p>
    <w:p>
      <w:pPr>
        <w:spacing w:after="0" w:line="173" w:lineRule="exact"/>
        <w:rPr>
          <w:sz w:val="20"/>
          <w:szCs w:val="20"/>
          <w:color w:val="auto"/>
        </w:rPr>
      </w:pPr>
    </w:p>
    <w:p>
      <w:pPr>
        <w:ind w:left="4480"/>
        <w:spacing w:after="0"/>
        <w:rPr>
          <w:sz w:val="20"/>
          <w:szCs w:val="20"/>
          <w:color w:val="auto"/>
        </w:rPr>
      </w:pPr>
      <w:r>
        <w:rPr>
          <w:rFonts w:ascii="Calibri" w:cs="Calibri" w:eastAsia="Calibri" w:hAnsi="Calibri"/>
          <w:sz w:val="18"/>
          <w:szCs w:val="18"/>
          <w:color w:val="auto"/>
        </w:rPr>
        <w:t>By: /s/ Mark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-19050</wp:posOffset>
            </wp:positionV>
            <wp:extent cx="104330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3">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ind w:left="4480"/>
        <w:spacing w:after="0" w:line="235" w:lineRule="auto"/>
        <w:rPr>
          <w:sz w:val="20"/>
          <w:szCs w:val="20"/>
          <w:color w:val="auto"/>
        </w:rPr>
      </w:pPr>
      <w:r>
        <w:rPr>
          <w:rFonts w:ascii="Calibri" w:cs="Calibri" w:eastAsia="Calibri" w:hAnsi="Calibri"/>
          <w:sz w:val="18"/>
          <w:szCs w:val="18"/>
          <w:color w:val="auto"/>
        </w:rPr>
        <w:t>Name: Mark Anderson</w:t>
      </w:r>
    </w:p>
    <w:p>
      <w:pPr>
        <w:ind w:left="4480"/>
        <w:spacing w:after="0" w:line="236" w:lineRule="auto"/>
        <w:rPr>
          <w:sz w:val="20"/>
          <w:szCs w:val="20"/>
          <w:color w:val="auto"/>
        </w:rPr>
      </w:pPr>
      <w:r>
        <w:rPr>
          <w:rFonts w:ascii="Calibri" w:cs="Calibri" w:eastAsia="Calibri" w:hAnsi="Calibri"/>
          <w:sz w:val="18"/>
          <w:szCs w:val="18"/>
          <w:color w:val="auto"/>
        </w:rPr>
        <w:t>Title: Manager</w:t>
      </w:r>
    </w:p>
    <w:p>
      <w:pPr>
        <w:spacing w:after="0" w:line="173"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color w:val="auto"/>
        </w:rPr>
        <w:t>Horizon Sponsor, LLC</w:t>
      </w:r>
    </w:p>
    <w:p>
      <w:pPr>
        <w:ind w:left="4480"/>
        <w:spacing w:after="0" w:line="235" w:lineRule="auto"/>
        <w:rPr>
          <w:sz w:val="20"/>
          <w:szCs w:val="20"/>
          <w:color w:val="auto"/>
        </w:rPr>
      </w:pPr>
      <w:r>
        <w:rPr>
          <w:rFonts w:ascii="Calibri" w:cs="Calibri" w:eastAsia="Calibri" w:hAnsi="Calibri"/>
          <w:sz w:val="18"/>
          <w:szCs w:val="18"/>
          <w:color w:val="auto"/>
        </w:rPr>
        <w:t>a Delaware limited liability company</w:t>
      </w:r>
    </w:p>
    <w:p>
      <w:pPr>
        <w:spacing w:after="0" w:line="186" w:lineRule="exact"/>
        <w:rPr>
          <w:sz w:val="20"/>
          <w:szCs w:val="20"/>
          <w:color w:val="auto"/>
        </w:rPr>
      </w:pPr>
    </w:p>
    <w:p>
      <w:pPr>
        <w:ind w:left="4480"/>
        <w:spacing w:after="0"/>
        <w:rPr>
          <w:sz w:val="20"/>
          <w:szCs w:val="20"/>
          <w:color w:val="auto"/>
        </w:rPr>
      </w:pPr>
      <w:r>
        <w:rPr>
          <w:rFonts w:ascii="Calibri" w:cs="Calibri" w:eastAsia="Calibri" w:hAnsi="Calibri"/>
          <w:sz w:val="18"/>
          <w:szCs w:val="18"/>
          <w:color w:val="auto"/>
        </w:rPr>
        <w:t>by: Todd L. Boehly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-19050</wp:posOffset>
            </wp:positionV>
            <wp:extent cx="8432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4">
                      <a:extLst>
                        <a:ext uri="{28A0092B-C50C-407E-A947-70E740481C1C}"/>
                      </a:extLst>
                    </a:blip>
                    <a:srcRect/>
                    <a:stretch>
                      <a:fillRect/>
                    </a:stretch>
                  </pic:blipFill>
                  <pic:spPr bwMode="auto">
                    <a:xfrm>
                      <a:off x="0" y="0"/>
                      <a:ext cx="843280" cy="8890"/>
                    </a:xfrm>
                    <a:prstGeom prst="rect">
                      <a:avLst/>
                    </a:prstGeom>
                    <a:noFill/>
                  </pic:spPr>
                </pic:pic>
              </a:graphicData>
            </a:graphic>
          </wp:anchor>
        </w:drawing>
      </w:r>
    </w:p>
    <w:p>
      <w:pPr>
        <w:ind w:left="4480"/>
        <w:spacing w:after="0" w:line="235" w:lineRule="auto"/>
        <w:rPr>
          <w:sz w:val="20"/>
          <w:szCs w:val="20"/>
          <w:color w:val="auto"/>
        </w:rPr>
      </w:pPr>
      <w:r>
        <w:rPr>
          <w:rFonts w:ascii="Calibri" w:cs="Calibri" w:eastAsia="Calibri" w:hAnsi="Calibri"/>
          <w:sz w:val="18"/>
          <w:szCs w:val="18"/>
          <w:color w:val="auto"/>
        </w:rPr>
        <w:t>Name: Todd L. Boehly</w:t>
      </w:r>
    </w:p>
    <w:p>
      <w:pPr>
        <w:ind w:left="4480"/>
        <w:spacing w:after="0" w:line="236" w:lineRule="auto"/>
        <w:rPr>
          <w:sz w:val="20"/>
          <w:szCs w:val="20"/>
          <w:color w:val="auto"/>
        </w:rPr>
      </w:pPr>
      <w:r>
        <w:rPr>
          <w:rFonts w:ascii="Calibri" w:cs="Calibri" w:eastAsia="Calibri" w:hAnsi="Calibri"/>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500"/>
        <w:spacing w:after="0"/>
        <w:rPr>
          <w:sz w:val="20"/>
          <w:szCs w:val="20"/>
          <w:color w:val="auto"/>
        </w:rPr>
      </w:pPr>
      <w:r>
        <w:rPr>
          <w:rFonts w:ascii="Calibri" w:cs="Calibri" w:eastAsia="Calibri" w:hAnsi="Calibri"/>
          <w:sz w:val="17"/>
          <w:szCs w:val="17"/>
          <w:color w:val="auto"/>
        </w:rPr>
        <w:t>[</w:t>
      </w:r>
      <w:r>
        <w:rPr>
          <w:rFonts w:ascii="Calibri" w:cs="Calibri" w:eastAsia="Calibri" w:hAnsi="Calibri"/>
          <w:sz w:val="17"/>
          <w:szCs w:val="17"/>
          <w:i w:val="1"/>
          <w:iCs w:val="1"/>
          <w:color w:val="auto"/>
        </w:rPr>
        <w:t>Signature Page to Amendment No. 1 to Stockholders’ Agreement</w:t>
      </w: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418465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type w:val="continuous"/>
        </w:sectPr>
      </w:pPr>
    </w:p>
    <w:bookmarkStart w:id="122" w:name="page123"/>
    <w:bookmarkEnd w:id="122"/>
    <w:p>
      <w:pPr>
        <w:jc w:val="right"/>
        <w:spacing w:after="0"/>
        <w:rPr>
          <w:sz w:val="20"/>
          <w:szCs w:val="20"/>
          <w:color w:val="auto"/>
        </w:rPr>
      </w:pPr>
      <w:r>
        <w:rPr>
          <w:rFonts w:ascii="Calibri" w:cs="Calibri" w:eastAsia="Calibri" w:hAnsi="Calibri"/>
          <w:sz w:val="18"/>
          <w:szCs w:val="18"/>
          <w:b w:val="1"/>
          <w:bCs w:val="1"/>
          <w:color w:val="auto"/>
        </w:rPr>
        <w:t>Exhibit 10.24</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35" w:lineRule="auto"/>
        <w:rPr>
          <w:sz w:val="20"/>
          <w:szCs w:val="20"/>
          <w:color w:val="auto"/>
        </w:rPr>
      </w:pPr>
      <w:r>
        <w:rPr>
          <w:rFonts w:ascii="Calibri" w:cs="Calibri" w:eastAsia="Calibri" w:hAnsi="Calibri"/>
          <w:sz w:val="18"/>
          <w:szCs w:val="18"/>
          <w:b w:val="1"/>
          <w:bCs w:val="1"/>
          <w:color w:val="auto"/>
        </w:rPr>
        <w:t>Non-Employee Director Compensaton Policy</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(As of February 29, 2024)</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Non-employee members of the board of directors (the “</w:t>
      </w:r>
      <w:r>
        <w:rPr>
          <w:rFonts w:ascii="Calibri" w:cs="Calibri" w:eastAsia="Calibri" w:hAnsi="Calibri"/>
          <w:sz w:val="18"/>
          <w:szCs w:val="18"/>
          <w:b w:val="1"/>
          <w:bCs w:val="1"/>
          <w:i w:val="1"/>
          <w:iCs w:val="1"/>
          <w:color w:val="auto"/>
        </w:rPr>
        <w:t>Board</w:t>
      </w:r>
      <w:r>
        <w:rPr>
          <w:rFonts w:ascii="Calibri" w:cs="Calibri" w:eastAsia="Calibri" w:hAnsi="Calibri"/>
          <w:sz w:val="18"/>
          <w:szCs w:val="18"/>
          <w:color w:val="auto"/>
        </w:rPr>
        <w:t>”) of Vivid Seats Inc.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shall be eligible to receive cash and equity compensaton as set forth in this Non-Employee Director Compensaton Policy (this “</w:t>
      </w:r>
      <w:r>
        <w:rPr>
          <w:rFonts w:ascii="Calibri" w:cs="Calibri" w:eastAsia="Calibri" w:hAnsi="Calibri"/>
          <w:sz w:val="18"/>
          <w:szCs w:val="18"/>
          <w:b w:val="1"/>
          <w:bCs w:val="1"/>
          <w:i w:val="1"/>
          <w:iCs w:val="1"/>
          <w:color w:val="auto"/>
        </w:rPr>
        <w:t>Policy</w:t>
      </w:r>
      <w:r>
        <w:rPr>
          <w:rFonts w:ascii="Calibri" w:cs="Calibri" w:eastAsia="Calibri" w:hAnsi="Calibri"/>
          <w:sz w:val="18"/>
          <w:szCs w:val="18"/>
          <w:color w:val="auto"/>
        </w:rPr>
        <w:t>”). The cash and equity compensaton described in this Policy shall be paid or be made, as applicable, automatcally and without further acton of the Board, to each member of the Board who is not an employee of the Company or any parent or subsidiary thereof (each, a “</w:t>
      </w:r>
      <w:r>
        <w:rPr>
          <w:rFonts w:ascii="Calibri" w:cs="Calibri" w:eastAsia="Calibri" w:hAnsi="Calibri"/>
          <w:sz w:val="18"/>
          <w:szCs w:val="18"/>
          <w:b w:val="1"/>
          <w:bCs w:val="1"/>
          <w:i w:val="1"/>
          <w:iCs w:val="1"/>
          <w:color w:val="auto"/>
        </w:rPr>
        <w:t>Non-Employee Director</w:t>
      </w:r>
      <w:r>
        <w:rPr>
          <w:rFonts w:ascii="Calibri" w:cs="Calibri" w:eastAsia="Calibri" w:hAnsi="Calibri"/>
          <w:sz w:val="18"/>
          <w:szCs w:val="18"/>
          <w:color w:val="auto"/>
        </w:rPr>
        <w:t>”), unless such Non-Employee Director declines the receipt of such compensaton by writen notce to the Company. This Policy originally became efectve upon the efectveness of the Company’s Registraton Statement on Form S-4 on September 23, 2021, was most recently amended and restated as of the date frst writen above, and shall remain in efect untl it is amended, modifed or terminated by the Board (or a duly authorized commitee thereof) at any tme in its sole discreton. This Policy shall supersede any prior cash and/or equity compensaton arrangements for service as a member of the Board between the Company and any Non-Employee Director.</w:t>
      </w:r>
    </w:p>
    <w:p>
      <w:pPr>
        <w:spacing w:after="0" w:line="110" w:lineRule="exact"/>
        <w:rPr>
          <w:sz w:val="20"/>
          <w:szCs w:val="20"/>
          <w:color w:val="auto"/>
        </w:rPr>
      </w:pPr>
    </w:p>
    <w:p>
      <w:pPr>
        <w:ind w:left="760" w:hanging="378"/>
        <w:spacing w:after="0"/>
        <w:tabs>
          <w:tab w:leader="none" w:pos="760" w:val="left"/>
        </w:tabs>
        <w:numPr>
          <w:ilvl w:val="0"/>
          <w:numId w:val="45"/>
        </w:numPr>
        <w:rPr>
          <w:rFonts w:ascii="Calibri" w:cs="Calibri" w:eastAsia="Calibri" w:hAnsi="Calibri"/>
          <w:sz w:val="18"/>
          <w:szCs w:val="18"/>
          <w:color w:val="auto"/>
        </w:rPr>
      </w:pPr>
      <w:r>
        <w:rPr>
          <w:rFonts w:ascii="Calibri" w:cs="Calibri" w:eastAsia="Calibri" w:hAnsi="Calibri"/>
          <w:sz w:val="18"/>
          <w:szCs w:val="18"/>
          <w:u w:val="single" w:color="auto"/>
          <w:color w:val="auto"/>
        </w:rPr>
        <w:t>Cash Compensaton</w:t>
      </w:r>
      <w:r>
        <w:rPr>
          <w:rFonts w:ascii="Calibri" w:cs="Calibri" w:eastAsia="Calibri" w:hAnsi="Calibri"/>
          <w:sz w:val="18"/>
          <w:szCs w:val="18"/>
          <w:color w:val="auto"/>
        </w:rPr>
        <w:t>.</w:t>
      </w:r>
    </w:p>
    <w:p>
      <w:pPr>
        <w:spacing w:after="0" w:line="104" w:lineRule="exact"/>
        <w:rPr>
          <w:rFonts w:ascii="Calibri" w:cs="Calibri" w:eastAsia="Calibri" w:hAnsi="Calibri"/>
          <w:sz w:val="18"/>
          <w:szCs w:val="18"/>
          <w:color w:val="auto"/>
        </w:rPr>
      </w:pPr>
    </w:p>
    <w:p>
      <w:pPr>
        <w:ind w:left="1500" w:hanging="369"/>
        <w:spacing w:after="0"/>
        <w:tabs>
          <w:tab w:leader="none" w:pos="1500" w:val="left"/>
        </w:tabs>
        <w:numPr>
          <w:ilvl w:val="1"/>
          <w:numId w:val="45"/>
        </w:numPr>
        <w:rPr>
          <w:rFonts w:ascii="Calibri" w:cs="Calibri" w:eastAsia="Calibri" w:hAnsi="Calibri"/>
          <w:sz w:val="18"/>
          <w:szCs w:val="18"/>
          <w:color w:val="auto"/>
        </w:rPr>
      </w:pPr>
      <w:r>
        <w:rPr>
          <w:rFonts w:ascii="Calibri" w:cs="Calibri" w:eastAsia="Calibri" w:hAnsi="Calibri"/>
          <w:sz w:val="18"/>
          <w:szCs w:val="18"/>
          <w:u w:val="single" w:color="auto"/>
          <w:color w:val="auto"/>
        </w:rPr>
        <w:t>Annual Retainers</w:t>
      </w:r>
      <w:r>
        <w:rPr>
          <w:rFonts w:ascii="Calibri" w:cs="Calibri" w:eastAsia="Calibri" w:hAnsi="Calibri"/>
          <w:sz w:val="18"/>
          <w:szCs w:val="18"/>
          <w:color w:val="auto"/>
        </w:rPr>
        <w:t>. Each Non-Employee Director shall receive an annual retainer of $40,000 for service on the Board.</w:t>
      </w:r>
    </w:p>
    <w:p>
      <w:pPr>
        <w:spacing w:after="0" w:line="104" w:lineRule="exact"/>
        <w:rPr>
          <w:rFonts w:ascii="Calibri" w:cs="Calibri" w:eastAsia="Calibri" w:hAnsi="Calibri"/>
          <w:sz w:val="18"/>
          <w:szCs w:val="18"/>
          <w:color w:val="auto"/>
        </w:rPr>
      </w:pPr>
    </w:p>
    <w:p>
      <w:pPr>
        <w:ind w:left="1500" w:hanging="369"/>
        <w:spacing w:after="0"/>
        <w:tabs>
          <w:tab w:leader="none" w:pos="1500" w:val="left"/>
        </w:tabs>
        <w:numPr>
          <w:ilvl w:val="1"/>
          <w:numId w:val="45"/>
        </w:numPr>
        <w:rPr>
          <w:rFonts w:ascii="Calibri" w:cs="Calibri" w:eastAsia="Calibri" w:hAnsi="Calibri"/>
          <w:sz w:val="18"/>
          <w:szCs w:val="18"/>
          <w:color w:val="auto"/>
        </w:rPr>
      </w:pPr>
      <w:r>
        <w:rPr>
          <w:rFonts w:ascii="Calibri" w:cs="Calibri" w:eastAsia="Calibri" w:hAnsi="Calibri"/>
          <w:sz w:val="18"/>
          <w:szCs w:val="18"/>
          <w:u w:val="single" w:color="auto"/>
          <w:color w:val="auto"/>
        </w:rPr>
        <w:t>Additonal Annual Retainers</w:t>
      </w:r>
      <w:r>
        <w:rPr>
          <w:rFonts w:ascii="Calibri" w:cs="Calibri" w:eastAsia="Calibri" w:hAnsi="Calibri"/>
          <w:sz w:val="18"/>
          <w:szCs w:val="18"/>
          <w:color w:val="auto"/>
        </w:rPr>
        <w:t>. In additon, a Non-Employee Director shall receive the following annual retainers:</w:t>
      </w:r>
    </w:p>
    <w:p>
      <w:pPr>
        <w:spacing w:after="0" w:line="109" w:lineRule="exact"/>
        <w:rPr>
          <w:rFonts w:ascii="Calibri" w:cs="Calibri" w:eastAsia="Calibri" w:hAnsi="Calibri"/>
          <w:sz w:val="18"/>
          <w:szCs w:val="18"/>
          <w:color w:val="auto"/>
        </w:rPr>
      </w:pPr>
    </w:p>
    <w:p>
      <w:pPr>
        <w:ind w:left="2260" w:right="20" w:hanging="186"/>
        <w:spacing w:after="0" w:line="235" w:lineRule="auto"/>
        <w:tabs>
          <w:tab w:leader="none" w:pos="2260" w:val="left"/>
        </w:tabs>
        <w:numPr>
          <w:ilvl w:val="2"/>
          <w:numId w:val="45"/>
        </w:numPr>
        <w:rPr>
          <w:rFonts w:ascii="Calibri" w:cs="Calibri" w:eastAsia="Calibri" w:hAnsi="Calibri"/>
          <w:sz w:val="18"/>
          <w:szCs w:val="18"/>
          <w:color w:val="auto"/>
        </w:rPr>
      </w:pPr>
      <w:r>
        <w:rPr>
          <w:rFonts w:ascii="Calibri" w:cs="Calibri" w:eastAsia="Calibri" w:hAnsi="Calibri"/>
          <w:sz w:val="18"/>
          <w:szCs w:val="18"/>
          <w:i w:val="1"/>
          <w:iCs w:val="1"/>
          <w:u w:val="single" w:color="auto"/>
          <w:color w:val="auto"/>
        </w:rPr>
        <w:t>Audit Commitee</w:t>
      </w:r>
      <w:r>
        <w:rPr>
          <w:rFonts w:ascii="Calibri" w:cs="Calibri" w:eastAsia="Calibri" w:hAnsi="Calibri"/>
          <w:sz w:val="18"/>
          <w:szCs w:val="18"/>
          <w:color w:val="auto"/>
        </w:rPr>
        <w:t>. A Non-Employee Director serving as a member of the Board’s Audit Commitee shall receive an additonal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annual retainer of $10,000 for such service;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the Chair of such commitee shall instead receive $20,000.</w:t>
      </w:r>
    </w:p>
    <w:p>
      <w:pPr>
        <w:spacing w:after="0" w:line="109" w:lineRule="exact"/>
        <w:rPr>
          <w:rFonts w:ascii="Calibri" w:cs="Calibri" w:eastAsia="Calibri" w:hAnsi="Calibri"/>
          <w:sz w:val="18"/>
          <w:szCs w:val="18"/>
          <w:color w:val="auto"/>
        </w:rPr>
      </w:pPr>
    </w:p>
    <w:p>
      <w:pPr>
        <w:ind w:left="2260" w:hanging="186"/>
        <w:spacing w:after="0" w:line="235" w:lineRule="auto"/>
        <w:tabs>
          <w:tab w:leader="none" w:pos="2260" w:val="left"/>
        </w:tabs>
        <w:numPr>
          <w:ilvl w:val="2"/>
          <w:numId w:val="45"/>
        </w:numPr>
        <w:rPr>
          <w:rFonts w:ascii="Calibri" w:cs="Calibri" w:eastAsia="Calibri" w:hAnsi="Calibri"/>
          <w:sz w:val="18"/>
          <w:szCs w:val="18"/>
          <w:color w:val="auto"/>
        </w:rPr>
      </w:pPr>
      <w:r>
        <w:rPr>
          <w:rFonts w:ascii="Calibri" w:cs="Calibri" w:eastAsia="Calibri" w:hAnsi="Calibri"/>
          <w:sz w:val="18"/>
          <w:szCs w:val="18"/>
          <w:i w:val="1"/>
          <w:iCs w:val="1"/>
          <w:u w:val="single" w:color="auto"/>
          <w:color w:val="auto"/>
        </w:rPr>
        <w:t>Compensaton Commitee</w:t>
      </w:r>
      <w:r>
        <w:rPr>
          <w:rFonts w:ascii="Calibri" w:cs="Calibri" w:eastAsia="Calibri" w:hAnsi="Calibri"/>
          <w:sz w:val="18"/>
          <w:szCs w:val="18"/>
          <w:color w:val="auto"/>
        </w:rPr>
        <w:t>. A Non-Employee Director serving as a member of the Board’s Compensaton Commitee shall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receive an additonal annual retainer of $7,500;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the Chair of such commitee shall instead receive $15,000.</w:t>
      </w:r>
    </w:p>
    <w:p>
      <w:pPr>
        <w:spacing w:after="0" w:line="109" w:lineRule="exact"/>
        <w:rPr>
          <w:rFonts w:ascii="Calibri" w:cs="Calibri" w:eastAsia="Calibri" w:hAnsi="Calibri"/>
          <w:sz w:val="18"/>
          <w:szCs w:val="18"/>
          <w:color w:val="auto"/>
        </w:rPr>
      </w:pPr>
    </w:p>
    <w:p>
      <w:pPr>
        <w:jc w:val="both"/>
        <w:ind w:left="2260" w:hanging="186"/>
        <w:spacing w:after="0" w:line="235" w:lineRule="auto"/>
        <w:tabs>
          <w:tab w:leader="none" w:pos="2260" w:val="left"/>
        </w:tabs>
        <w:numPr>
          <w:ilvl w:val="2"/>
          <w:numId w:val="45"/>
        </w:numPr>
        <w:rPr>
          <w:rFonts w:ascii="Calibri" w:cs="Calibri" w:eastAsia="Calibri" w:hAnsi="Calibri"/>
          <w:sz w:val="18"/>
          <w:szCs w:val="18"/>
          <w:color w:val="auto"/>
        </w:rPr>
      </w:pPr>
      <w:r>
        <w:rPr>
          <w:rFonts w:ascii="Calibri" w:cs="Calibri" w:eastAsia="Calibri" w:hAnsi="Calibri"/>
          <w:sz w:val="18"/>
          <w:szCs w:val="18"/>
          <w:i w:val="1"/>
          <w:iCs w:val="1"/>
          <w:u w:val="single" w:color="auto"/>
          <w:color w:val="auto"/>
        </w:rPr>
        <w:t>Nominatng and Corporate Governance Commitee</w:t>
      </w:r>
      <w:r>
        <w:rPr>
          <w:rFonts w:ascii="Calibri" w:cs="Calibri" w:eastAsia="Calibri" w:hAnsi="Calibri"/>
          <w:sz w:val="18"/>
          <w:szCs w:val="18"/>
          <w:color w:val="auto"/>
        </w:rPr>
        <w:t>. A Non-Employee Director serving as a member of the Board’s Nominatng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and Corporate Governance Commitee shall receive an additonal annual retainer of $7,500;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the Chair of such commitee shall instead receive $15,000.</w:t>
      </w:r>
    </w:p>
    <w:p>
      <w:pPr>
        <w:spacing w:after="0" w:line="110" w:lineRule="exact"/>
        <w:rPr>
          <w:rFonts w:ascii="Calibri" w:cs="Calibri" w:eastAsia="Calibri" w:hAnsi="Calibri"/>
          <w:sz w:val="18"/>
          <w:szCs w:val="18"/>
          <w:color w:val="auto"/>
        </w:rPr>
      </w:pPr>
    </w:p>
    <w:p>
      <w:pPr>
        <w:jc w:val="both"/>
        <w:ind w:left="1500" w:hanging="369"/>
        <w:spacing w:after="0" w:line="231" w:lineRule="auto"/>
        <w:tabs>
          <w:tab w:leader="none" w:pos="1500" w:val="left"/>
        </w:tabs>
        <w:numPr>
          <w:ilvl w:val="1"/>
          <w:numId w:val="45"/>
        </w:numPr>
        <w:rPr>
          <w:rFonts w:ascii="Calibri" w:cs="Calibri" w:eastAsia="Calibri" w:hAnsi="Calibri"/>
          <w:sz w:val="18"/>
          <w:szCs w:val="18"/>
          <w:color w:val="auto"/>
        </w:rPr>
      </w:pPr>
      <w:r>
        <w:rPr>
          <w:rFonts w:ascii="Calibri" w:cs="Calibri" w:eastAsia="Calibri" w:hAnsi="Calibri"/>
          <w:sz w:val="18"/>
          <w:szCs w:val="18"/>
          <w:u w:val="single" w:color="auto"/>
          <w:color w:val="auto"/>
        </w:rPr>
        <w:t>Payment of Retainers</w:t>
      </w:r>
      <w:r>
        <w:rPr>
          <w:rFonts w:ascii="Calibri" w:cs="Calibri" w:eastAsia="Calibri" w:hAnsi="Calibri"/>
          <w:sz w:val="18"/>
          <w:szCs w:val="18"/>
          <w:color w:val="auto"/>
        </w:rPr>
        <w:t xml:space="preserve">. The annual retainers described in </w:t>
      </w:r>
      <w:r>
        <w:rPr>
          <w:rFonts w:ascii="Calibri" w:cs="Calibri" w:eastAsia="Calibri" w:hAnsi="Calibri"/>
          <w:sz w:val="18"/>
          <w:szCs w:val="18"/>
          <w:u w:val="single" w:color="auto"/>
          <w:color w:val="auto"/>
        </w:rPr>
        <w:t>Sectons 1(a)</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auto"/>
        </w:rPr>
        <w:t>1(b)</w:t>
      </w:r>
      <w:r>
        <w:rPr>
          <w:rFonts w:ascii="Calibri" w:cs="Calibri" w:eastAsia="Calibri" w:hAnsi="Calibri"/>
          <w:sz w:val="18"/>
          <w:szCs w:val="18"/>
          <w:color w:val="auto"/>
        </w:rPr>
        <w:t xml:space="preserve"> (the “</w:t>
      </w:r>
      <w:r>
        <w:rPr>
          <w:rFonts w:ascii="Calibri" w:cs="Calibri" w:eastAsia="Calibri" w:hAnsi="Calibri"/>
          <w:sz w:val="18"/>
          <w:szCs w:val="18"/>
          <w:b w:val="1"/>
          <w:bCs w:val="1"/>
          <w:i w:val="1"/>
          <w:iCs w:val="1"/>
          <w:color w:val="auto"/>
        </w:rPr>
        <w:t>Cash Retainers</w:t>
      </w:r>
      <w:r>
        <w:rPr>
          <w:rFonts w:ascii="Calibri" w:cs="Calibri" w:eastAsia="Calibri" w:hAnsi="Calibri"/>
          <w:sz w:val="18"/>
          <w:szCs w:val="18"/>
          <w:color w:val="auto"/>
        </w:rPr>
        <w:t>”) shall be earned on a quarterly basis, based on a calendar quarter, and shall be paid by the Company in arrears not later than the 15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day following the end of each calendar quarter. In the event a Non-Employee Director does not serve in such capacity, or in the applicable positons described in </w:t>
      </w:r>
      <w:r>
        <w:rPr>
          <w:rFonts w:ascii="Calibri" w:cs="Calibri" w:eastAsia="Calibri" w:hAnsi="Calibri"/>
          <w:sz w:val="18"/>
          <w:szCs w:val="18"/>
          <w:u w:val="single" w:color="auto"/>
          <w:color w:val="auto"/>
        </w:rPr>
        <w:t>Secton 1(b)</w:t>
      </w:r>
      <w:r>
        <w:rPr>
          <w:rFonts w:ascii="Calibri" w:cs="Calibri" w:eastAsia="Calibri" w:hAnsi="Calibri"/>
          <w:sz w:val="18"/>
          <w:szCs w:val="18"/>
          <w:color w:val="auto"/>
        </w:rPr>
        <w:t xml:space="preserve">, for an entre calendar quarter, such Non-Employee Director shall receive a prorated porton of the Cash Retainers otherwise payable to him or her for such calendar quarter pursuant to </w:t>
      </w:r>
      <w:r>
        <w:rPr>
          <w:rFonts w:ascii="Calibri" w:cs="Calibri" w:eastAsia="Calibri" w:hAnsi="Calibri"/>
          <w:sz w:val="18"/>
          <w:szCs w:val="18"/>
          <w:u w:val="single" w:color="auto"/>
          <w:color w:val="auto"/>
        </w:rPr>
        <w:t>Sectons 1(a)</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auto"/>
        </w:rPr>
        <w:t>1(b)</w:t>
      </w:r>
      <w:r>
        <w:rPr>
          <w:rFonts w:ascii="Calibri" w:cs="Calibri" w:eastAsia="Calibri" w:hAnsi="Calibri"/>
          <w:sz w:val="18"/>
          <w:szCs w:val="18"/>
          <w:color w:val="auto"/>
        </w:rPr>
        <w:t xml:space="preserve">, with such prorated porton determined by multplying such otherwise payable Cash Retainers by a fracton, the numerator of which is the number of days during which such Non-Employee Director served in such capacity, or in the applicable positons described in </w:t>
      </w:r>
      <w:r>
        <w:rPr>
          <w:rFonts w:ascii="Calibri" w:cs="Calibri" w:eastAsia="Calibri" w:hAnsi="Calibri"/>
          <w:sz w:val="18"/>
          <w:szCs w:val="18"/>
          <w:u w:val="single" w:color="auto"/>
          <w:color w:val="auto"/>
        </w:rPr>
        <w:t>Secton 1(b)</w:t>
      </w:r>
      <w:r>
        <w:rPr>
          <w:rFonts w:ascii="Calibri" w:cs="Calibri" w:eastAsia="Calibri" w:hAnsi="Calibri"/>
          <w:sz w:val="18"/>
          <w:szCs w:val="18"/>
          <w:color w:val="auto"/>
        </w:rPr>
        <w:t>, during the applicable calendar quarter, and the denominator of which is the total number of days in the applicable calendar quarter.</w:t>
      </w:r>
    </w:p>
    <w:p>
      <w:pPr>
        <w:spacing w:after="0" w:line="114" w:lineRule="exact"/>
        <w:rPr>
          <w:rFonts w:ascii="Calibri" w:cs="Calibri" w:eastAsia="Calibri" w:hAnsi="Calibri"/>
          <w:sz w:val="18"/>
          <w:szCs w:val="18"/>
          <w:color w:val="auto"/>
        </w:rPr>
      </w:pPr>
    </w:p>
    <w:p>
      <w:pPr>
        <w:jc w:val="both"/>
        <w:ind w:left="1500" w:hanging="369"/>
        <w:spacing w:after="0" w:line="235" w:lineRule="auto"/>
        <w:tabs>
          <w:tab w:leader="none" w:pos="1500" w:val="left"/>
        </w:tabs>
        <w:numPr>
          <w:ilvl w:val="1"/>
          <w:numId w:val="45"/>
        </w:numPr>
        <w:rPr>
          <w:rFonts w:ascii="Calibri" w:cs="Calibri" w:eastAsia="Calibri" w:hAnsi="Calibri"/>
          <w:sz w:val="18"/>
          <w:szCs w:val="18"/>
          <w:color w:val="auto"/>
        </w:rPr>
      </w:pPr>
      <w:r>
        <w:rPr>
          <w:rFonts w:ascii="Calibri" w:cs="Calibri" w:eastAsia="Calibri" w:hAnsi="Calibri"/>
          <w:sz w:val="18"/>
          <w:szCs w:val="18"/>
          <w:u w:val="single" w:color="auto"/>
          <w:color w:val="auto"/>
        </w:rPr>
        <w:t>Stock Electon</w:t>
      </w:r>
      <w:r>
        <w:rPr>
          <w:rFonts w:ascii="Calibri" w:cs="Calibri" w:eastAsia="Calibri" w:hAnsi="Calibri"/>
          <w:sz w:val="18"/>
          <w:szCs w:val="18"/>
          <w:color w:val="auto"/>
        </w:rPr>
        <w:t>. A Non-Employee Director may elect to have all or a porton of Cash Retainers to which such Non-Employee Director becomes enttled paid in fully vested shares of the Company’s Class A Common Stock (the “</w:t>
      </w:r>
      <w:r>
        <w:rPr>
          <w:rFonts w:ascii="Calibri" w:cs="Calibri" w:eastAsia="Calibri" w:hAnsi="Calibri"/>
          <w:sz w:val="18"/>
          <w:szCs w:val="18"/>
          <w:b w:val="1"/>
          <w:bCs w:val="1"/>
          <w:i w:val="1"/>
          <w:iCs w:val="1"/>
          <w:color w:val="auto"/>
        </w:rPr>
        <w:t>Common Stock</w:t>
      </w:r>
      <w:r>
        <w:rPr>
          <w:rFonts w:ascii="Calibri" w:cs="Calibri" w:eastAsia="Calibri" w:hAnsi="Calibri"/>
          <w:sz w:val="18"/>
          <w:szCs w:val="18"/>
          <w:color w:val="auto"/>
        </w:rPr>
        <w:t>”) in lieu of cash (such electon, a “</w:t>
      </w:r>
      <w:r>
        <w:rPr>
          <w:rFonts w:ascii="Calibri" w:cs="Calibri" w:eastAsia="Calibri" w:hAnsi="Calibri"/>
          <w:sz w:val="18"/>
          <w:szCs w:val="18"/>
          <w:b w:val="1"/>
          <w:bCs w:val="1"/>
          <w:i w:val="1"/>
          <w:iCs w:val="1"/>
          <w:color w:val="auto"/>
        </w:rPr>
        <w:t>Stock Electon</w:t>
      </w:r>
      <w:r>
        <w:rPr>
          <w:rFonts w:ascii="Calibri" w:cs="Calibri" w:eastAsia="Calibri" w:hAnsi="Calibri"/>
          <w:sz w:val="18"/>
          <w:szCs w:val="18"/>
          <w:color w:val="auto"/>
        </w:rPr>
        <w:t>”). Any Stock Electon must be made on or prior to the last trading day of the calendar quarter with respect to which the applicable Cash Retainers will be paid. A Stock Electon shall not be efectve with respect to Cash Retainers to be paid for any calendar quarter during which a Non-Employee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jc w:val="both"/>
        <w:ind w:left="1120"/>
        <w:spacing w:after="0" w:line="235" w:lineRule="auto"/>
        <w:rPr>
          <w:sz w:val="20"/>
          <w:szCs w:val="20"/>
          <w:color w:val="auto"/>
        </w:rPr>
      </w:pPr>
      <w:r>
        <w:rPr>
          <w:rFonts w:ascii="Calibri" w:cs="Calibri" w:eastAsia="Calibri" w:hAnsi="Calibri"/>
          <w:sz w:val="18"/>
          <w:szCs w:val="18"/>
          <w:color w:val="auto"/>
        </w:rPr>
        <w:t>Director ceases to serve in such capacity prior to the end of such calendar quarter. If a Non-Employee Director is subject to tax withholding as a non-U.S. person with regard to any Cash Retainers, a Stock Electon made by such Non-Employee Director will apply only with respect to the porton of such Cash Retainers to which such Non-Employee Director is enttled afer such tax withholding. The number of shares of Common Stock granted will be determined by dividing the amount of the applicable Cash Retainers by the closing price of the Common Stock on the last trading day of the calendar quarter with respect to which such Cash Retainers will be paid (rounded down to nearest whole share). Notwithstanding the foregoing, (i) once a Stock Electon has been made, such Stock Electon shall remain in efect untl revoked in writng in accordance with this Policy, and (ii) a Non-Employee Director may not make a Stock Electon or revoke a previously made Stock Electon during a Company trading blackout period (i.e., a Company-designated “closed window”) or when such Non-Employee Director is otherwise in possession of material non-public informaton.</w:t>
      </w:r>
    </w:p>
    <w:p>
      <w:pPr>
        <w:spacing w:after="0" w:line="116" w:lineRule="exact"/>
        <w:rPr>
          <w:sz w:val="20"/>
          <w:szCs w:val="20"/>
          <w:color w:val="auto"/>
        </w:rPr>
      </w:pPr>
    </w:p>
    <w:p>
      <w:pPr>
        <w:jc w:val="both"/>
        <w:ind w:left="380" w:hanging="378"/>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u w:val="single" w:color="auto"/>
          <w:color w:val="auto"/>
        </w:rPr>
        <w:t>Equity Compensaton</w:t>
      </w:r>
      <w:r>
        <w:rPr>
          <w:rFonts w:ascii="Calibri" w:cs="Calibri" w:eastAsia="Calibri" w:hAnsi="Calibri"/>
          <w:sz w:val="18"/>
          <w:szCs w:val="18"/>
          <w:color w:val="auto"/>
        </w:rPr>
        <w:t xml:space="preserve">. Each Non-Employee Director shall be granted the equity awards described in this </w:t>
      </w:r>
      <w:r>
        <w:rPr>
          <w:rFonts w:ascii="Calibri" w:cs="Calibri" w:eastAsia="Calibri" w:hAnsi="Calibri"/>
          <w:sz w:val="18"/>
          <w:szCs w:val="18"/>
          <w:u w:val="single" w:color="auto"/>
          <w:color w:val="auto"/>
        </w:rPr>
        <w:t>Secton 2</w:t>
      </w:r>
      <w:r>
        <w:rPr>
          <w:rFonts w:ascii="Calibri" w:cs="Calibri" w:eastAsia="Calibri" w:hAnsi="Calibri"/>
          <w:sz w:val="18"/>
          <w:szCs w:val="18"/>
          <w:color w:val="auto"/>
        </w:rPr>
        <w:t>. The awards described below shall be granted under, and shall be subject to the terms and provisions of, the Company’s 2021 Incentve Award Plan or any other applicable equity incentve plan then maintained by the Company (such plan, as may be amended from tme to tme, the “</w:t>
      </w:r>
      <w:r>
        <w:rPr>
          <w:rFonts w:ascii="Calibri" w:cs="Calibri" w:eastAsia="Calibri" w:hAnsi="Calibri"/>
          <w:sz w:val="18"/>
          <w:szCs w:val="18"/>
          <w:b w:val="1"/>
          <w:bCs w:val="1"/>
          <w:i w:val="1"/>
          <w:iCs w:val="1"/>
          <w:color w:val="auto"/>
        </w:rPr>
        <w:t>Equity Plan</w:t>
      </w:r>
      <w:r>
        <w:rPr>
          <w:rFonts w:ascii="Calibri" w:cs="Calibri" w:eastAsia="Calibri" w:hAnsi="Calibri"/>
          <w:sz w:val="18"/>
          <w:szCs w:val="18"/>
          <w:color w:val="auto"/>
        </w:rPr>
        <w:t>”) and shall be granted subject to the executon and delivery of award agreements, including any atached exhibits, in substantally the forms previously approved by the Board. All applicable terms of the Equity Plan apply to this Policy as if fully set forth herein, and all awards granted hereunder are subject in all respects to the terms of the Equity Plan.</w:t>
      </w:r>
    </w:p>
    <w:p>
      <w:pPr>
        <w:spacing w:after="0" w:line="113" w:lineRule="exact"/>
        <w:rPr>
          <w:rFonts w:ascii="Calibri" w:cs="Calibri" w:eastAsia="Calibri" w:hAnsi="Calibri"/>
          <w:sz w:val="18"/>
          <w:szCs w:val="18"/>
          <w:color w:val="auto"/>
        </w:rPr>
      </w:pPr>
    </w:p>
    <w:p>
      <w:pPr>
        <w:jc w:val="both"/>
        <w:ind w:left="1120" w:hanging="369"/>
        <w:spacing w:after="0" w:line="235" w:lineRule="auto"/>
        <w:tabs>
          <w:tab w:leader="none" w:pos="1120" w:val="left"/>
        </w:tabs>
        <w:numPr>
          <w:ilvl w:val="1"/>
          <w:numId w:val="46"/>
        </w:numPr>
        <w:rPr>
          <w:rFonts w:ascii="Calibri" w:cs="Calibri" w:eastAsia="Calibri" w:hAnsi="Calibri"/>
          <w:sz w:val="18"/>
          <w:szCs w:val="18"/>
          <w:color w:val="auto"/>
        </w:rPr>
      </w:pPr>
      <w:r>
        <w:rPr>
          <w:rFonts w:ascii="Calibri" w:cs="Calibri" w:eastAsia="Calibri" w:hAnsi="Calibri"/>
          <w:sz w:val="18"/>
          <w:szCs w:val="18"/>
          <w:u w:val="single" w:color="auto"/>
          <w:color w:val="auto"/>
        </w:rPr>
        <w:t>Annual Awards</w:t>
      </w:r>
      <w:r>
        <w:rPr>
          <w:rFonts w:ascii="Calibri" w:cs="Calibri" w:eastAsia="Calibri" w:hAnsi="Calibri"/>
          <w:sz w:val="18"/>
          <w:szCs w:val="18"/>
          <w:color w:val="auto"/>
        </w:rPr>
        <w:t>. Each Non-Employee Director who (i) serves on the Board as of the date of any annual meetng of the Company’s stockholders (an “</w:t>
      </w:r>
      <w:r>
        <w:rPr>
          <w:rFonts w:ascii="Calibri" w:cs="Calibri" w:eastAsia="Calibri" w:hAnsi="Calibri"/>
          <w:sz w:val="18"/>
          <w:szCs w:val="18"/>
          <w:b w:val="1"/>
          <w:bCs w:val="1"/>
          <w:i w:val="1"/>
          <w:iCs w:val="1"/>
          <w:color w:val="auto"/>
        </w:rPr>
        <w:t>Annual Meetng</w:t>
      </w:r>
      <w:r>
        <w:rPr>
          <w:rFonts w:ascii="Calibri" w:cs="Calibri" w:eastAsia="Calibri" w:hAnsi="Calibri"/>
          <w:sz w:val="18"/>
          <w:szCs w:val="18"/>
          <w:color w:val="auto"/>
        </w:rPr>
        <w:t>”) and (ii) will contnue to serve as a Non-Employee Director immediately following such Annual Meetng shall be automatcally granted, on the date of such Annual Meetng, an award of restricted stock units ("</w:t>
      </w:r>
      <w:r>
        <w:rPr>
          <w:rFonts w:ascii="Calibri" w:cs="Calibri" w:eastAsia="Calibri" w:hAnsi="Calibri"/>
          <w:sz w:val="18"/>
          <w:szCs w:val="18"/>
          <w:b w:val="1"/>
          <w:bCs w:val="1"/>
          <w:i w:val="1"/>
          <w:iCs w:val="1"/>
          <w:color w:val="auto"/>
        </w:rPr>
        <w:t>RSUs</w:t>
      </w:r>
      <w:r>
        <w:rPr>
          <w:rFonts w:ascii="Calibri" w:cs="Calibri" w:eastAsia="Calibri" w:hAnsi="Calibri"/>
          <w:sz w:val="18"/>
          <w:szCs w:val="18"/>
          <w:color w:val="auto"/>
        </w:rPr>
        <w:t>") (unless otherwise determined by the Board) that has an aggregate grant date fair value of $200,000 (as determined in accordance with Financial Accountng Standards Board Accountng Standards Codifcaton 718 (“</w:t>
      </w:r>
      <w:r>
        <w:rPr>
          <w:rFonts w:ascii="Calibri" w:cs="Calibri" w:eastAsia="Calibri" w:hAnsi="Calibri"/>
          <w:sz w:val="18"/>
          <w:szCs w:val="18"/>
          <w:b w:val="1"/>
          <w:bCs w:val="1"/>
          <w:i w:val="1"/>
          <w:iCs w:val="1"/>
          <w:color w:val="auto"/>
        </w:rPr>
        <w:t>ASC 718</w:t>
      </w:r>
      <w:r>
        <w:rPr>
          <w:rFonts w:ascii="Calibri" w:cs="Calibri" w:eastAsia="Calibri" w:hAnsi="Calibri"/>
          <w:sz w:val="18"/>
          <w:szCs w:val="18"/>
          <w:color w:val="auto"/>
        </w:rPr>
        <w:t xml:space="preserve">”) and subject to adjustment as provided in the Equity Plan),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on a Non-Employee Director’s frst Annual Meetng following the date on which such Non-Employee Director is initally elected or appointed to the Board (the “</w:t>
      </w:r>
      <w:r>
        <w:rPr>
          <w:rFonts w:ascii="Calibri" w:cs="Calibri" w:eastAsia="Calibri" w:hAnsi="Calibri"/>
          <w:sz w:val="18"/>
          <w:szCs w:val="18"/>
          <w:b w:val="1"/>
          <w:bCs w:val="1"/>
          <w:i w:val="1"/>
          <w:iCs w:val="1"/>
          <w:color w:val="auto"/>
        </w:rPr>
        <w:t>First Annual Meetng</w:t>
      </w:r>
      <w:r>
        <w:rPr>
          <w:rFonts w:ascii="Calibri" w:cs="Calibri" w:eastAsia="Calibri" w:hAnsi="Calibri"/>
          <w:sz w:val="18"/>
          <w:szCs w:val="18"/>
          <w:color w:val="auto"/>
        </w:rPr>
        <w:t>”), such Non-Employee Director shall be automatcally granted, on the date of such First Annual Meetng, an award of RSUs (unless otherwise determined by the Board) that has an aggregate grant date fair value equal to the product of (i) $200,000 (as determined in accordance with ASC 718 and subject to adjustment as provided in the Equity Plan) and (ii) a fracton, the numerator of which is the number of days in the period beginning on the date of such Non-Employee Director’s inital electon or appointment to the Board (such Non-Employee Director’s “</w:t>
      </w:r>
      <w:r>
        <w:rPr>
          <w:rFonts w:ascii="Calibri" w:cs="Calibri" w:eastAsia="Calibri" w:hAnsi="Calibri"/>
          <w:sz w:val="18"/>
          <w:szCs w:val="18"/>
          <w:b w:val="1"/>
          <w:bCs w:val="1"/>
          <w:i w:val="1"/>
          <w:iCs w:val="1"/>
          <w:color w:val="auto"/>
        </w:rPr>
        <w:t>Start Date</w:t>
      </w:r>
      <w:r>
        <w:rPr>
          <w:rFonts w:ascii="Calibri" w:cs="Calibri" w:eastAsia="Calibri" w:hAnsi="Calibri"/>
          <w:sz w:val="18"/>
          <w:szCs w:val="18"/>
          <w:color w:val="auto"/>
        </w:rPr>
        <w:t xml:space="preserve">”) and ending on the date of such First Annual Meetng, and the denominator of which is 365. The awards described in this </w:t>
      </w:r>
      <w:r>
        <w:rPr>
          <w:rFonts w:ascii="Calibri" w:cs="Calibri" w:eastAsia="Calibri" w:hAnsi="Calibri"/>
          <w:sz w:val="18"/>
          <w:szCs w:val="18"/>
          <w:u w:val="single" w:color="auto"/>
          <w:color w:val="auto"/>
        </w:rPr>
        <w:t>Secton 2(a)</w:t>
      </w:r>
      <w:r>
        <w:rPr>
          <w:rFonts w:ascii="Calibri" w:cs="Calibri" w:eastAsia="Calibri" w:hAnsi="Calibri"/>
          <w:sz w:val="18"/>
          <w:szCs w:val="18"/>
          <w:color w:val="auto"/>
        </w:rPr>
        <w:t xml:space="preserve"> shall be referred to as the “</w:t>
      </w:r>
      <w:r>
        <w:rPr>
          <w:rFonts w:ascii="Calibri" w:cs="Calibri" w:eastAsia="Calibri" w:hAnsi="Calibri"/>
          <w:sz w:val="18"/>
          <w:szCs w:val="18"/>
          <w:b w:val="1"/>
          <w:bCs w:val="1"/>
          <w:i w:val="1"/>
          <w:iCs w:val="1"/>
          <w:color w:val="auto"/>
        </w:rPr>
        <w:t>Annual</w:t>
      </w:r>
      <w:r>
        <w:rPr>
          <w:rFonts w:ascii="Calibri" w:cs="Calibri" w:eastAsia="Calibri" w:hAnsi="Calibri"/>
          <w:sz w:val="18"/>
          <w:szCs w:val="18"/>
          <w:color w:val="auto"/>
        </w:rPr>
        <w:t xml:space="preserve"> </w:t>
      </w:r>
      <w:r>
        <w:rPr>
          <w:rFonts w:ascii="Calibri" w:cs="Calibri" w:eastAsia="Calibri" w:hAnsi="Calibri"/>
          <w:sz w:val="18"/>
          <w:szCs w:val="18"/>
          <w:b w:val="1"/>
          <w:bCs w:val="1"/>
          <w:i w:val="1"/>
          <w:iCs w:val="1"/>
          <w:color w:val="auto"/>
        </w:rPr>
        <w:t>Awards</w:t>
      </w:r>
      <w:r>
        <w:rPr>
          <w:rFonts w:ascii="Calibri" w:cs="Calibri" w:eastAsia="Calibri" w:hAnsi="Calibri"/>
          <w:sz w:val="18"/>
          <w:szCs w:val="18"/>
          <w:color w:val="auto"/>
        </w:rPr>
        <w:t>.”</w:t>
      </w:r>
    </w:p>
    <w:p>
      <w:pPr>
        <w:spacing w:after="0" w:line="118" w:lineRule="exact"/>
        <w:rPr>
          <w:rFonts w:ascii="Calibri" w:cs="Calibri" w:eastAsia="Calibri" w:hAnsi="Calibri"/>
          <w:sz w:val="18"/>
          <w:szCs w:val="18"/>
          <w:color w:val="auto"/>
        </w:rPr>
      </w:pPr>
    </w:p>
    <w:p>
      <w:pPr>
        <w:jc w:val="both"/>
        <w:ind w:left="1120" w:hanging="369"/>
        <w:spacing w:after="0" w:line="235" w:lineRule="auto"/>
        <w:tabs>
          <w:tab w:leader="none" w:pos="1120" w:val="left"/>
        </w:tabs>
        <w:numPr>
          <w:ilvl w:val="1"/>
          <w:numId w:val="46"/>
        </w:numPr>
        <w:rPr>
          <w:rFonts w:ascii="Calibri" w:cs="Calibri" w:eastAsia="Calibri" w:hAnsi="Calibri"/>
          <w:sz w:val="18"/>
          <w:szCs w:val="18"/>
          <w:color w:val="auto"/>
        </w:rPr>
      </w:pPr>
      <w:r>
        <w:rPr>
          <w:rFonts w:ascii="Calibri" w:cs="Calibri" w:eastAsia="Calibri" w:hAnsi="Calibri"/>
          <w:sz w:val="18"/>
          <w:szCs w:val="18"/>
          <w:u w:val="single" w:color="auto"/>
          <w:color w:val="auto"/>
        </w:rPr>
        <w:t>Inital Awards</w:t>
      </w:r>
      <w:r>
        <w:rPr>
          <w:rFonts w:ascii="Calibri" w:cs="Calibri" w:eastAsia="Calibri" w:hAnsi="Calibri"/>
          <w:sz w:val="18"/>
          <w:szCs w:val="18"/>
          <w:color w:val="auto"/>
        </w:rPr>
        <w:t xml:space="preserve">. Unless otherwise determined by the Board, each Non-Employee Director whose Start Date is any date other than the date of an Annual Meetng shall be automatcally granted, on such Start Date, an award of RSUs that has an aggregate grant date fair value of $200,000 (as determined in accordance with ASC 718 and subject to adjustment as provided in the Equity Plan). The awards described in this </w:t>
      </w:r>
      <w:r>
        <w:rPr>
          <w:rFonts w:ascii="Calibri" w:cs="Calibri" w:eastAsia="Calibri" w:hAnsi="Calibri"/>
          <w:sz w:val="18"/>
          <w:szCs w:val="18"/>
          <w:u w:val="single" w:color="auto"/>
          <w:color w:val="auto"/>
        </w:rPr>
        <w:t>Secton 2(b)</w:t>
      </w:r>
      <w:r>
        <w:rPr>
          <w:rFonts w:ascii="Calibri" w:cs="Calibri" w:eastAsia="Calibri" w:hAnsi="Calibri"/>
          <w:sz w:val="18"/>
          <w:szCs w:val="18"/>
          <w:color w:val="auto"/>
        </w:rPr>
        <w:t xml:space="preserve"> shall be referred to as “</w:t>
      </w:r>
      <w:r>
        <w:rPr>
          <w:rFonts w:ascii="Calibri" w:cs="Calibri" w:eastAsia="Calibri" w:hAnsi="Calibri"/>
          <w:sz w:val="18"/>
          <w:szCs w:val="18"/>
          <w:b w:val="1"/>
          <w:bCs w:val="1"/>
          <w:i w:val="1"/>
          <w:iCs w:val="1"/>
          <w:color w:val="auto"/>
        </w:rPr>
        <w:t>Inital Awards</w:t>
      </w:r>
      <w:r>
        <w:rPr>
          <w:rFonts w:ascii="Calibri" w:cs="Calibri" w:eastAsia="Calibri" w:hAnsi="Calibri"/>
          <w:sz w:val="18"/>
          <w:szCs w:val="18"/>
          <w:i w:val="1"/>
          <w:iCs w:val="1"/>
          <w:color w:val="auto"/>
        </w:rPr>
        <w:t>.</w:t>
      </w:r>
      <w:r>
        <w:rPr>
          <w:rFonts w:ascii="Calibri" w:cs="Calibri" w:eastAsia="Calibri" w:hAnsi="Calibri"/>
          <w:sz w:val="18"/>
          <w:szCs w:val="18"/>
          <w:color w:val="auto"/>
        </w:rPr>
        <w:t>” For the avoidance of doubt, no Non-Employee Director shall be granted more than one Inital Award.</w:t>
      </w:r>
    </w:p>
    <w:p>
      <w:pPr>
        <w:spacing w:after="0" w:line="112" w:lineRule="exact"/>
        <w:rPr>
          <w:rFonts w:ascii="Calibri" w:cs="Calibri" w:eastAsia="Calibri" w:hAnsi="Calibri"/>
          <w:sz w:val="18"/>
          <w:szCs w:val="18"/>
          <w:color w:val="auto"/>
        </w:rPr>
      </w:pPr>
    </w:p>
    <w:p>
      <w:pPr>
        <w:jc w:val="both"/>
        <w:ind w:left="1120" w:hanging="369"/>
        <w:spacing w:after="0" w:line="235" w:lineRule="auto"/>
        <w:tabs>
          <w:tab w:leader="none" w:pos="1120" w:val="left"/>
        </w:tabs>
        <w:numPr>
          <w:ilvl w:val="1"/>
          <w:numId w:val="46"/>
        </w:numPr>
        <w:rPr>
          <w:rFonts w:ascii="Calibri" w:cs="Calibri" w:eastAsia="Calibri" w:hAnsi="Calibri"/>
          <w:sz w:val="18"/>
          <w:szCs w:val="18"/>
          <w:color w:val="auto"/>
        </w:rPr>
      </w:pPr>
      <w:r>
        <w:rPr>
          <w:rFonts w:ascii="Calibri" w:cs="Calibri" w:eastAsia="Calibri" w:hAnsi="Calibri"/>
          <w:sz w:val="18"/>
          <w:szCs w:val="18"/>
          <w:u w:val="single" w:color="auto"/>
          <w:color w:val="auto"/>
        </w:rPr>
        <w:t>Terminaton of Employment of Employee Directors</w:t>
      </w:r>
      <w:r>
        <w:rPr>
          <w:rFonts w:ascii="Calibri" w:cs="Calibri" w:eastAsia="Calibri" w:hAnsi="Calibri"/>
          <w:sz w:val="18"/>
          <w:szCs w:val="18"/>
          <w:color w:val="auto"/>
        </w:rPr>
        <w:t>. Members of the Board who are employees of the Company (or any parent or subsidiary thereof) who subsequently terminate such employment and who remain on the Board will not receive an Inital Award, but to the extent that they are otherwise eligible, will be eligible to receive, afer such terminaton of employment, Annual Awards.</w:t>
      </w: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481965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3" w:right="339" w:bottom="1440" w:gutter="0" w:footer="0" w:header="0"/>
        </w:sectPr>
      </w:pPr>
    </w:p>
    <w:bookmarkStart w:id="124" w:name="page125"/>
    <w:bookmarkEnd w:id="124"/>
    <w:p>
      <w:pPr>
        <w:jc w:val="both"/>
        <w:ind w:left="380" w:hanging="369"/>
        <w:spacing w:after="0" w:line="251" w:lineRule="auto"/>
        <w:tabs>
          <w:tab w:leader="none" w:pos="380" w:val="left"/>
        </w:tabs>
        <w:numPr>
          <w:ilvl w:val="0"/>
          <w:numId w:val="47"/>
        </w:numPr>
        <w:rPr>
          <w:rFonts w:ascii="Calibri" w:cs="Calibri" w:eastAsia="Calibri" w:hAnsi="Calibri"/>
          <w:sz w:val="17"/>
          <w:szCs w:val="17"/>
          <w:color w:val="auto"/>
        </w:rPr>
      </w:pPr>
      <w:r>
        <w:rPr>
          <w:rFonts w:ascii="Calibri" w:cs="Calibri" w:eastAsia="Calibri" w:hAnsi="Calibri"/>
          <w:sz w:val="17"/>
          <w:szCs w:val="17"/>
          <w:u w:val="single" w:color="auto"/>
          <w:color w:val="auto"/>
        </w:rPr>
        <w:t>Vestng of Awards Granted to Non-Employee Directors</w:t>
      </w:r>
      <w:r>
        <w:rPr>
          <w:rFonts w:ascii="Calibri" w:cs="Calibri" w:eastAsia="Calibri" w:hAnsi="Calibri"/>
          <w:sz w:val="17"/>
          <w:szCs w:val="17"/>
          <w:color w:val="auto"/>
        </w:rPr>
        <w:t>. Each Annual Award shall vest on the earlier of (i) the day immediately preceding the date of the frst Annual Meetng following the date of grant and (ii) the frst anniversary of the date of grant, subject in each case to the applicable Non-Employee Director contnuing to serve on the Board through the applicable vestng date. Each Inital Award shall vest in three equal installments on the frst three anniversaries of the date of grant, subject to the Non-Employee Director contnuing in service on the Board through the applicable vestng date. No porton of an Annual Award or Inital Award that is unvested at the tme of a Non-Employee Director’s terminaton of service on the Board shall vest thereafer. All Annual Awards and Inital Awards shall vest in full immediately prior to the occurrence of a Change in Control (as defned in the Equity Plan), to the extent outstanding at such tme.</w:t>
      </w:r>
    </w:p>
    <w:p>
      <w:pPr>
        <w:spacing w:after="0" w:line="96" w:lineRule="exact"/>
        <w:rPr>
          <w:rFonts w:ascii="Calibri" w:cs="Calibri" w:eastAsia="Calibri" w:hAnsi="Calibri"/>
          <w:sz w:val="17"/>
          <w:szCs w:val="17"/>
          <w:color w:val="auto"/>
        </w:rPr>
      </w:pPr>
    </w:p>
    <w:p>
      <w:pPr>
        <w:ind w:left="3500"/>
        <w:spacing w:after="0"/>
        <w:rPr>
          <w:rFonts w:ascii="Calibri" w:cs="Calibri" w:eastAsia="Calibri" w:hAnsi="Calibri"/>
          <w:sz w:val="17"/>
          <w:szCs w:val="17"/>
          <w:color w:val="auto"/>
        </w:rPr>
      </w:pPr>
      <w:r>
        <w:rPr>
          <w:rFonts w:ascii="Calibri" w:cs="Calibri" w:eastAsia="Calibri" w:hAnsi="Calibri"/>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ind w:left="4460"/>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5" w:name="page126"/>
    <w:bookmarkEnd w:id="125"/>
    <w:p>
      <w:pPr>
        <w:jc w:val="right"/>
        <w:spacing w:after="0"/>
        <w:rPr>
          <w:sz w:val="20"/>
          <w:szCs w:val="20"/>
          <w:color w:val="auto"/>
        </w:rPr>
      </w:pPr>
      <w:r>
        <w:rPr>
          <w:rFonts w:ascii="Calibri" w:cs="Calibri" w:eastAsia="Calibri" w:hAnsi="Calibri"/>
          <w:sz w:val="18"/>
          <w:szCs w:val="18"/>
          <w:b w:val="1"/>
          <w:bCs w:val="1"/>
          <w:color w:val="auto"/>
        </w:rPr>
        <w:t>Exhibit 10.30</w:t>
      </w:r>
    </w:p>
    <w:p>
      <w:pPr>
        <w:spacing w:after="0" w:line="104"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August 13, 2021</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Riva Bakal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Re: </w:t>
      </w:r>
      <w:r>
        <w:rPr>
          <w:rFonts w:ascii="Calibri" w:cs="Calibri" w:eastAsia="Calibri" w:hAnsi="Calibri"/>
          <w:sz w:val="18"/>
          <w:szCs w:val="18"/>
          <w:u w:val="single" w:color="auto"/>
          <w:color w:val="auto"/>
        </w:rPr>
        <w:t>Employment with Vivid Seats Inc.</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Dear Riva:</w:t>
      </w:r>
    </w:p>
    <w:p>
      <w:pPr>
        <w:spacing w:after="0" w:line="109"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Vivid Seats Inc. and Vivid Seats LLC (as such companies’ names may change from tme to tme, together with each such company’s successors and assigns, and any subsidiary or afliate that may employ you from tme to tme, collectvely,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are pleased to ofer you employment on the terms set forth below. This leter sets forth the terms of your employment by the Company.</w:t>
      </w:r>
    </w:p>
    <w:p>
      <w:pPr>
        <w:spacing w:after="0" w:line="111" w:lineRule="exact"/>
        <w:rPr>
          <w:sz w:val="20"/>
          <w:szCs w:val="20"/>
          <w:color w:val="auto"/>
        </w:rPr>
      </w:pPr>
    </w:p>
    <w:p>
      <w:pPr>
        <w:jc w:val="both"/>
        <w:ind w:firstLine="757"/>
        <w:spacing w:after="0" w:line="235" w:lineRule="auto"/>
        <w:tabs>
          <w:tab w:leader="none" w:pos="1018"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You will be the Senior Vice President, Strategy &amp; Product of the Company, reportng to the Chief Executve Ofcer beginning on the date of consummaton of the transactons contemplated by that certain Transacton Agreement (the “</w:t>
      </w:r>
      <w:r>
        <w:rPr>
          <w:rFonts w:ascii="Calibri" w:cs="Calibri" w:eastAsia="Calibri" w:hAnsi="Calibri"/>
          <w:sz w:val="18"/>
          <w:szCs w:val="18"/>
          <w:b w:val="1"/>
          <w:bCs w:val="1"/>
          <w:color w:val="auto"/>
        </w:rPr>
        <w:t>Transacton Agreement</w:t>
      </w:r>
      <w:r>
        <w:rPr>
          <w:rFonts w:ascii="Calibri" w:cs="Calibri" w:eastAsia="Calibri" w:hAnsi="Calibri"/>
          <w:sz w:val="18"/>
          <w:szCs w:val="18"/>
          <w:color w:val="auto"/>
        </w:rPr>
        <w:t>”), by and among Horizon Acquisiton Corporaton, Horizon Sponsor, LLC, Hoya Topco, LLC, Hoya Intermediate, LLC and Vivid Seats Inc., dated as of April 21, 2021, as amended from tme to tme (the “</w:t>
      </w:r>
      <w:r>
        <w:rPr>
          <w:rFonts w:ascii="Calibri" w:cs="Calibri" w:eastAsia="Calibri" w:hAnsi="Calibri"/>
          <w:sz w:val="18"/>
          <w:szCs w:val="18"/>
          <w:b w:val="1"/>
          <w:bCs w:val="1"/>
          <w:color w:val="auto"/>
        </w:rPr>
        <w:t>Efectve Date</w:t>
      </w:r>
      <w:r>
        <w:rPr>
          <w:rFonts w:ascii="Calibri" w:cs="Calibri" w:eastAsia="Calibri" w:hAnsi="Calibri"/>
          <w:sz w:val="18"/>
          <w:szCs w:val="18"/>
          <w:color w:val="auto"/>
        </w:rPr>
        <w:t>”). In this capacity, you will have the responsibilites and dutes consistent with such positon. To the extent the Efectve Date does not occur on or prior to December 31, 2021, this leter agreement shall be null and void.</w:t>
      </w:r>
    </w:p>
    <w:p>
      <w:pPr>
        <w:spacing w:after="0" w:line="112" w:lineRule="exact"/>
        <w:rPr>
          <w:rFonts w:ascii="Calibri" w:cs="Calibri" w:eastAsia="Calibri" w:hAnsi="Calibri"/>
          <w:sz w:val="18"/>
          <w:szCs w:val="18"/>
          <w:color w:val="auto"/>
        </w:rPr>
      </w:pPr>
    </w:p>
    <w:p>
      <w:pPr>
        <w:ind w:firstLine="757"/>
        <w:spacing w:after="0" w:line="235" w:lineRule="auto"/>
        <w:tabs>
          <w:tab w:leader="none" w:pos="1018"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Your base salary will be $290,000 per year (the “</w:t>
      </w:r>
      <w:r>
        <w:rPr>
          <w:rFonts w:ascii="Calibri" w:cs="Calibri" w:eastAsia="Calibri" w:hAnsi="Calibri"/>
          <w:sz w:val="18"/>
          <w:szCs w:val="18"/>
          <w:b w:val="1"/>
          <w:bCs w:val="1"/>
          <w:color w:val="auto"/>
        </w:rPr>
        <w:t>Base Salary</w:t>
      </w:r>
      <w:r>
        <w:rPr>
          <w:rFonts w:ascii="Calibri" w:cs="Calibri" w:eastAsia="Calibri" w:hAnsi="Calibri"/>
          <w:sz w:val="18"/>
          <w:szCs w:val="18"/>
          <w:color w:val="auto"/>
        </w:rPr>
        <w:t>”), less deductons and withholdings required by law or authorized by you. Your Base Salary will be paid by the Company in regular installments in accordance with the Company's general payroll practces as in efect from tme to tme.</w:t>
      </w:r>
    </w:p>
    <w:p>
      <w:pPr>
        <w:spacing w:after="0" w:line="110"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With respect to your bonus opportunites for each bonus period beginning on and afer the Efectve Date, you will be eligible to receive an annual bonus of up to 40% of your Base Salary (the “</w:t>
      </w:r>
      <w:r>
        <w:rPr>
          <w:rFonts w:ascii="Calibri" w:cs="Calibri" w:eastAsia="Calibri" w:hAnsi="Calibri"/>
          <w:sz w:val="18"/>
          <w:szCs w:val="18"/>
          <w:b w:val="1"/>
          <w:bCs w:val="1"/>
          <w:color w:val="auto"/>
        </w:rPr>
        <w:t>Annual Bonus</w:t>
      </w:r>
      <w:r>
        <w:rPr>
          <w:rFonts w:ascii="Calibri" w:cs="Calibri" w:eastAsia="Calibri" w:hAnsi="Calibri"/>
          <w:sz w:val="18"/>
          <w:szCs w:val="18"/>
          <w:color w:val="auto"/>
        </w:rPr>
        <w:t>”), under the Company's bonus plan or program applicable to senior executves. The actual bonus awarded to you for any bonus period will be determined by reference to the atainment of Company performance metrics and/or individual performance objectves, in each case, as determined by the Compensaton Commitee of the Board of Directors of Vivid Seats Inc. (the “</w:t>
      </w:r>
      <w:r>
        <w:rPr>
          <w:rFonts w:ascii="Calibri" w:cs="Calibri" w:eastAsia="Calibri" w:hAnsi="Calibri"/>
          <w:sz w:val="18"/>
          <w:szCs w:val="18"/>
          <w:b w:val="1"/>
          <w:bCs w:val="1"/>
          <w:color w:val="auto"/>
        </w:rPr>
        <w:t>Board</w:t>
      </w:r>
      <w:r>
        <w:rPr>
          <w:rFonts w:ascii="Calibri" w:cs="Calibri" w:eastAsia="Calibri" w:hAnsi="Calibri"/>
          <w:sz w:val="18"/>
          <w:szCs w:val="18"/>
          <w:color w:val="auto"/>
        </w:rPr>
        <w:t>”). Any bonus earned for a fscal year shall be paid no later than March 15 of the calendar year following the calendar year that includes the end of the fscal year to which the applicable bonus relates, subject, in each case, to your contnued employment through the end of the fscal year to which the applicable bonus relates (except as otherwise contemplated by Sectons 9 and 10 of this leter agreement).</w:t>
      </w:r>
    </w:p>
    <w:p>
      <w:pPr>
        <w:spacing w:after="0" w:line="114" w:lineRule="exact"/>
        <w:rPr>
          <w:sz w:val="20"/>
          <w:szCs w:val="20"/>
          <w:color w:val="auto"/>
        </w:rPr>
      </w:pPr>
    </w:p>
    <w:p>
      <w:pPr>
        <w:jc w:val="both"/>
        <w:ind w:firstLine="757"/>
        <w:spacing w:after="0" w:line="235" w:lineRule="auto"/>
        <w:tabs>
          <w:tab w:leader="none" w:pos="1018"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As soon as reasonably practcable following the Efectve Date and subject to Board approval and your contnued employment through the date(s) of grant, the Company will grant to you: (i) 61,625 restricted stock units, (ii) non-qualifed stock optons with a grant date estmated fair value of $616,250, as determined by the Board in good faith based upon a “black scholes” valuaton methodology and (iii) non-qualifed stock optons intended to represent a porton of the value atributable to the Intermediate Warrants (as defned in the Transacton Agreement) issued to Hoya Topco upon the Efectve Date, as determined in good faith by the Board (subsectons (i), (ii) and (iii), the “</w:t>
      </w:r>
      <w:r>
        <w:rPr>
          <w:rFonts w:ascii="Calibri" w:cs="Calibri" w:eastAsia="Calibri" w:hAnsi="Calibri"/>
          <w:sz w:val="18"/>
          <w:szCs w:val="18"/>
          <w:b w:val="1"/>
          <w:bCs w:val="1"/>
          <w:color w:val="auto"/>
        </w:rPr>
        <w:t>Equity Awards</w:t>
      </w:r>
      <w:r>
        <w:rPr>
          <w:rFonts w:ascii="Calibri" w:cs="Calibri" w:eastAsia="Calibri" w:hAnsi="Calibri"/>
          <w:sz w:val="18"/>
          <w:szCs w:val="18"/>
          <w:color w:val="auto"/>
        </w:rPr>
        <w:t>”). Subject to your contnued employment, the Equity Awards shall vest in equal quarterly installments over the four-year period immediately following the consummaton of the Transacton. The Equity Awards shall be issued pursuant to the Company’s 2021 Incentve Award Plan and writen award agreements between you and the Company in the Company’s customary forms.</w:t>
      </w:r>
    </w:p>
    <w:p>
      <w:pPr>
        <w:spacing w:after="0" w:line="114"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You will also be eligible to partcipate in regular health, dental and vision insurance plans and other employee beneft plans and arrangements (including a 401(k) plan and paid-tme of policies) established by the Company for its executve ofcers from tme to tme. The Company will reimburse you for all reasonable and documented expenses incurred by you in the course of performing your dutes hereunder in accordance with the Company’s policies in place from tme to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963930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ind w:firstLine="757"/>
        <w:spacing w:after="0" w:line="235" w:lineRule="auto"/>
        <w:tabs>
          <w:tab w:leader="none" w:pos="1018"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Your positon is currently based in Chicago, Illinois. Your dutes may involve extensive domestc and internatonal travel as reasonably necessary to fulfll such dutes.</w:t>
      </w:r>
    </w:p>
    <w:p>
      <w:pPr>
        <w:spacing w:after="0" w:line="104" w:lineRule="exact"/>
        <w:rPr>
          <w:rFonts w:ascii="Calibri" w:cs="Calibri" w:eastAsia="Calibri" w:hAnsi="Calibri"/>
          <w:sz w:val="18"/>
          <w:szCs w:val="18"/>
          <w:color w:val="auto"/>
        </w:rPr>
      </w:pPr>
    </w:p>
    <w:p>
      <w:pPr>
        <w:ind w:left="1020" w:hanging="263"/>
        <w:spacing w:after="0"/>
        <w:tabs>
          <w:tab w:leader="none" w:pos="102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You acknowledge that:</w:t>
      </w:r>
    </w:p>
    <w:p>
      <w:pPr>
        <w:spacing w:after="0" w:line="109" w:lineRule="exact"/>
        <w:rPr>
          <w:sz w:val="20"/>
          <w:szCs w:val="20"/>
          <w:color w:val="auto"/>
        </w:rPr>
      </w:pPr>
    </w:p>
    <w:p>
      <w:pPr>
        <w:jc w:val="both"/>
        <w:ind w:firstLine="757"/>
        <w:spacing w:after="0" w:line="235" w:lineRule="auto"/>
        <w:tabs>
          <w:tab w:leader="none" w:pos="874"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 xml:space="preserve">You have carefully considered, and you have signed, the Company’s “Confdentality, Inventon Assignment, Non-Solicit, Non-Compete and Arbitraton Agreement” (atached to this leter as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Because the Company and its afliates are engaged in a contnuous program of research, development, producton and marketng in connecton with their business, we wish to reiterate that it is critcal for the Company and its afliates to preserve and protect its proprietary informaton and its rights in inventons.</w:t>
      </w:r>
    </w:p>
    <w:p>
      <w:pPr>
        <w:spacing w:after="0" w:line="106" w:lineRule="exact"/>
        <w:rPr>
          <w:rFonts w:ascii="Calibri" w:cs="Calibri" w:eastAsia="Calibri" w:hAnsi="Calibri"/>
          <w:sz w:val="18"/>
          <w:szCs w:val="18"/>
          <w:color w:val="auto"/>
        </w:rPr>
      </w:pPr>
    </w:p>
    <w:p>
      <w:pPr>
        <w:ind w:left="860" w:hanging="103"/>
        <w:spacing w:after="0"/>
        <w:tabs>
          <w:tab w:leader="none" w:pos="86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 xml:space="preserve">You have completed Schedule l atached to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w:t>
      </w:r>
    </w:p>
    <w:p>
      <w:pPr>
        <w:spacing w:after="0" w:line="109" w:lineRule="exact"/>
        <w:rPr>
          <w:rFonts w:ascii="Calibri" w:cs="Calibri" w:eastAsia="Calibri" w:hAnsi="Calibri"/>
          <w:sz w:val="18"/>
          <w:szCs w:val="18"/>
          <w:color w:val="auto"/>
        </w:rPr>
      </w:pPr>
    </w:p>
    <w:p>
      <w:pPr>
        <w:jc w:val="both"/>
        <w:ind w:firstLine="757"/>
        <w:spacing w:after="0" w:line="235" w:lineRule="auto"/>
        <w:tabs>
          <w:tab w:leader="none" w:pos="859"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 xml:space="preserve">You and the Company mutually agree that any disputes that may arise regarding your employment will be submited to either (a) the United States District Court for the District of Delaware, the Delaware Court of Chancery of the State of Delaware or any other court in the State of Delaware or (b) binding arbitraton by the American Arbitraton Associaton, in each case in accordance with Sectons 10 and 11 of Exhibit A. As a conditon of your employment, you will need to carefully consider and voluntarily agree to the arbitraton clause set forth in Secton H of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both"/>
        <w:ind w:firstLine="757"/>
        <w:spacing w:after="0" w:line="235" w:lineRule="auto"/>
        <w:tabs>
          <w:tab w:leader="none" w:pos="1018"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We also wish to remind you that, as a conditon of your employment, you are expected to abide by the Company’s, and its direct and indirect parents’ and subsidiaries’ policies and procedures, provided that such policies and procedures are and contnue to be reasonable and customary and that the Company will notfy you of any amendments to such policies and procedures that apply to you. Notwithstanding the foregoing or anything to the contrary in the Hoya Topco, LLC Agreement, dated June 30, 2017, as may be amended from tme to tme (the “</w:t>
      </w:r>
      <w:r>
        <w:rPr>
          <w:rFonts w:ascii="Calibri" w:cs="Calibri" w:eastAsia="Calibri" w:hAnsi="Calibri"/>
          <w:sz w:val="18"/>
          <w:szCs w:val="18"/>
          <w:b w:val="1"/>
          <w:bCs w:val="1"/>
          <w:color w:val="auto"/>
        </w:rPr>
        <w:t>Topco LLC Agreement</w:t>
      </w:r>
      <w:r>
        <w:rPr>
          <w:rFonts w:ascii="Calibri" w:cs="Calibri" w:eastAsia="Calibri" w:hAnsi="Calibri"/>
          <w:sz w:val="18"/>
          <w:szCs w:val="18"/>
          <w:color w:val="auto"/>
        </w:rPr>
        <w:t>”), the Topco LLC Agreement may not be amended or otherwise modifed in any manner that would materially and adversely alter, change or have a disproportonate efect on the specifc rights and preferences of the holders of the Class D Units as compared to the specifc rights and preferences of the holders of the Class C Units and the holders of the Class E Units and the holders of any future class of common Units (but only to the extent (x) such future class of Units are outstanding immediately prior to such amendment and (y) one or more GTCR Investors (as defned in the Topco LLC Agreement) are among the holders of such future class of Units) without your prior writen consent, which you may not unreasonably delay or withhold.</w:t>
      </w:r>
    </w:p>
    <w:p>
      <w:pPr>
        <w:spacing w:after="0" w:line="115"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Your employment with the Company is at will. The Company may terminate your employment at any tme, for any reason or no reason, by giving you notce in writng of not less than fourteen (14) days (“</w:t>
      </w:r>
      <w:r>
        <w:rPr>
          <w:rFonts w:ascii="Calibri" w:cs="Calibri" w:eastAsia="Calibri" w:hAnsi="Calibri"/>
          <w:sz w:val="18"/>
          <w:szCs w:val="18"/>
          <w:b w:val="1"/>
          <w:bCs w:val="1"/>
          <w:color w:val="auto"/>
        </w:rPr>
        <w:t>Notce Period</w:t>
      </w:r>
      <w:r>
        <w:rPr>
          <w:rFonts w:ascii="Calibri" w:cs="Calibri" w:eastAsia="Calibri" w:hAnsi="Calibri"/>
          <w:sz w:val="18"/>
          <w:szCs w:val="18"/>
          <w:color w:val="auto"/>
        </w:rPr>
        <w:t xml:space="preserve">”) other than any terminaton of your employment by the Company for Cause which may be efectve immediately and which shall not require any Notce Period. Notwithstanding any provision to the contrary contained in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xml:space="preserve">, you shall be enttled to terminate your employment with the Company at any tme, and for any reason or no reason, by giving notce in writng to the Company of not less than the Notce Period, unless otherwise agreed to in writng by you and the Company. In the event of such notce by the Company or by you, the Company reserves the right, in its discreton, to give immediate efect to your terminaton or resignaton in lieu of requiring or allowing you to contnue work throughout the Notce Period;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the Company shall contnue to pay your Base Salary during the Notce Period. You shall contnue to be an employee of the Company during the Notce Period, and thus owe to the Company the same duty of loyalty you owed it prior to giving notce of your terminaton. The Company may, during the Notce Period, relieve you of all of your dutes and prohibit you from entering the Company's ofces.</w:t>
      </w:r>
    </w:p>
    <w:p>
      <w:pPr>
        <w:spacing w:after="0" w:line="115" w:lineRule="exact"/>
        <w:rPr>
          <w:rFonts w:ascii="Calibri" w:cs="Calibri" w:eastAsia="Calibri" w:hAnsi="Calibri"/>
          <w:sz w:val="18"/>
          <w:szCs w:val="18"/>
          <w:color w:val="auto"/>
        </w:rPr>
      </w:pPr>
    </w:p>
    <w:p>
      <w:pPr>
        <w:ind w:firstLine="757"/>
        <w:spacing w:after="0" w:line="235" w:lineRule="auto"/>
        <w:tabs>
          <w:tab w:leader="none" w:pos="1018"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If the Company terminates your employment without “Cause” or you voluntarily terminate your employment for a “Good Reason” (either of these, a “</w:t>
      </w:r>
      <w:r>
        <w:rPr>
          <w:rFonts w:ascii="Calibri" w:cs="Calibri" w:eastAsia="Calibri" w:hAnsi="Calibri"/>
          <w:sz w:val="18"/>
          <w:szCs w:val="18"/>
          <w:b w:val="1"/>
          <w:bCs w:val="1"/>
          <w:color w:val="auto"/>
        </w:rPr>
        <w:t>Qualifying Terminaton</w:t>
      </w:r>
      <w:r>
        <w:rPr>
          <w:rFonts w:ascii="Calibri" w:cs="Calibri" w:eastAsia="Calibri" w:hAnsi="Calibri"/>
          <w:sz w:val="18"/>
          <w:szCs w:val="18"/>
          <w:color w:val="auto"/>
        </w:rPr>
        <w:t>”), you will be enttled to receive the following payments and benefts: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ind w:left="743" w:hanging="743"/>
        <w:spacing w:after="0"/>
        <w:tabs>
          <w:tab w:leader="none" w:pos="7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 severance payment equal to nine (9) months of your then applicable Base Salary (the “</w:t>
      </w:r>
      <w:r>
        <w:rPr>
          <w:rFonts w:ascii="Calibri" w:cs="Calibri" w:eastAsia="Calibri" w:hAnsi="Calibri"/>
          <w:sz w:val="18"/>
          <w:szCs w:val="18"/>
          <w:b w:val="1"/>
          <w:bCs w:val="1"/>
          <w:color w:val="auto"/>
        </w:rPr>
        <w:t>Base Salary Severance</w:t>
      </w:r>
      <w:r>
        <w:rPr>
          <w:rFonts w:ascii="Calibri" w:cs="Calibri" w:eastAsia="Calibri" w:hAnsi="Calibri"/>
          <w:sz w:val="18"/>
          <w:szCs w:val="18"/>
          <w:color w:val="auto"/>
        </w:rPr>
        <w:t>”);</w:t>
      </w:r>
    </w:p>
    <w:p>
      <w:pPr>
        <w:spacing w:after="0" w:line="109" w:lineRule="exact"/>
        <w:rPr>
          <w:rFonts w:ascii="Calibri" w:cs="Calibri" w:eastAsia="Calibri" w:hAnsi="Calibri"/>
          <w:sz w:val="18"/>
          <w:szCs w:val="18"/>
          <w:color w:val="auto"/>
        </w:rPr>
      </w:pPr>
    </w:p>
    <w:p>
      <w:pPr>
        <w:ind w:left="743" w:hanging="743"/>
        <w:spacing w:after="0" w:line="235" w:lineRule="auto"/>
        <w:tabs>
          <w:tab w:leader="none" w:pos="7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 porton of your Annual Bonus for the fscal year in which such terminaton occurs, prorated for the porton of such fscal year during which you were employed by the Company, determined at 50% achievement;</w:t>
      </w:r>
    </w:p>
    <w:p>
      <w:pPr>
        <w:spacing w:after="0" w:line="104" w:lineRule="exact"/>
        <w:rPr>
          <w:rFonts w:ascii="Calibri" w:cs="Calibri" w:eastAsia="Calibri" w:hAnsi="Calibri"/>
          <w:sz w:val="18"/>
          <w:szCs w:val="18"/>
          <w:color w:val="auto"/>
        </w:rPr>
      </w:pPr>
    </w:p>
    <w:p>
      <w:pPr>
        <w:ind w:left="743" w:hanging="743"/>
        <w:spacing w:after="0"/>
        <w:tabs>
          <w:tab w:leader="none" w:pos="7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any unpaid bonus for a prior fscal year;</w:t>
      </w:r>
    </w:p>
    <w:p>
      <w:pPr>
        <w:spacing w:after="0" w:line="109" w:lineRule="exact"/>
        <w:rPr>
          <w:rFonts w:ascii="Calibri" w:cs="Calibri" w:eastAsia="Calibri" w:hAnsi="Calibri"/>
          <w:sz w:val="18"/>
          <w:szCs w:val="18"/>
          <w:color w:val="auto"/>
        </w:rPr>
      </w:pPr>
    </w:p>
    <w:p>
      <w:pPr>
        <w:jc w:val="both"/>
        <w:ind w:left="743" w:hanging="743"/>
        <w:spacing w:after="0" w:line="233" w:lineRule="auto"/>
        <w:tabs>
          <w:tab w:leader="none" w:pos="7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if you tmely elect contnued coverage under the Consolidated Omnibus Budget Reconciliaton Aet (“</w:t>
      </w:r>
      <w:r>
        <w:rPr>
          <w:rFonts w:ascii="Calibri" w:cs="Calibri" w:eastAsia="Calibri" w:hAnsi="Calibri"/>
          <w:sz w:val="18"/>
          <w:szCs w:val="18"/>
          <w:b w:val="1"/>
          <w:bCs w:val="1"/>
          <w:color w:val="auto"/>
        </w:rPr>
        <w:t>COBRA</w:t>
      </w:r>
      <w:r>
        <w:rPr>
          <w:rFonts w:ascii="Calibri" w:cs="Calibri" w:eastAsia="Calibri" w:hAnsi="Calibri"/>
          <w:sz w:val="18"/>
          <w:szCs w:val="18"/>
          <w:color w:val="auto"/>
        </w:rPr>
        <w:t xml:space="preserve">”), the full amount of your COBRA premiums for your contnued coverage under the Company’s health, dental and vision plans, including coverage for your eligible dependents, for nine (9) months following your Qualifying Terminaton or, if earlier, untl you are eligible to be covered under another substantally equivalent medical insurance plan by a subsequent employer. Notwithstanding the foregoing, if the Company, in its sole discreton, determines that it cannot provide the foregoing subsidy of COBRA coverage without potentally violatng or causing the Company to incur additonal expense as a result of noncompliance with applicable law (including, without limitaton, Secton 2716 of the Public Health Service Act), the Company instead shall provide to you a taxable monthly payment in an amount equal to the monthly COBRA premium that you would be required to pay to contnue the group health coverage in efect on the date of the Qualifying Terminaton (which amount shall be based on the premium for the frst month of COBRA coverage), which payments shall be made regardless of whether you elect COBRA contnuaton coverage and shall commence on the later of (i) the frst day of the month following the month in which you experience a Qualifying Terminaton and (ii) the efectve date of the Company’s determinaton of violaton of applicable law, and shall end on the earlier of (x) the efectve date on which you become covered by a health, dental or vision insurance plan of a subsequent employer, and (y) the last day of the nine (9)-month period described above afer the Qualifying Terminaton,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any such taxable payments will not be paid before the frst business day occurring afer the sixteth (60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day following the Qualifying Terminaton and, once they commence, will include any unpaid amounts accrued from the date of your Qualifying Terminaton (to the extent not otherwise satsfed with contnuaton coverage). You shall have no right to an additonal gross-up payment to account for the fact that such COBRA premium amounts are paid on an afer-tax basis; and</w:t>
      </w:r>
    </w:p>
    <w:p>
      <w:pPr>
        <w:spacing w:after="0" w:line="122" w:lineRule="exact"/>
        <w:rPr>
          <w:rFonts w:ascii="Calibri" w:cs="Calibri" w:eastAsia="Calibri" w:hAnsi="Calibri"/>
          <w:sz w:val="18"/>
          <w:szCs w:val="18"/>
          <w:color w:val="auto"/>
        </w:rPr>
      </w:pPr>
    </w:p>
    <w:p>
      <w:pPr>
        <w:jc w:val="both"/>
        <w:ind w:left="743" w:hanging="743"/>
        <w:spacing w:after="0" w:line="233" w:lineRule="auto"/>
        <w:tabs>
          <w:tab w:leader="none" w:pos="7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the benefts set forth in Sectons 9(a) through (e) are collectvely, less deductons and withholdings required by law or authorized by you, termed the “</w:t>
      </w:r>
      <w:r>
        <w:rPr>
          <w:rFonts w:ascii="Calibri" w:cs="Calibri" w:eastAsia="Calibri" w:hAnsi="Calibri"/>
          <w:sz w:val="18"/>
          <w:szCs w:val="18"/>
          <w:b w:val="1"/>
          <w:bCs w:val="1"/>
          <w:color w:val="auto"/>
        </w:rPr>
        <w:t>Severance Pay</w:t>
      </w:r>
      <w:r>
        <w:rPr>
          <w:rFonts w:ascii="Calibri" w:cs="Calibri" w:eastAsia="Calibri" w:hAnsi="Calibri"/>
          <w:sz w:val="18"/>
          <w:szCs w:val="18"/>
          <w:color w:val="auto"/>
        </w:rPr>
        <w:t>.” Subject to the provisions in this Secton 9, payments of your Base Salary Severance shall be made over twelve (12) months in accordance with the Company’s general payroll practces in efect at the tme of terminaton, and payment of any prorated bonus or unpaid bonus shall be made when such bonus payments would otherwise have been paid. For purposes of this Secton 9, “</w:t>
      </w:r>
      <w:r>
        <w:rPr>
          <w:rFonts w:ascii="Calibri" w:cs="Calibri" w:eastAsia="Calibri" w:hAnsi="Calibri"/>
          <w:sz w:val="18"/>
          <w:szCs w:val="18"/>
          <w:b w:val="1"/>
          <w:bCs w:val="1"/>
          <w:color w:val="auto"/>
        </w:rPr>
        <w:t>Cause</w:t>
      </w:r>
      <w:r>
        <w:rPr>
          <w:rFonts w:ascii="Calibri" w:cs="Calibri" w:eastAsia="Calibri" w:hAnsi="Calibri"/>
          <w:sz w:val="18"/>
          <w:szCs w:val="18"/>
          <w:color w:val="auto"/>
        </w:rPr>
        <w:t>” and “</w:t>
      </w:r>
      <w:r>
        <w:rPr>
          <w:rFonts w:ascii="Calibri" w:cs="Calibri" w:eastAsia="Calibri" w:hAnsi="Calibri"/>
          <w:sz w:val="18"/>
          <w:szCs w:val="18"/>
          <w:b w:val="1"/>
          <w:bCs w:val="1"/>
          <w:color w:val="auto"/>
        </w:rPr>
        <w:t>Good Reason</w:t>
      </w:r>
      <w:r>
        <w:rPr>
          <w:rFonts w:ascii="Calibri" w:cs="Calibri" w:eastAsia="Calibri" w:hAnsi="Calibri"/>
          <w:sz w:val="18"/>
          <w:szCs w:val="18"/>
          <w:color w:val="auto"/>
        </w:rPr>
        <w:t xml:space="preserve">” have the meaning set forth in </w:t>
      </w:r>
      <w:r>
        <w:rPr>
          <w:rFonts w:ascii="Calibri" w:cs="Calibri" w:eastAsia="Calibri" w:hAnsi="Calibri"/>
          <w:sz w:val="18"/>
          <w:szCs w:val="18"/>
          <w:b w:val="1"/>
          <w:bCs w:val="1"/>
          <w:u w:val="single" w:color="auto"/>
          <w:color w:val="auto"/>
        </w:rPr>
        <w:t>Exhibit B</w:t>
      </w:r>
      <w:r>
        <w:rPr>
          <w:rFonts w:ascii="Calibri" w:cs="Calibri" w:eastAsia="Calibri" w:hAnsi="Calibri"/>
          <w:sz w:val="18"/>
          <w:szCs w:val="18"/>
          <w:color w:val="auto"/>
        </w:rPr>
        <w:t xml:space="preserve"> atached hereto. The Company will not be required to pay the Severance Pay unless (a) you execute and deliver to the Company an agreement in the form atached hereto as </w:t>
      </w:r>
      <w:r>
        <w:rPr>
          <w:rFonts w:ascii="Calibri" w:cs="Calibri" w:eastAsia="Calibri" w:hAnsi="Calibri"/>
          <w:sz w:val="18"/>
          <w:szCs w:val="18"/>
          <w:b w:val="1"/>
          <w:bCs w:val="1"/>
          <w:u w:val="single" w:color="auto"/>
          <w:color w:val="auto"/>
        </w:rPr>
        <w:t>Exhibit C</w:t>
      </w:r>
      <w:r>
        <w:rPr>
          <w:rFonts w:ascii="Calibri" w:cs="Calibri" w:eastAsia="Calibri" w:hAnsi="Calibri"/>
          <w:sz w:val="18"/>
          <w:szCs w:val="18"/>
          <w:color w:val="auto"/>
        </w:rPr>
        <w:t xml:space="preserve"> (the “</w:t>
      </w:r>
      <w:r>
        <w:rPr>
          <w:rFonts w:ascii="Calibri" w:cs="Calibri" w:eastAsia="Calibri" w:hAnsi="Calibri"/>
          <w:sz w:val="18"/>
          <w:szCs w:val="18"/>
          <w:b w:val="1"/>
          <w:bCs w:val="1"/>
          <w:color w:val="auto"/>
        </w:rPr>
        <w:t>Release Agreement</w:t>
      </w:r>
      <w:r>
        <w:rPr>
          <w:rFonts w:ascii="Calibri" w:cs="Calibri" w:eastAsia="Calibri" w:hAnsi="Calibri"/>
          <w:sz w:val="18"/>
          <w:szCs w:val="18"/>
          <w:color w:val="auto"/>
        </w:rPr>
        <w:t xml:space="preserve">”) within sixty (60) days following the date of your terminaton of employment, and (b) you have not materially breached the provisions of Secton 2 through 8 of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the terms of this leter or any agreement between you and the Company or the provisions of the Release Agreement. If the Release Agreement is executed and delivered and no longer subject to revocaton as provided in the preceding sentence, then the Severance Pay shall be paid in accordance with the Company’s general payroll practces at the tme of terminaton and commencing on the sixteth (60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day following your terminaton of employment. The frst payment of Severance Pay shall include payment of all amounts that otherwise would have been due prior thereto under the terms of this leter had such payments</w:t>
      </w:r>
    </w:p>
    <w:p>
      <w:pPr>
        <w:spacing w:after="0" w:line="200" w:lineRule="exact"/>
        <w:rPr>
          <w:sz w:val="20"/>
          <w:szCs w:val="20"/>
          <w:color w:val="auto"/>
        </w:rPr>
      </w:pPr>
    </w:p>
    <w:p>
      <w:pPr>
        <w:spacing w:after="0" w:line="339" w:lineRule="exact"/>
        <w:rPr>
          <w:sz w:val="20"/>
          <w:szCs w:val="20"/>
          <w:color w:val="auto"/>
        </w:rPr>
      </w:pPr>
    </w:p>
    <w:p>
      <w:pPr>
        <w:ind w:left="4823"/>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481965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28" w:name="page129"/>
    <w:bookmarkEnd w:id="128"/>
    <w:p>
      <w:pPr>
        <w:ind w:left="1500"/>
        <w:spacing w:after="0"/>
        <w:rPr>
          <w:sz w:val="20"/>
          <w:szCs w:val="20"/>
          <w:color w:val="auto"/>
        </w:rPr>
      </w:pPr>
      <w:r>
        <w:rPr>
          <w:rFonts w:ascii="Calibri" w:cs="Calibri" w:eastAsia="Calibri" w:hAnsi="Calibri"/>
          <w:sz w:val="17"/>
          <w:szCs w:val="17"/>
          <w:color w:val="auto"/>
        </w:rPr>
        <w:t>commenced immediately upon your terminaton of employment, and any payments made thereafer shall contnue as provided herein.</w:t>
      </w:r>
    </w:p>
    <w:p>
      <w:pPr>
        <w:spacing w:after="0" w:line="116" w:lineRule="exact"/>
        <w:rPr>
          <w:sz w:val="20"/>
          <w:szCs w:val="20"/>
          <w:color w:val="auto"/>
        </w:rPr>
      </w:pPr>
    </w:p>
    <w:p>
      <w:pPr>
        <w:jc w:val="both"/>
        <w:ind w:firstLine="757"/>
        <w:spacing w:after="0" w:line="252" w:lineRule="auto"/>
        <w:tabs>
          <w:tab w:leader="none" w:pos="1018"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 xml:space="preserve">During your employment and thereafer, (i) you shall not make any statement with the intent and that would disparage or materially harm the reputaton of the business of the Company or any of its subsidiaries, and (ii) the Company shall use its commercially reasonable eforts to cause its executve ofcers, directors, managers, employees and stockholders not to make any statement that would libel, slander or disparage you or that would be reasonably likely to adversely impact your eforts to obtain future employment or other business opportunites (subject to your compliance with Secton 7.3 of </w:t>
      </w:r>
      <w:r>
        <w:rPr>
          <w:rFonts w:ascii="Calibri" w:cs="Calibri" w:eastAsia="Calibri" w:hAnsi="Calibri"/>
          <w:sz w:val="17"/>
          <w:szCs w:val="17"/>
          <w:b w:val="1"/>
          <w:bCs w:val="1"/>
          <w:u w:val="single" w:color="auto"/>
          <w:color w:val="auto"/>
        </w:rPr>
        <w:t>Exhibit A</w:t>
      </w:r>
      <w:r>
        <w:rPr>
          <w:rFonts w:ascii="Calibri" w:cs="Calibri" w:eastAsia="Calibri" w:hAnsi="Calibri"/>
          <w:sz w:val="17"/>
          <w:szCs w:val="17"/>
          <w:color w:val="auto"/>
        </w:rPr>
        <w:t>.</w:t>
      </w:r>
    </w:p>
    <w:p>
      <w:pPr>
        <w:spacing w:after="0" w:line="100" w:lineRule="exact"/>
        <w:rPr>
          <w:rFonts w:ascii="Calibri" w:cs="Calibri" w:eastAsia="Calibri" w:hAnsi="Calibri"/>
          <w:sz w:val="17"/>
          <w:szCs w:val="17"/>
          <w:color w:val="auto"/>
        </w:rPr>
      </w:pPr>
    </w:p>
    <w:p>
      <w:pPr>
        <w:jc w:val="both"/>
        <w:ind w:firstLine="757"/>
        <w:spacing w:after="0" w:line="235" w:lineRule="auto"/>
        <w:tabs>
          <w:tab w:leader="none" w:pos="1018"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 xml:space="preserve">You will be an at-will employee of the Company as described in Secton 8 of this leter and Secton 9 of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Any statements or representatons to the contrary (and, indeed, any statements contradictng any provision in this leter) are, and should be regarded by you, as inefectve. Further, your partcipaton in any beneft program or other Company program, if any, is not to be regarded as assuring you of contnuing employment for any partcular period of tme.</w:t>
      </w:r>
    </w:p>
    <w:p>
      <w:pPr>
        <w:spacing w:after="0" w:line="111"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This leter along with its Exhibits and the documents referred to herein consttute the entre agreement and understanding of the partes with respect to the subject mater of this leter, and supersede all prior understandings and agreements, including but not limited to that certain Ofer Leter, dated February 4, 2019, by and between you and the Company, that certain Employment and Restrictve Covenants Agreement, dated February 4, 2019, by and between you and Vivid Seats LLC (the “</w:t>
      </w:r>
      <w:r>
        <w:rPr>
          <w:rFonts w:ascii="Calibri" w:cs="Calibri" w:eastAsia="Calibri" w:hAnsi="Calibri"/>
          <w:sz w:val="18"/>
          <w:szCs w:val="18"/>
          <w:b w:val="1"/>
          <w:bCs w:val="1"/>
          <w:color w:val="auto"/>
        </w:rPr>
        <w:t>Employment and Restrictve Covenants Agreement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notwithstanding the foregoing, Sectons 4, 5, 6, 7, 8, 9, 10, 11, 12, 13, 14, 15, 16, and 17 of the Employment and Restrictve Covenants Agreement shall remain in full force and efect, severance, employment or similar agreements, whether oral or writen, between or among you and the Company, Vivid Seats LLC or any of their predecessors with respect to the specifc subject mater hereof.</w:t>
      </w:r>
    </w:p>
    <w:p>
      <w:pPr>
        <w:spacing w:after="0" w:line="113"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Notwithstanding any other provision herein, (i) the Company shall be enttled to withhold from any amounts otherwise payable hereunder any amounts required to be withheld in respect to federal, state or local taxes, and (ii) Vivid Seats LLC shall have the primary obligaton to pay all obligatons hereunder (including the payment of any compensaton).</w:t>
      </w:r>
    </w:p>
    <w:p>
      <w:pPr>
        <w:spacing w:after="0" w:line="110"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In additon to being indemnifed under the Company bylaws and applicable law, you will be named as an insured on the director and ofcer liability insurance policy currently maintained by the Company or as may be maintained by the Company from tme to tme for senior employees and if any other senior executve of the Company becomes party to an indemnifcaton agreement, you shall be enttled to enter into a similar agreement promptly following your writen request to the Board. All references to the Company in this Secton 14 shall include each Subsidiary, and any successor enttes of the Company for which you provide service in any capacity, and shall include Hoya Topco, LLC.</w:t>
      </w:r>
    </w:p>
    <w:p>
      <w:pPr>
        <w:spacing w:after="0" w:line="112"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The intent of the partes is that payments and benefts under this leter be exempt from or comply with Code Secton 409A and the regulatons and guidance promulgated thereunder (collectvely “</w:t>
      </w:r>
      <w:r>
        <w:rPr>
          <w:rFonts w:ascii="Calibri" w:cs="Calibri" w:eastAsia="Calibri" w:hAnsi="Calibri"/>
          <w:sz w:val="18"/>
          <w:szCs w:val="18"/>
          <w:b w:val="1"/>
          <w:bCs w:val="1"/>
          <w:color w:val="auto"/>
        </w:rPr>
        <w:t>Code Secton 409A</w:t>
      </w:r>
      <w:r>
        <w:rPr>
          <w:rFonts w:ascii="Calibri" w:cs="Calibri" w:eastAsia="Calibri" w:hAnsi="Calibri"/>
          <w:sz w:val="18"/>
          <w:szCs w:val="18"/>
          <w:color w:val="auto"/>
        </w:rPr>
        <w:t>”) and, accordingly, to the maximum extent permited, this leter shall be interpreted to be in compliance therewith. In no event whatsoever shall the Company be liable for any additonal tax, interest or penalty that may be imposed on you by Code Secton 409A or damages for failing to comply with Code Secton 409A. A terminaton of employment shall not be deemed to have occurred for purposes of any provision of this leter providing for the payment of any amounts or benefts upon or following a terminaton of employment unless such terminaton is also a “separaton from service” within the meaning of Code Secton 409A and, for purposes of any such provision of this leter, references to a “terminaton,” “terminaton of employment” or like terms shall mean “separaton from service.” Notwithstanding anything to the contrary in this Agreement, if you are deemed on the date of terminaton to be a “specifed employee” within the meaning of that term under Code Secton 409A(a)(2)(B), then with regard to any payment or the provision of any beneft that is considered deferred compensaton under Code Secton 409A payable on account of a “separaton from service,” such payment or beneft shall not be made or provided untl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35" w:lineRule="auto"/>
        <w:rPr>
          <w:sz w:val="20"/>
          <w:szCs w:val="20"/>
          <w:color w:val="auto"/>
        </w:rPr>
      </w:pPr>
      <w:r>
        <w:rPr>
          <w:rFonts w:ascii="Calibri" w:cs="Calibri" w:eastAsia="Calibri" w:hAnsi="Calibri"/>
          <w:sz w:val="18"/>
          <w:szCs w:val="18"/>
          <w:color w:val="auto"/>
        </w:rPr>
        <w:t>date which is the earlier of (A) the expiraton of the six (6)-month period measured from the date of such “separaton from service,” and (B) the date of your death, to the extent required under Code Secton 409A. For purposes of Code Secton 409A, your right to receive any installment payments pursuant to this leter shall be treated as a right to receive a series of separate and distnct payments. To the extent that reimbursements or other in-kind benefts under this leter consttute “nonqualifed deferred compensaton” for purposes of Code Secton 409A4, (a) all such expenses or other reimbursements hereunder shall be made on or prior to the last day of the taxable year following the taxable year in which such expenses were incurred by you, (b) any right to such reimbursement or in-kind benefts shall not be subject to liquidaton or exchange for another beneft, and (c) no such reimbursement, expenses eligible for reimbursement, or in-kind benefts provided in any taxable year shall in any way afect the expenses eligible for reimbursement, or in-kind benefts to be provided, in any other taxable year. Notwithstanding any other provision of this leter to the contrary, in no event shall any payment under this leter that consttutes “nonqualifed deferred compensaton” for purposes of Code Secton 409A be subject to ofset by any other amount unless otherwise permited by Code Secton 409A.</w:t>
      </w:r>
    </w:p>
    <w:p>
      <w:pPr>
        <w:spacing w:after="0" w:line="116" w:lineRule="exact"/>
        <w:rPr>
          <w:sz w:val="20"/>
          <w:szCs w:val="20"/>
          <w:color w:val="auto"/>
        </w:rPr>
      </w:pPr>
    </w:p>
    <w:p>
      <w:pPr>
        <w:jc w:val="both"/>
        <w:ind w:firstLine="757"/>
        <w:spacing w:after="0" w:line="250" w:lineRule="auto"/>
        <w:tabs>
          <w:tab w:leader="none" w:pos="1018"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If any of the benefts and payments provided under this Agreement and any equity award agreement, either alone or together with other benefts and payments which you have the right to receive, either directly or indirectly, from the Company (or any of its afliates), would consttute an Excess Payment (defned below) and, but for this sentence would be subject to the excise tax imposed by Secton 4999 of the Code, at a tme when no shares of the Company are readily tradeable on an established securites market (within the meaning of Secton 280G(b)(5(A)(ii)(I) of the Code), and provided you agree in writng to unconditonally waive your right to such Excess Payments in accordance with Regulaton 1.280G-1, the Company shall use commercially reasonable eforts to seek consent or approval by the Company's stockholders under Secton 280G(b)(5) and the regulatons thereunder with respect to such Excess Payments. Subject to the foregoing, if any of the benefts and payments provided under this Agreement and any equity award agreement, either alone or together with other benefts and payments which you have or will have the right to receive, would consttute an excess parachute payment (the “</w:t>
      </w:r>
      <w:r>
        <w:rPr>
          <w:rFonts w:ascii="Calibri" w:cs="Calibri" w:eastAsia="Calibri" w:hAnsi="Calibri"/>
          <w:sz w:val="17"/>
          <w:szCs w:val="17"/>
          <w:b w:val="1"/>
          <w:bCs w:val="1"/>
          <w:color w:val="auto"/>
        </w:rPr>
        <w:t>Excess</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Payment</w:t>
      </w:r>
      <w:r>
        <w:rPr>
          <w:rFonts w:ascii="Calibri" w:cs="Calibri" w:eastAsia="Calibri" w:hAnsi="Calibri"/>
          <w:sz w:val="17"/>
          <w:szCs w:val="17"/>
          <w:color w:val="auto"/>
        </w:rPr>
        <w:t>”) under Secton 280G of the Code (“</w:t>
      </w:r>
      <w:r>
        <w:rPr>
          <w:rFonts w:ascii="Calibri" w:cs="Calibri" w:eastAsia="Calibri" w:hAnsi="Calibri"/>
          <w:sz w:val="17"/>
          <w:szCs w:val="17"/>
          <w:b w:val="1"/>
          <w:bCs w:val="1"/>
          <w:color w:val="auto"/>
        </w:rPr>
        <w:t>Secton 280G</w:t>
      </w:r>
      <w:r>
        <w:rPr>
          <w:rFonts w:ascii="Calibri" w:cs="Calibri" w:eastAsia="Calibri" w:hAnsi="Calibri"/>
          <w:sz w:val="17"/>
          <w:szCs w:val="17"/>
          <w:color w:val="auto"/>
        </w:rPr>
        <w:t>”), then you hereby agree that the benefts and payments provided under this Agreement and any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other arrangement or plan shall be reduced (but not below zero) by the amount necessary to prevent any such benefts and payments from consttutng an Excess Payment; </w:t>
      </w:r>
      <w:r>
        <w:rPr>
          <w:rFonts w:ascii="Calibri" w:cs="Calibri" w:eastAsia="Calibri" w:hAnsi="Calibri"/>
          <w:sz w:val="17"/>
          <w:szCs w:val="17"/>
          <w:i w:val="1"/>
          <w:iCs w:val="1"/>
          <w:color w:val="auto"/>
        </w:rPr>
        <w:t>provided</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however</w:t>
      </w:r>
      <w:r>
        <w:rPr>
          <w:rFonts w:ascii="Calibri" w:cs="Calibri" w:eastAsia="Calibri" w:hAnsi="Calibri"/>
          <w:sz w:val="17"/>
          <w:szCs w:val="17"/>
          <w:color w:val="auto"/>
        </w:rPr>
        <w:t>, that such reducton shall only be made if, by reason of such reducton, your net afer-tax economic beneft shall exceed the net afer-tax economic beneft to you if such reducton were not made. Any determinaton required under this Secton I6 shall be made in writng by a frm of independent public accountants or an advisor with experience in performing calculatons regarding the applicability of Secton 280G and related excise taxes (“</w:t>
      </w:r>
      <w:r>
        <w:rPr>
          <w:rFonts w:ascii="Calibri" w:cs="Calibri" w:eastAsia="Calibri" w:hAnsi="Calibri"/>
          <w:sz w:val="17"/>
          <w:szCs w:val="17"/>
          <w:b w:val="1"/>
          <w:bCs w:val="1"/>
          <w:color w:val="auto"/>
        </w:rPr>
        <w:t>Independent Advisors</w:t>
      </w:r>
      <w:r>
        <w:rPr>
          <w:rFonts w:ascii="Calibri" w:cs="Calibri" w:eastAsia="Calibri" w:hAnsi="Calibri"/>
          <w:sz w:val="17"/>
          <w:szCs w:val="17"/>
          <w:color w:val="auto"/>
        </w:rPr>
        <w:t>”) whose determinaton shall be conclusive and binding for all purposes upon the Company and you. For purposes of making any calculaton required by this Secton 16, the Independent Advisors may make reasonable assumptons and approximatons concerning applicable taxes and may rely on reasonable, good-faith interpretatons concerning the applicaton of Sectons 280G and 4999 of the Code. Any reducton in the Excess Payments required to efectuate the waiver contemplated herein shall be implemented based on the tme of payment of the Excess Payments with the amount having the latest payment date being reduced frst and then in reverse chronological order untl the Excess Payments are reduced to zero. In the event that more than one payment would be made on the same day, the Excess Payments atributable to such payments shall be reduced on a pro-rata basis. If any such payments or benefts have been reduced in accordance with this Secton 16 and it is established pursuant to a fnal determinaton of a court or an Internal Revenue Service proceeding which has been fnally and conclusively resolved, that payments which have been made to, or provided for the beneft of, you by the Company, are Excess Payments, you shall repay the amount of such payments to the Company.</w:t>
      </w:r>
    </w:p>
    <w:p>
      <w:pPr>
        <w:spacing w:after="0" w:line="3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Signature page follows.</w:t>
      </w:r>
      <w:r>
        <w:rPr>
          <w:rFonts w:ascii="Calibri" w:cs="Calibri" w:eastAsia="Calibri" w:hAnsi="Calibri"/>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spacing w:after="0" w:line="235" w:lineRule="auto"/>
        <w:rPr>
          <w:sz w:val="20"/>
          <w:szCs w:val="20"/>
          <w:color w:val="auto"/>
        </w:rPr>
      </w:pPr>
      <w:r>
        <w:rPr>
          <w:rFonts w:ascii="Calibri" w:cs="Calibri" w:eastAsia="Calibri" w:hAnsi="Calibri"/>
          <w:sz w:val="18"/>
          <w:szCs w:val="18"/>
          <w:color w:val="auto"/>
        </w:rPr>
        <w:t xml:space="preserve">By signing this leter and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xml:space="preserve"> atached hereto, you represent and warrant that you have had the opportunity to seek the advice of independent counsel before signing and have either done so, or have freely chosen not to do so, and either way, you sign this leter voluntarily.</w:t>
      </w:r>
    </w:p>
    <w:p>
      <w:pPr>
        <w:spacing w:after="0" w:line="172" w:lineRule="exact"/>
        <w:rPr>
          <w:sz w:val="20"/>
          <w:szCs w:val="20"/>
          <w:color w:val="auto"/>
        </w:rPr>
      </w:pPr>
    </w:p>
    <w:p>
      <w:pPr>
        <w:jc w:val="center"/>
        <w:ind w:left="420"/>
        <w:spacing w:after="0"/>
        <w:rPr>
          <w:sz w:val="20"/>
          <w:szCs w:val="20"/>
          <w:color w:val="auto"/>
        </w:rPr>
      </w:pPr>
      <w:r>
        <w:rPr>
          <w:rFonts w:ascii="Calibri" w:cs="Calibri" w:eastAsia="Calibri" w:hAnsi="Calibri"/>
          <w:sz w:val="18"/>
          <w:szCs w:val="18"/>
          <w:color w:val="auto"/>
        </w:rPr>
        <w:t>Very truly yours,</w:t>
      </w:r>
    </w:p>
    <w:p>
      <w:pPr>
        <w:spacing w:after="0" w:line="185" w:lineRule="exact"/>
        <w:rPr>
          <w:sz w:val="20"/>
          <w:szCs w:val="20"/>
          <w:color w:val="auto"/>
        </w:rPr>
      </w:pPr>
    </w:p>
    <w:p>
      <w:pPr>
        <w:jc w:val="center"/>
        <w:ind w:right="-379"/>
        <w:spacing w:after="0"/>
        <w:rPr>
          <w:sz w:val="20"/>
          <w:szCs w:val="20"/>
          <w:color w:val="auto"/>
        </w:rPr>
      </w:pPr>
      <w:r>
        <w:rPr>
          <w:rFonts w:ascii="Calibri" w:cs="Calibri" w:eastAsia="Calibri" w:hAnsi="Calibri"/>
          <w:sz w:val="18"/>
          <w:szCs w:val="18"/>
          <w:color w:val="auto"/>
        </w:rPr>
        <w:t>Vivid Seats Inc.</w:t>
      </w:r>
    </w:p>
    <w:p>
      <w:pPr>
        <w:spacing w:after="0" w:line="172"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-19050</wp:posOffset>
            </wp:positionV>
            <wp:extent cx="100774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4">
                      <a:extLst>
                        <a:ext uri="{28A0092B-C50C-407E-A947-70E740481C1C}"/>
                      </a:extLst>
                    </a:blip>
                    <a:srcRect/>
                    <a:stretch>
                      <a:fillRect/>
                    </a:stretch>
                  </pic:blipFill>
                  <pic:spPr bwMode="auto">
                    <a:xfrm>
                      <a:off x="0" y="0"/>
                      <a:ext cx="1007745" cy="8890"/>
                    </a:xfrm>
                    <a:prstGeom prst="rect">
                      <a:avLst/>
                    </a:prstGeom>
                    <a:noFill/>
                  </pic:spPr>
                </pic:pic>
              </a:graphicData>
            </a:graphic>
          </wp:anchor>
        </w:drawing>
      </w:r>
    </w:p>
    <w:p>
      <w:pPr>
        <w:ind w:left="5240"/>
        <w:spacing w:after="0" w:line="235" w:lineRule="auto"/>
        <w:rPr>
          <w:sz w:val="20"/>
          <w:szCs w:val="20"/>
          <w:color w:val="auto"/>
        </w:rPr>
      </w:pPr>
      <w:r>
        <w:rPr>
          <w:rFonts w:ascii="Calibri" w:cs="Calibri" w:eastAsia="Calibri" w:hAnsi="Calibri"/>
          <w:sz w:val="18"/>
          <w:szCs w:val="18"/>
          <w:color w:val="auto"/>
        </w:rPr>
        <w:t>Stanley Chia</w:t>
      </w:r>
    </w:p>
    <w:p>
      <w:pPr>
        <w:ind w:left="5240"/>
        <w:spacing w:after="0" w:line="236" w:lineRule="auto"/>
        <w:rPr>
          <w:sz w:val="20"/>
          <w:szCs w:val="20"/>
          <w:color w:val="auto"/>
        </w:rPr>
      </w:pPr>
      <w:r>
        <w:rPr>
          <w:rFonts w:ascii="Calibri" w:cs="Calibri" w:eastAsia="Calibri" w:hAnsi="Calibri"/>
          <w:sz w:val="18"/>
          <w:szCs w:val="18"/>
          <w:color w:val="auto"/>
        </w:rPr>
        <w:t>Chief Executve Ofcer</w:t>
      </w:r>
    </w:p>
    <w:p>
      <w:pPr>
        <w:spacing w:after="0" w:line="173" w:lineRule="exact"/>
        <w:rPr>
          <w:sz w:val="20"/>
          <w:szCs w:val="20"/>
          <w:color w:val="auto"/>
        </w:rPr>
      </w:pPr>
    </w:p>
    <w:p>
      <w:pPr>
        <w:jc w:val="center"/>
        <w:ind w:right="-379"/>
        <w:spacing w:after="0"/>
        <w:rPr>
          <w:sz w:val="20"/>
          <w:szCs w:val="20"/>
          <w:color w:val="auto"/>
        </w:rPr>
      </w:pPr>
      <w:r>
        <w:rPr>
          <w:rFonts w:ascii="Calibri" w:cs="Calibri" w:eastAsia="Calibri" w:hAnsi="Calibri"/>
          <w:sz w:val="18"/>
          <w:szCs w:val="18"/>
          <w:color w:val="auto"/>
        </w:rPr>
        <w:t>Vivid Seats LLC</w:t>
      </w:r>
    </w:p>
    <w:p>
      <w:pPr>
        <w:spacing w:after="0" w:line="185" w:lineRule="exact"/>
        <w:rPr>
          <w:sz w:val="20"/>
          <w:szCs w:val="20"/>
          <w:color w:val="auto"/>
        </w:rPr>
      </w:pPr>
    </w:p>
    <w:p>
      <w:pPr>
        <w:ind w:left="5280"/>
        <w:spacing w:after="0"/>
        <w:rPr>
          <w:sz w:val="20"/>
          <w:szCs w:val="20"/>
          <w:color w:val="auto"/>
        </w:rPr>
      </w:pPr>
      <w:r>
        <w:rPr>
          <w:rFonts w:ascii="Calibri" w:cs="Calibri" w:eastAsia="Calibri" w:hAnsi="Calibri"/>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-19050</wp:posOffset>
            </wp:positionV>
            <wp:extent cx="100774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5">
                      <a:extLst>
                        <a:ext uri="{28A0092B-C50C-407E-A947-70E740481C1C}"/>
                      </a:extLst>
                    </a:blip>
                    <a:srcRect/>
                    <a:stretch>
                      <a:fillRect/>
                    </a:stretch>
                  </pic:blipFill>
                  <pic:spPr bwMode="auto">
                    <a:xfrm>
                      <a:off x="0" y="0"/>
                      <a:ext cx="1007745" cy="8890"/>
                    </a:xfrm>
                    <a:prstGeom prst="rect">
                      <a:avLst/>
                    </a:prstGeom>
                    <a:noFill/>
                  </pic:spPr>
                </pic:pic>
              </a:graphicData>
            </a:graphic>
          </wp:anchor>
        </w:drawing>
      </w:r>
    </w:p>
    <w:p>
      <w:pPr>
        <w:ind w:left="5240"/>
        <w:spacing w:after="0" w:line="235" w:lineRule="auto"/>
        <w:rPr>
          <w:sz w:val="20"/>
          <w:szCs w:val="20"/>
          <w:color w:val="auto"/>
        </w:rPr>
      </w:pPr>
      <w:r>
        <w:rPr>
          <w:rFonts w:ascii="Calibri" w:cs="Calibri" w:eastAsia="Calibri" w:hAnsi="Calibri"/>
          <w:sz w:val="18"/>
          <w:szCs w:val="18"/>
          <w:color w:val="auto"/>
        </w:rPr>
        <w:t>Stanley Chia</w:t>
      </w:r>
    </w:p>
    <w:p>
      <w:pPr>
        <w:ind w:left="5240"/>
        <w:spacing w:after="0" w:line="236" w:lineRule="auto"/>
        <w:rPr>
          <w:sz w:val="20"/>
          <w:szCs w:val="20"/>
          <w:color w:val="auto"/>
        </w:rPr>
      </w:pPr>
      <w:r>
        <w:rPr>
          <w:rFonts w:ascii="Calibri" w:cs="Calibri" w:eastAsia="Calibri" w:hAnsi="Calibri"/>
          <w:sz w:val="18"/>
          <w:szCs w:val="18"/>
          <w:color w:val="auto"/>
        </w:rPr>
        <w:t>Chief Executve Ofcer</w:t>
      </w:r>
    </w:p>
    <w:p>
      <w:pPr>
        <w:spacing w:after="0" w:line="173"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 xml:space="preserve">I have read and understand this leter and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xml:space="preserve"> atached and hereby</w:t>
      </w:r>
    </w:p>
    <w:p>
      <w:pPr>
        <w:ind w:left="5240"/>
        <w:spacing w:after="0" w:line="235" w:lineRule="auto"/>
        <w:rPr>
          <w:sz w:val="20"/>
          <w:szCs w:val="20"/>
          <w:color w:val="auto"/>
        </w:rPr>
      </w:pPr>
      <w:r>
        <w:rPr>
          <w:rFonts w:ascii="Calibri" w:cs="Calibri" w:eastAsia="Calibri" w:hAnsi="Calibri"/>
          <w:sz w:val="18"/>
          <w:szCs w:val="18"/>
          <w:color w:val="auto"/>
        </w:rPr>
        <w:t>acknowledge, accept and agree to the terms set forth herein.</w:t>
      </w:r>
    </w:p>
    <w:p>
      <w:pPr>
        <w:spacing w:after="0" w:line="173" w:lineRule="exact"/>
        <w:rPr>
          <w:sz w:val="20"/>
          <w:szCs w:val="20"/>
          <w:color w:val="auto"/>
        </w:rPr>
      </w:pPr>
    </w:p>
    <w:p>
      <w:pPr>
        <w:ind w:left="5280"/>
        <w:spacing w:after="0"/>
        <w:rPr>
          <w:sz w:val="20"/>
          <w:szCs w:val="20"/>
          <w:color w:val="auto"/>
        </w:rPr>
      </w:pPr>
      <w:r>
        <w:rPr>
          <w:rFonts w:ascii="Calibri" w:cs="Calibri" w:eastAsia="Calibri" w:hAnsi="Calibri"/>
          <w:sz w:val="18"/>
          <w:szCs w:val="18"/>
          <w:color w:val="auto"/>
        </w:rPr>
        <w:t>/s/ Riva L. Bakal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-18415</wp:posOffset>
            </wp:positionV>
            <wp:extent cx="100774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5240"/>
        <w:spacing w:after="0" w:line="235" w:lineRule="auto"/>
        <w:rPr>
          <w:sz w:val="20"/>
          <w:szCs w:val="20"/>
          <w:color w:val="auto"/>
        </w:rPr>
      </w:pPr>
      <w:r>
        <w:rPr>
          <w:rFonts w:ascii="Calibri" w:cs="Calibri" w:eastAsia="Calibri" w:hAnsi="Calibri"/>
          <w:sz w:val="18"/>
          <w:szCs w:val="18"/>
          <w:color w:val="auto"/>
        </w:rPr>
        <w:t>Name: Riva L. Baka</w:t>
      </w:r>
    </w:p>
    <w:p>
      <w:pPr>
        <w:ind w:left="5240"/>
        <w:spacing w:after="0" w:line="236" w:lineRule="auto"/>
        <w:rPr>
          <w:sz w:val="20"/>
          <w:szCs w:val="20"/>
          <w:color w:val="auto"/>
        </w:rPr>
      </w:pPr>
      <w:r>
        <w:rPr>
          <w:rFonts w:ascii="Calibri" w:cs="Calibri" w:eastAsia="Calibri" w:hAnsi="Calibri"/>
          <w:sz w:val="18"/>
          <w:szCs w:val="18"/>
          <w:color w:val="auto"/>
        </w:rPr>
        <w:t>Date: August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31" w:name="page132"/>
    <w:bookmarkEnd w:id="131"/>
    <w:p>
      <w:pPr>
        <w:jc w:val="center"/>
        <w:ind w:right="-19"/>
        <w:spacing w:after="0"/>
        <w:rPr>
          <w:sz w:val="20"/>
          <w:szCs w:val="20"/>
          <w:color w:val="auto"/>
        </w:rPr>
      </w:pPr>
      <w:r>
        <w:rPr>
          <w:rFonts w:ascii="Calibri" w:cs="Calibri" w:eastAsia="Calibri" w:hAnsi="Calibri"/>
          <w:sz w:val="18"/>
          <w:szCs w:val="18"/>
          <w:b w:val="1"/>
          <w:bCs w:val="1"/>
          <w:color w:val="auto"/>
        </w:rPr>
        <w:t>EXHIBIT A</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Confdentality, Inventon Assignment, Non-Solicit, Non-Compete and Arbitraton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conditon of your contnued employment with Vivid Seats Inc. (as such company’s name may change from tme to tme and such company’s successors and assigns,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you and the Company agree to the following.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purposes of this Agreement, references to the “</w:t>
      </w:r>
      <w:r>
        <w:rPr>
          <w:rFonts w:ascii="Calibri" w:cs="Calibri" w:eastAsia="Calibri" w:hAnsi="Calibri"/>
          <w:sz w:val="18"/>
          <w:szCs w:val="18"/>
          <w:b w:val="1"/>
          <w:bCs w:val="1"/>
          <w:color w:val="auto"/>
        </w:rPr>
        <w:t>Group</w:t>
      </w:r>
      <w:r>
        <w:rPr>
          <w:rFonts w:ascii="Calibri" w:cs="Calibri" w:eastAsia="Calibri" w:hAnsi="Calibri"/>
          <w:sz w:val="18"/>
          <w:szCs w:val="18"/>
          <w:color w:val="auto"/>
        </w:rPr>
        <w:t>” means the Company, and its afliates (whether a direct or indirect parent, subsidiary, or sister entty to the Company) engaged in the same line of business or contemplated business as the Company.</w:t>
      </w:r>
    </w:p>
    <w:p>
      <w:pPr>
        <w:spacing w:after="0" w:line="105" w:lineRule="exact"/>
        <w:rPr>
          <w:sz w:val="20"/>
          <w:szCs w:val="20"/>
          <w:color w:val="auto"/>
        </w:rPr>
      </w:pPr>
    </w:p>
    <w:p>
      <w:pPr>
        <w:ind w:left="4620"/>
        <w:spacing w:after="0"/>
        <w:tabs>
          <w:tab w:leader="none" w:pos="5080" w:val="left"/>
          <w:tab w:leader="none" w:pos="5560" w:val="left"/>
          <w:tab w:leader="none" w:pos="6040" w:val="left"/>
          <w:tab w:leader="none" w:pos="65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CONSIDERATION FOR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understand that the Group is engaged in a contnuous program of research, development, producton and marketng in connecton with its business and that it is critcal for the Group to preserve and protect its “Proprietary Informaton” (as defned in Secton 2 below), its rights in “Inventons” (as defned in Secton 4 below) and in all related intellectual property rights. You acknowledge that, as a result of your employment with the Company and/or its predecessors, you have and/or may receive confdental informaton, trade secrets, and/or specialized training from the Group, each of which consttutes good and valuable consideraton in support of your obligatons made under this Confdentality, Inventon Assignment, Non-Solicit, Non-Compete and Arbitraton Agreement (this “</w:t>
      </w:r>
      <w:r>
        <w:rPr>
          <w:rFonts w:ascii="Calibri" w:cs="Calibri" w:eastAsia="Calibri" w:hAnsi="Calibri"/>
          <w:sz w:val="18"/>
          <w:szCs w:val="18"/>
          <w:b w:val="1"/>
          <w:bCs w:val="1"/>
          <w:color w:val="auto"/>
        </w:rPr>
        <w:t>Agreement</w:t>
      </w:r>
      <w:r>
        <w:rPr>
          <w:rFonts w:ascii="Calibri" w:cs="Calibri" w:eastAsia="Calibri" w:hAnsi="Calibri"/>
          <w:sz w:val="18"/>
          <w:szCs w:val="18"/>
          <w:color w:val="auto"/>
        </w:rPr>
        <w:t>”). As additonal consideraton, you may also have the opportunity to develop valuable business relatonships with employees, agents, suppliers, and customers of the Group and to use the Group’s resources and goodwill in the marketplace to develop those relatonships. Finally, by your signature below, you acknowledge that your contnued employment with the Company (subject to Secton 9), together with your partcipaton (if any) in any Company bonus or incentve compensaton plan, both of which the Company would not allow but for your executon of this Agreement, consttute consideraton in support of your return promise to maintain the confdentality of all specialized knowledge and confdental informaton as well as your promise to adhere to the other restrictons listed in this Agreement, including but not limited to those restrictons described in Secton 7 of this Agreement.</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PROPRIETARY INFORMATION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understand that your employment creates a relatonship of confdence and trust with respect to any informaton of a confdental or secret nature that may be disclosed to you or created by you that relates to the business of the Group or to the business of its customers, licensees, suppliers or any other party with whom the Group agrees to hold informaton of such party in confdence (the “</w:t>
      </w:r>
      <w:r>
        <w:rPr>
          <w:rFonts w:ascii="Calibri" w:cs="Calibri" w:eastAsia="Calibri" w:hAnsi="Calibri"/>
          <w:sz w:val="18"/>
          <w:szCs w:val="18"/>
          <w:b w:val="1"/>
          <w:bCs w:val="1"/>
          <w:i w:val="1"/>
          <w:iCs w:val="1"/>
          <w:color w:val="auto"/>
        </w:rPr>
        <w:t>Proprietary Informaton</w:t>
      </w:r>
      <w:r>
        <w:rPr>
          <w:rFonts w:ascii="Calibri" w:cs="Calibri" w:eastAsia="Calibri" w:hAnsi="Calibri"/>
          <w:sz w:val="18"/>
          <w:szCs w:val="18"/>
          <w:color w:val="auto"/>
        </w:rPr>
        <w: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understand and agree that the term “Proprietary Informaton” includes but is not limited to informaton of all types contained in any medium now known or hereafer invented, whether oral or writen and regardless of whether it is marked as confdental, proprietary or a trade secret. “Proprietary Informaton” includes, without limitaton, the following informaton and materials, whether having existed, now existng or developed or created by you or on your behalf during your term of employment with the Company or its predecessor:</w:t>
      </w:r>
    </w:p>
    <w:p>
      <w:pPr>
        <w:spacing w:after="0" w:line="111" w:lineRule="exact"/>
        <w:rPr>
          <w:sz w:val="20"/>
          <w:szCs w:val="20"/>
          <w:color w:val="auto"/>
        </w:rPr>
      </w:pPr>
    </w:p>
    <w:p>
      <w:pPr>
        <w:jc w:val="both"/>
        <w:ind w:left="380" w:firstLine="2"/>
        <w:spacing w:after="0" w:line="235" w:lineRule="auto"/>
        <w:tabs>
          <w:tab w:leader="none" w:pos="635"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All informaton and materials relatng to the existng sofware products and sofware in the various stages of research and development, including, but not limited to, source codes, object codes, design specifcatons, design notes, fow charts, graphics, graphical user interfaces, coding sheets, product plans, know-how, negatve know how, test plans, business investment analysis, marketng and functonal requirements, algorithms, product bugs and customer technical support cases which relate to the sofware;</w:t>
      </w:r>
    </w:p>
    <w:p>
      <w:pPr>
        <w:spacing w:after="0" w:line="111" w:lineRule="exact"/>
        <w:rPr>
          <w:rFonts w:ascii="Calibri" w:cs="Calibri" w:eastAsia="Calibri" w:hAnsi="Calibri"/>
          <w:sz w:val="18"/>
          <w:szCs w:val="18"/>
          <w:color w:val="auto"/>
        </w:rPr>
      </w:pPr>
    </w:p>
    <w:p>
      <w:pPr>
        <w:jc w:val="both"/>
        <w:ind w:left="380" w:firstLine="2"/>
        <w:spacing w:after="0" w:line="235" w:lineRule="auto"/>
        <w:tabs>
          <w:tab w:leader="none" w:pos="627"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Internal business informaton, procedures and policies, including, but not limited to, licensing techniques, vendor names, other vendor informaton, business plans, fnancial informaton, budgets, forecasts, product margins, product costs, service and/or operaton manuals and related documentaton including drawings, and other such informaton, whether writen or oral, which relates to the way the Group conducts its business;</w:t>
      </w:r>
    </w:p>
    <w:p>
      <w:pPr>
        <w:spacing w:after="0" w:line="110" w:lineRule="exact"/>
        <w:rPr>
          <w:rFonts w:ascii="Calibri" w:cs="Calibri" w:eastAsia="Calibri" w:hAnsi="Calibri"/>
          <w:sz w:val="18"/>
          <w:szCs w:val="18"/>
          <w:color w:val="auto"/>
        </w:rPr>
      </w:pPr>
    </w:p>
    <w:p>
      <w:pPr>
        <w:ind w:left="380" w:firstLine="2"/>
        <w:spacing w:after="0" w:line="235" w:lineRule="auto"/>
        <w:tabs>
          <w:tab w:leader="none" w:pos="647"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All legal rights, including but not limited to, trade secrets, pending patents, Inventons (as that term is defned in Secton 4 below) and other discoveries, claims, litgaton and/or arbitratons involving the Group, pending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ind w:left="380"/>
        <w:spacing w:after="0"/>
        <w:rPr>
          <w:sz w:val="20"/>
          <w:szCs w:val="20"/>
          <w:color w:val="auto"/>
        </w:rPr>
      </w:pPr>
      <w:r>
        <w:rPr>
          <w:rFonts w:ascii="Calibri" w:cs="Calibri" w:eastAsia="Calibri" w:hAnsi="Calibri"/>
          <w:sz w:val="18"/>
          <w:szCs w:val="18"/>
          <w:color w:val="auto"/>
        </w:rPr>
        <w:t>trademarks, copyrights, proposed advertsing, public relatons and promotonal campaigns and like propertes maintained in confdence;</w:t>
      </w:r>
    </w:p>
    <w:p>
      <w:pPr>
        <w:spacing w:after="0" w:line="109" w:lineRule="exact"/>
        <w:rPr>
          <w:sz w:val="20"/>
          <w:szCs w:val="20"/>
          <w:color w:val="auto"/>
        </w:rPr>
      </w:pPr>
    </w:p>
    <w:p>
      <w:pPr>
        <w:jc w:val="both"/>
        <w:ind w:left="380" w:firstLine="2"/>
        <w:spacing w:after="0" w:line="235" w:lineRule="auto"/>
        <w:tabs>
          <w:tab w:leader="none" w:pos="647"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Any and all customer sales and marketng informaton, including but not limited to sales forecasts, marketng and sales promoton plans, product launch plans, sales call reports, compettve intelligence informaton, customer informaton, customer lists, customer needs and buying habits, sales and marketng studies and reports, internal price list, discount matrix, customer data, customer contracts, pricing structures, customer negotatons, customer relatons materials, customer service materials, past customers, and the type, quantty and specifcatons of products purchased, leased or licensed by customers of the Group; and</w:t>
      </w:r>
    </w:p>
    <w:p>
      <w:pPr>
        <w:spacing w:after="0" w:line="107" w:lineRule="exact"/>
        <w:rPr>
          <w:rFonts w:ascii="Calibri" w:cs="Calibri" w:eastAsia="Calibri" w:hAnsi="Calibri"/>
          <w:sz w:val="18"/>
          <w:szCs w:val="18"/>
          <w:color w:val="auto"/>
        </w:rPr>
      </w:pPr>
    </w:p>
    <w:p>
      <w:pPr>
        <w:ind w:left="620" w:hanging="238"/>
        <w:spacing w:after="0"/>
        <w:tabs>
          <w:tab w:leader="none" w:pos="620"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Any and all other trade secrets of the Group, as that term is defned under applicable laws.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understand and agree, for the period beginning on the date hereof and expiring two years afer the later of (i) the terminaton of this Agreement and (ii) the date on which you cease to own any Units, as defned in the Amended and Restated Limited Liability Company Agreement of Hoya Topco, LLC, dated as of June 30, 2017, to treat and preserve Proprietary Informaton and materials as strictly confdental. Except as authorized by this Agreement or in the performance of your role as Senior Vice President, Strategy &amp; Product or as required by law (but in all cases preserving confdentality by following Company policies and obtaining appropriate nondisclosure agreements), you further agree that you will not directly or indirectly transmit or disclose Proprietary Informaton to any person, corporaton, or other entty for any reason or purpose whatsoever.</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understand and agree that the Proprietary Informaton is the exclusive property of the Group, and that, during your employment, you will use and disclose Proprietary Informaton only for the Group’s beneft and in accordance with any restrictons placed on its use or disclosure by the Group. Afer terminaton of your employment for any reason, you will not use in any manner or disclose any Proprietary Informaton, except to the extent compelled by applicable law; provided that in the event you receive notce of any efort to compel disclosure of Proprietary Informaton for any reason, you will promptly and in advance of disclosure notfy Company of such notce and cooperate in good faith with all lawful and reasonable Company or Group eforts (through their counsel or otherwise) to resist or limit such disclosure; provided, further, that the Company shall reimburse you for any reasonable costs or expenses (including atorneys’ fees) incurred by you in connecton with such eforts to resist or limit disclosure.</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Notwithstanding anything to the contrary contained herein, Proprietary Informaton does not include informaton (i) that was or becomes generally available to you on a non-confdental basis, if the source of this informaton was not reasonably known to you to be bound by a duty of confdentality, (ii) that was or becomes generally available to the public, other than as a result of a disclosure by you, directly or indirectly or any other breach of this Agreement or (iii) that is disclosed to your afliates; provided that such afliates have been advised of this Agreement and you shall be responsible for any breach of this Agreement by any of your afliates and you agree, at your sole expense, to take reasonable measurers (including but not limited to court proceedings) to restrain your afliates from prohibited or unauthorized disclosure or use of any Proprietary Informaton.</w:t>
      </w:r>
    </w:p>
    <w:p>
      <w:pPr>
        <w:spacing w:after="0" w:line="11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In additon, notwithstanding anything to the contrary contained herein, nothing in this Agreement prohibits you from reportng possible violatons of federal law or regulaton to any United States governmental agency or entty in accordance with the provisions of and rules promulgated under Secton 21F of the Securites Exchange Act of 1934 or Secton 806 of the Sarbanes-Oxley Act of 2002, or any other whistleblower protecton provisions of state or federal law or regulaton (including the right to receive an award for informaton provided to any such government agencies). Furthermore, in accordance with 18 U.S.C. § 1833, notwithstanding anything to the contrary in this Agreement: (i) you shall not be in breach of this Agreement, and shall not be held criminally or civilly liable under any federal or state trade secret law (A) for the disclosure of a trade secret that is made in confdence to a federal, state, or local government ofcial or to an atorney solely for the purpose of reportng or investgatng a suspected violaton of law, or (B) for the disclosure of a trade secret that is made in a complaint or other document fled in a lawsuit or other proceeding, if such fling is made under seal; and (ii) if you fle a lawsuit for retaliaton by the Company for reportng a suspected violaton of law, you may disclose the trade secret to the your atorney, and may use the trade secret informaton in the court proceeding, if you fle any document containing the trade secret under seal, and do not disclose the trade secret, except pursuant to court order.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spacing w:after="0"/>
        <w:rPr>
          <w:sz w:val="20"/>
          <w:szCs w:val="20"/>
          <w:color w:val="auto"/>
        </w:rPr>
      </w:pPr>
      <w:r>
        <w:rPr>
          <w:rFonts w:ascii="Calibri" w:cs="Calibri" w:eastAsia="Calibri" w:hAnsi="Calibri"/>
          <w:sz w:val="18"/>
          <w:szCs w:val="18"/>
          <w:b w:val="1"/>
          <w:bCs w:val="1"/>
          <w:color w:val="auto"/>
        </w:rPr>
        <w:t>3. THIRD PARTY INFORMATION.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recognize that the Group has received and in the future will receive from third partes their confdental or proprietary informaton, subject to the last paragraph in Secton 2 above, subject to a duty on the Group’s part to maintain the confdentality of such informaton and to use it only for certain limited purposes. You agree that you owe the Group and such third partes, during the term of your employment, and thereafer, a duty to hold all such confdental or proprietary informaton in the strictest confdence and not to disclose it to any person, frm or corporaton (except as necessary in carrying out your work for the Group consistent with the Group’s agreement with such third party) or to use it for the beneft of anyone other than for the Group or such third party (consistent with the Company’s agreement with such third party) without the express writen authorizaton of the Board of Managers of the Company or its delegate(s). All rights and benefts aforded to the Company under this Agreement shall apply equally to the owner of the third party informaton with respect to the third party informaton, and such third party is an intended third party benefciary of this Agreement, with respect to the third party informaton. You further agree to conform to the Company’s privacy policies, as established or amended from tme to tme.</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INVENTIONS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4.1 </w:t>
      </w:r>
      <w:r>
        <w:rPr>
          <w:rFonts w:ascii="Calibri" w:cs="Calibri" w:eastAsia="Calibri" w:hAnsi="Calibri"/>
          <w:sz w:val="18"/>
          <w:szCs w:val="18"/>
          <w:b w:val="1"/>
          <w:bCs w:val="1"/>
          <w:u w:val="single" w:color="auto"/>
          <w:color w:val="auto"/>
        </w:rPr>
        <w:t>Prior Inventons</w:t>
      </w:r>
      <w:r>
        <w:rPr>
          <w:rFonts w:ascii="Calibri" w:cs="Calibri" w:eastAsia="Calibri" w:hAnsi="Calibri"/>
          <w:sz w:val="18"/>
          <w:szCs w:val="18"/>
          <w:color w:val="auto"/>
        </w:rPr>
        <w:t>. You have atached hereto as Schedule 1 a complete and accurate list describing all Inventons (as defned below) which were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discovered, created, invented, developed or reduced to practce by you prior to the commencement of your employment by the Company or have not been legally assigned to the Company (collectvely, “</w:t>
      </w:r>
      <w:r>
        <w:rPr>
          <w:rFonts w:ascii="Calibri" w:cs="Calibri" w:eastAsia="Calibri" w:hAnsi="Calibri"/>
          <w:sz w:val="18"/>
          <w:szCs w:val="18"/>
          <w:b w:val="1"/>
          <w:bCs w:val="1"/>
          <w:i w:val="1"/>
          <w:iCs w:val="1"/>
          <w:color w:val="auto"/>
        </w:rPr>
        <w:t>Prior Inventons</w:t>
      </w:r>
      <w:r>
        <w:rPr>
          <w:rFonts w:ascii="Calibri" w:cs="Calibri" w:eastAsia="Calibri" w:hAnsi="Calibri"/>
          <w:sz w:val="18"/>
          <w:szCs w:val="18"/>
          <w:color w:val="auto"/>
        </w:rPr>
        <w:t>”), which belong solely to you or belong to you jointly with others, which relates in any way to any of the Group’s current, proposed or reasonably antcipated businesses, products or research or development and which are not assigned to the Group hereunder; or have initaled Schedule 1 to indicate you have no Prior Inventons to disclose.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in the course of your employment with the Company, you incorporate or cause to be incorporated into a Group product, service, process, fle, system, applicaton or program a Prior Inventon owned by you or in which you have an interest, you hereby grant the Group member a non-exclusive, royalty-free, irrevocable, perpetual, worldwide, sublicensable and assignable license to make, have made, copy, modify, make derivatve works of, use, ofer to sell, sell or otherwise distribute such Prior Inventon as part of or in connecton with such product, process, fle, system, applicaton or program.</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4.2 </w:t>
      </w:r>
      <w:r>
        <w:rPr>
          <w:rFonts w:ascii="Calibri" w:cs="Calibri" w:eastAsia="Calibri" w:hAnsi="Calibri"/>
          <w:sz w:val="18"/>
          <w:szCs w:val="18"/>
          <w:b w:val="1"/>
          <w:bCs w:val="1"/>
          <w:u w:val="single" w:color="auto"/>
          <w:color w:val="auto"/>
        </w:rPr>
        <w:t>Disclosure of Invento</w:t>
      </w:r>
      <w:r>
        <w:rPr>
          <w:rFonts w:ascii="Calibri" w:cs="Calibri" w:eastAsia="Calibri" w:hAnsi="Calibri"/>
          <w:sz w:val="18"/>
          <w:szCs w:val="18"/>
          <w:b w:val="1"/>
          <w:bCs w:val="1"/>
          <w:color w:val="auto"/>
        </w:rPr>
        <w:t>ns</w:t>
      </w:r>
      <w:r>
        <w:rPr>
          <w:rFonts w:ascii="Calibri" w:cs="Calibri" w:eastAsia="Calibri" w:hAnsi="Calibri"/>
          <w:sz w:val="18"/>
          <w:szCs w:val="18"/>
          <w:color w:val="auto"/>
        </w:rPr>
        <w:t>. You will promptly disclose in confdence to the Company all Inventons that you make or conceive or frst reduce to practce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create, either alone or jointly with others, during the period of your employment, and for a period of three (3) months thereafer, which relate in any way to any of the Group’s current, proposed or reasonably antcipated businesses, products or research or development, whether or not in the course of your employment, and whether or not such Inventons are patentable, copyrightable or protectable as trade secrets. For purposes of this Agreement, “</w:t>
      </w:r>
      <w:r>
        <w:rPr>
          <w:rFonts w:ascii="Calibri" w:cs="Calibri" w:eastAsia="Calibri" w:hAnsi="Calibri"/>
          <w:sz w:val="18"/>
          <w:szCs w:val="18"/>
          <w:b w:val="1"/>
          <w:bCs w:val="1"/>
          <w:i w:val="1"/>
          <w:iCs w:val="1"/>
          <w:color w:val="auto"/>
        </w:rPr>
        <w:t>Inventons</w:t>
      </w:r>
      <w:r>
        <w:rPr>
          <w:rFonts w:ascii="Calibri" w:cs="Calibri" w:eastAsia="Calibri" w:hAnsi="Calibri"/>
          <w:sz w:val="18"/>
          <w:szCs w:val="18"/>
          <w:color w:val="auto"/>
        </w:rPr>
        <w:t>” means without limitaton, formulas, algorithms, processes, techniques, concepts, designs, developments, technology, ideas, patentable and unpatentable inventons and discoveries, copyrights and works of authorship in any media now known or hereafer invented (including computer programs, source code, object code, hardware, frmware, sofware, mask work, applicatons, fles, Internet site content, databases and compilatons, documentaton and related items) patents, trade and service marks, logos, trade dress, corporate names and other source indicators and the good will of any business symbolized thereby, trade secrets, knowhow, confdental and proprietary informaton, documents, analyses, research and lists (including current and potental customer and user lists) and all applicatons and registratons and recordings, improvements and licenses related to any of the foregoing. You recognize that Inventons or Proprietary Informaton relatng to your actvites while working for the Company, and conceived, reduced to practce, created, derived, developed, or made by you, alone or with others, within three (3) months afer terminaton of your employment may have been conceived, reduced to practce, created, derived, developed, or made, as applicable, in signifcant part while you were employed by the Company. Accordingly, you agree that such Inventons and Proprietary Informaton shall be presumed to have been conceived, reduced to practce, created, derived, developed, or made, as applicable, during your employment with the Company and are to be assigned to the Company pursuant to this Agreement and applicable law unless and untl you have established the contrary by clear and convincing evidence.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jc w:val="both"/>
        <w:spacing w:after="0" w:line="250" w:lineRule="auto"/>
        <w:rPr>
          <w:sz w:val="20"/>
          <w:szCs w:val="20"/>
          <w:color w:val="auto"/>
        </w:rPr>
      </w:pPr>
      <w:r>
        <w:rPr>
          <w:rFonts w:ascii="Calibri" w:cs="Calibri" w:eastAsia="Calibri" w:hAnsi="Calibri"/>
          <w:sz w:val="17"/>
          <w:szCs w:val="17"/>
          <w:b w:val="1"/>
          <w:bCs w:val="1"/>
          <w:color w:val="auto"/>
        </w:rPr>
        <w:t xml:space="preserve">4.3 </w:t>
      </w:r>
      <w:r>
        <w:rPr>
          <w:rFonts w:ascii="Calibri" w:cs="Calibri" w:eastAsia="Calibri" w:hAnsi="Calibri"/>
          <w:sz w:val="17"/>
          <w:szCs w:val="17"/>
          <w:b w:val="1"/>
          <w:bCs w:val="1"/>
          <w:u w:val="single" w:color="auto"/>
          <w:color w:val="auto"/>
        </w:rPr>
        <w:t>Work for Hire; Assignment of Inventons</w:t>
      </w:r>
      <w:r>
        <w:rPr>
          <w:rFonts w:ascii="Calibri" w:cs="Calibri" w:eastAsia="Calibri" w:hAnsi="Calibri"/>
          <w:sz w:val="17"/>
          <w:szCs w:val="17"/>
          <w:color w:val="auto"/>
        </w:rPr>
        <w:t>. You acknowledge and agree that any copyrightable works prepared by you within the scope of your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employment are “works made for hire” under the Copyright Act and that the Company will be considered the author and owner of such copyrightable works. Any copyrightable works the Company or a Group member specially commissions from you while you are employed with the Company shall be deemed a work made for hire under the Copyright Act and if for any reason a work cannot be so designated as a work made for hire, you agree to and hereby assign to the Company all right, ttle and interest in and to said work(s). You agree to and hereby grant the Company a non-exclusive, royalty-free, irrevocable, perpetual, worldwide, sublicensable and assignable license to make, have made, copy, modify, make derivatve works of, use, publicly perform, display or otherwise distribute any copyrightable works you create during the tme you are employed with the Company that for any reason do not qualify as a work made for hire, that were not specially commissioned by the Group, or both, but that relate in any way to the business of the Group. You agree that all Inventons that (i) are developed using equipment, supplies, facilites, Proprietary Informaton or other trade secret informaton of the Group, (ii) result from work performed by you for the Group, or (iii) relate to the Group’s business or current or antcipated research and development (the “</w:t>
      </w:r>
      <w:r>
        <w:rPr>
          <w:rFonts w:ascii="Calibri" w:cs="Calibri" w:eastAsia="Calibri" w:hAnsi="Calibri"/>
          <w:sz w:val="17"/>
          <w:szCs w:val="17"/>
          <w:b w:val="1"/>
          <w:bCs w:val="1"/>
          <w:i w:val="1"/>
          <w:iCs w:val="1"/>
          <w:color w:val="auto"/>
        </w:rPr>
        <w:t>Assigned Inventons</w:t>
      </w:r>
      <w:r>
        <w:rPr>
          <w:rFonts w:ascii="Calibri" w:cs="Calibri" w:eastAsia="Calibri" w:hAnsi="Calibri"/>
          <w:sz w:val="17"/>
          <w:szCs w:val="17"/>
          <w:color w:val="auto"/>
        </w:rPr>
        <w:t>”), will be the sole and exclusive property of the Company and you agree to and hereby irrevocably assign the Assigned Inventons to the Company.</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4.4 </w:t>
      </w:r>
      <w:r>
        <w:rPr>
          <w:rFonts w:ascii="Calibri" w:cs="Calibri" w:eastAsia="Calibri" w:hAnsi="Calibri"/>
          <w:sz w:val="18"/>
          <w:szCs w:val="18"/>
          <w:b w:val="1"/>
          <w:bCs w:val="1"/>
          <w:u w:val="single" w:color="auto"/>
          <w:color w:val="auto"/>
        </w:rPr>
        <w:t>Assignment of Other Rights</w:t>
      </w:r>
      <w:r>
        <w:rPr>
          <w:rFonts w:ascii="Calibri" w:cs="Calibri" w:eastAsia="Calibri" w:hAnsi="Calibri"/>
          <w:sz w:val="18"/>
          <w:szCs w:val="18"/>
          <w:color w:val="auto"/>
        </w:rPr>
        <w:t>. In additon to the foregoing assignment of Assigned Inventons to the Company, you hereby irrevocably transfer and assign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to the Company: (i) all worldwide patents, patent applicatons, copyrights, mask works, trade secrets and other intellectual property rights in any Assigned Inventons; and (ii) any and all “Moral Rights” (as defned below) that you may have in or with respect to any Assigned Inventons. You also hereby forever waive and agree never to assert any and all Moral Rights you may have in or with respect to any Assigned Inventons, even afer terminaton of your work on behalf of the Company. “</w:t>
      </w:r>
      <w:r>
        <w:rPr>
          <w:rFonts w:ascii="Calibri" w:cs="Calibri" w:eastAsia="Calibri" w:hAnsi="Calibri"/>
          <w:sz w:val="18"/>
          <w:szCs w:val="18"/>
          <w:b w:val="1"/>
          <w:bCs w:val="1"/>
          <w:i w:val="1"/>
          <w:iCs w:val="1"/>
          <w:color w:val="auto"/>
        </w:rPr>
        <w:t>Moral Rights</w:t>
      </w:r>
      <w:r>
        <w:rPr>
          <w:rFonts w:ascii="Calibri" w:cs="Calibri" w:eastAsia="Calibri" w:hAnsi="Calibri"/>
          <w:sz w:val="18"/>
          <w:szCs w:val="18"/>
          <w:color w:val="auto"/>
        </w:rPr>
        <w:t>” mean any rights to claim authorship of any Assigned Inventons, to object to or prevent the modifcaton of any Assigned Inventons, or to withdraw from circulaton or control the publicaton or distributon of any Assigned Inventons, and any similar right, existng under judicial or statutory law of any country in the world, or under any treaty, regardless of whether or not such right is denominated or generally referred to as a “moral right”.</w:t>
      </w:r>
    </w:p>
    <w:p>
      <w:pPr>
        <w:spacing w:after="0" w:line="11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color w:val="auto"/>
        </w:rPr>
        <w:t xml:space="preserve">4.5 </w:t>
      </w:r>
      <w:r>
        <w:rPr>
          <w:rFonts w:ascii="Calibri" w:cs="Calibri" w:eastAsia="Calibri" w:hAnsi="Calibri"/>
          <w:sz w:val="17"/>
          <w:szCs w:val="17"/>
          <w:b w:val="1"/>
          <w:bCs w:val="1"/>
          <w:u w:val="single" w:color="auto"/>
          <w:color w:val="auto"/>
        </w:rPr>
        <w:t>Assistance</w:t>
      </w:r>
      <w:r>
        <w:rPr>
          <w:rFonts w:ascii="Calibri" w:cs="Calibri" w:eastAsia="Calibri" w:hAnsi="Calibri"/>
          <w:sz w:val="17"/>
          <w:szCs w:val="17"/>
          <w:color w:val="auto"/>
        </w:rPr>
        <w:t>. Whether during or afer your employment, and without additonal compensaton, you agree to do any reasonable act and/or execute any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document deemed necessary or desirable by the Company in furtherance of perfectng, prosecutng, recording, maintaining, enforcing and protectng the Group’s right, ttle and interest in and to, any of the Assigned Inventons. In the event that the Company is unable for any reason to secure your signature to any document required to fle, prosecute, register or memorialize the ownership and/or assignment of, or to enforce, any intellectual property, you hereby irrevocably designate and appoint the Company’s duly authorized ofcers and agents as your agents and atorneys-in-fact to act for and on your behalf and stead to (i) execute, fle, prosecute, register and/or memorialize the assignment and/or ownership of any Assigned Inventon; (ii) to execute and fle any documentaton required for such enforcement and (iii) do all other lawfully permited acts to further the fling, prosecuton, registraton, memorializaton of assignment and/or ownership of, issuance of and enforcement of any Assigned Inventons, all with the same legal force and efect as if executed by you.</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4.6 </w:t>
      </w:r>
      <w:r>
        <w:rPr>
          <w:rFonts w:ascii="Calibri" w:cs="Calibri" w:eastAsia="Calibri" w:hAnsi="Calibri"/>
          <w:sz w:val="18"/>
          <w:szCs w:val="18"/>
          <w:b w:val="1"/>
          <w:bCs w:val="1"/>
          <w:u w:val="single" w:color="auto"/>
          <w:color w:val="auto"/>
        </w:rPr>
        <w:t>Exceptons to Assignment</w:t>
      </w:r>
      <w:r>
        <w:rPr>
          <w:rFonts w:ascii="Calibri" w:cs="Calibri" w:eastAsia="Calibri" w:hAnsi="Calibri"/>
          <w:sz w:val="18"/>
          <w:szCs w:val="18"/>
          <w:color w:val="auto"/>
        </w:rPr>
        <w:t>. You understand and acknowledge that the provisions of this Agreement requiring the assignment of inventons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do not apply to any Inventon that qualifes fully under the provisions of 765 ILCS 1060/2 of the Illinois Employee Patent Act, a copy of which is atached hereto as Schedule 2. You further understand and agree that the provisions of 765 ILCS 1060/2 of the Illinois Employee Patent Act do not apply to any Inventon for which full ttle is required to be in the United States, as required by contracts between the Company and the United States or any of its agencies. You will advise the Company promptly in writng of any Inventon which you believe meets the criteria in 765 ILCS 1060/2 of the Illinois Employee Patent Act and you will at that tme provide to the Company in writng all evidence necessary to substantate your belief.</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4.7 </w:t>
      </w:r>
      <w:r>
        <w:rPr>
          <w:rFonts w:ascii="Calibri" w:cs="Calibri" w:eastAsia="Calibri" w:hAnsi="Calibri"/>
          <w:sz w:val="18"/>
          <w:szCs w:val="18"/>
          <w:b w:val="1"/>
          <w:bCs w:val="1"/>
          <w:u w:val="single" w:color="auto"/>
          <w:color w:val="auto"/>
        </w:rPr>
        <w:t>Applicability to Past Actvites</w:t>
      </w:r>
      <w:r>
        <w:rPr>
          <w:rFonts w:ascii="Calibri" w:cs="Calibri" w:eastAsia="Calibri" w:hAnsi="Calibri"/>
          <w:sz w:val="18"/>
          <w:szCs w:val="18"/>
          <w:color w:val="auto"/>
        </w:rPr>
        <w:t>. To the extent you have been engaged to provide services by the Company or its predecessor for a period of tme before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efectve date of this Agreement (the “Prior Engagement Period”), you agree that if and to the extent that, during the Prior Engagement Period: (i) you received access to any informaton from or on behalf of the Company that would have been Proprietary Informaton if you had received access to such informaton during the period of your employment with the Company under this Agreement; or (ii) you conceived, created, authored, invented, developed or reduced to practce any item, including any intellectual property rights with respect thereto, that would have been an Inventon if conceived, created, authored, invented, developed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35" w:lineRule="auto"/>
        <w:rPr>
          <w:sz w:val="20"/>
          <w:szCs w:val="20"/>
          <w:color w:val="auto"/>
        </w:rPr>
      </w:pPr>
      <w:r>
        <w:rPr>
          <w:rFonts w:ascii="Calibri" w:cs="Calibri" w:eastAsia="Calibri" w:hAnsi="Calibri"/>
          <w:sz w:val="18"/>
          <w:szCs w:val="18"/>
          <w:color w:val="auto"/>
        </w:rPr>
        <w:t>reduced to practce during the period of your employment with the Company under this Agreement; then any such informaton shall be deemed Proprietary Informaton hereunder and any such item shall be deemed an Inventon hereunder, and this Agreement shall apply to such informaton or item as if conceived, created, authored, invented, developed or reduced to practce under this Agreement.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NO BREACH OF PRIOR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represent that your performance of all the terms of this Agreement and your dutes as an employee of the Company will not breach any inventon assignment, proprietary informaton, confdentality or similar agreement with any former employer or other party. You represent that you will not bring with you to the Company or use in the performance of your dutes for the Company any documents or materials or tangibles of a former employer or third party that are not in the public domain or have not been legally transferred or licensed to the company.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DUTY OF LOYALTY</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You understand that your employment with the Company requires your undivided atenton and efort during normal business hours. While you are employed by the Company, you will not, without the Company’s express prior writen consent, (i) engage in any other business actvity, unless such actvity is for passive investment purposes only and will not require you to render any services, (ii) be engaged or interested, directly or indirectly, alone or with others, in any trade, business or occupaton in competton with the Group, (iii) make preparatons, alone or with others, to compete with the Group in the future, or</w:t>
      </w:r>
    </w:p>
    <w:p>
      <w:pPr>
        <w:spacing w:after="0" w:line="3" w:lineRule="exact"/>
        <w:rPr>
          <w:sz w:val="20"/>
          <w:szCs w:val="20"/>
          <w:color w:val="auto"/>
        </w:rPr>
      </w:pPr>
    </w:p>
    <w:p>
      <w:pPr>
        <w:ind w:firstLine="8"/>
        <w:spacing w:after="0" w:line="235" w:lineRule="auto"/>
        <w:tabs>
          <w:tab w:leader="none" w:pos="267"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appropriate for your own beneft business opportunites pertaining to the Group’s business. The foregoing does not limit your ability to serve on civic and charitable boards or commitees.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DUTY OF NON INTERFERENCE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7.1 </w:t>
      </w:r>
      <w:r>
        <w:rPr>
          <w:rFonts w:ascii="Calibri" w:cs="Calibri" w:eastAsia="Calibri" w:hAnsi="Calibri"/>
          <w:sz w:val="18"/>
          <w:szCs w:val="18"/>
          <w:b w:val="1"/>
          <w:bCs w:val="1"/>
          <w:u w:val="single" w:color="auto"/>
          <w:color w:val="auto"/>
        </w:rPr>
        <w:t>Non-Solicitaton of Employees/Consultants</w:t>
      </w:r>
      <w:r>
        <w:rPr>
          <w:rFonts w:ascii="Calibri" w:cs="Calibri" w:eastAsia="Calibri" w:hAnsi="Calibri"/>
          <w:sz w:val="18"/>
          <w:szCs w:val="18"/>
          <w:color w:val="auto"/>
        </w:rPr>
        <w:t>. During your employment with the Group and for a period of one (1) year thereafer, you will not directly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indirectly hire, atempt to hire, recruit, ofer employment, lure or entce away, or in any other manner persuade or otherwise solicit anyone who is then an employee or consultant of the Group (or who was an employee or consultant of the Group within the prior six months) to resign from the Group or to apply for or accept employment with you or with any third party. The foregoing notwithstanding, it shall not be deemed a violaton of this Secton 7.1 to place an announcement of a job opening in general circulaton or to respond to unsolicited inquiries regarding employment opportunites, or to hire an applicant who you have not, directly or indirectly, solicited for employment.</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This Secton 7.1 shall not prevent you from using general solicitatons (including through search frms) not targeted at employees of the Group.</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b w:val="1"/>
          <w:bCs w:val="1"/>
          <w:color w:val="auto"/>
        </w:rPr>
        <w:t xml:space="preserve">7.2 </w:t>
      </w:r>
      <w:r>
        <w:rPr>
          <w:rFonts w:ascii="Calibri" w:cs="Calibri" w:eastAsia="Calibri" w:hAnsi="Calibri"/>
          <w:sz w:val="17"/>
          <w:szCs w:val="17"/>
          <w:b w:val="1"/>
          <w:bCs w:val="1"/>
          <w:u w:val="single" w:color="auto"/>
          <w:color w:val="auto"/>
        </w:rPr>
        <w:t>Non-Solicitaton of Suppliers/Customers</w:t>
      </w:r>
      <w:r>
        <w:rPr>
          <w:rFonts w:ascii="Calibri" w:cs="Calibri" w:eastAsia="Calibri" w:hAnsi="Calibri"/>
          <w:sz w:val="17"/>
          <w:szCs w:val="17"/>
          <w:color w:val="auto"/>
        </w:rPr>
        <w:t>. During your employment with the Group and for a period of one (1) year thereafer, you will not directly 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indirectly (i) solicit or accept from any customer or potental customer of the Group any business involving the Restricted Business (as defned in Secton 7.3);</w:t>
      </w:r>
    </w:p>
    <w:p>
      <w:pPr>
        <w:spacing w:after="0" w:line="1" w:lineRule="exact"/>
        <w:rPr>
          <w:sz w:val="20"/>
          <w:szCs w:val="20"/>
          <w:color w:val="auto"/>
        </w:rPr>
      </w:pPr>
    </w:p>
    <w:p>
      <w:pPr>
        <w:jc w:val="both"/>
        <w:ind w:firstLine="8"/>
        <w:spacing w:after="0" w:line="235" w:lineRule="auto"/>
        <w:tabs>
          <w:tab w:leader="none" w:pos="232"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request or advise any customer, potental customer or supplier of the Group to curtail, cancel, or withdraw its business from the Group; or (iii) aid in any way any other entty in obtaining business from any customer or potental customer of the Group involving the Restricted Business (as defned in Secton 7.3).</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Secton 7.2 shall not apply to any customer, potental customer or supplier of the Group which you did not have direct contact with or supervisory responsibility for, or access to Proprietary Informaton regarding, during the twelve (12) months preceding terminaton of your employment with the Company (including if applicable any period of employment with the Company’s predecessor).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7.3 </w:t>
      </w:r>
      <w:r>
        <w:rPr>
          <w:rFonts w:ascii="Calibri" w:cs="Calibri" w:eastAsia="Calibri" w:hAnsi="Calibri"/>
          <w:sz w:val="18"/>
          <w:szCs w:val="18"/>
          <w:b w:val="1"/>
          <w:bCs w:val="1"/>
          <w:u w:val="single" w:color="auto"/>
          <w:color w:val="auto"/>
        </w:rPr>
        <w:t>Non-Competton</w:t>
      </w:r>
      <w:r>
        <w:rPr>
          <w:rFonts w:ascii="Calibri" w:cs="Calibri" w:eastAsia="Calibri" w:hAnsi="Calibri"/>
          <w:sz w:val="18"/>
          <w:szCs w:val="18"/>
          <w:color w:val="auto"/>
        </w:rPr>
        <w:t>. During your employment with the Group and for a period of one (1) year thereafer (the “</w:t>
      </w:r>
      <w:r>
        <w:rPr>
          <w:rFonts w:ascii="Calibri" w:cs="Calibri" w:eastAsia="Calibri" w:hAnsi="Calibri"/>
          <w:sz w:val="18"/>
          <w:szCs w:val="18"/>
          <w:b w:val="1"/>
          <w:bCs w:val="1"/>
          <w:i w:val="1"/>
          <w:iCs w:val="1"/>
          <w:color w:val="auto"/>
        </w:rPr>
        <w:t>Restricted Period</w:t>
      </w:r>
      <w:r>
        <w:rPr>
          <w:rFonts w:ascii="Calibri" w:cs="Calibri" w:eastAsia="Calibri" w:hAnsi="Calibri"/>
          <w:sz w:val="18"/>
          <w:szCs w:val="18"/>
          <w:color w:val="auto"/>
        </w:rPr>
        <w:t>”), you will not directly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indirectly, whether as an employee, ofcer, director, consultant, owner, manager, advisor, investor, or otherwise, in any geographic area in which the Group has conducted the Restricted Business during the twelve (12) months preceding terminaton of your employment; (i) render advice or services to, or otherwise assist, any person, associaton, or entty who is engaged, directly or indirectly, in the Restricted Business; or (ii) hold a 5% or greater equity, votng or proft partcipaton interest in any person, associaton, or entty who is engaged, directly or indirectly, in the Restricted Business. For purposes of this Secton, “</w:t>
      </w:r>
      <w:r>
        <w:rPr>
          <w:rFonts w:ascii="Calibri" w:cs="Calibri" w:eastAsia="Calibri" w:hAnsi="Calibri"/>
          <w:sz w:val="18"/>
          <w:szCs w:val="18"/>
          <w:b w:val="1"/>
          <w:bCs w:val="1"/>
          <w:i w:val="1"/>
          <w:iCs w:val="1"/>
          <w:color w:val="auto"/>
        </w:rPr>
        <w:t>Restricted Business</w:t>
      </w:r>
      <w:r>
        <w:rPr>
          <w:rFonts w:ascii="Calibri" w:cs="Calibri" w:eastAsia="Calibri" w:hAnsi="Calibri"/>
          <w:sz w:val="18"/>
          <w:szCs w:val="18"/>
          <w:color w:val="auto"/>
        </w:rPr>
        <w:t>” means the business of developing, distributng, selling, supplying or otherwise dealing with the purchasing and/or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35" w:lineRule="auto"/>
        <w:rPr>
          <w:sz w:val="20"/>
          <w:szCs w:val="20"/>
          <w:color w:val="auto"/>
        </w:rPr>
      </w:pPr>
      <w:r>
        <w:rPr>
          <w:rFonts w:ascii="Calibri" w:cs="Calibri" w:eastAsia="Calibri" w:hAnsi="Calibri"/>
          <w:sz w:val="18"/>
          <w:szCs w:val="18"/>
          <w:color w:val="auto"/>
        </w:rPr>
        <w:t>selling of entertainment tckets and/or sports tckets in the primary and/or secondary markets or any other material line of business that the Company may later engage in in the ordinary course and for which you have direct operatonal responsibility or as to which you receive Proprietary Informaton. Notwithstanding the foregoing, with prior writen consent from the Company which shall not be unreasonably withheld, you may accept employment or otherwise be engaged in or involved with a compettor of the Group that has multple lines of business (a “</w:t>
      </w:r>
      <w:r>
        <w:rPr>
          <w:rFonts w:ascii="Calibri" w:cs="Calibri" w:eastAsia="Calibri" w:hAnsi="Calibri"/>
          <w:sz w:val="18"/>
          <w:szCs w:val="18"/>
          <w:b w:val="1"/>
          <w:bCs w:val="1"/>
          <w:i w:val="1"/>
          <w:iCs w:val="1"/>
          <w:color w:val="auto"/>
        </w:rPr>
        <w:t>Permited Employer</w:t>
      </w:r>
      <w:r>
        <w:rPr>
          <w:rFonts w:ascii="Calibri" w:cs="Calibri" w:eastAsia="Calibri" w:hAnsi="Calibri"/>
          <w:sz w:val="18"/>
          <w:szCs w:val="18"/>
          <w:color w:val="auto"/>
        </w:rPr>
        <w:t>”) provided that, during the Restricted Period, you are employed by or providing services to a business unit of such compettor that is not engaged or otherwise involved with the Restricted Business. Nothing contained in this Secton 7 shall prohibit you from owning of a passive investment interest of not more than 5% in a company with publicly traded equity securites, and whether on your own behalf or on behalf of others. You agree that the Restricted Period shall be extended by a period equal the length of any violaton of this Secton 7.3.</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OBLIGATIONS UPON TERMINATION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8.1 </w:t>
      </w:r>
      <w:r>
        <w:rPr>
          <w:rFonts w:ascii="Calibri" w:cs="Calibri" w:eastAsia="Calibri" w:hAnsi="Calibri"/>
          <w:sz w:val="18"/>
          <w:szCs w:val="18"/>
          <w:b w:val="1"/>
          <w:bCs w:val="1"/>
          <w:u w:val="single" w:color="auto"/>
          <w:color w:val="auto"/>
        </w:rPr>
        <w:t>Return of Company Property</w:t>
      </w:r>
      <w:r>
        <w:rPr>
          <w:rFonts w:ascii="Calibri" w:cs="Calibri" w:eastAsia="Calibri" w:hAnsi="Calibri"/>
          <w:sz w:val="18"/>
          <w:szCs w:val="18"/>
          <w:color w:val="auto"/>
        </w:rPr>
        <w:t>. At the tme of leaving the employ of the Company, you will deliver to the Company (and will not keep in your possession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deliver to anyone else) (i) any and all documents and materials of any nature pertaining to your work, including without limitaton devices, records, data, notes, reports, proposals, lists, correspondence, specifcatons, drawings, blueprints, sketches, materials, equipment, other documents or property, or reproductons of any aforementoned items and (ii) all property belonging to the Group or any third party which provided property to you in connecton with your employment such as computer, laptops, personal digital assistants, cell phones, MP3 players, electronic organizers and other devices, cards, car, keys, security devices or any other item belonging to the Group. Upon Company request, you will execute a document confrming your compliance with this provision and the terms of this Agreement.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8.2 </w:t>
      </w:r>
      <w:r>
        <w:rPr>
          <w:rFonts w:ascii="Calibri" w:cs="Calibri" w:eastAsia="Calibri" w:hAnsi="Calibri"/>
          <w:sz w:val="18"/>
          <w:szCs w:val="18"/>
          <w:b w:val="1"/>
          <w:bCs w:val="1"/>
          <w:u w:val="single" w:color="auto"/>
          <w:color w:val="auto"/>
        </w:rPr>
        <w:t>Notfcaton of New Employer</w:t>
      </w:r>
      <w:r>
        <w:rPr>
          <w:rFonts w:ascii="Calibri" w:cs="Calibri" w:eastAsia="Calibri" w:hAnsi="Calibri"/>
          <w:sz w:val="18"/>
          <w:szCs w:val="18"/>
          <w:color w:val="auto"/>
        </w:rPr>
        <w:t>. Before you accept employment or enter in to any consultng or other professional or business engagement with 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Permited Employer while any of Secton 7 is in efect, you will provide such person or entty with writen notce of the provisions of Secton 7 and will deliver a copy of the notce to the Company. You hereby grant consent to notfcaton by the Company to such Permited Employer about your rights and obligatons under this Agreement.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8.3 </w:t>
      </w:r>
      <w:r>
        <w:rPr>
          <w:rFonts w:ascii="Calibri" w:cs="Calibri" w:eastAsia="Calibri" w:hAnsi="Calibri"/>
          <w:sz w:val="18"/>
          <w:szCs w:val="18"/>
          <w:b w:val="1"/>
          <w:bCs w:val="1"/>
          <w:u w:val="single" w:color="auto"/>
          <w:color w:val="auto"/>
        </w:rPr>
        <w:t>Withholding</w:t>
      </w:r>
      <w:r>
        <w:rPr>
          <w:rFonts w:ascii="Calibri" w:cs="Calibri" w:eastAsia="Calibri" w:hAnsi="Calibri"/>
          <w:sz w:val="18"/>
          <w:szCs w:val="18"/>
          <w:color w:val="auto"/>
        </w:rPr>
        <w:t>. To the extent allowed by law, you agree to allow Company to deduct from your fnal paycheck(s) any amounts due as a result of your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employment, including but not limited to, any expense advances or business charges incurred by you on behalf of the Group, charges for property damaged or not returned when requested, and any other charges incurred by you payable to the Group. You agree to execute any authorizaton form as may be provided by Company to efectuate this provision.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AT WILL EMPLOYMENT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Agreement does not consttute a contract of employment for any defnite period of tme. You acknowledge and agree that nothing in this Agreement modifes the at-will nature of your employment with Company, which permits either yourself or Company to terminate your employment at any tme and without cause.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GOVERNING LAW; JURISDICTION; WAIVER OF JURY TRIAL</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Except as otherwise set forth in Secton 11 hereof, the following provisions shall apply with respect to this Agreement and the Exhibits and Schedules hereto:</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issues and questons concerning the constructon, validity, interpretaton and enforceability of this Agreement and the Exhibits and Schedules hereto shall be governed by, and construed in accordance with, the laws of the State of Delaware, without giving efect to any choice of law or confict of law rules or provisions (whether of the State of Delaware or any other jurisdicton) that would cause the applicaton of the laws of any jurisdicton other than the State of Delaware.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as otherwise expressly provided in this Agreement, any suit, acton or proceeding seeking to enforce any provision of, or based on any mater arising out of or in connecton with, this Agreement or the transactons contemplated hereby may be brought in the United States District Court for the District of Delaware, the Delaware Court of Chancery of the State of Delaware or any other court of the State of Delaware, and each of the partes hereto hereby consents to the exclusive jurisdicton of such courts (and of the appropriate appellate courts therefrom) in any such suit, acton or proceeding and irrevocably waives, to the fullest extent permited by law, 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35" w:lineRule="auto"/>
        <w:rPr>
          <w:sz w:val="20"/>
          <w:szCs w:val="20"/>
          <w:color w:val="auto"/>
        </w:rPr>
      </w:pPr>
      <w:r>
        <w:rPr>
          <w:rFonts w:ascii="Calibri" w:cs="Calibri" w:eastAsia="Calibri" w:hAnsi="Calibri"/>
          <w:sz w:val="18"/>
          <w:szCs w:val="18"/>
          <w:color w:val="auto"/>
        </w:rPr>
        <w:t>objecton which it may now or hereafer have to the laying of the venue of any such suit, acton or proceeding in any such court or that any such suit, acton or proceeding which is brought in any such court has been brought in an inconvenient forum. Process in any such suit, acton or proceeding may be served on any party anywhere in the world, whether within or without the jurisdicton of any such court.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EACH PARTY TO THIS AGREEMENT HEREBY WAIVES,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EACH PARTY TO THIS AGREEMENT HEREBY AGREES AND CONSENTS THAT ANY SUCH CLAIM, DEMAND, ACTION OR CAUSE OF ACTION SHALL BE DECIDED BY COURT TRIAL WITHOUT A JURY, AND THAT THE PARTIES TO THIS AGREEMENT MAY FILE A COPY OF THIS AGREEMENT WITH ANY COURT AS WRITTEN EVIDENCE OF THE CONSENT OF THE PARTIES HERETO TO THE WAIVER OF THEIR RIGHT TO TRIAL BY JURY.</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ARBITRATION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Notwithstanding the provisions of Secton 10 hereof, the following provisions shall apply with respect to this Agreement and the Exhibits and Schedules hereto in the event that the Company and its afliates stpulate in writng to you at the outset of any controversy or dispute between you and the Company or between you and any afliate or an agent of the Company, including but not limited to directors, ofcers, managers, other employees or members of the Group that the maximum amount of losses that you shall be liable for in connecton with any such controversy or dispute shall be capped at the Severance Pay amount: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event of any controversy or dispute between you and the Company or between you and any afliate or an agent of Company, including but not limited to directors, ofcers, managers, other employees or members of the Group, who are being sued in any capacity, as to all or any part of this Agreement, any other agreement, any dispute or controversy whatsoever pertaining to or arising out of the relatonship between you and the Company and/or the Group or the dissoluton or terminaton of same, and/or the arbitrability thereof (collectvely, “</w:t>
      </w:r>
      <w:r>
        <w:rPr>
          <w:rFonts w:ascii="Calibri" w:cs="Calibri" w:eastAsia="Calibri" w:hAnsi="Calibri"/>
          <w:sz w:val="18"/>
          <w:szCs w:val="18"/>
          <w:b w:val="1"/>
          <w:bCs w:val="1"/>
          <w:color w:val="auto"/>
        </w:rPr>
        <w:t>Arbitrable Disputes</w:t>
      </w:r>
      <w:r>
        <w:rPr>
          <w:rFonts w:ascii="Calibri" w:cs="Calibri" w:eastAsia="Calibri" w:hAnsi="Calibri"/>
          <w:sz w:val="18"/>
          <w:szCs w:val="18"/>
          <w:color w:val="auto"/>
        </w:rPr>
        <w:t>” as further defned below) shall, subject to Secton 11.1 herein, be resolved exclusively by binding arbitraton solely between yourself and the Company and/or person or entty described above, conducted in Chicago, Illinois. The arbitraton shall be governed by the Federal Arbitraton Act, 9 U.S.C. Secton 1 et seq, as amended, and shall be administered in accordance with the American Arbitraton Associaton rules governing employment disputes (the “</w:t>
      </w:r>
      <w:r>
        <w:rPr>
          <w:rFonts w:ascii="Calibri" w:cs="Calibri" w:eastAsia="Calibri" w:hAnsi="Calibri"/>
          <w:sz w:val="18"/>
          <w:szCs w:val="18"/>
          <w:b w:val="1"/>
          <w:bCs w:val="1"/>
          <w:color w:val="auto"/>
        </w:rPr>
        <w:t>AAA Rules</w:t>
      </w:r>
      <w:r>
        <w:rPr>
          <w:rFonts w:ascii="Calibri" w:cs="Calibri" w:eastAsia="Calibri" w:hAnsi="Calibri"/>
          <w:sz w:val="18"/>
          <w:szCs w:val="18"/>
          <w:color w:val="auto"/>
        </w:rPr>
        <w: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Arbitrable Disputes shall include any and all disputes not specifcally exempted from arbitraton herein, including, but not limited to, any alleged violatons of federal, state or local consttutons, statutes, laws, ordinances, regulatons or common law, any claims of wrongful terminaton, unlawful discriminaton, harassment or retaliaton, including but not limited to Title VII of the 1964 Civil Rights Act, The Equal Pay Act, the Age Discriminaton in Employment Act, the Americans with Disabilites Act, the Fair Labor Standards Act and similar state and local statutes, any claims of breach of contract or any implied covenant of good faith and fair dealing, any claims of adverse treatment in violaton of public policy, and any disputes arising from, under or regarding this Agreement, including the formaton, validity, interpretaton, efect or breach of the Agreement. For avoidance of doubt, all disputes regarding the validity of this Agreement, the validity of the arbitraton provisions of this Agreement, or whether any partcular claim or mater is included within the scope of the arbitraton provisions of this Agreement, are Arbitrable Disputes subject to arbitraton as described herein.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Specifcally excluded from Arbitrable Disputes are disputes or claims arising from or related to workers’ compensaton and unemployment insurance, and any claims which are expressly excluded from binding arbitraton by statute or public policy, or which are expressly required to be arbitrated under a diferent procedure.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you are not required to do so before serving an arbitraton demand, nothing in this Agreement shall prevent you from fling or maintaining an administratve charge or complaint with a government agency, including but not limited to, the Equal Employment Opportunity Commission, the Department of Labor and the Natonal Labor Relatons Board or any equivalent state or local agency. For the avoidance of doubt, and subject to Secton 10.5 below, if you choose not to fle an administratve charge or complaint before commencing an arbitraton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35" w:lineRule="auto"/>
        <w:rPr>
          <w:sz w:val="20"/>
          <w:szCs w:val="20"/>
          <w:color w:val="auto"/>
        </w:rPr>
      </w:pPr>
      <w:r>
        <w:rPr>
          <w:rFonts w:ascii="Calibri" w:cs="Calibri" w:eastAsia="Calibri" w:hAnsi="Calibri"/>
          <w:sz w:val="18"/>
          <w:szCs w:val="18"/>
          <w:color w:val="auto"/>
        </w:rPr>
        <w:t>accordance with this Secton 10 and the AAA Rules, your arbitraton demand must be served within the applicable tme period for fling a charge with the relevant agency in order to be tmely fled.</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This binding arbitraton procedure shall supplant and replace claims in court (except as specifed herein), and you expressly waive the right to a civil court acton before a jury.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Notwithstanding any statute or rule governing limitatons of actons, but only to the extent permited by applicable law, any arbitraton relatng to or arising from any Arbitrable Dispute shall be commenced by service of an arbitraton demand before the (i) one-year anniversary of the accrual of the aggrieved party’s claim pursuant to applicable law or (ii) before the expiraton of the applicable statute of limitaton pursuant to applicable law, whichever period is shorter.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Arbitrable Disputes under this Agreement must be brought in your individual capacity, and not as a plaintf or class member in any purported class, representatve or collectve proceeding. You agree that the arbitrator is not empowered to consolidate claims of diferent individuals into one proceeding, or to hear an arbitraton as a class arbitraton. To the extent the arbitrator determines that this class/collectve acton waiver is invalid, for any reason, this entre Secton 10 shall be null and void but only with regard to that partcular proceeding in which the arbitrator invalidated this class/collectve acton waiver and this Secton 10 shall remain in full force and efect with respect to any Arbtrable Disputes other than that covered by such class/collectve acton proceeding.</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Notwithstanding the foregoing, the waiver of the jury trial right shall survive even in the event this Secton 10 is deemed null and void.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GENERAL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12.1 </w:t>
      </w:r>
      <w:r>
        <w:rPr>
          <w:rFonts w:ascii="Calibri" w:cs="Calibri" w:eastAsia="Calibri" w:hAnsi="Calibri"/>
          <w:sz w:val="18"/>
          <w:szCs w:val="18"/>
          <w:b w:val="1"/>
          <w:bCs w:val="1"/>
          <w:u w:val="single" w:color="auto"/>
          <w:color w:val="auto"/>
        </w:rPr>
        <w:t>Injunctve Relief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Notwithstanding the arbitraton provisions in Secton 10 or anything else to the contrary in this Agreement, you and the Company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understand and agree that the partes’ actons or potental actons concerning obligatons under Sectons 2, 3, 4, 6 or 7 of this Agreement may result in irreparable and contnuing damage to the other party for which monetary damages will not be sufcient, and agree that both partes will be enttled to seek, in additon to its other rights and remedies hereunder or at law and both before or while a mater or an arbitraton is pending between the partes under Secton 10 or 11 of this Agreement, a temporary restraining order, preliminary injuncton or similar injunctve relief from a court of competent jurisdicton in order to preserve the status quo or prevent irreparable injury pending the full and fnal resoluton of the dispute, without the necessity of showing any actual damages or that monetary damages would not aford an adequate remedy, and without the necessity of postng any bond or other security. The aforementoned injunctve relief shall be in additon to, not in lieu of, legal remedies, monetary damages or other available forms of relief through legal or arbitraton proceedings. This Secton shall not be construed to limit the obligaton for either party to pursue arbitraton under Secton 11 with respect to any Arbitrable Disputes.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12.2 </w:t>
      </w:r>
      <w:r>
        <w:rPr>
          <w:rFonts w:ascii="Calibri" w:cs="Calibri" w:eastAsia="Calibri" w:hAnsi="Calibri"/>
          <w:sz w:val="18"/>
          <w:szCs w:val="18"/>
          <w:b w:val="1"/>
          <w:bCs w:val="1"/>
          <w:u w:val="single" w:color="auto"/>
          <w:color w:val="auto"/>
        </w:rPr>
        <w:t>Severability; Modifcaton; Partal Invalidity</w:t>
      </w:r>
      <w:r>
        <w:rPr>
          <w:rFonts w:ascii="Calibri" w:cs="Calibri" w:eastAsia="Calibri" w:hAnsi="Calibri"/>
          <w:sz w:val="18"/>
          <w:szCs w:val="18"/>
          <w:color w:val="auto"/>
        </w:rPr>
        <w:t>. Each provision of this Agreement is severable from every other provision of this Agreement. If the scope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any restricton contained in this Agreement is too broad to permit enforcement of such restricton to its full extent, then such restricton shall be enforced to the maximum extent permited by law, and the partes consent and agree that such scope may be accordingly modifed in any legal proceeding brought to enforce such restricton. If any provision of this Agreement or the applicaton of such provision is held unenforceable for any reason, then such provision shall be modifed to the extent necessary to render it enforceable (except as otherwise provided in Secton 11.6 above), or, if held impossible to modify, then severed from this Agreement and the remainder of this Agreement shall not be afected.</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12.3 </w:t>
      </w:r>
      <w:r>
        <w:rPr>
          <w:rFonts w:ascii="Calibri" w:cs="Calibri" w:eastAsia="Calibri" w:hAnsi="Calibri"/>
          <w:sz w:val="18"/>
          <w:szCs w:val="18"/>
          <w:b w:val="1"/>
          <w:bCs w:val="1"/>
          <w:u w:val="single" w:color="auto"/>
          <w:color w:val="auto"/>
        </w:rPr>
        <w:t>Waiver of Breach</w:t>
      </w:r>
      <w:r>
        <w:rPr>
          <w:rFonts w:ascii="Calibri" w:cs="Calibri" w:eastAsia="Calibri" w:hAnsi="Calibri"/>
          <w:sz w:val="18"/>
          <w:szCs w:val="18"/>
          <w:color w:val="auto"/>
        </w:rPr>
        <w:t>. The failure of you or the Company at any tme, or from tme to tme, to require performance of any of the Company’s or your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obligatons, respectvely, under this Agreement shall not be deemed a waiver of and shall in no manner afect your or the Company’s right to enforce any provision of this Agreement at a subsequent tme. The waiver by you or the Company of any rights arising out of any breach shall not be construed as a waiver of any rights arising out of any subsequent breach.</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12.4 </w:t>
      </w:r>
      <w:r>
        <w:rPr>
          <w:rFonts w:ascii="Calibri" w:cs="Calibri" w:eastAsia="Calibri" w:hAnsi="Calibri"/>
          <w:sz w:val="18"/>
          <w:szCs w:val="18"/>
          <w:b w:val="1"/>
          <w:bCs w:val="1"/>
          <w:u w:val="single" w:color="auto"/>
          <w:color w:val="auto"/>
        </w:rPr>
        <w:t>Assignment</w:t>
      </w:r>
      <w:r>
        <w:rPr>
          <w:rFonts w:ascii="Calibri" w:cs="Calibri" w:eastAsia="Calibri" w:hAnsi="Calibri"/>
          <w:sz w:val="18"/>
          <w:szCs w:val="18"/>
          <w:color w:val="auto"/>
        </w:rPr>
        <w:t>. This Agreement will be binding upon your heirs, executors, administrators and other legal representatves and will be for the beneft of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Group, its successors, its assigns and licensees. This Agreement,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35" w:lineRule="auto"/>
        <w:rPr>
          <w:sz w:val="20"/>
          <w:szCs w:val="20"/>
          <w:color w:val="auto"/>
        </w:rPr>
      </w:pPr>
      <w:r>
        <w:rPr>
          <w:rFonts w:ascii="Calibri" w:cs="Calibri" w:eastAsia="Calibri" w:hAnsi="Calibri"/>
          <w:sz w:val="18"/>
          <w:szCs w:val="18"/>
          <w:color w:val="auto"/>
        </w:rPr>
        <w:t>and your rights and obligatons hereunder, may not be assigned by you; however, the Company may assign its rights hereunder in connecton with any sale, transfer or other dispositon of any or all of its business or assets.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12.5 </w:t>
      </w:r>
      <w:r>
        <w:rPr>
          <w:rFonts w:ascii="Calibri" w:cs="Calibri" w:eastAsia="Calibri" w:hAnsi="Calibri"/>
          <w:sz w:val="18"/>
          <w:szCs w:val="18"/>
          <w:b w:val="1"/>
          <w:bCs w:val="1"/>
          <w:u w:val="single" w:color="auto"/>
          <w:color w:val="auto"/>
        </w:rPr>
        <w:t>Notce</w:t>
      </w:r>
      <w:r>
        <w:rPr>
          <w:rFonts w:ascii="Calibri" w:cs="Calibri" w:eastAsia="Calibri" w:hAnsi="Calibri"/>
          <w:sz w:val="18"/>
          <w:szCs w:val="18"/>
          <w:color w:val="auto"/>
        </w:rPr>
        <w:t>. Unless your ofer leter states otherwise, you agree to use reasonable eforts to provide Company 14 days’ notce to terminate your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employment with Company; provided, however, that this provision shall not change the at-will nature of the employment relatonship between you and Company.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12.6 </w:t>
      </w:r>
      <w:r>
        <w:rPr>
          <w:rFonts w:ascii="Calibri" w:cs="Calibri" w:eastAsia="Calibri" w:hAnsi="Calibri"/>
          <w:sz w:val="18"/>
          <w:szCs w:val="18"/>
          <w:b w:val="1"/>
          <w:bCs w:val="1"/>
          <w:u w:val="single" w:color="auto"/>
          <w:color w:val="auto"/>
        </w:rPr>
        <w:t>Applicable Law</w:t>
      </w:r>
      <w:r>
        <w:rPr>
          <w:rFonts w:ascii="Calibri" w:cs="Calibri" w:eastAsia="Calibri" w:hAnsi="Calibri"/>
          <w:sz w:val="18"/>
          <w:szCs w:val="18"/>
          <w:color w:val="auto"/>
        </w:rPr>
        <w:t>. This Agreement shall be governed by the laws of the State of Delaware, without regard to choice of law rules; provided, however, that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 connecton with any arbitraton proceedings brought pursuant to the terms of Secton 11 hereof, this Agreement shall be governed by the laws of the State of Illinois, without regard to choice of law rules.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12.7 </w:t>
      </w:r>
      <w:r>
        <w:rPr>
          <w:rFonts w:ascii="Calibri" w:cs="Calibri" w:eastAsia="Calibri" w:hAnsi="Calibri"/>
          <w:sz w:val="18"/>
          <w:szCs w:val="18"/>
          <w:b w:val="1"/>
          <w:bCs w:val="1"/>
          <w:u w:val="single" w:color="auto"/>
          <w:color w:val="auto"/>
        </w:rPr>
        <w:t>Entre Agreement</w:t>
      </w:r>
      <w:r>
        <w:rPr>
          <w:rFonts w:ascii="Calibri" w:cs="Calibri" w:eastAsia="Calibri" w:hAnsi="Calibri"/>
          <w:sz w:val="18"/>
          <w:szCs w:val="18"/>
          <w:color w:val="auto"/>
        </w:rPr>
        <w:t>. This Agreement along with Schedules 1 and 2 and the documents referred to herein and therein, your employment agreement with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Company and its Exhibits and documents referred to therein, consttute the entre agreement and understanding of the partes with respect to the subject mater of this Agreement, and supersede all prior understandings and agreements, whether oral or writen, between or among the partes hereto with respect to the specifc subject mater hereof. If any of the provisions of Secton 7 of this Agreement is deemed void, voidable, or otherwise invalid in legal proceedings and is not modifed in accordance with Secton 11.2 of this Agreement, you agree that you shall comply with, and the Company may seek to enforce such provisions of the Prior Agreement against you. No modifcaton of or amendment to this Agreement, nor any waiver of any rights under this Agreement, will be efectve unless in writng signed by the partes. Headings are provided for convenience only and do not modify, broaden, defne or restrict any provision.</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12.8 </w:t>
      </w:r>
      <w:r>
        <w:rPr>
          <w:rFonts w:ascii="Calibri" w:cs="Calibri" w:eastAsia="Calibri" w:hAnsi="Calibri"/>
          <w:sz w:val="18"/>
          <w:szCs w:val="18"/>
          <w:b w:val="1"/>
          <w:bCs w:val="1"/>
          <w:u w:val="single" w:color="auto"/>
          <w:color w:val="auto"/>
        </w:rPr>
        <w:t>Survival</w:t>
      </w:r>
      <w:r>
        <w:rPr>
          <w:rFonts w:ascii="Calibri" w:cs="Calibri" w:eastAsia="Calibri" w:hAnsi="Calibri"/>
          <w:sz w:val="18"/>
          <w:szCs w:val="18"/>
          <w:color w:val="auto"/>
        </w:rPr>
        <w:t>. Any terminaton of this Agreement, regardless of how such terminaton may occur, shall not operate to terminate Sectons 2, 3, 4, 5, 7, 8, 10,</w:t>
      </w:r>
    </w:p>
    <w:p>
      <w:pPr>
        <w:spacing w:after="0" w:line="235" w:lineRule="auto"/>
        <w:rPr>
          <w:sz w:val="20"/>
          <w:szCs w:val="20"/>
          <w:color w:val="auto"/>
        </w:rPr>
      </w:pPr>
      <w:r>
        <w:rPr>
          <w:rFonts w:ascii="Calibri" w:cs="Calibri" w:eastAsia="Calibri" w:hAnsi="Calibri"/>
          <w:sz w:val="18"/>
          <w:szCs w:val="18"/>
          <w:color w:val="auto"/>
        </w:rPr>
        <w:t>11 and 12 which shall survive any such terminaton and remain valid, enforceable and in full force and efect.</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[Signature page follows.]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spacing w:after="0"/>
        <w:rPr>
          <w:sz w:val="20"/>
          <w:szCs w:val="20"/>
          <w:color w:val="auto"/>
        </w:rPr>
      </w:pPr>
      <w:r>
        <w:rPr>
          <w:rFonts w:ascii="Calibri" w:cs="Calibri" w:eastAsia="Calibri" w:hAnsi="Calibri"/>
          <w:sz w:val="18"/>
          <w:szCs w:val="18"/>
          <w:color w:val="auto"/>
        </w:rPr>
        <w:t>VIVID SEATS INC.</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By: /s/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-19050</wp:posOffset>
            </wp:positionV>
            <wp:extent cx="84137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7">
                      <a:extLst>
                        <a:ext uri="{28A0092B-C50C-407E-A947-70E740481C1C}"/>
                      </a:extLst>
                    </a:blip>
                    <a:srcRect/>
                    <a:stretch>
                      <a:fillRect/>
                    </a:stretch>
                  </pic:blipFill>
                  <pic:spPr bwMode="auto">
                    <a:xfrm>
                      <a:off x="0" y="0"/>
                      <a:ext cx="841375" cy="889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Stanley Chia</w:t>
      </w:r>
    </w:p>
    <w:p>
      <w:pPr>
        <w:spacing w:after="0" w:line="236" w:lineRule="auto"/>
        <w:rPr>
          <w:sz w:val="20"/>
          <w:szCs w:val="20"/>
          <w:color w:val="auto"/>
        </w:rPr>
      </w:pPr>
      <w:r>
        <w:rPr>
          <w:rFonts w:ascii="Calibri" w:cs="Calibri" w:eastAsia="Calibri" w:hAnsi="Calibri"/>
          <w:sz w:val="18"/>
          <w:szCs w:val="18"/>
          <w:color w:val="auto"/>
        </w:rPr>
        <w:t>Title: Chief Executve Ofcer</w:t>
      </w:r>
    </w:p>
    <w:p>
      <w:pPr>
        <w:spacing w:after="0" w:line="236" w:lineRule="auto"/>
        <w:rPr>
          <w:sz w:val="20"/>
          <w:szCs w:val="20"/>
          <w:color w:val="auto"/>
        </w:rPr>
      </w:pPr>
      <w:r>
        <w:rPr>
          <w:rFonts w:ascii="Calibri" w:cs="Calibri" w:eastAsia="Calibri" w:hAnsi="Calibri"/>
          <w:sz w:val="18"/>
          <w:szCs w:val="18"/>
          <w:color w:val="auto"/>
        </w:rPr>
        <w:t>Date: August 13, 2021</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By: </w:t>
      </w:r>
      <w:r>
        <w:rPr>
          <w:rFonts w:ascii="Calibri" w:cs="Calibri" w:eastAsia="Calibri" w:hAnsi="Calibri"/>
          <w:sz w:val="18"/>
          <w:szCs w:val="18"/>
          <w:u w:val="single" w:color="auto"/>
          <w:color w:val="auto"/>
        </w:rPr>
        <w:t>/s/ Riva L. Bakal</w:t>
      </w:r>
    </w:p>
    <w:p>
      <w:pPr>
        <w:spacing w:after="0" w:line="235" w:lineRule="auto"/>
        <w:rPr>
          <w:sz w:val="20"/>
          <w:szCs w:val="20"/>
          <w:color w:val="auto"/>
        </w:rPr>
      </w:pPr>
      <w:r>
        <w:rPr>
          <w:rFonts w:ascii="Calibri" w:cs="Calibri" w:eastAsia="Calibri" w:hAnsi="Calibri"/>
          <w:sz w:val="18"/>
          <w:szCs w:val="18"/>
          <w:color w:val="auto"/>
        </w:rPr>
        <w:t>Name: Riva L. Bakal</w:t>
      </w:r>
    </w:p>
    <w:p>
      <w:pPr>
        <w:spacing w:after="0" w:line="236" w:lineRule="auto"/>
        <w:rPr>
          <w:sz w:val="20"/>
          <w:szCs w:val="20"/>
          <w:color w:val="auto"/>
        </w:rPr>
      </w:pPr>
      <w:r>
        <w:rPr>
          <w:rFonts w:ascii="Calibri" w:cs="Calibri" w:eastAsia="Calibri" w:hAnsi="Calibri"/>
          <w:sz w:val="18"/>
          <w:szCs w:val="18"/>
          <w:color w:val="auto"/>
        </w:rPr>
        <w:t>Date: August 15, 2021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519"/>
        <w:spacing w:after="0"/>
        <w:rPr>
          <w:sz w:val="20"/>
          <w:szCs w:val="20"/>
          <w:color w:val="auto"/>
        </w:rPr>
      </w:pPr>
      <w:r>
        <w:rPr>
          <w:rFonts w:ascii="Calibri" w:cs="Calibri" w:eastAsia="Calibri" w:hAnsi="Calibri"/>
          <w:sz w:val="18"/>
          <w:szCs w:val="18"/>
          <w:color w:val="auto"/>
        </w:rPr>
        <w:t>[Signature Page to Exhibit A of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141" w:name="page142"/>
    <w:bookmarkEnd w:id="141"/>
    <w:p>
      <w:pPr>
        <w:ind w:left="5260"/>
        <w:spacing w:after="0"/>
        <w:rPr>
          <w:sz w:val="20"/>
          <w:szCs w:val="20"/>
          <w:color w:val="auto"/>
        </w:rPr>
      </w:pPr>
      <w:r>
        <w:rPr>
          <w:rFonts w:ascii="Calibri" w:cs="Calibri" w:eastAsia="Calibri" w:hAnsi="Calibri"/>
          <w:sz w:val="18"/>
          <w:szCs w:val="18"/>
          <w:b w:val="1"/>
          <w:bCs w:val="1"/>
          <w:color w:val="auto"/>
        </w:rPr>
        <w:t>Schedule I</w:t>
      </w:r>
    </w:p>
    <w:p>
      <w:pPr>
        <w:spacing w:after="0" w:line="104" w:lineRule="exact"/>
        <w:rPr>
          <w:sz w:val="20"/>
          <w:szCs w:val="20"/>
          <w:color w:val="auto"/>
        </w:rPr>
      </w:pPr>
    </w:p>
    <w:p>
      <w:pPr>
        <w:ind w:left="4360"/>
        <w:spacing w:after="0"/>
        <w:rPr>
          <w:sz w:val="20"/>
          <w:szCs w:val="20"/>
          <w:color w:val="auto"/>
        </w:rPr>
      </w:pPr>
      <w:r>
        <w:rPr>
          <w:rFonts w:ascii="Calibri" w:cs="Calibri" w:eastAsia="Calibri" w:hAnsi="Calibri"/>
          <w:sz w:val="18"/>
          <w:szCs w:val="18"/>
          <w:b w:val="1"/>
          <w:bCs w:val="1"/>
          <w:color w:val="auto"/>
        </w:rPr>
        <w:t>List of Employee’s Prior Inventons</w:t>
      </w:r>
    </w:p>
    <w:p>
      <w:pPr>
        <w:spacing w:after="0" w:line="109" w:lineRule="exact"/>
        <w:rPr>
          <w:sz w:val="20"/>
          <w:szCs w:val="20"/>
          <w:color w:val="auto"/>
        </w:rPr>
      </w:pPr>
    </w:p>
    <w:p>
      <w:pPr>
        <w:ind w:left="40"/>
        <w:spacing w:after="0"/>
        <w:rPr>
          <w:sz w:val="20"/>
          <w:szCs w:val="20"/>
          <w:color w:val="auto"/>
        </w:rPr>
      </w:pPr>
      <w:r>
        <w:rPr>
          <w:rFonts w:ascii="Calibri" w:cs="Calibri" w:eastAsia="Calibri" w:hAnsi="Calibri"/>
          <w:sz w:val="17"/>
          <w:szCs w:val="17"/>
          <w:u w:val="single" w:color="auto"/>
          <w:color w:val="auto"/>
        </w:rPr>
        <w:t>RLB</w:t>
      </w:r>
      <w:r>
        <w:rPr>
          <w:rFonts w:ascii="Calibri" w:cs="Calibri" w:eastAsia="Calibri" w:hAnsi="Calibri"/>
          <w:sz w:val="17"/>
          <w:szCs w:val="17"/>
          <w:color w:val="auto"/>
        </w:rPr>
        <w:t xml:space="preserve"> By initaling here, I represent and warrant that I have no Prior Inventons, as that term is defned in the Agreement to which this Schedule I is atached.</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color w:val="auto"/>
        </w:rPr>
        <w:t>OR</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___ Below is a complete and accurate list of Prior Inventons, as that term is defned in the Agreement to which this Schedule I is atached.</w:t>
      </w:r>
    </w:p>
    <w:p>
      <w:pPr>
        <w:spacing w:after="0" w:line="172"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By: /s/ Riva L. Bakal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-19050</wp:posOffset>
            </wp:positionV>
            <wp:extent cx="84137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9">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ind w:left="5240"/>
        <w:spacing w:after="0" w:line="235" w:lineRule="auto"/>
        <w:rPr>
          <w:sz w:val="20"/>
          <w:szCs w:val="20"/>
          <w:color w:val="auto"/>
        </w:rPr>
      </w:pPr>
      <w:r>
        <w:rPr>
          <w:rFonts w:ascii="Calibri" w:cs="Calibri" w:eastAsia="Calibri" w:hAnsi="Calibri"/>
          <w:sz w:val="18"/>
          <w:szCs w:val="18"/>
          <w:color w:val="auto"/>
        </w:rPr>
        <w:t>Name: Riva L. Bakal</w:t>
      </w:r>
    </w:p>
    <w:p>
      <w:pPr>
        <w:ind w:left="5240"/>
        <w:spacing w:after="0" w:line="236" w:lineRule="auto"/>
        <w:rPr>
          <w:sz w:val="20"/>
          <w:szCs w:val="20"/>
          <w:color w:val="auto"/>
        </w:rPr>
      </w:pPr>
      <w:r>
        <w:rPr>
          <w:rFonts w:ascii="Calibri" w:cs="Calibri" w:eastAsia="Calibri" w:hAnsi="Calibri"/>
          <w:sz w:val="18"/>
          <w:szCs w:val="18"/>
          <w:color w:val="auto"/>
        </w:rPr>
        <w:t>Date: August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42" w:name="page143"/>
    <w:bookmarkEnd w:id="142"/>
    <w:p>
      <w:pPr>
        <w:jc w:val="center"/>
        <w:spacing w:after="0"/>
        <w:rPr>
          <w:sz w:val="20"/>
          <w:szCs w:val="20"/>
          <w:color w:val="auto"/>
        </w:rPr>
      </w:pPr>
      <w:r>
        <w:rPr>
          <w:rFonts w:ascii="Calibri" w:cs="Calibri" w:eastAsia="Calibri" w:hAnsi="Calibri"/>
          <w:sz w:val="18"/>
          <w:szCs w:val="18"/>
          <w:b w:val="1"/>
          <w:bCs w:val="1"/>
          <w:color w:val="auto"/>
        </w:rPr>
        <w:t>Schedule 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ILLINOIS EMPLOYEE PATENT ACT - WRITTEN NOTIFICATION REGARDING NON-ASSIGNABLE INVENTIONS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accordance with 765 ILCS 1060/2 of the Illinois Employee Patent Act, you are hereby notfed that this Confdentality, Inventon Assignment, Non-Solicit Non-Compete and Arbitraton Agreement does not require you to assign to the Company any inventon for which no equipment, supplies, facilites, or trade secret informaton of the Company was used and which was developed entrely on your own tme, and which does not relate to the business of the Company or to the Company’s actual or demonstrably antcipated research or development, or which does not result from any work performed by you for the Company.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You are hereby apprised of 765 ILCS 1060/2 of the Illinois Employee Patent Act, which states:</w:t>
      </w:r>
    </w:p>
    <w:p>
      <w:pPr>
        <w:spacing w:after="0" w:line="109" w:lineRule="exact"/>
        <w:rPr>
          <w:sz w:val="20"/>
          <w:szCs w:val="20"/>
          <w:color w:val="auto"/>
        </w:rPr>
      </w:pPr>
    </w:p>
    <w:p>
      <w:pPr>
        <w:jc w:val="both"/>
        <w:ind w:left="760"/>
        <w:spacing w:after="0" w:line="251" w:lineRule="auto"/>
        <w:rPr>
          <w:sz w:val="20"/>
          <w:szCs w:val="20"/>
          <w:color w:val="auto"/>
        </w:rPr>
      </w:pPr>
      <w:r>
        <w:rPr>
          <w:rFonts w:ascii="Calibri" w:cs="Calibri" w:eastAsia="Calibri" w:hAnsi="Calibri"/>
          <w:sz w:val="17"/>
          <w:szCs w:val="17"/>
          <w:i w:val="1"/>
          <w:iCs w:val="1"/>
          <w:color w:val="auto"/>
        </w:rPr>
        <w:t>“(1) A provision in an employment agreement - which provides that an employee shall assign or ofer to assign any of the employee’s rights in an inventon to the employer does not apply to an inventon for which no equipment, supplies, facilites, or trade secret informaton of the employer was used and which was developed entrely on the employee’s own tme, unless (a) the inventon relates (i) to the business of the employer, or (ii) to the employer’s actual or demonstrably antcipated research or development, or (b) the inventon results from any work performed by the employee for the employer. Any provision which purports to apply to such an inventon is to that extent against the public policy of this State and is to that extent void and unenforceable. The employee shall bear the burden of proof in establishing that his inventon qualifes under this subsecton.</w:t>
      </w:r>
    </w:p>
    <w:p>
      <w:pPr>
        <w:spacing w:after="0" w:line="102" w:lineRule="exact"/>
        <w:rPr>
          <w:sz w:val="20"/>
          <w:szCs w:val="20"/>
          <w:color w:val="auto"/>
        </w:rPr>
      </w:pPr>
    </w:p>
    <w:p>
      <w:pPr>
        <w:jc w:val="both"/>
        <w:ind w:left="760" w:hanging="3"/>
        <w:spacing w:after="0" w:line="235" w:lineRule="auto"/>
        <w:tabs>
          <w:tab w:leader="none" w:pos="1020" w:val="left"/>
        </w:tabs>
        <w:numPr>
          <w:ilvl w:val="0"/>
          <w:numId w:val="60"/>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An employer shall not require a provision made void and unenforceable by subsecton (1) of this Secton as a conditon of employment or contnuing employment. This Act shall not preempt existng common law applicable to any shop rights of employers with respect to employees who have not signed an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center"/>
        <w:spacing w:after="0"/>
        <w:rPr>
          <w:sz w:val="20"/>
          <w:szCs w:val="20"/>
          <w:color w:val="auto"/>
        </w:rPr>
      </w:pPr>
      <w:r>
        <w:rPr>
          <w:rFonts w:ascii="Calibri" w:cs="Calibri" w:eastAsia="Calibri" w:hAnsi="Calibri"/>
          <w:sz w:val="18"/>
          <w:szCs w:val="18"/>
          <w:b w:val="1"/>
          <w:bCs w:val="1"/>
          <w:color w:val="auto"/>
        </w:rPr>
        <w:t>EXHIBIT B</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Certain Defnitons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“Cause” means any of the following: (i) a material failure by you to perform your responsibilites or dutes to the Company under this leter or those other responsibilites or dutes as reasonably requested from tme to tme by the Board and consistent with Secton 1 of this leter; (ii) your engagement in illegal conduct or gross misconduct that has materially harmed or is reasonably likely to materially harm the standing and reputaton of the Company; (iii) your commission or convicton of, or plea of guilty or nolo contendere to, a felony, a crime involving moral turpitude or any other act or omission that has materially harmed or is reasonably likely to materially harm the standing and reputaton of the Company; (iv) a material breach of your duty of loyalty to the Company or your material breach of the Company’s writen code of conduct and business ethics, in either case, that has materially harmed or is reasonably likely to materially harm the standing and reputaton of the Company or your material breach of Secton 2 through 8 of the Confdentality, Inventon Assignment, Non-Solicit, Non-Compete and Arbitraton Agreement or any other material writen agreement between you and the Company; (v) dishonesty that has materially harmed or is reasonably likely to materially harm the Company; (vi) fraud, gross negligence or repettve negligence commited without regard to correctve directon in the course of discharge of your dutes as an employee; or (vii) excessive and unreasonable absences from your dutes for any reason (other than authorized leave or as a result of your death or Disability (as defned below)),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as to clauses (i), (ii), (iv), (vi), or (vii), an event will only consttute Cause afer writen notce has been given by the Board, has not been cured for a period of thirty (30) days afer you receive notce from the Board.</w:t>
      </w:r>
    </w:p>
    <w:p>
      <w:pPr>
        <w:spacing w:after="0" w:line="1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Disability</w:t>
      </w:r>
      <w:r>
        <w:rPr>
          <w:rFonts w:ascii="Calibri" w:cs="Calibri" w:eastAsia="Calibri" w:hAnsi="Calibri"/>
          <w:sz w:val="18"/>
          <w:szCs w:val="18"/>
          <w:color w:val="auto"/>
        </w:rPr>
        <w:t>” means your inability to perform the essental functons of your job, with or without accommodaton, as a result of any mental or physical disability or incapacity for an extended period but not less than sixty (60) business days in any consecutve six (6)-month period, as determined in the sole discreton of the Company.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Good Reason</w:t>
      </w:r>
      <w:r>
        <w:rPr>
          <w:rFonts w:ascii="Calibri" w:cs="Calibri" w:eastAsia="Calibri" w:hAnsi="Calibri"/>
          <w:sz w:val="18"/>
          <w:szCs w:val="18"/>
          <w:color w:val="auto"/>
        </w:rPr>
        <w:t>” means that you voluntarily terminate your employment with the Company if there should occur without your writen consent:</w:t>
      </w:r>
    </w:p>
    <w:p>
      <w:pPr>
        <w:spacing w:after="0" w:line="109" w:lineRule="exact"/>
        <w:rPr>
          <w:sz w:val="20"/>
          <w:szCs w:val="20"/>
          <w:color w:val="auto"/>
        </w:rPr>
      </w:pPr>
    </w:p>
    <w:p>
      <w:pPr>
        <w:jc w:val="both"/>
        <w:ind w:left="1500" w:hanging="743"/>
        <w:spacing w:after="0" w:line="235" w:lineRule="auto"/>
        <w:tabs>
          <w:tab w:leader="none" w:pos="15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a material adverse change in your ttle, positon, dutes or responsibilites with the Company, including, but not limited to, (x) any failure of the Company to maintain your ttle, positon, dutes and responsibilites as the Senior Vice President, Strategy &amp; Product of the Company or (y) any requirement that you report to anyone other than the Chief Executve Ofcer or directly to the Board;</w:t>
      </w:r>
    </w:p>
    <w:p>
      <w:pPr>
        <w:spacing w:after="0" w:line="105" w:lineRule="exact"/>
        <w:rPr>
          <w:rFonts w:ascii="Calibri" w:cs="Calibri" w:eastAsia="Calibri" w:hAnsi="Calibri"/>
          <w:sz w:val="18"/>
          <w:szCs w:val="18"/>
          <w:color w:val="auto"/>
        </w:rPr>
      </w:pPr>
    </w:p>
    <w:p>
      <w:pPr>
        <w:ind w:left="1500" w:hanging="743"/>
        <w:spacing w:after="0"/>
        <w:tabs>
          <w:tab w:leader="none" w:pos="15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a reducton in your then current Base Salary or then current Annual Bonus by more than ten percent (10%) of either;</w:t>
      </w:r>
    </w:p>
    <w:p>
      <w:pPr>
        <w:spacing w:after="0" w:line="104" w:lineRule="exact"/>
        <w:rPr>
          <w:rFonts w:ascii="Calibri" w:cs="Calibri" w:eastAsia="Calibri" w:hAnsi="Calibri"/>
          <w:sz w:val="18"/>
          <w:szCs w:val="18"/>
          <w:color w:val="auto"/>
        </w:rPr>
      </w:pPr>
    </w:p>
    <w:p>
      <w:pPr>
        <w:ind w:left="1500" w:hanging="743"/>
        <w:spacing w:after="0"/>
        <w:tabs>
          <w:tab w:leader="none" w:pos="15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the material breach by the Company of any agreement between you and the Company;</w:t>
      </w:r>
    </w:p>
    <w:p>
      <w:pPr>
        <w:spacing w:after="0" w:line="104" w:lineRule="exact"/>
        <w:rPr>
          <w:rFonts w:ascii="Calibri" w:cs="Calibri" w:eastAsia="Calibri" w:hAnsi="Calibri"/>
          <w:sz w:val="18"/>
          <w:szCs w:val="18"/>
          <w:color w:val="auto"/>
        </w:rPr>
      </w:pPr>
    </w:p>
    <w:p>
      <w:pPr>
        <w:ind w:left="1500" w:hanging="743"/>
        <w:spacing w:after="0"/>
        <w:tabs>
          <w:tab w:leader="none" w:pos="150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a relocaton of your primary locaton of work more than thirty (30) miles from the Chicago-Naperville-Elgin metropolitan area;</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i w:val="1"/>
          <w:iCs w:val="1"/>
          <w:color w:val="auto"/>
        </w:rPr>
        <w:t>provided</w:t>
      </w:r>
      <w:r>
        <w:rPr>
          <w:rFonts w:ascii="Calibri" w:cs="Calibri" w:eastAsia="Calibri" w:hAnsi="Calibri"/>
          <w:sz w:val="17"/>
          <w:szCs w:val="17"/>
          <w:color w:val="auto"/>
        </w:rPr>
        <w:t>,</w:t>
      </w:r>
      <w:r>
        <w:rPr>
          <w:rFonts w:ascii="Calibri" w:cs="Calibri" w:eastAsia="Calibri" w:hAnsi="Calibri"/>
          <w:sz w:val="17"/>
          <w:szCs w:val="17"/>
          <w:i w:val="1"/>
          <w:iCs w:val="1"/>
          <w:color w:val="auto"/>
        </w:rPr>
        <w:t xml:space="preserve"> however</w:t>
      </w:r>
      <w:r>
        <w:rPr>
          <w:rFonts w:ascii="Calibri" w:cs="Calibri" w:eastAsia="Calibri" w:hAnsi="Calibri"/>
          <w:sz w:val="17"/>
          <w:szCs w:val="17"/>
          <w:color w:val="auto"/>
        </w:rPr>
        <w:t>, that in each case above, you must (a) frst provide writen notce to the Company of the existence of the Good Reason conditon within</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thirty (30) days of the inital existence of such event specifying the basis for your belief that you are enttled to terminate your employment for Good Reason,</w:t>
      </w:r>
    </w:p>
    <w:p>
      <w:pPr>
        <w:spacing w:after="0" w:line="1" w:lineRule="exact"/>
        <w:rPr>
          <w:sz w:val="20"/>
          <w:szCs w:val="20"/>
          <w:color w:val="auto"/>
        </w:rPr>
      </w:pPr>
    </w:p>
    <w:p>
      <w:pPr>
        <w:ind w:left="260" w:hanging="252"/>
        <w:spacing w:after="0"/>
        <w:tabs>
          <w:tab w:leader="none" w:pos="260" w:val="left"/>
        </w:tabs>
        <w:numPr>
          <w:ilvl w:val="0"/>
          <w:numId w:val="62"/>
        </w:numPr>
        <w:rPr>
          <w:rFonts w:ascii="Calibri" w:cs="Calibri" w:eastAsia="Calibri" w:hAnsi="Calibri"/>
          <w:sz w:val="17"/>
          <w:szCs w:val="17"/>
          <w:color w:val="auto"/>
        </w:rPr>
      </w:pPr>
      <w:r>
        <w:rPr>
          <w:rFonts w:ascii="Calibri" w:cs="Calibri" w:eastAsia="Calibri" w:hAnsi="Calibri"/>
          <w:sz w:val="17"/>
          <w:szCs w:val="17"/>
          <w:color w:val="auto"/>
        </w:rPr>
        <w:t>give the Company an opportunity to cure any of the foregoing within thirty (30) days following your delivery to the Company of such writen notce, and</w:t>
      </w:r>
    </w:p>
    <w:p>
      <w:pPr>
        <w:spacing w:after="0" w:line="7" w:lineRule="exact"/>
        <w:rPr>
          <w:rFonts w:ascii="Calibri" w:cs="Calibri" w:eastAsia="Calibri" w:hAnsi="Calibri"/>
          <w:sz w:val="17"/>
          <w:szCs w:val="17"/>
          <w:color w:val="auto"/>
        </w:rPr>
      </w:pPr>
    </w:p>
    <w:p>
      <w:pPr>
        <w:ind w:left="220" w:hanging="212"/>
        <w:spacing w:after="0" w:line="235" w:lineRule="auto"/>
        <w:tabs>
          <w:tab w:leader="none" w:pos="22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actually resign your employment within thirty (30) days following the expiraton of the Company’s thirty (30)-day cure period.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All references to the Company in these defnitons shall include Subsidiary, and successor enttes of the Company, and shall include Hoya Topco, LLC.</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center"/>
        <w:spacing w:after="0"/>
        <w:rPr>
          <w:sz w:val="20"/>
          <w:szCs w:val="20"/>
          <w:color w:val="auto"/>
        </w:rPr>
      </w:pPr>
      <w:r>
        <w:rPr>
          <w:rFonts w:ascii="Calibri" w:cs="Calibri" w:eastAsia="Calibri" w:hAnsi="Calibri"/>
          <w:sz w:val="18"/>
          <w:szCs w:val="18"/>
          <w:b w:val="1"/>
          <w:bCs w:val="1"/>
          <w:color w:val="auto"/>
        </w:rPr>
        <w:t>EXHIBIT C</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Form of Release Agreement</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SEPARATION AGREEMENT AND GENERAL RELEASE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This Separaton Agreement and General Release (this “</w:t>
      </w:r>
      <w:r>
        <w:rPr>
          <w:rFonts w:ascii="Calibri" w:cs="Calibri" w:eastAsia="Calibri" w:hAnsi="Calibri"/>
          <w:sz w:val="18"/>
          <w:szCs w:val="18"/>
          <w:b w:val="1"/>
          <w:bCs w:val="1"/>
          <w:color w:val="auto"/>
        </w:rPr>
        <w:t>Agreement</w:t>
      </w:r>
      <w:r>
        <w:rPr>
          <w:rFonts w:ascii="Calibri" w:cs="Calibri" w:eastAsia="Calibri" w:hAnsi="Calibri"/>
          <w:sz w:val="18"/>
          <w:szCs w:val="18"/>
          <w:color w:val="auto"/>
        </w:rPr>
        <w:t>”), by and between the undersigned (“</w:t>
      </w:r>
      <w:r>
        <w:rPr>
          <w:rFonts w:ascii="Calibri" w:cs="Calibri" w:eastAsia="Calibri" w:hAnsi="Calibri"/>
          <w:sz w:val="18"/>
          <w:szCs w:val="18"/>
          <w:b w:val="1"/>
          <w:bCs w:val="1"/>
          <w:color w:val="auto"/>
        </w:rPr>
        <w:t>Employee</w:t>
      </w:r>
      <w:r>
        <w:rPr>
          <w:rFonts w:ascii="Calibri" w:cs="Calibri" w:eastAsia="Calibri" w:hAnsi="Calibri"/>
          <w:sz w:val="18"/>
          <w:szCs w:val="18"/>
          <w:color w:val="auto"/>
        </w:rPr>
        <w:t>”) and __________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is</w:t>
      </w:r>
    </w:p>
    <w:p>
      <w:pPr>
        <w:spacing w:after="0" w:line="235" w:lineRule="auto"/>
        <w:rPr>
          <w:sz w:val="20"/>
          <w:szCs w:val="20"/>
          <w:color w:val="auto"/>
        </w:rPr>
      </w:pPr>
      <w:r>
        <w:rPr>
          <w:rFonts w:ascii="Calibri" w:cs="Calibri" w:eastAsia="Calibri" w:hAnsi="Calibri"/>
          <w:sz w:val="18"/>
          <w:szCs w:val="18"/>
          <w:color w:val="auto"/>
        </w:rPr>
        <w:t>efectve as of the date of Employee’s signature below (the “</w:t>
      </w:r>
      <w:r>
        <w:rPr>
          <w:rFonts w:ascii="Calibri" w:cs="Calibri" w:eastAsia="Calibri" w:hAnsi="Calibri"/>
          <w:sz w:val="18"/>
          <w:szCs w:val="18"/>
          <w:b w:val="1"/>
          <w:bCs w:val="1"/>
          <w:color w:val="auto"/>
        </w:rPr>
        <w:t>Efectve Date</w:t>
      </w:r>
      <w:r>
        <w:rPr>
          <w:rFonts w:ascii="Calibri" w:cs="Calibri" w:eastAsia="Calibri" w:hAnsi="Calibri"/>
          <w:sz w:val="18"/>
          <w:szCs w:val="18"/>
          <w:color w:val="auto"/>
        </w:rPr>
        <w:t>”).</w:t>
      </w:r>
    </w:p>
    <w:p>
      <w:pPr>
        <w:spacing w:after="0" w:line="110" w:lineRule="exact"/>
        <w:rPr>
          <w:sz w:val="20"/>
          <w:szCs w:val="20"/>
          <w:color w:val="auto"/>
        </w:rPr>
      </w:pPr>
    </w:p>
    <w:p>
      <w:pPr>
        <w:jc w:val="both"/>
        <w:ind w:firstLine="757"/>
        <w:spacing w:after="0" w:line="235" w:lineRule="auto"/>
        <w:tabs>
          <w:tab w:leader="none" w:pos="1018" w:val="left"/>
        </w:tabs>
        <w:numPr>
          <w:ilvl w:val="0"/>
          <w:numId w:val="63"/>
        </w:numPr>
        <w:rPr>
          <w:rFonts w:ascii="Calibri" w:cs="Calibri" w:eastAsia="Calibri" w:hAnsi="Calibri"/>
          <w:sz w:val="18"/>
          <w:szCs w:val="18"/>
          <w:color w:val="auto"/>
        </w:rPr>
      </w:pPr>
      <w:r>
        <w:rPr>
          <w:rFonts w:ascii="Calibri" w:cs="Calibri" w:eastAsia="Calibri" w:hAnsi="Calibri"/>
          <w:sz w:val="18"/>
          <w:szCs w:val="18"/>
          <w:u w:val="single" w:color="auto"/>
          <w:color w:val="auto"/>
        </w:rPr>
        <w:t>Separaton Date</w:t>
      </w:r>
      <w:r>
        <w:rPr>
          <w:rFonts w:ascii="Calibri" w:cs="Calibri" w:eastAsia="Calibri" w:hAnsi="Calibri"/>
          <w:sz w:val="18"/>
          <w:szCs w:val="18"/>
          <w:color w:val="auto"/>
        </w:rPr>
        <w:t>. Employee’s employment with the Company terminated on __________ (the “</w:t>
      </w:r>
      <w:r>
        <w:rPr>
          <w:rFonts w:ascii="Calibri" w:cs="Calibri" w:eastAsia="Calibri" w:hAnsi="Calibri"/>
          <w:sz w:val="18"/>
          <w:szCs w:val="18"/>
          <w:b w:val="1"/>
          <w:bCs w:val="1"/>
          <w:color w:val="auto"/>
        </w:rPr>
        <w:t>Separaton Date</w:t>
      </w:r>
      <w:r>
        <w:rPr>
          <w:rFonts w:ascii="Calibri" w:cs="Calibri" w:eastAsia="Calibri" w:hAnsi="Calibri"/>
          <w:sz w:val="18"/>
          <w:szCs w:val="18"/>
          <w:color w:val="auto"/>
        </w:rPr>
        <w:t>”). Employee acknowledges that Employee has received all base salary, benefts, including unused vacaton pay, accruing through the Separaton Date, and, afer the Separaton Date, Employee is not enttled to any additonal compensaton or benefts except as provided below.</w:t>
      </w:r>
    </w:p>
    <w:p>
      <w:pPr>
        <w:spacing w:after="0" w:line="110"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63"/>
        </w:numPr>
        <w:rPr>
          <w:rFonts w:ascii="Calibri" w:cs="Calibri" w:eastAsia="Calibri" w:hAnsi="Calibri"/>
          <w:sz w:val="18"/>
          <w:szCs w:val="18"/>
          <w:color w:val="auto"/>
        </w:rPr>
      </w:pPr>
      <w:r>
        <w:rPr>
          <w:rFonts w:ascii="Calibri" w:cs="Calibri" w:eastAsia="Calibri" w:hAnsi="Calibri"/>
          <w:sz w:val="18"/>
          <w:szCs w:val="18"/>
          <w:u w:val="single" w:color="auto"/>
          <w:color w:val="auto"/>
        </w:rPr>
        <w:t>Employee Release of Rights and Agreement Not to Sue</w:t>
      </w:r>
      <w:r>
        <w:rPr>
          <w:rFonts w:ascii="Calibri" w:cs="Calibri" w:eastAsia="Calibri" w:hAnsi="Calibri"/>
          <w:sz w:val="18"/>
          <w:szCs w:val="18"/>
          <w:color w:val="auto"/>
        </w:rPr>
        <w:t>. Employee (defned for the purpose of this Secton as Employee and Employee’s agents, representatves, atorneys, assigns, heirs, executors, and administrators) fully and unconditonally releases the Released Partes (defned as the Company and its parents, afliates, predecessors, successors, and assigns, and any of their past or present employees, portolio companies, trustees, investors, agents, insurers, atorneys, administrators, ofcials, directors, shareholders, divisions, employee beneft plans, and the sponsors, fduciaries, or administrators of employee beneft plans) from, and agrees not to bring any and agrees not to bring any acton, proceeding, or suit against any of the Released Partes regarding, any and all known or unknown claims, causes of acton, liabilites, damages, fees, or remuneratons of any sort, arising or that may have arisen out of or in connecton with Employee’s employment with or terminaton of employment from the Company or any equity interests Employee may have, at any tme before and contnuing through the Efectve Date, including but not limited to claims for:</w:t>
      </w:r>
    </w:p>
    <w:p>
      <w:pPr>
        <w:spacing w:after="0" w:line="114" w:lineRule="exact"/>
        <w:rPr>
          <w:rFonts w:ascii="Calibri" w:cs="Calibri" w:eastAsia="Calibri" w:hAnsi="Calibri"/>
          <w:sz w:val="18"/>
          <w:szCs w:val="18"/>
          <w:color w:val="auto"/>
        </w:rPr>
      </w:pPr>
    </w:p>
    <w:p>
      <w:pPr>
        <w:jc w:val="both"/>
        <w:ind w:left="760" w:firstLine="745"/>
        <w:spacing w:after="0" w:line="235" w:lineRule="auto"/>
        <w:tabs>
          <w:tab w:leader="none" w:pos="2048"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violaton of any writen or unwriten contract, agreement, policy, beneft plan, retrement or pension plan, opton plan, severance plan, or covenant of any kind, or failure to pay wages, bonuses, employee benefts, other compensaton, atorneys’ fees, damages, or any other remuneraton (including any equity, ownership interest, management fee, carried interest, partnership interest, distributons, dividends or partcipaton or ownership in any business venture related to the Company); and/or</w:t>
      </w:r>
    </w:p>
    <w:p>
      <w:pPr>
        <w:spacing w:after="0" w:line="111" w:lineRule="exact"/>
        <w:rPr>
          <w:rFonts w:ascii="Calibri" w:cs="Calibri" w:eastAsia="Calibri" w:hAnsi="Calibri"/>
          <w:sz w:val="18"/>
          <w:szCs w:val="18"/>
          <w:color w:val="auto"/>
        </w:rPr>
      </w:pPr>
    </w:p>
    <w:p>
      <w:pPr>
        <w:jc w:val="both"/>
        <w:ind w:left="760" w:firstLine="745"/>
        <w:spacing w:after="0" w:line="235" w:lineRule="auto"/>
        <w:tabs>
          <w:tab w:leader="none" w:pos="2048"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discriminaton, harassment, or retaliaton on the basis of any characteristc protected under law, including but not limited to race, color, natonal origin, sex, pregnancy, sexual orientaton, religion, disability, marital or parental status, age, union actvity or other protected actvity; and/or</w:t>
      </w:r>
    </w:p>
    <w:p>
      <w:pPr>
        <w:spacing w:after="0" w:line="110" w:lineRule="exact"/>
        <w:rPr>
          <w:rFonts w:ascii="Calibri" w:cs="Calibri" w:eastAsia="Calibri" w:hAnsi="Calibri"/>
          <w:sz w:val="18"/>
          <w:szCs w:val="18"/>
          <w:color w:val="auto"/>
        </w:rPr>
      </w:pPr>
    </w:p>
    <w:p>
      <w:pPr>
        <w:jc w:val="both"/>
        <w:ind w:left="760" w:firstLine="745"/>
        <w:spacing w:after="0" w:line="235" w:lineRule="auto"/>
        <w:tabs>
          <w:tab w:leader="none" w:pos="2048"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denial of protecton or benefts under any statute, ordinance, executve order, or regulaton, including but not limited to claims under Title VII of the Civil Rights Act of 1964, the Civil Rights Act of 1991, the Civil Rights Act of 1866, the Age Discriminaton in Employment Act, the Older Workers Beneft Protecton Act, the Americans with Disabilites Act, the Fair Labor Standards Act, the Family and Medical Leave Act, the Workers Adjustment and Retraining Notfcaton, the Employee Retrement Income Security Act of 1974, the Illinois Wage Payment and Collecton Act, the Illinois Human Rights Act, the Illinois Equal Pay Act, Illinois Family Military Leave Act, the Illinois Employee Sick Leave Act, the Cook County Human Rights Ordinance, the Cook County Earned Sick Leave Ordinance, the Chicago Human Rights Ordinance, the Chicago Minimum Wage and Paid Sick Leave Ordinance, as amended or any other federal, state or local statute, ordinance, or regulaton regarding employment, terminaton of employment, discriminaton, harassment, retaliaton, or wage and hour maters; and/or</w:t>
      </w:r>
    </w:p>
    <w:p>
      <w:pPr>
        <w:spacing w:after="0" w:line="114" w:lineRule="exact"/>
        <w:rPr>
          <w:rFonts w:ascii="Calibri" w:cs="Calibri" w:eastAsia="Calibri" w:hAnsi="Calibri"/>
          <w:sz w:val="18"/>
          <w:szCs w:val="18"/>
          <w:color w:val="auto"/>
        </w:rPr>
      </w:pPr>
    </w:p>
    <w:p>
      <w:pPr>
        <w:ind w:left="760" w:firstLine="745"/>
        <w:spacing w:after="0" w:line="258" w:lineRule="auto"/>
        <w:tabs>
          <w:tab w:leader="none" w:pos="2048" w:val="left"/>
        </w:tabs>
        <w:numPr>
          <w:ilvl w:val="1"/>
          <w:numId w:val="63"/>
        </w:numPr>
        <w:rPr>
          <w:rFonts w:ascii="Calibri" w:cs="Calibri" w:eastAsia="Calibri" w:hAnsi="Calibri"/>
          <w:sz w:val="17"/>
          <w:szCs w:val="17"/>
          <w:color w:val="auto"/>
        </w:rPr>
      </w:pPr>
      <w:r>
        <w:rPr>
          <w:rFonts w:ascii="Calibri" w:cs="Calibri" w:eastAsia="Calibri" w:hAnsi="Calibri"/>
          <w:sz w:val="17"/>
          <w:szCs w:val="17"/>
          <w:color w:val="auto"/>
        </w:rPr>
        <w:t>violaton of any public policy or common law of any state relatng to employment or personal injury, including but not limited to claims for wrongful discharge, defamaton, invasion of privacy, inficton of emotonal distress, negligence, fraud, and interference with contract.</w:t>
      </w:r>
    </w:p>
    <w:p>
      <w:pPr>
        <w:spacing w:after="0" w:line="9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Employee afrms that as of the Efectve Date, no acton or proceeding covered by this Secton was pending against any of the Released Partes. Nothing herein shall restrict Employee from fling a claim for unemployment insurance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35" w:lineRule="auto"/>
        <w:rPr>
          <w:sz w:val="20"/>
          <w:szCs w:val="20"/>
          <w:color w:val="auto"/>
        </w:rPr>
      </w:pPr>
      <w:r>
        <w:rPr>
          <w:rFonts w:ascii="Calibri" w:cs="Calibri" w:eastAsia="Calibri" w:hAnsi="Calibri"/>
          <w:sz w:val="18"/>
          <w:szCs w:val="18"/>
          <w:color w:val="auto"/>
        </w:rPr>
        <w:t>benefts or other claims that cannot be waived by agreement. Further, nothing in the foregoing release shall prohibit Employee from fling a charge or complaint with, or partcipatng in any investgaton conducted by or before, an administratve agency; however, Employee waives any right to recovery in such a proceeding or any proceeding insttuted on Employee's behalf regarding Employee's employment with, or separaton from, the Company, to the extent permited by law.</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releases in this Agreement do not extend to, and have no efect upon, any benefts that have accrued or equity that has vested, and to which Employee has become vested or otherwise enttled to, under any employee beneft plan, program or policy sponsored or maintained by the Company or of Hoya Topco, LLC, or to Employee’s right to indemnifcaton by the Company, Hoya Topco, LLC, or any applicable Subsidiary (as defned in the Topco LLC Agreement) of either, and contnued coverage under any applicable director's and ofcer's insurance policy.</w:t>
      </w:r>
    </w:p>
    <w:p>
      <w:pPr>
        <w:spacing w:after="0" w:line="111" w:lineRule="exact"/>
        <w:rPr>
          <w:sz w:val="20"/>
          <w:szCs w:val="20"/>
          <w:color w:val="auto"/>
        </w:rPr>
      </w:pPr>
    </w:p>
    <w:p>
      <w:pPr>
        <w:jc w:val="both"/>
        <w:ind w:firstLine="757"/>
        <w:spacing w:after="0" w:line="251" w:lineRule="auto"/>
        <w:tabs>
          <w:tab w:leader="none" w:pos="1018" w:val="left"/>
        </w:tabs>
        <w:numPr>
          <w:ilvl w:val="0"/>
          <w:numId w:val="64"/>
        </w:numPr>
        <w:rPr>
          <w:rFonts w:ascii="Calibri" w:cs="Calibri" w:eastAsia="Calibri" w:hAnsi="Calibri"/>
          <w:sz w:val="17"/>
          <w:szCs w:val="17"/>
          <w:color w:val="auto"/>
        </w:rPr>
      </w:pPr>
      <w:r>
        <w:rPr>
          <w:rFonts w:ascii="Calibri" w:cs="Calibri" w:eastAsia="Calibri" w:hAnsi="Calibri"/>
          <w:sz w:val="17"/>
          <w:szCs w:val="17"/>
          <w:u w:val="single" w:color="auto"/>
          <w:color w:val="auto"/>
        </w:rPr>
        <w:t>ADEA Release; Revocaton Period</w:t>
      </w:r>
      <w:r>
        <w:rPr>
          <w:rFonts w:ascii="Calibri" w:cs="Calibri" w:eastAsia="Calibri" w:hAnsi="Calibri"/>
          <w:sz w:val="17"/>
          <w:szCs w:val="17"/>
          <w:color w:val="auto"/>
        </w:rPr>
        <w:t>. Employee acknowledges that Employee is releasing any claims Employee may have under the Age Discriminaton in Employment Act and the Older Workers Beneft Protecton Act (the “</w:t>
      </w:r>
      <w:r>
        <w:rPr>
          <w:rFonts w:ascii="Calibri" w:cs="Calibri" w:eastAsia="Calibri" w:hAnsi="Calibri"/>
          <w:sz w:val="17"/>
          <w:szCs w:val="17"/>
          <w:b w:val="1"/>
          <w:bCs w:val="1"/>
          <w:color w:val="auto"/>
        </w:rPr>
        <w:t>ADEA Release</w:t>
      </w:r>
      <w:r>
        <w:rPr>
          <w:rFonts w:ascii="Calibri" w:cs="Calibri" w:eastAsia="Calibri" w:hAnsi="Calibri"/>
          <w:sz w:val="17"/>
          <w:szCs w:val="17"/>
          <w:color w:val="auto"/>
        </w:rPr>
        <w:t>”). Employee has the right to revoke such ADEA Release for up to seven (7) days afer Employee signs this Agreement. In order to revoke Employee’s ADEA Release, Employee must sign and send a writen notce of the decision to do so, addressed to __________ and that writen notce must be received by the Company no later than the eighth (8</w:t>
      </w:r>
      <w:r>
        <w:rPr>
          <w:rFonts w:ascii="Calibri" w:cs="Calibri" w:eastAsia="Calibri" w:hAnsi="Calibri"/>
          <w:sz w:val="11"/>
          <w:szCs w:val="11"/>
          <w:color w:val="auto"/>
        </w:rPr>
        <w:t>th</w:t>
      </w:r>
      <w:r>
        <w:rPr>
          <w:rFonts w:ascii="Calibri" w:cs="Calibri" w:eastAsia="Calibri" w:hAnsi="Calibri"/>
          <w:sz w:val="17"/>
          <w:szCs w:val="17"/>
          <w:color w:val="auto"/>
        </w:rPr>
        <w:t>) day afer Employee signed this Agreement. If Employee revokes Employee's ADEA Release, Employee will not be enttled to any of the consideraton described in this Agreement.</w:t>
      </w:r>
    </w:p>
    <w:p>
      <w:pPr>
        <w:spacing w:after="0" w:line="102" w:lineRule="exact"/>
        <w:rPr>
          <w:rFonts w:ascii="Calibri" w:cs="Calibri" w:eastAsia="Calibri" w:hAnsi="Calibri"/>
          <w:sz w:val="17"/>
          <w:szCs w:val="17"/>
          <w:color w:val="auto"/>
        </w:rPr>
      </w:pPr>
    </w:p>
    <w:p>
      <w:pPr>
        <w:jc w:val="both"/>
        <w:ind w:firstLine="757"/>
        <w:spacing w:after="0" w:line="235" w:lineRule="auto"/>
        <w:tabs>
          <w:tab w:leader="none" w:pos="1018" w:val="left"/>
        </w:tabs>
        <w:numPr>
          <w:ilvl w:val="0"/>
          <w:numId w:val="64"/>
        </w:numPr>
        <w:rPr>
          <w:rFonts w:ascii="Calibri" w:cs="Calibri" w:eastAsia="Calibri" w:hAnsi="Calibri"/>
          <w:sz w:val="18"/>
          <w:szCs w:val="18"/>
          <w:color w:val="auto"/>
        </w:rPr>
      </w:pPr>
      <w:r>
        <w:rPr>
          <w:rFonts w:ascii="Calibri" w:cs="Calibri" w:eastAsia="Calibri" w:hAnsi="Calibri"/>
          <w:sz w:val="18"/>
          <w:szCs w:val="18"/>
          <w:u w:val="single" w:color="auto"/>
          <w:color w:val="auto"/>
        </w:rPr>
        <w:t>Knowing and Voluntary Waiver</w:t>
      </w:r>
      <w:r>
        <w:rPr>
          <w:rFonts w:ascii="Calibri" w:cs="Calibri" w:eastAsia="Calibri" w:hAnsi="Calibri"/>
          <w:sz w:val="18"/>
          <w:szCs w:val="18"/>
          <w:color w:val="auto"/>
        </w:rPr>
        <w:t>. Employee acknowledges that (i) Employee has carefully read this Agreement and fully understands its meaning; (ii) Employee had the opportunity to take up to twenty-one (21) days afer receiving this Agreement to decide whether to sign it, and the partes expressly agree that such twenty-one (21)-day period shall not be extended upon any material or immaterial changes to the Agreement; (iii) Employee understands that the Company is herein advising Employee, in writng, to consult with an atorney before signing it; (iv) Employee is signing this Agreement knowingly, voluntarily, and without any coercion or duress; and (v) everything Employee is receiving for signing this Agreement is described in the Agreement itself, and no other promises or representatons have been made to cause Employee to sign it.</w:t>
      </w:r>
    </w:p>
    <w:p>
      <w:pPr>
        <w:spacing w:after="0" w:line="113"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64"/>
        </w:numPr>
        <w:rPr>
          <w:rFonts w:ascii="Calibri" w:cs="Calibri" w:eastAsia="Calibri" w:hAnsi="Calibri"/>
          <w:sz w:val="18"/>
          <w:szCs w:val="18"/>
          <w:color w:val="auto"/>
        </w:rPr>
      </w:pPr>
      <w:r>
        <w:rPr>
          <w:rFonts w:ascii="Calibri" w:cs="Calibri" w:eastAsia="Calibri" w:hAnsi="Calibri"/>
          <w:sz w:val="18"/>
          <w:szCs w:val="18"/>
          <w:u w:val="single" w:color="auto"/>
          <w:color w:val="auto"/>
        </w:rPr>
        <w:t>Entre Agreement</w:t>
      </w:r>
      <w:r>
        <w:rPr>
          <w:rFonts w:ascii="Calibri" w:cs="Calibri" w:eastAsia="Calibri" w:hAnsi="Calibri"/>
          <w:sz w:val="18"/>
          <w:szCs w:val="18"/>
          <w:color w:val="auto"/>
        </w:rPr>
        <w:t>. This Agreement represents the entre agreement and understanding concerning the maters addressed herein, including Employee's separaton from the Company, and supersedes and replaces any and all prior agreements, understandings, discussions, negotatons, or proposals regarding same. In deciding to sign this Agreement, Employee has not relied on any express or implied promise, statement, or representaton by the Company, whether oral or writen, except as set forth herein.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To be valid and binding, this Agreement must be signed by Employee and submited to the Company at the address provided in Secton S no later than twenty-one (21) days afer the date on which Employee received it. If this Agreement is not received by such tme, Employee will not be eligible for any of the consideraton set forth herein.</w:t>
      </w:r>
    </w:p>
    <w:p>
      <w:pPr>
        <w:spacing w:after="0" w:line="173" w:lineRule="exact"/>
        <w:rPr>
          <w:sz w:val="20"/>
          <w:szCs w:val="20"/>
          <w:color w:val="auto"/>
        </w:rPr>
      </w:pPr>
    </w:p>
    <w:p>
      <w:pPr>
        <w:spacing w:after="0"/>
        <w:tabs>
          <w:tab w:leader="none" w:pos="2520" w:val="left"/>
        </w:tabs>
        <w:rPr>
          <w:sz w:val="20"/>
          <w:szCs w:val="20"/>
          <w:color w:val="auto"/>
        </w:rPr>
      </w:pPr>
      <w:r>
        <w:rPr>
          <w:rFonts w:ascii="Calibri" w:cs="Calibri" w:eastAsia="Calibri" w:hAnsi="Calibri"/>
          <w:sz w:val="18"/>
          <w:szCs w:val="18"/>
          <w:color w:val="auto"/>
        </w:rPr>
        <w:t>EMPLOYEE</w:t>
      </w:r>
      <w:r>
        <w:rPr>
          <w:sz w:val="20"/>
          <w:szCs w:val="20"/>
          <w:color w:val="auto"/>
        </w:rPr>
        <w:tab/>
      </w:r>
      <w:r>
        <w:rPr>
          <w:rFonts w:ascii="Calibri" w:cs="Calibri" w:eastAsia="Calibri" w:hAnsi="Calibri"/>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60452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4">
                      <a:extLst>
                        <a:ext uri="{28A0092B-C50C-407E-A947-70E740481C1C}"/>
                      </a:extLst>
                    </a:blip>
                    <a:srcRect/>
                    <a:stretch>
                      <a:fillRect/>
                    </a:stretch>
                  </pic:blipFill>
                  <pic:spPr bwMode="auto">
                    <a:xfrm>
                      <a:off x="0" y="0"/>
                      <a:ext cx="60452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238125</wp:posOffset>
            </wp:positionV>
            <wp:extent cx="60452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5">
                      <a:extLst>
                        <a:ext uri="{28A0092B-C50C-407E-A947-70E740481C1C}"/>
                      </a:extLst>
                    </a:blip>
                    <a:srcRect/>
                    <a:stretch>
                      <a:fillRect/>
                    </a:stretch>
                  </pic:blipFill>
                  <pic:spPr bwMode="auto">
                    <a:xfrm>
                      <a:off x="0" y="0"/>
                      <a:ext cx="60452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alibri" w:cs="Calibri" w:eastAsia="Calibri" w:hAnsi="Calibri"/>
          <w:sz w:val="17"/>
          <w:szCs w:val="17"/>
          <w:color w:val="auto"/>
        </w:rPr>
        <w:t>Name: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Name:</w:t>
      </w:r>
    </w:p>
    <w:p>
      <w:pPr>
        <w:spacing w:after="0" w:line="4"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Title:</w:t>
      </w:r>
    </w:p>
    <w:p>
      <w:pPr>
        <w:spacing w:after="0" w:line="235" w:lineRule="auto"/>
        <w:rPr>
          <w:sz w:val="20"/>
          <w:szCs w:val="20"/>
          <w:color w:val="auto"/>
        </w:rPr>
      </w:pPr>
      <w:r>
        <w:rPr>
          <w:rFonts w:ascii="Calibri" w:cs="Calibri" w:eastAsia="Calibri" w:hAnsi="Calibri"/>
          <w:sz w:val="18"/>
          <w:szCs w:val="18"/>
          <w:color w:val="auto"/>
        </w:rPr>
        <w:t>Date:</w:t>
      </w:r>
    </w:p>
    <w:p>
      <w:pPr>
        <w:spacing w:after="0" w:line="200" w:lineRule="exact"/>
        <w:rPr>
          <w:sz w:val="20"/>
          <w:szCs w:val="20"/>
          <w:color w:val="auto"/>
        </w:rPr>
      </w:pPr>
    </w:p>
    <w:p>
      <w:pPr>
        <w:sectPr>
          <w:pgSz w:w="11900" w:h="16838" w:orient="portrait"/>
          <w:cols w:equalWidth="0" w:num="2">
            <w:col w:w="1500" w:space="720"/>
            <w:col w:w="9020"/>
          </w:cols>
          <w:pgMar w:left="320" w:top="1413" w:right="3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6" w:name="page147"/>
    <w:bookmarkEnd w:id="146"/>
    <w:p>
      <w:pPr>
        <w:jc w:val="right"/>
        <w:spacing w:after="0"/>
        <w:rPr>
          <w:sz w:val="20"/>
          <w:szCs w:val="20"/>
          <w:color w:val="auto"/>
        </w:rPr>
      </w:pPr>
      <w:r>
        <w:rPr>
          <w:rFonts w:ascii="Calibri" w:cs="Calibri" w:eastAsia="Calibri" w:hAnsi="Calibri"/>
          <w:sz w:val="18"/>
          <w:szCs w:val="18"/>
          <w:b w:val="1"/>
          <w:bCs w:val="1"/>
          <w:color w:val="auto"/>
        </w:rPr>
        <w:t>Exhibit 10.31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AMENDMENT TO</w:t>
      </w:r>
    </w:p>
    <w:p>
      <w:pPr>
        <w:jc w:val="center"/>
        <w:spacing w:after="0" w:line="235" w:lineRule="auto"/>
        <w:rPr>
          <w:sz w:val="20"/>
          <w:szCs w:val="20"/>
          <w:color w:val="auto"/>
        </w:rPr>
      </w:pPr>
      <w:r>
        <w:rPr>
          <w:rFonts w:ascii="Calibri" w:cs="Calibri" w:eastAsia="Calibri" w:hAnsi="Calibri"/>
          <w:sz w:val="18"/>
          <w:szCs w:val="18"/>
          <w:b w:val="1"/>
          <w:bCs w:val="1"/>
          <w:color w:val="auto"/>
        </w:rPr>
        <w:t>EMPLOYMENT AGREEMENT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Amendment to Employment Agreement (this “</w:t>
      </w:r>
      <w:r>
        <w:rPr>
          <w:rFonts w:ascii="Calibri" w:cs="Calibri" w:eastAsia="Calibri" w:hAnsi="Calibri"/>
          <w:sz w:val="18"/>
          <w:szCs w:val="18"/>
          <w:b w:val="1"/>
          <w:bCs w:val="1"/>
          <w:i w:val="1"/>
          <w:iCs w:val="1"/>
          <w:color w:val="auto"/>
        </w:rPr>
        <w:t>Amendment</w:t>
      </w:r>
      <w:r>
        <w:rPr>
          <w:rFonts w:ascii="Calibri" w:cs="Calibri" w:eastAsia="Calibri" w:hAnsi="Calibri"/>
          <w:sz w:val="18"/>
          <w:szCs w:val="18"/>
          <w:color w:val="auto"/>
        </w:rPr>
        <w:t>”) is entered into by and among Vivid Seats Inc. and Vivid Seats LLC (together,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and Riva Bakal (“</w:t>
      </w:r>
      <w:r>
        <w:rPr>
          <w:rFonts w:ascii="Calibri" w:cs="Calibri" w:eastAsia="Calibri" w:hAnsi="Calibri"/>
          <w:sz w:val="18"/>
          <w:szCs w:val="18"/>
          <w:b w:val="1"/>
          <w:bCs w:val="1"/>
          <w:i w:val="1"/>
          <w:iCs w:val="1"/>
          <w:color w:val="auto"/>
        </w:rPr>
        <w:t>Executve</w:t>
      </w:r>
      <w:r>
        <w:rPr>
          <w:rFonts w:ascii="Calibri" w:cs="Calibri" w:eastAsia="Calibri" w:hAnsi="Calibri"/>
          <w:sz w:val="18"/>
          <w:szCs w:val="18"/>
          <w:color w:val="auto"/>
        </w:rPr>
        <w:t>”) (each, a “</w:t>
      </w:r>
      <w:r>
        <w:rPr>
          <w:rFonts w:ascii="Calibri" w:cs="Calibri" w:eastAsia="Calibri" w:hAnsi="Calibri"/>
          <w:sz w:val="18"/>
          <w:szCs w:val="18"/>
          <w:b w:val="1"/>
          <w:bCs w:val="1"/>
          <w:i w:val="1"/>
          <w:iCs w:val="1"/>
          <w:color w:val="auto"/>
        </w:rPr>
        <w:t>Party</w:t>
      </w:r>
      <w:r>
        <w:rPr>
          <w:rFonts w:ascii="Calibri" w:cs="Calibri" w:eastAsia="Calibri" w:hAnsi="Calibri"/>
          <w:sz w:val="18"/>
          <w:szCs w:val="18"/>
          <w:color w:val="auto"/>
        </w:rPr>
        <w:t>,” and collectvely, the “</w:t>
      </w:r>
      <w:r>
        <w:rPr>
          <w:rFonts w:ascii="Calibri" w:cs="Calibri" w:eastAsia="Calibri" w:hAnsi="Calibri"/>
          <w:sz w:val="18"/>
          <w:szCs w:val="18"/>
          <w:b w:val="1"/>
          <w:bCs w:val="1"/>
          <w:i w:val="1"/>
          <w:iCs w:val="1"/>
          <w:color w:val="auto"/>
        </w:rPr>
        <w:t>Partes</w:t>
      </w:r>
      <w:r>
        <w:rPr>
          <w:rFonts w:ascii="Calibri" w:cs="Calibri" w:eastAsia="Calibri" w:hAnsi="Calibri"/>
          <w:sz w:val="18"/>
          <w:szCs w:val="18"/>
          <w:color w:val="auto"/>
        </w:rPr>
        <w:t>”) as of June 26, 2024 (the “</w:t>
      </w:r>
      <w:r>
        <w:rPr>
          <w:rFonts w:ascii="Calibri" w:cs="Calibri" w:eastAsia="Calibri" w:hAnsi="Calibri"/>
          <w:sz w:val="18"/>
          <w:szCs w:val="18"/>
          <w:b w:val="1"/>
          <w:bCs w:val="1"/>
          <w:i w:val="1"/>
          <w:iCs w:val="1"/>
          <w:color w:val="auto"/>
        </w:rPr>
        <w:t>Efectve Date</w:t>
      </w:r>
      <w:r>
        <w:rPr>
          <w:rFonts w:ascii="Calibri" w:cs="Calibri" w:eastAsia="Calibri" w:hAnsi="Calibri"/>
          <w:sz w:val="18"/>
          <w:szCs w:val="18"/>
          <w:color w:val="auto"/>
        </w:rPr>
        <w: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and Executve previously entered into an Employment Agreement, dated August 13, 2021 (the “</w:t>
      </w:r>
      <w:r>
        <w:rPr>
          <w:rFonts w:ascii="Calibri" w:cs="Calibri" w:eastAsia="Calibri" w:hAnsi="Calibri"/>
          <w:sz w:val="18"/>
          <w:szCs w:val="18"/>
          <w:b w:val="1"/>
          <w:bCs w:val="1"/>
          <w:i w:val="1"/>
          <w:iCs w:val="1"/>
          <w:color w:val="auto"/>
        </w:rPr>
        <w:t>Employment Agreement</w:t>
      </w:r>
      <w:r>
        <w:rPr>
          <w:rFonts w:ascii="Calibri" w:cs="Calibri" w:eastAsia="Calibri" w:hAnsi="Calibri"/>
          <w:sz w:val="18"/>
          <w:szCs w:val="18"/>
          <w:color w:val="auto"/>
        </w:rPr>
        <w:t>”), and the Company and Executve now desire to amend the Employment Agreement pursuant to the terms hereof. In consideraton of Executve’s contnued engagement with the Company and other good and valuable consideraton, the receipt and sufciency of which is hereby acknowledged, and intending to be legally bound, the Partes agree as follows:</w:t>
      </w:r>
    </w:p>
    <w:p>
      <w:pPr>
        <w:spacing w:after="0" w:line="107" w:lineRule="exact"/>
        <w:rPr>
          <w:sz w:val="20"/>
          <w:szCs w:val="20"/>
          <w:color w:val="auto"/>
        </w:rPr>
      </w:pPr>
    </w:p>
    <w:p>
      <w:pPr>
        <w:ind w:left="380" w:hanging="372"/>
        <w:spacing w:after="0"/>
        <w:tabs>
          <w:tab w:leader="none" w:pos="380" w:val="left"/>
        </w:tabs>
        <w:numPr>
          <w:ilvl w:val="0"/>
          <w:numId w:val="6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Defnitons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Capitalized terms used herein and not otherwise defned shall have the same meaning as set forth in the Employment Agreement.</w:t>
      </w:r>
    </w:p>
    <w:p>
      <w:pPr>
        <w:spacing w:after="0" w:line="104" w:lineRule="exact"/>
        <w:rPr>
          <w:sz w:val="20"/>
          <w:szCs w:val="20"/>
          <w:color w:val="auto"/>
        </w:rPr>
      </w:pPr>
    </w:p>
    <w:p>
      <w:pPr>
        <w:ind w:left="380" w:hanging="372"/>
        <w:spacing w:after="0"/>
        <w:tabs>
          <w:tab w:leader="none" w:pos="380" w:val="left"/>
        </w:tabs>
        <w:numPr>
          <w:ilvl w:val="0"/>
          <w:numId w:val="6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Amendments</w:t>
      </w:r>
      <w:r>
        <w:rPr>
          <w:rFonts w:ascii="Calibri" w:cs="Calibri" w:eastAsia="Calibri" w:hAnsi="Calibri"/>
          <w:sz w:val="18"/>
          <w:szCs w:val="18"/>
          <w:color w:val="auto"/>
        </w:rPr>
        <w: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Partes hereby agree that the Employment Agreement shall be amended as follows:</w:t>
      </w:r>
    </w:p>
    <w:p>
      <w:pPr>
        <w:spacing w:after="0" w:line="109" w:lineRule="exact"/>
        <w:rPr>
          <w:sz w:val="20"/>
          <w:szCs w:val="20"/>
          <w:color w:val="auto"/>
        </w:rPr>
      </w:pPr>
    </w:p>
    <w:p>
      <w:pPr>
        <w:ind w:left="760" w:hanging="378"/>
        <w:spacing w:after="0" w:line="235" w:lineRule="auto"/>
        <w:tabs>
          <w:tab w:leader="none" w:pos="760" w:val="left"/>
        </w:tabs>
        <w:numPr>
          <w:ilvl w:val="0"/>
          <w:numId w:val="67"/>
        </w:numPr>
        <w:rPr>
          <w:rFonts w:ascii="Calibri" w:cs="Calibri" w:eastAsia="Calibri" w:hAnsi="Calibri"/>
          <w:sz w:val="18"/>
          <w:szCs w:val="18"/>
          <w:color w:val="auto"/>
        </w:rPr>
      </w:pPr>
      <w:r>
        <w:rPr>
          <w:rFonts w:ascii="Calibri" w:cs="Calibri" w:eastAsia="Calibri" w:hAnsi="Calibri"/>
          <w:sz w:val="18"/>
          <w:szCs w:val="18"/>
          <w:b w:val="1"/>
          <w:bCs w:val="1"/>
          <w:color w:val="auto"/>
        </w:rPr>
        <w:t>Secton 9(e)</w:t>
      </w:r>
      <w:r>
        <w:rPr>
          <w:rFonts w:ascii="Calibri" w:cs="Calibri" w:eastAsia="Calibri" w:hAnsi="Calibri"/>
          <w:sz w:val="18"/>
          <w:szCs w:val="18"/>
          <w:color w:val="auto"/>
        </w:rPr>
        <w:t>. Secton 9(e) of the Employment Agreement shall be stricken in its entrety. All other provisions in Secton 9 of the Employment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 shall remain the same.</w:t>
      </w:r>
    </w:p>
    <w:p>
      <w:pPr>
        <w:spacing w:after="0" w:line="109" w:lineRule="exact"/>
        <w:rPr>
          <w:rFonts w:ascii="Calibri" w:cs="Calibri" w:eastAsia="Calibri" w:hAnsi="Calibri"/>
          <w:sz w:val="18"/>
          <w:szCs w:val="18"/>
          <w:color w:val="auto"/>
        </w:rPr>
      </w:pPr>
    </w:p>
    <w:p>
      <w:pPr>
        <w:ind w:left="760" w:hanging="378"/>
        <w:spacing w:after="0" w:line="235" w:lineRule="auto"/>
        <w:tabs>
          <w:tab w:leader="none" w:pos="760" w:val="left"/>
        </w:tabs>
        <w:numPr>
          <w:ilvl w:val="0"/>
          <w:numId w:val="67"/>
        </w:numPr>
        <w:rPr>
          <w:rFonts w:ascii="Calibri" w:cs="Calibri" w:eastAsia="Calibri" w:hAnsi="Calibri"/>
          <w:sz w:val="18"/>
          <w:szCs w:val="18"/>
          <w:color w:val="auto"/>
        </w:rPr>
      </w:pPr>
      <w:r>
        <w:rPr>
          <w:rFonts w:ascii="Calibri" w:cs="Calibri" w:eastAsia="Calibri" w:hAnsi="Calibri"/>
          <w:sz w:val="18"/>
          <w:szCs w:val="18"/>
          <w:b w:val="1"/>
          <w:bCs w:val="1"/>
          <w:color w:val="auto"/>
        </w:rPr>
        <w:t>Secton 10</w:t>
      </w:r>
      <w:r>
        <w:rPr>
          <w:rFonts w:ascii="Calibri" w:cs="Calibri" w:eastAsia="Calibri" w:hAnsi="Calibri"/>
          <w:sz w:val="18"/>
          <w:szCs w:val="18"/>
          <w:color w:val="auto"/>
        </w:rPr>
        <w:t>. The Employment Agreement shall be amended to include a new Secton 10. All subsequent Secton numbers and references to such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Sectons shall be adjusted accordingly. The new Secton 10 shall comprise the following provisions:</w:t>
      </w:r>
    </w:p>
    <w:p>
      <w:pPr>
        <w:spacing w:after="0" w:line="109" w:lineRule="exact"/>
        <w:rPr>
          <w:rFonts w:ascii="Calibri" w:cs="Calibri" w:eastAsia="Calibri" w:hAnsi="Calibri"/>
          <w:sz w:val="18"/>
          <w:szCs w:val="18"/>
          <w:color w:val="auto"/>
        </w:rPr>
      </w:pPr>
    </w:p>
    <w:p>
      <w:pPr>
        <w:jc w:val="both"/>
        <w:ind w:left="1140" w:hanging="383"/>
        <w:spacing w:after="0" w:line="235" w:lineRule="auto"/>
        <w:tabs>
          <w:tab w:leader="none" w:pos="1083" w:val="left"/>
        </w:tabs>
        <w:numPr>
          <w:ilvl w:val="1"/>
          <w:numId w:val="67"/>
        </w:numPr>
        <w:rPr>
          <w:rFonts w:ascii="Calibri" w:cs="Calibri" w:eastAsia="Calibri" w:hAnsi="Calibri"/>
          <w:sz w:val="18"/>
          <w:szCs w:val="18"/>
          <w:color w:val="auto"/>
        </w:rPr>
      </w:pPr>
      <w:r>
        <w:rPr>
          <w:rFonts w:ascii="Calibri" w:cs="Calibri" w:eastAsia="Calibri" w:hAnsi="Calibri"/>
          <w:sz w:val="18"/>
          <w:szCs w:val="18"/>
          <w:color w:val="auto"/>
        </w:rPr>
        <w:t>If, at any tme during the period beginning 12 months prior to a Change in Control (as defned in the Company’s 2021 Incentve Award Plan, as amended) and ending 12 months following a Change in Control, the Company terminates your employment and such terminaton consttutes a Qualifying Terminaton, you will be enttled to receive the following payments and benefts:</w:t>
      </w:r>
    </w:p>
    <w:p>
      <w:pPr>
        <w:spacing w:after="0" w:line="105" w:lineRule="exact"/>
        <w:rPr>
          <w:rFonts w:ascii="Calibri" w:cs="Calibri" w:eastAsia="Calibri" w:hAnsi="Calibri"/>
          <w:sz w:val="18"/>
          <w:szCs w:val="18"/>
          <w:color w:val="auto"/>
        </w:rPr>
      </w:pPr>
    </w:p>
    <w:p>
      <w:pPr>
        <w:ind w:left="1440" w:hanging="309"/>
        <w:spacing w:after="0"/>
        <w:tabs>
          <w:tab w:leader="none" w:pos="1440" w:val="left"/>
        </w:tabs>
        <w:numPr>
          <w:ilvl w:val="2"/>
          <w:numId w:val="67"/>
        </w:numPr>
        <w:rPr>
          <w:rFonts w:ascii="Calibri" w:cs="Calibri" w:eastAsia="Calibri" w:hAnsi="Calibri"/>
          <w:sz w:val="18"/>
          <w:szCs w:val="18"/>
          <w:color w:val="auto"/>
        </w:rPr>
      </w:pPr>
      <w:r>
        <w:rPr>
          <w:rFonts w:ascii="Calibri" w:cs="Calibri" w:eastAsia="Calibri" w:hAnsi="Calibri"/>
          <w:sz w:val="18"/>
          <w:szCs w:val="18"/>
          <w:color w:val="auto"/>
        </w:rPr>
        <w:t>the Base Salary Severance;</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67"/>
        </w:numPr>
        <w:rPr>
          <w:rFonts w:ascii="Calibri" w:cs="Calibri" w:eastAsia="Calibri" w:hAnsi="Calibri"/>
          <w:sz w:val="18"/>
          <w:szCs w:val="18"/>
          <w:color w:val="auto"/>
        </w:rPr>
      </w:pPr>
      <w:r>
        <w:rPr>
          <w:rFonts w:ascii="Calibri" w:cs="Calibri" w:eastAsia="Calibri" w:hAnsi="Calibri"/>
          <w:sz w:val="18"/>
          <w:szCs w:val="18"/>
          <w:color w:val="auto"/>
        </w:rPr>
        <w:t>1.0 tmes your Annual Bonus for the fscal year in which such terminaton of employment occurs;</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67"/>
        </w:numPr>
        <w:rPr>
          <w:rFonts w:ascii="Calibri" w:cs="Calibri" w:eastAsia="Calibri" w:hAnsi="Calibri"/>
          <w:sz w:val="18"/>
          <w:szCs w:val="18"/>
          <w:color w:val="auto"/>
        </w:rPr>
      </w:pPr>
      <w:r>
        <w:rPr>
          <w:rFonts w:ascii="Calibri" w:cs="Calibri" w:eastAsia="Calibri" w:hAnsi="Calibri"/>
          <w:sz w:val="18"/>
          <w:szCs w:val="18"/>
          <w:color w:val="auto"/>
        </w:rPr>
        <w:t>any unpaid bonus for a prior fscal year;</w:t>
      </w:r>
    </w:p>
    <w:p>
      <w:pPr>
        <w:spacing w:after="0" w:line="104" w:lineRule="exact"/>
        <w:rPr>
          <w:rFonts w:ascii="Calibri" w:cs="Calibri" w:eastAsia="Calibri" w:hAnsi="Calibri"/>
          <w:sz w:val="18"/>
          <w:szCs w:val="18"/>
          <w:color w:val="auto"/>
        </w:rPr>
      </w:pPr>
    </w:p>
    <w:p>
      <w:pPr>
        <w:ind w:left="1440" w:hanging="309"/>
        <w:spacing w:after="0"/>
        <w:tabs>
          <w:tab w:leader="none" w:pos="1440" w:val="left"/>
        </w:tabs>
        <w:numPr>
          <w:ilvl w:val="2"/>
          <w:numId w:val="67"/>
        </w:numPr>
        <w:rPr>
          <w:rFonts w:ascii="Calibri" w:cs="Calibri" w:eastAsia="Calibri" w:hAnsi="Calibri"/>
          <w:sz w:val="18"/>
          <w:szCs w:val="18"/>
          <w:color w:val="auto"/>
        </w:rPr>
      </w:pPr>
      <w:r>
        <w:rPr>
          <w:rFonts w:ascii="Calibri" w:cs="Calibri" w:eastAsia="Calibri" w:hAnsi="Calibri"/>
          <w:sz w:val="18"/>
          <w:szCs w:val="18"/>
          <w:color w:val="auto"/>
        </w:rPr>
        <w:t>the COBRA benefts identfed in Secton 9(d);</w:t>
      </w:r>
    </w:p>
    <w:p>
      <w:pPr>
        <w:spacing w:after="0" w:line="109" w:lineRule="exact"/>
        <w:rPr>
          <w:rFonts w:ascii="Calibri" w:cs="Calibri" w:eastAsia="Calibri" w:hAnsi="Calibri"/>
          <w:sz w:val="18"/>
          <w:szCs w:val="18"/>
          <w:color w:val="auto"/>
        </w:rPr>
      </w:pPr>
    </w:p>
    <w:p>
      <w:pPr>
        <w:ind w:left="1500" w:right="20" w:hanging="369"/>
        <w:spacing w:after="0" w:line="235" w:lineRule="auto"/>
        <w:tabs>
          <w:tab w:leader="none" w:pos="1443" w:val="left"/>
        </w:tabs>
        <w:numPr>
          <w:ilvl w:val="2"/>
          <w:numId w:val="67"/>
        </w:numPr>
        <w:rPr>
          <w:rFonts w:ascii="Calibri" w:cs="Calibri" w:eastAsia="Calibri" w:hAnsi="Calibri"/>
          <w:sz w:val="18"/>
          <w:szCs w:val="18"/>
          <w:color w:val="auto"/>
        </w:rPr>
      </w:pPr>
      <w:r>
        <w:rPr>
          <w:rFonts w:ascii="Calibri" w:cs="Calibri" w:eastAsia="Calibri" w:hAnsi="Calibri"/>
          <w:sz w:val="18"/>
          <w:szCs w:val="18"/>
          <w:color w:val="auto"/>
        </w:rPr>
        <w:t>notwithstanding the terms of the equity awards, the vestng of your then outstanding unvested equity awards, including the Equity Awards, shall be accelerated as to 100% of the unvested shares subject thereto; and</w:t>
      </w:r>
    </w:p>
    <w:p>
      <w:pPr>
        <w:spacing w:after="0" w:line="109" w:lineRule="exact"/>
        <w:rPr>
          <w:rFonts w:ascii="Calibri" w:cs="Calibri" w:eastAsia="Calibri" w:hAnsi="Calibri"/>
          <w:sz w:val="18"/>
          <w:szCs w:val="18"/>
          <w:color w:val="auto"/>
        </w:rPr>
      </w:pPr>
    </w:p>
    <w:p>
      <w:pPr>
        <w:jc w:val="both"/>
        <w:ind w:left="1500" w:hanging="369"/>
        <w:spacing w:after="0" w:line="235" w:lineRule="auto"/>
        <w:tabs>
          <w:tab w:leader="none" w:pos="1443" w:val="left"/>
        </w:tabs>
        <w:numPr>
          <w:ilvl w:val="2"/>
          <w:numId w:val="67"/>
        </w:numPr>
        <w:rPr>
          <w:rFonts w:ascii="Calibri" w:cs="Calibri" w:eastAsia="Calibri" w:hAnsi="Calibri"/>
          <w:sz w:val="18"/>
          <w:szCs w:val="18"/>
          <w:color w:val="auto"/>
        </w:rPr>
      </w:pPr>
      <w:r>
        <w:rPr>
          <w:rFonts w:ascii="Calibri" w:cs="Calibri" w:eastAsia="Calibri" w:hAnsi="Calibri"/>
          <w:sz w:val="18"/>
          <w:szCs w:val="18"/>
          <w:color w:val="auto"/>
        </w:rPr>
        <w:t>the benefts set forth in Sectons 9 and 10 are collectvely, less deductons and withholdings required by law or authorized by you, termed the “</w:t>
      </w:r>
      <w:r>
        <w:rPr>
          <w:rFonts w:ascii="Calibri" w:cs="Calibri" w:eastAsia="Calibri" w:hAnsi="Calibri"/>
          <w:sz w:val="18"/>
          <w:szCs w:val="18"/>
          <w:b w:val="1"/>
          <w:bCs w:val="1"/>
          <w:color w:val="auto"/>
        </w:rPr>
        <w:t>Severance Pay</w:t>
      </w:r>
      <w:r>
        <w:rPr>
          <w:rFonts w:ascii="Calibri" w:cs="Calibri" w:eastAsia="Calibri" w:hAnsi="Calibri"/>
          <w:sz w:val="18"/>
          <w:szCs w:val="18"/>
          <w:color w:val="auto"/>
        </w:rPr>
        <w:t>.” Subject to the provisions in Sectons 9 and 10, payments of any Base Salary Severance shall be made in substantally equal monthly installments in accordance with the Company’s general payroll practces in efect at the tme of your terminaton of employment, and payment of any prorated or unpaid bonus shall be made when such bonus payments would otherwise have been paid. For purposes of Sectons 9 and 10, “</w:t>
      </w:r>
      <w:r>
        <w:rPr>
          <w:rFonts w:ascii="Calibri" w:cs="Calibri" w:eastAsia="Calibri" w:hAnsi="Calibri"/>
          <w:sz w:val="18"/>
          <w:szCs w:val="18"/>
          <w:b w:val="1"/>
          <w:bCs w:val="1"/>
          <w:color w:val="auto"/>
        </w:rPr>
        <w:t>Cause</w:t>
      </w:r>
      <w:r>
        <w:rPr>
          <w:rFonts w:ascii="Calibri" w:cs="Calibri" w:eastAsia="Calibri" w:hAnsi="Calibri"/>
          <w:sz w:val="18"/>
          <w:szCs w:val="18"/>
          <w:color w:val="auto"/>
        </w:rPr>
        <w:t>” and “</w:t>
      </w:r>
      <w:r>
        <w:rPr>
          <w:rFonts w:ascii="Calibri" w:cs="Calibri" w:eastAsia="Calibri" w:hAnsi="Calibri"/>
          <w:sz w:val="18"/>
          <w:szCs w:val="18"/>
          <w:b w:val="1"/>
          <w:bCs w:val="1"/>
          <w:color w:val="auto"/>
        </w:rPr>
        <w:t>Good Reason</w:t>
      </w:r>
      <w:r>
        <w:rPr>
          <w:rFonts w:ascii="Calibri" w:cs="Calibri" w:eastAsia="Calibri" w:hAnsi="Calibri"/>
          <w:sz w:val="18"/>
          <w:szCs w:val="18"/>
          <w:color w:val="auto"/>
        </w:rPr>
        <w:t xml:space="preserve">” have the meanings set forth in </w:t>
      </w:r>
      <w:r>
        <w:rPr>
          <w:rFonts w:ascii="Calibri" w:cs="Calibri" w:eastAsia="Calibri" w:hAnsi="Calibri"/>
          <w:sz w:val="18"/>
          <w:szCs w:val="18"/>
          <w:b w:val="1"/>
          <w:bCs w:val="1"/>
          <w:u w:val="single" w:color="auto"/>
          <w:color w:val="auto"/>
        </w:rPr>
        <w:t>Exhibit B</w:t>
      </w:r>
      <w:r>
        <w:rPr>
          <w:rFonts w:ascii="Calibri" w:cs="Calibri" w:eastAsia="Calibri" w:hAnsi="Calibri"/>
          <w:sz w:val="18"/>
          <w:szCs w:val="18"/>
          <w:color w:val="auto"/>
        </w:rPr>
        <w:t xml:space="preserve"> hereto. The Company will not be required to pay any Severance Pay unless (i) you execute and deliver to the Company an agreement in the form atached as </w:t>
      </w:r>
      <w:r>
        <w:rPr>
          <w:rFonts w:ascii="Calibri" w:cs="Calibri" w:eastAsia="Calibri" w:hAnsi="Calibri"/>
          <w:sz w:val="18"/>
          <w:szCs w:val="18"/>
          <w:b w:val="1"/>
          <w:bCs w:val="1"/>
          <w:u w:val="single" w:color="auto"/>
          <w:color w:val="auto"/>
        </w:rPr>
        <w:t>Exhibit C</w:t>
      </w:r>
      <w:r>
        <w:rPr>
          <w:rFonts w:ascii="Calibri" w:cs="Calibri" w:eastAsia="Calibri" w:hAnsi="Calibri"/>
          <w:sz w:val="18"/>
          <w:szCs w:val="18"/>
          <w:color w:val="auto"/>
        </w:rPr>
        <w:t xml:space="preserve"> hereto (the “</w:t>
      </w:r>
      <w:r>
        <w:rPr>
          <w:rFonts w:ascii="Calibri" w:cs="Calibri" w:eastAsia="Calibri" w:hAnsi="Calibri"/>
          <w:sz w:val="18"/>
          <w:szCs w:val="18"/>
          <w:b w:val="1"/>
          <w:bCs w:val="1"/>
          <w:color w:val="auto"/>
        </w:rPr>
        <w:t>Release Agreement</w:t>
      </w:r>
      <w:r>
        <w:rPr>
          <w:rFonts w:ascii="Calibri" w:cs="Calibri" w:eastAsia="Calibri" w:hAnsi="Calibri"/>
          <w:sz w:val="18"/>
          <w:szCs w:val="18"/>
          <w:color w:val="auto"/>
        </w:rPr>
        <w:t xml:space="preserve">”) within 60 days following the date of your terminaton of employment and (ii) you have not materially breached the provisions of (A) this leter, (B) Sectons 2 through 8 of </w:t>
      </w:r>
      <w:r>
        <w:rPr>
          <w:rFonts w:ascii="Calibri" w:cs="Calibri" w:eastAsia="Calibri" w:hAnsi="Calibri"/>
          <w:sz w:val="18"/>
          <w:szCs w:val="18"/>
          <w:b w:val="1"/>
          <w:bCs w:val="1"/>
          <w:u w:val="single" w:color="auto"/>
          <w:color w:val="auto"/>
        </w:rPr>
        <w:t>Exhibit A</w:t>
      </w:r>
      <w:r>
        <w:rPr>
          <w:rFonts w:ascii="Calibri" w:cs="Calibri" w:eastAsia="Calibri" w:hAnsi="Calibri"/>
          <w:sz w:val="18"/>
          <w:szCs w:val="18"/>
          <w:color w:val="auto"/>
        </w:rPr>
        <w:t xml:space="preserve"> hereto, (C) the Release Agreement or (D) any other agreement between you and the Company. If the Release Agreement has been executed and delivered and is no longer subject to revocaton as provided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ind w:left="1500"/>
        <w:spacing w:after="0" w:line="227" w:lineRule="auto"/>
        <w:rPr>
          <w:sz w:val="20"/>
          <w:szCs w:val="20"/>
          <w:color w:val="auto"/>
        </w:rPr>
      </w:pPr>
      <w:r>
        <w:rPr>
          <w:rFonts w:ascii="Calibri" w:cs="Calibri" w:eastAsia="Calibri" w:hAnsi="Calibri"/>
          <w:sz w:val="18"/>
          <w:szCs w:val="18"/>
          <w:color w:val="auto"/>
        </w:rPr>
        <w:t>preceding sentence, then the applicable Severance Pay shall be paid in accordance with the Company’s general payroll practces in efect at the tme of your terminaton of employment and commencing on the 60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day following your terminaton of employment. The frst payment of any Base Salary Severance shall include payment of all amounts that otherwise would have been due prior thereto under the terms of this leter had such payments commenced immediately upon your terminaton of employment, and any payments made thereafer shall contnue as provided herein. </w:t>
      </w:r>
      <w:r>
        <w:rPr>
          <w:rFonts w:ascii="Calibri" w:cs="Calibri" w:eastAsia="Calibri" w:hAnsi="Calibri"/>
          <w:sz w:val="18"/>
          <w:szCs w:val="18"/>
          <w:b w:val="1"/>
          <w:bCs w:val="1"/>
          <w:color w:val="auto"/>
        </w:rPr>
        <w:t>For the avoidance of doubt, under no circumstances shall you be enttled to receive</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Severance Pay under both Sectons 9 and 10</w:t>
      </w:r>
      <w:r>
        <w:rPr>
          <w:rFonts w:ascii="Calibri" w:cs="Calibri" w:eastAsia="Calibri" w:hAnsi="Calibri"/>
          <w:sz w:val="18"/>
          <w:szCs w:val="18"/>
          <w:color w:val="auto"/>
        </w:rPr>
        <w:t>.</w:t>
      </w:r>
    </w:p>
    <w:p>
      <w:pPr>
        <w:spacing w:after="0" w:line="110" w:lineRule="exact"/>
        <w:rPr>
          <w:sz w:val="20"/>
          <w:szCs w:val="20"/>
          <w:color w:val="auto"/>
        </w:rPr>
      </w:pPr>
    </w:p>
    <w:p>
      <w:pPr>
        <w:ind w:left="380" w:hanging="372"/>
        <w:spacing w:after="0"/>
        <w:tabs>
          <w:tab w:leader="none" w:pos="380" w:val="left"/>
        </w:tabs>
        <w:numPr>
          <w:ilvl w:val="0"/>
          <w:numId w:val="6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Contnuaton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as set forth herein, all of the terms and conditons set forth in the Employment Agreement, including its exhibits and schedules, are unchanged, shall remain in full force and efect and are hereby ratfed and confrmed by the Partes. If any provision hereof is inconsistent with the Employment Agreement, the Partes intend that the terms hereof shall control solely to the extent required to make the Employment Agreement consistent herewith. Nothing herein shall change the at-will nature of Executve’s employment. Executve agrees and confrms that nothing herein triggers the Good Reason provision contained in the Employment Agreement.</w:t>
      </w:r>
    </w:p>
    <w:p>
      <w:pPr>
        <w:spacing w:after="0" w:line="107" w:lineRule="exact"/>
        <w:rPr>
          <w:sz w:val="20"/>
          <w:szCs w:val="20"/>
          <w:color w:val="auto"/>
        </w:rPr>
      </w:pPr>
    </w:p>
    <w:p>
      <w:pPr>
        <w:ind w:left="380" w:hanging="372"/>
        <w:spacing w:after="0"/>
        <w:tabs>
          <w:tab w:leader="none" w:pos="380" w:val="left"/>
        </w:tabs>
        <w:numPr>
          <w:ilvl w:val="0"/>
          <w:numId w:val="6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Constructon of Terms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Amendment consttutes the entre understanding between the Partes with respect to the subject mater hereof and supersedes any other agreements or promises made to Executve by anyone with respect to this subject mater, whether oral or writen. No modifcaton hereto shall be valid unless in writng and signed by the Partes.</w:t>
      </w:r>
    </w:p>
    <w:p>
      <w:pPr>
        <w:spacing w:after="0" w:line="106" w:lineRule="exact"/>
        <w:rPr>
          <w:sz w:val="20"/>
          <w:szCs w:val="20"/>
          <w:color w:val="auto"/>
        </w:rPr>
      </w:pPr>
    </w:p>
    <w:p>
      <w:pPr>
        <w:ind w:left="380" w:hanging="372"/>
        <w:spacing w:after="0"/>
        <w:tabs>
          <w:tab w:leader="none" w:pos="380" w:val="left"/>
        </w:tabs>
        <w:numPr>
          <w:ilvl w:val="0"/>
          <w:numId w:val="7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Governing Law</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This Amendment shall be governed by the laws of the State of Delaware, without regard to the conficts of law provisions of any jurisdicton.</w:t>
      </w:r>
    </w:p>
    <w:p>
      <w:pPr>
        <w:spacing w:after="0" w:line="104" w:lineRule="exact"/>
        <w:rPr>
          <w:sz w:val="20"/>
          <w:szCs w:val="20"/>
          <w:color w:val="auto"/>
        </w:rPr>
      </w:pPr>
    </w:p>
    <w:p>
      <w:pPr>
        <w:ind w:left="380" w:hanging="372"/>
        <w:spacing w:after="0"/>
        <w:tabs>
          <w:tab w:leader="none" w:pos="380" w:val="left"/>
        </w:tabs>
        <w:numPr>
          <w:ilvl w:val="0"/>
          <w:numId w:val="7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Counterparts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Amendment may be executed in one or more counterparts, each of which shall be deemed to be an original, with the same force and efectveness as though executed in a single document.</w:t>
      </w:r>
    </w:p>
    <w:p>
      <w:pPr>
        <w:spacing w:after="0" w:line="105" w:lineRule="exact"/>
        <w:rPr>
          <w:sz w:val="20"/>
          <w:szCs w:val="20"/>
          <w:color w:val="auto"/>
        </w:rPr>
      </w:pPr>
    </w:p>
    <w:p>
      <w:pPr>
        <w:ind w:left="380" w:hanging="372"/>
        <w:spacing w:after="0"/>
        <w:tabs>
          <w:tab w:leader="none" w:pos="380" w:val="left"/>
        </w:tabs>
        <w:numPr>
          <w:ilvl w:val="0"/>
          <w:numId w:val="7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Efectve Date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terms and conditons set forth herein shall be efectve as of the Efectve Date.</w:t>
      </w:r>
    </w:p>
    <w:p>
      <w:pPr>
        <w:spacing w:after="0" w:line="104" w:lineRule="exact"/>
        <w:rPr>
          <w:sz w:val="20"/>
          <w:szCs w:val="20"/>
          <w:color w:val="auto"/>
        </w:rPr>
      </w:pPr>
    </w:p>
    <w:p>
      <w:pPr>
        <w:ind w:left="4760"/>
        <w:spacing w:after="0"/>
        <w:rPr>
          <w:sz w:val="20"/>
          <w:szCs w:val="20"/>
          <w:color w:val="auto"/>
        </w:rPr>
      </w:pPr>
      <w:r>
        <w:rPr>
          <w:rFonts w:ascii="Calibri" w:cs="Calibri" w:eastAsia="Calibri" w:hAnsi="Calibri"/>
          <w:sz w:val="18"/>
          <w:szCs w:val="18"/>
          <w:i w:val="1"/>
          <w:iCs w:val="1"/>
          <w:color w:val="auto"/>
        </w:rPr>
        <w:t>[Signature page follows]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spacing w:after="0"/>
        <w:rPr>
          <w:sz w:val="20"/>
          <w:szCs w:val="20"/>
          <w:color w:val="auto"/>
        </w:rPr>
      </w:pPr>
      <w:r>
        <w:rPr>
          <w:rFonts w:ascii="Calibri" w:cs="Calibri" w:eastAsia="Calibri" w:hAnsi="Calibri"/>
          <w:sz w:val="18"/>
          <w:szCs w:val="18"/>
          <w:color w:val="auto"/>
        </w:rPr>
        <w:t>IN WITNESS WHEREOF, the Partes hereto have executed this Amendment as of the Efectve Date.</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3940" w:type="dxa"/>
            <w:vAlign w:val="bottom"/>
            <w:gridSpan w:val="4"/>
          </w:tcPr>
          <w:p>
            <w:pPr>
              <w:spacing w:after="0"/>
              <w:rPr>
                <w:sz w:val="20"/>
                <w:szCs w:val="20"/>
                <w:color w:val="auto"/>
              </w:rPr>
            </w:pPr>
            <w:r>
              <w:rPr>
                <w:rFonts w:ascii="Calibri" w:cs="Calibri" w:eastAsia="Calibri" w:hAnsi="Calibri"/>
                <w:sz w:val="18"/>
                <w:szCs w:val="18"/>
                <w:b w:val="1"/>
                <w:bCs w:val="1"/>
                <w:color w:val="auto"/>
              </w:rPr>
              <w:t>VIVID SEATS INC.</w:t>
            </w:r>
          </w:p>
        </w:tc>
        <w:tc>
          <w:tcPr>
            <w:tcW w:w="2940" w:type="dxa"/>
            <w:vAlign w:val="bottom"/>
            <w:gridSpan w:val="2"/>
          </w:tcPr>
          <w:p>
            <w:pPr>
              <w:ind w:left="1680"/>
              <w:spacing w:after="0"/>
              <w:rPr>
                <w:sz w:val="20"/>
                <w:szCs w:val="20"/>
                <w:color w:val="auto"/>
              </w:rPr>
            </w:pPr>
            <w:r>
              <w:rPr>
                <w:rFonts w:ascii="Calibri" w:cs="Calibri" w:eastAsia="Calibri" w:hAnsi="Calibri"/>
                <w:sz w:val="18"/>
                <w:szCs w:val="18"/>
                <w:b w:val="1"/>
                <w:bCs w:val="1"/>
                <w:color w:val="auto"/>
              </w:rPr>
              <w:t>EXECUTIVE</w:t>
            </w:r>
          </w:p>
        </w:tc>
      </w:tr>
      <w:tr>
        <w:trPr>
          <w:trHeight w:val="361"/>
        </w:trPr>
        <w:tc>
          <w:tcPr>
            <w:tcW w:w="3940" w:type="dxa"/>
            <w:vAlign w:val="bottom"/>
            <w:gridSpan w:val="4"/>
          </w:tcPr>
          <w:p>
            <w:pPr>
              <w:spacing w:after="0"/>
              <w:rPr>
                <w:sz w:val="20"/>
                <w:szCs w:val="20"/>
                <w:color w:val="auto"/>
              </w:rPr>
            </w:pPr>
            <w:r>
              <w:rPr>
                <w:rFonts w:ascii="Calibri" w:cs="Calibri" w:eastAsia="Calibri" w:hAnsi="Calibri"/>
                <w:sz w:val="18"/>
                <w:szCs w:val="18"/>
                <w:color w:val="auto"/>
              </w:rPr>
              <w:t>By: /s/ Stanley Chia</w:t>
            </w:r>
          </w:p>
        </w:tc>
        <w:tc>
          <w:tcPr>
            <w:tcW w:w="2940" w:type="dxa"/>
            <w:vAlign w:val="bottom"/>
            <w:gridSpan w:val="2"/>
          </w:tcPr>
          <w:p>
            <w:pPr>
              <w:ind w:left="1680"/>
              <w:spacing w:after="0"/>
              <w:rPr>
                <w:sz w:val="20"/>
                <w:szCs w:val="20"/>
                <w:color w:val="auto"/>
              </w:rPr>
            </w:pPr>
            <w:r>
              <w:rPr>
                <w:rFonts w:ascii="Calibri" w:cs="Calibri" w:eastAsia="Calibri" w:hAnsi="Calibri"/>
                <w:sz w:val="18"/>
                <w:szCs w:val="18"/>
                <w:color w:val="auto"/>
                <w:w w:val="98"/>
              </w:rPr>
              <w:t>By: /s/ Riva Bakal</w:t>
            </w: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27"/>
        </w:trPr>
        <w:tc>
          <w:tcPr>
            <w:tcW w:w="560" w:type="dxa"/>
            <w:vAlign w:val="bottom"/>
            <w:gridSpan w:val="2"/>
          </w:tcPr>
          <w:p>
            <w:pPr>
              <w:spacing w:after="0"/>
              <w:rPr>
                <w:sz w:val="20"/>
                <w:szCs w:val="20"/>
                <w:color w:val="auto"/>
              </w:rPr>
            </w:pPr>
            <w:r>
              <w:rPr>
                <w:rFonts w:ascii="Calibri" w:cs="Calibri" w:eastAsia="Calibri" w:hAnsi="Calibri"/>
                <w:sz w:val="18"/>
                <w:szCs w:val="18"/>
                <w:color w:val="auto"/>
              </w:rPr>
              <w:t>Name:</w:t>
            </w:r>
          </w:p>
        </w:tc>
        <w:tc>
          <w:tcPr>
            <w:tcW w:w="3380" w:type="dxa"/>
            <w:vAlign w:val="bottom"/>
            <w:gridSpan w:val="2"/>
          </w:tcPr>
          <w:p>
            <w:pPr>
              <w:ind w:left="80"/>
              <w:spacing w:after="0"/>
              <w:rPr>
                <w:sz w:val="20"/>
                <w:szCs w:val="20"/>
                <w:color w:val="auto"/>
              </w:rPr>
            </w:pPr>
            <w:r>
              <w:rPr>
                <w:rFonts w:ascii="Calibri" w:cs="Calibri" w:eastAsia="Calibri" w:hAnsi="Calibri"/>
                <w:sz w:val="18"/>
                <w:szCs w:val="18"/>
                <w:color w:val="auto"/>
              </w:rPr>
              <w:t>Stanley Chia</w:t>
            </w:r>
          </w:p>
        </w:tc>
        <w:tc>
          <w:tcPr>
            <w:tcW w:w="2940" w:type="dxa"/>
            <w:vAlign w:val="bottom"/>
            <w:gridSpan w:val="2"/>
          </w:tcPr>
          <w:p>
            <w:pPr>
              <w:ind w:left="1680"/>
              <w:spacing w:after="0"/>
              <w:rPr>
                <w:sz w:val="20"/>
                <w:szCs w:val="20"/>
                <w:color w:val="auto"/>
              </w:rPr>
            </w:pPr>
            <w:r>
              <w:rPr>
                <w:rFonts w:ascii="Calibri" w:cs="Calibri" w:eastAsia="Calibri" w:hAnsi="Calibri"/>
                <w:sz w:val="18"/>
                <w:szCs w:val="18"/>
                <w:color w:val="auto"/>
                <w:w w:val="97"/>
              </w:rPr>
              <w:t>Name: Riva Bakal</w:t>
            </w:r>
          </w:p>
        </w:tc>
      </w:tr>
      <w:tr>
        <w:trPr>
          <w:trHeight w:val="216"/>
        </w:trPr>
        <w:tc>
          <w:tcPr>
            <w:tcW w:w="560" w:type="dxa"/>
            <w:vAlign w:val="bottom"/>
            <w:gridSpan w:val="2"/>
          </w:tcPr>
          <w:p>
            <w:pPr>
              <w:spacing w:after="0" w:line="216" w:lineRule="exact"/>
              <w:rPr>
                <w:sz w:val="20"/>
                <w:szCs w:val="20"/>
                <w:color w:val="auto"/>
              </w:rPr>
            </w:pPr>
            <w:r>
              <w:rPr>
                <w:rFonts w:ascii="Calibri" w:cs="Calibri" w:eastAsia="Calibri" w:hAnsi="Calibri"/>
                <w:sz w:val="18"/>
                <w:szCs w:val="18"/>
                <w:color w:val="auto"/>
              </w:rPr>
              <w:t>Title:</w:t>
            </w:r>
          </w:p>
        </w:tc>
        <w:tc>
          <w:tcPr>
            <w:tcW w:w="3380" w:type="dxa"/>
            <w:vAlign w:val="bottom"/>
            <w:gridSpan w:val="2"/>
          </w:tcPr>
          <w:p>
            <w:pPr>
              <w:ind w:left="80"/>
              <w:spacing w:after="0" w:line="216" w:lineRule="exact"/>
              <w:rPr>
                <w:sz w:val="20"/>
                <w:szCs w:val="20"/>
                <w:color w:val="auto"/>
              </w:rPr>
            </w:pPr>
            <w:r>
              <w:rPr>
                <w:rFonts w:ascii="Calibri" w:cs="Calibri" w:eastAsia="Calibri" w:hAnsi="Calibri"/>
                <w:sz w:val="18"/>
                <w:szCs w:val="18"/>
                <w:color w:val="auto"/>
              </w:rPr>
              <w:t>Chief Executve Ofcer</w:t>
            </w:r>
          </w:p>
        </w:tc>
        <w:tc>
          <w:tcPr>
            <w:tcW w:w="1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92"/>
        </w:trPr>
        <w:tc>
          <w:tcPr>
            <w:tcW w:w="3940" w:type="dxa"/>
            <w:vAlign w:val="bottom"/>
            <w:gridSpan w:val="4"/>
          </w:tcPr>
          <w:p>
            <w:pPr>
              <w:spacing w:after="0"/>
              <w:rPr>
                <w:sz w:val="20"/>
                <w:szCs w:val="20"/>
                <w:color w:val="auto"/>
              </w:rPr>
            </w:pPr>
            <w:r>
              <w:rPr>
                <w:rFonts w:ascii="Calibri" w:cs="Calibri" w:eastAsia="Calibri" w:hAnsi="Calibri"/>
                <w:sz w:val="18"/>
                <w:szCs w:val="18"/>
                <w:b w:val="1"/>
                <w:bCs w:val="1"/>
                <w:color w:val="auto"/>
              </w:rPr>
              <w:t>VIVID SEATS LLC</w:t>
            </w: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1"/>
        </w:trPr>
        <w:tc>
          <w:tcPr>
            <w:tcW w:w="3940" w:type="dxa"/>
            <w:vAlign w:val="bottom"/>
            <w:gridSpan w:val="4"/>
          </w:tcPr>
          <w:p>
            <w:pPr>
              <w:spacing w:after="0"/>
              <w:rPr>
                <w:sz w:val="20"/>
                <w:szCs w:val="20"/>
                <w:color w:val="auto"/>
              </w:rPr>
            </w:pPr>
            <w:r>
              <w:rPr>
                <w:rFonts w:ascii="Calibri" w:cs="Calibri" w:eastAsia="Calibri" w:hAnsi="Calibri"/>
                <w:sz w:val="18"/>
                <w:szCs w:val="18"/>
                <w:color w:val="auto"/>
              </w:rPr>
              <w:t>By: /s/ Stanley Chia</w:t>
            </w: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7"/>
        </w:trPr>
        <w:tc>
          <w:tcPr>
            <w:tcW w:w="560" w:type="dxa"/>
            <w:vAlign w:val="bottom"/>
            <w:gridSpan w:val="2"/>
          </w:tcPr>
          <w:p>
            <w:pPr>
              <w:spacing w:after="0"/>
              <w:rPr>
                <w:sz w:val="20"/>
                <w:szCs w:val="20"/>
                <w:color w:val="auto"/>
              </w:rPr>
            </w:pPr>
            <w:r>
              <w:rPr>
                <w:rFonts w:ascii="Calibri" w:cs="Calibri" w:eastAsia="Calibri" w:hAnsi="Calibri"/>
                <w:sz w:val="18"/>
                <w:szCs w:val="18"/>
                <w:color w:val="auto"/>
              </w:rPr>
              <w:t>Name:</w:t>
            </w:r>
          </w:p>
        </w:tc>
        <w:tc>
          <w:tcPr>
            <w:tcW w:w="3380" w:type="dxa"/>
            <w:vAlign w:val="bottom"/>
            <w:gridSpan w:val="2"/>
          </w:tcPr>
          <w:p>
            <w:pPr>
              <w:ind w:left="80"/>
              <w:spacing w:after="0"/>
              <w:rPr>
                <w:sz w:val="20"/>
                <w:szCs w:val="20"/>
                <w:color w:val="auto"/>
              </w:rPr>
            </w:pPr>
            <w:r>
              <w:rPr>
                <w:rFonts w:ascii="Calibri" w:cs="Calibri" w:eastAsia="Calibri" w:hAnsi="Calibri"/>
                <w:sz w:val="18"/>
                <w:szCs w:val="18"/>
                <w:color w:val="auto"/>
              </w:rPr>
              <w:t>Stanley Chia</w:t>
            </w:r>
          </w:p>
        </w:tc>
        <w:tc>
          <w:tcPr>
            <w:tcW w:w="19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560" w:type="dxa"/>
            <w:vAlign w:val="bottom"/>
            <w:gridSpan w:val="2"/>
          </w:tcPr>
          <w:p>
            <w:pPr>
              <w:spacing w:after="0" w:line="216" w:lineRule="exact"/>
              <w:rPr>
                <w:sz w:val="20"/>
                <w:szCs w:val="20"/>
                <w:color w:val="auto"/>
              </w:rPr>
            </w:pPr>
            <w:r>
              <w:rPr>
                <w:rFonts w:ascii="Calibri" w:cs="Calibri" w:eastAsia="Calibri" w:hAnsi="Calibri"/>
                <w:sz w:val="18"/>
                <w:szCs w:val="18"/>
                <w:color w:val="auto"/>
              </w:rPr>
              <w:t>Title:</w:t>
            </w:r>
          </w:p>
        </w:tc>
        <w:tc>
          <w:tcPr>
            <w:tcW w:w="3380" w:type="dxa"/>
            <w:vAlign w:val="bottom"/>
            <w:gridSpan w:val="2"/>
          </w:tcPr>
          <w:p>
            <w:pPr>
              <w:ind w:left="80"/>
              <w:spacing w:after="0" w:line="216" w:lineRule="exact"/>
              <w:rPr>
                <w:sz w:val="20"/>
                <w:szCs w:val="20"/>
                <w:color w:val="auto"/>
              </w:rPr>
            </w:pPr>
            <w:r>
              <w:rPr>
                <w:rFonts w:ascii="Calibri" w:cs="Calibri" w:eastAsia="Calibri" w:hAnsi="Calibri"/>
                <w:sz w:val="18"/>
                <w:szCs w:val="18"/>
                <w:color w:val="auto"/>
              </w:rPr>
              <w:t>Chief Executve Ofcer</w:t>
            </w:r>
          </w:p>
        </w:tc>
        <w:tc>
          <w:tcPr>
            <w:tcW w:w="19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379"/>
        <w:spacing w:after="0"/>
        <w:rPr>
          <w:sz w:val="20"/>
          <w:szCs w:val="20"/>
          <w:color w:val="auto"/>
        </w:rPr>
      </w:pPr>
      <w:r>
        <w:rPr>
          <w:rFonts w:ascii="Calibri" w:cs="Calibri" w:eastAsia="Calibri" w:hAnsi="Calibri"/>
          <w:sz w:val="18"/>
          <w:szCs w:val="18"/>
          <w:color w:val="auto"/>
        </w:rPr>
        <w:t>[Signature Page to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149" w:name="page150"/>
    <w:bookmarkEnd w:id="149"/>
    <w:p>
      <w:pPr>
        <w:jc w:val="right"/>
        <w:spacing w:after="0"/>
        <w:rPr>
          <w:sz w:val="20"/>
          <w:szCs w:val="20"/>
          <w:color w:val="auto"/>
        </w:rPr>
      </w:pPr>
      <w:r>
        <w:rPr>
          <w:rFonts w:ascii="Calibri" w:cs="Calibri" w:eastAsia="Calibri" w:hAnsi="Calibri"/>
          <w:sz w:val="18"/>
          <w:szCs w:val="18"/>
          <w:b w:val="1"/>
          <w:bCs w:val="1"/>
          <w:color w:val="auto"/>
        </w:rPr>
        <w:t>Exhibit 10.34</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FIRST AMENDMENT TO LEASE</w:t>
      </w:r>
    </w:p>
    <w:p>
      <w:pPr>
        <w:spacing w:after="0" w:line="125" w:lineRule="exact"/>
        <w:rPr>
          <w:sz w:val="20"/>
          <w:szCs w:val="20"/>
          <w:color w:val="auto"/>
        </w:rPr>
      </w:pPr>
    </w:p>
    <w:p>
      <w:pPr>
        <w:jc w:val="both"/>
        <w:ind w:firstLine="749"/>
        <w:spacing w:after="0" w:line="206" w:lineRule="auto"/>
        <w:rPr>
          <w:sz w:val="20"/>
          <w:szCs w:val="20"/>
          <w:color w:val="auto"/>
        </w:rPr>
      </w:pPr>
      <w:r>
        <w:rPr>
          <w:rFonts w:ascii="Calibri" w:cs="Calibri" w:eastAsia="Calibri" w:hAnsi="Calibri"/>
          <w:sz w:val="18"/>
          <w:szCs w:val="18"/>
          <w:b w:val="1"/>
          <w:bCs w:val="1"/>
          <w:color w:val="auto"/>
        </w:rPr>
        <w:t xml:space="preserve">THIS FIRST AMENDMENT TO LEASE </w:t>
      </w:r>
      <w:r>
        <w:rPr>
          <w:rFonts w:ascii="Calibri" w:cs="Calibri" w:eastAsia="Calibri" w:hAnsi="Calibri"/>
          <w:sz w:val="18"/>
          <w:szCs w:val="18"/>
          <w:color w:val="auto"/>
        </w:rPr>
        <w:t>(“</w:t>
      </w:r>
      <w:r>
        <w:rPr>
          <w:rFonts w:ascii="Calibri" w:cs="Calibri" w:eastAsia="Calibri" w:hAnsi="Calibri"/>
          <w:sz w:val="18"/>
          <w:szCs w:val="18"/>
          <w:b w:val="1"/>
          <w:bCs w:val="1"/>
          <w:color w:val="auto"/>
        </w:rPr>
        <w:t>Amendment</w:t>
      </w:r>
      <w:r>
        <w:rPr>
          <w:rFonts w:ascii="Calibri" w:cs="Calibri" w:eastAsia="Calibri" w:hAnsi="Calibri"/>
          <w:sz w:val="18"/>
          <w:szCs w:val="18"/>
          <w:color w:val="auto"/>
        </w:rPr>
        <w:t>”), is made and entered into as of the 16</w:t>
      </w:r>
      <w:r>
        <w:rPr>
          <w:rFonts w:ascii="Calibri" w:cs="Calibri" w:eastAsia="Calibri" w:hAnsi="Calibri"/>
          <w:sz w:val="24"/>
          <w:szCs w:val="24"/>
          <w:color w:val="auto"/>
          <w:vertAlign w:val="superscript"/>
        </w:rPr>
        <w:t>th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 April, 2024 (“</w:t>
      </w:r>
      <w:r>
        <w:rPr>
          <w:rFonts w:ascii="Calibri" w:cs="Calibri" w:eastAsia="Calibri" w:hAnsi="Calibri"/>
          <w:sz w:val="18"/>
          <w:szCs w:val="18"/>
          <w:b w:val="1"/>
          <w:bCs w:val="1"/>
          <w:color w:val="auto"/>
        </w:rPr>
        <w:t>Efectve Date</w:t>
      </w:r>
      <w:r>
        <w:rPr>
          <w:rFonts w:ascii="Calibri" w:cs="Calibri" w:eastAsia="Calibri" w:hAnsi="Calibri"/>
          <w:sz w:val="18"/>
          <w:szCs w:val="18"/>
          <w:color w:val="auto"/>
        </w:rPr>
        <w:t>”), by and between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BSREP II SS CHICAGO LLC, a Delaware limited liability company (“</w:t>
      </w:r>
      <w:r>
        <w:rPr>
          <w:rFonts w:ascii="Calibri" w:cs="Calibri" w:eastAsia="Calibri" w:hAnsi="Calibri"/>
          <w:sz w:val="18"/>
          <w:szCs w:val="18"/>
          <w:b w:val="1"/>
          <w:bCs w:val="1"/>
          <w:color w:val="auto"/>
        </w:rPr>
        <w:t>Landlord</w:t>
      </w:r>
      <w:r>
        <w:rPr>
          <w:rFonts w:ascii="Calibri" w:cs="Calibri" w:eastAsia="Calibri" w:hAnsi="Calibri"/>
          <w:sz w:val="18"/>
          <w:szCs w:val="18"/>
          <w:color w:val="auto"/>
        </w:rPr>
        <w:t>”), and VIVID SEATS LLC, a Delaware limited liability company (“</w:t>
      </w:r>
      <w:r>
        <w:rPr>
          <w:rFonts w:ascii="Calibri" w:cs="Calibri" w:eastAsia="Calibri" w:hAnsi="Calibri"/>
          <w:sz w:val="18"/>
          <w:szCs w:val="18"/>
          <w:b w:val="1"/>
          <w:bCs w:val="1"/>
          <w:color w:val="auto"/>
        </w:rPr>
        <w:t>Tenant</w:t>
      </w:r>
      <w:r>
        <w:rPr>
          <w:rFonts w:ascii="Calibri" w:cs="Calibri" w:eastAsia="Calibri" w:hAnsi="Calibri"/>
          <w:sz w:val="18"/>
          <w:szCs w:val="18"/>
          <w:color w:val="auto"/>
        </w:rPr>
        <w:t>”).</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RECITALS:</w:t>
      </w:r>
    </w:p>
    <w:p>
      <w:pPr>
        <w:spacing w:after="0" w:line="109" w:lineRule="exact"/>
        <w:rPr>
          <w:sz w:val="20"/>
          <w:szCs w:val="20"/>
          <w:color w:val="auto"/>
        </w:rPr>
      </w:pPr>
    </w:p>
    <w:p>
      <w:pPr>
        <w:jc w:val="both"/>
        <w:ind w:firstLine="749"/>
        <w:spacing w:after="0" w:line="220"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Landlord and Tenant have entered into a certain Ofce Lease dated December 22, 2021 (“</w:t>
      </w:r>
      <w:r>
        <w:rPr>
          <w:rFonts w:ascii="Calibri" w:cs="Calibri" w:eastAsia="Calibri" w:hAnsi="Calibri"/>
          <w:sz w:val="18"/>
          <w:szCs w:val="18"/>
          <w:b w:val="1"/>
          <w:bCs w:val="1"/>
          <w:color w:val="auto"/>
        </w:rPr>
        <w:t>Lease</w:t>
      </w:r>
      <w:r>
        <w:rPr>
          <w:rFonts w:ascii="Calibri" w:cs="Calibri" w:eastAsia="Calibri" w:hAnsi="Calibri"/>
          <w:sz w:val="18"/>
          <w:szCs w:val="18"/>
          <w:color w:val="auto"/>
        </w:rPr>
        <w:t>”), whereby Tenant currently leases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space (defned hereafer as the “Existng Premises”), located on a porton of the 9</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foor, and known as Suite 900 in the building (herein, the “</w:t>
      </w:r>
      <w:r>
        <w:rPr>
          <w:rFonts w:ascii="Calibri" w:cs="Calibri" w:eastAsia="Calibri" w:hAnsi="Calibri"/>
          <w:sz w:val="18"/>
          <w:szCs w:val="18"/>
          <w:b w:val="1"/>
          <w:bCs w:val="1"/>
          <w:color w:val="auto"/>
        </w:rPr>
        <w:t>Building</w:t>
      </w:r>
      <w:r>
        <w:rPr>
          <w:rFonts w:ascii="Calibri" w:cs="Calibri" w:eastAsia="Calibri" w:hAnsi="Calibri"/>
          <w:sz w:val="18"/>
          <w:szCs w:val="18"/>
          <w:color w:val="auto"/>
        </w:rPr>
        <w:t>”), known as 24 East Washington Street, Chicago, Illinois;</w:t>
      </w:r>
    </w:p>
    <w:p>
      <w:pPr>
        <w:spacing w:after="0" w:line="112" w:lineRule="exact"/>
        <w:rPr>
          <w:sz w:val="20"/>
          <w:szCs w:val="20"/>
          <w:color w:val="auto"/>
        </w:rPr>
      </w:pPr>
    </w:p>
    <w:p>
      <w:pPr>
        <w:jc w:val="both"/>
        <w:ind w:firstLine="749"/>
        <w:spacing w:after="0" w:line="224"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Tenant has heretofore delivered a First Ofer Exercise Notce pertaining to certain First Ofer Space (which First Ofer Space which was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subject of such First Ofer Exercise Notce is defned below in this Amendment as the “</w:t>
      </w:r>
      <w:r>
        <w:rPr>
          <w:rFonts w:ascii="Calibri" w:cs="Calibri" w:eastAsia="Calibri" w:hAnsi="Calibri"/>
          <w:sz w:val="18"/>
          <w:szCs w:val="18"/>
          <w:b w:val="1"/>
          <w:bCs w:val="1"/>
          <w:color w:val="auto"/>
        </w:rPr>
        <w:t>Additonal Premises</w:t>
      </w:r>
      <w:r>
        <w:rPr>
          <w:rFonts w:ascii="Calibri" w:cs="Calibri" w:eastAsia="Calibri" w:hAnsi="Calibri"/>
          <w:sz w:val="18"/>
          <w:szCs w:val="18"/>
          <w:color w:val="auto"/>
        </w:rPr>
        <w:t>”), located on the 9</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foor of the Building, and Landlord and Tenant desire to amend the Lease to add such First Ofer Space to the Existng Premises demised thereunder, and for other maters, all upon the terms and conditons hereinafer set forth;</w:t>
      </w:r>
    </w:p>
    <w:p>
      <w:pPr>
        <w:spacing w:after="0" w:line="110"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b w:val="1"/>
          <w:bCs w:val="1"/>
          <w:color w:val="auto"/>
        </w:rPr>
        <w:t>NOW THEREFORE</w:t>
      </w:r>
      <w:r>
        <w:rPr>
          <w:rFonts w:ascii="Calibri" w:cs="Calibri" w:eastAsia="Calibri" w:hAnsi="Calibri"/>
          <w:sz w:val="18"/>
          <w:szCs w:val="18"/>
          <w:color w:val="auto"/>
        </w:rPr>
        <w:t>, in consideraton of the foregoing and of the mutual covenants and agreements contained herein, Landlord and Tenant hereby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 as follows:</w:t>
      </w:r>
    </w:p>
    <w:p>
      <w:pPr>
        <w:spacing w:after="0" w:line="110" w:lineRule="exact"/>
        <w:rPr>
          <w:sz w:val="20"/>
          <w:szCs w:val="20"/>
          <w:color w:val="auto"/>
        </w:rPr>
      </w:pPr>
    </w:p>
    <w:p>
      <w:pPr>
        <w:jc w:val="both"/>
        <w:ind w:firstLine="757"/>
        <w:spacing w:after="0" w:line="235" w:lineRule="auto"/>
        <w:tabs>
          <w:tab w:leader="none" w:pos="1018" w:val="left"/>
        </w:tabs>
        <w:numPr>
          <w:ilvl w:val="1"/>
          <w:numId w:val="73"/>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Incorporaton of Recitals and Exhibits; Defned Terms</w:t>
      </w:r>
      <w:r>
        <w:rPr>
          <w:rFonts w:ascii="Calibri" w:cs="Calibri" w:eastAsia="Calibri" w:hAnsi="Calibri"/>
          <w:sz w:val="18"/>
          <w:szCs w:val="18"/>
          <w:color w:val="auto"/>
        </w:rPr>
        <w:t>. The foregoing recitals and all exhibits atached hereto are, by this reference, hereby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incorporated as part of this Amendment. All terms used herein and defned in the Lease shall have the same meanings as in the Lease unless otherwise defned herein. For purposes of the Lease, the term “</w:t>
      </w:r>
      <w:r>
        <w:rPr>
          <w:rFonts w:ascii="Calibri" w:cs="Calibri" w:eastAsia="Calibri" w:hAnsi="Calibri"/>
          <w:sz w:val="18"/>
          <w:szCs w:val="18"/>
          <w:b w:val="1"/>
          <w:bCs w:val="1"/>
          <w:color w:val="auto"/>
        </w:rPr>
        <w:t>Rent</w:t>
      </w:r>
      <w:r>
        <w:rPr>
          <w:rFonts w:ascii="Calibri" w:cs="Calibri" w:eastAsia="Calibri" w:hAnsi="Calibri"/>
          <w:sz w:val="18"/>
          <w:szCs w:val="18"/>
          <w:color w:val="auto"/>
        </w:rPr>
        <w:t>” shall specifcally include the rental payments due with respect to the Existng Premises and the Additonal Premises as described in this Amendment. As used herein, the following terms shall have the respectve meanings indicated below:</w:t>
      </w:r>
    </w:p>
    <w:p>
      <w:pPr>
        <w:spacing w:after="0" w:line="111"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2"/>
          <w:numId w:val="73"/>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Additonal Premises</w:t>
      </w:r>
      <w:r>
        <w:rPr>
          <w:rFonts w:ascii="Calibri" w:cs="Calibri" w:eastAsia="Calibri" w:hAnsi="Calibri"/>
          <w:sz w:val="18"/>
          <w:szCs w:val="18"/>
          <w:color w:val="auto"/>
        </w:rPr>
        <w:t>” shall mean space on the 9</w:t>
      </w:r>
      <w:r>
        <w:rPr>
          <w:rFonts w:ascii="Calibri" w:cs="Calibri" w:eastAsia="Calibri" w:hAnsi="Calibri"/>
          <w:sz w:val="12"/>
          <w:szCs w:val="12"/>
          <w:color w:val="auto"/>
        </w:rPr>
        <w:t>th</w:t>
      </w:r>
      <w:r>
        <w:rPr>
          <w:rFonts w:ascii="Calibri" w:cs="Calibri" w:eastAsia="Calibri" w:hAnsi="Calibri"/>
          <w:sz w:val="18"/>
          <w:szCs w:val="18"/>
          <w:color w:val="auto"/>
        </w:rPr>
        <w:t xml:space="preserve"> foor in the Building, stpulated to contain 5,029 Rentable Square Feet (measured in accordance with the BOMA measurement standards as described in Secton 3.C. of the Original Lease), shown on </w:t>
      </w:r>
      <w:r>
        <w:rPr>
          <w:rFonts w:ascii="Calibri" w:cs="Calibri" w:eastAsia="Calibri" w:hAnsi="Calibri"/>
          <w:sz w:val="18"/>
          <w:szCs w:val="18"/>
          <w:b w:val="1"/>
          <w:bCs w:val="1"/>
          <w:color w:val="auto"/>
        </w:rPr>
        <w:t>Exhibit A</w:t>
      </w:r>
      <w:r>
        <w:rPr>
          <w:rFonts w:ascii="Calibri" w:cs="Calibri" w:eastAsia="Calibri" w:hAnsi="Calibri"/>
          <w:sz w:val="18"/>
          <w:szCs w:val="18"/>
          <w:color w:val="auto"/>
        </w:rPr>
        <w:t xml:space="preserve"> atached hereto and made a part hereof.</w:t>
      </w:r>
    </w:p>
    <w:p>
      <w:pPr>
        <w:spacing w:after="0" w:line="105" w:lineRule="exact"/>
        <w:rPr>
          <w:rFonts w:ascii="Calibri" w:cs="Calibri" w:eastAsia="Calibri" w:hAnsi="Calibri"/>
          <w:sz w:val="18"/>
          <w:szCs w:val="18"/>
          <w:color w:val="auto"/>
        </w:rPr>
      </w:pPr>
    </w:p>
    <w:p>
      <w:pPr>
        <w:ind w:left="2040" w:hanging="535"/>
        <w:spacing w:after="0"/>
        <w:tabs>
          <w:tab w:leader="none" w:pos="2040" w:val="left"/>
        </w:tabs>
        <w:numPr>
          <w:ilvl w:val="2"/>
          <w:numId w:val="73"/>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Additonal Premises Commencement Date</w:t>
      </w:r>
      <w:r>
        <w:rPr>
          <w:rFonts w:ascii="Calibri" w:cs="Calibri" w:eastAsia="Calibri" w:hAnsi="Calibri"/>
          <w:sz w:val="18"/>
          <w:szCs w:val="18"/>
          <w:color w:val="auto"/>
        </w:rPr>
        <w:t>” shall mean December I, 2024.</w:t>
      </w:r>
    </w:p>
    <w:p>
      <w:pPr>
        <w:spacing w:after="0" w:line="109"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2"/>
          <w:numId w:val="73"/>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Additonal Premises Turnover Date</w:t>
      </w:r>
      <w:r>
        <w:rPr>
          <w:rFonts w:ascii="Calibri" w:cs="Calibri" w:eastAsia="Calibri" w:hAnsi="Calibri"/>
          <w:sz w:val="18"/>
          <w:szCs w:val="18"/>
          <w:color w:val="auto"/>
        </w:rPr>
        <w:t>” shall mean the day on which Landlord delivers full and unencumbered access to the entre Additonal Premises, and the Additonal Premises are in a so-called broom-clean conditon, vacant and free of all other tenancies and other occupants. Landlord shall cause the Additonal Premises Turnover Date to occur within one (1) business day afer the Efectve Date.</w:t>
      </w:r>
    </w:p>
    <w:p>
      <w:pPr>
        <w:spacing w:after="0" w:line="110" w:lineRule="exact"/>
        <w:rPr>
          <w:rFonts w:ascii="Calibri" w:cs="Calibri" w:eastAsia="Calibri" w:hAnsi="Calibri"/>
          <w:sz w:val="18"/>
          <w:szCs w:val="18"/>
          <w:color w:val="auto"/>
        </w:rPr>
      </w:pPr>
    </w:p>
    <w:p>
      <w:pPr>
        <w:ind w:right="20" w:firstLine="1505"/>
        <w:spacing w:after="0" w:line="235" w:lineRule="auto"/>
        <w:tabs>
          <w:tab w:leader="none" w:pos="2036" w:val="left"/>
        </w:tabs>
        <w:numPr>
          <w:ilvl w:val="2"/>
          <w:numId w:val="73"/>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Existng Premises</w:t>
      </w:r>
      <w:r>
        <w:rPr>
          <w:rFonts w:ascii="Calibri" w:cs="Calibri" w:eastAsia="Calibri" w:hAnsi="Calibri"/>
          <w:sz w:val="18"/>
          <w:szCs w:val="18"/>
          <w:color w:val="auto"/>
        </w:rPr>
        <w:t>” shall mean the Premises on the 9</w:t>
      </w:r>
      <w:r>
        <w:rPr>
          <w:rFonts w:ascii="Calibri" w:cs="Calibri" w:eastAsia="Calibri" w:hAnsi="Calibri"/>
          <w:sz w:val="12"/>
          <w:szCs w:val="12"/>
          <w:color w:val="auto"/>
        </w:rPr>
        <w:t>th</w:t>
      </w:r>
      <w:r>
        <w:rPr>
          <w:rFonts w:ascii="Calibri" w:cs="Calibri" w:eastAsia="Calibri" w:hAnsi="Calibri"/>
          <w:sz w:val="18"/>
          <w:szCs w:val="18"/>
          <w:color w:val="auto"/>
        </w:rPr>
        <w:t xml:space="preserve"> foor at the Building being leased under the Lease (as more partcularly described in the Lease), containing 47,881 Rentable Square Feet.</w:t>
      </w:r>
    </w:p>
    <w:p>
      <w:pPr>
        <w:spacing w:after="0" w:line="104" w:lineRule="exact"/>
        <w:rPr>
          <w:rFonts w:ascii="Calibri" w:cs="Calibri" w:eastAsia="Calibri" w:hAnsi="Calibri"/>
          <w:sz w:val="18"/>
          <w:szCs w:val="18"/>
          <w:color w:val="auto"/>
        </w:rPr>
      </w:pPr>
    </w:p>
    <w:p>
      <w:pPr>
        <w:ind w:left="760" w:hanging="752"/>
        <w:spacing w:after="0"/>
        <w:tabs>
          <w:tab w:leader="none" w:pos="760" w:val="left"/>
        </w:tabs>
        <w:numPr>
          <w:ilvl w:val="0"/>
          <w:numId w:val="74"/>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Conditon</w:t>
      </w:r>
      <w:r>
        <w:rPr>
          <w:rFonts w:ascii="Calibri" w:cs="Calibri" w:eastAsia="Calibri" w:hAnsi="Calibri"/>
          <w:sz w:val="18"/>
          <w:szCs w:val="18"/>
          <w:color w:val="auto"/>
        </w:rPr>
        <w:t>.</w:t>
      </w:r>
    </w:p>
    <w:p>
      <w:pPr>
        <w:spacing w:after="0" w:line="109"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2"/>
          <w:numId w:val="74"/>
        </w:numPr>
        <w:rPr>
          <w:rFonts w:ascii="Calibri" w:cs="Calibri" w:eastAsia="Calibri" w:hAnsi="Calibri"/>
          <w:sz w:val="18"/>
          <w:szCs w:val="18"/>
          <w:color w:val="auto"/>
        </w:rPr>
      </w:pPr>
      <w:r>
        <w:rPr>
          <w:rFonts w:ascii="Calibri" w:cs="Calibri" w:eastAsia="Calibri" w:hAnsi="Calibri"/>
          <w:sz w:val="18"/>
          <w:szCs w:val="18"/>
          <w:color w:val="auto"/>
        </w:rPr>
        <w:t>Except as otherwise expressly set forth herein, Tenant agrees to accept the Additonal Premises in their “</w:t>
      </w:r>
      <w:r>
        <w:rPr>
          <w:rFonts w:ascii="Calibri" w:cs="Calibri" w:eastAsia="Calibri" w:hAnsi="Calibri"/>
          <w:sz w:val="18"/>
          <w:szCs w:val="18"/>
          <w:b w:val="1"/>
          <w:bCs w:val="1"/>
          <w:color w:val="auto"/>
        </w:rPr>
        <w:t>as is</w:t>
      </w:r>
      <w:r>
        <w:rPr>
          <w:rFonts w:ascii="Calibri" w:cs="Calibri" w:eastAsia="Calibri" w:hAnsi="Calibri"/>
          <w:sz w:val="18"/>
          <w:szCs w:val="18"/>
          <w:color w:val="auto"/>
        </w:rPr>
        <w:t>” conditon efectve as of the Additonal Premises Turnover Date. No agreement of Landlord to alter, remodel, decorate, clean or improve the Additonal Premises (or to provide Tenant with any credit or allowance for the same, except for the Allowance as expressly described in this Amendment), and no representatons regarding the conditon of the Additonal Premises, have been made by or on behalf of Landlord or relied upon by Tenant, except as expressly set forth in this Amendment or in the Lease, as modifed hereby. Nothing in this Secton 2 shall be deemed to waive or otherwise negate any of Landlord’s maintenance, repair or other covenants expressly set forth in the Lease, including Landlord’s obligatons to comply with applicable Laws, all as and to the extent expressly required under the Lease.</w:t>
      </w:r>
    </w:p>
    <w:p>
      <w:pPr>
        <w:spacing w:after="0" w:line="113"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2"/>
          <w:numId w:val="74"/>
        </w:numPr>
        <w:rPr>
          <w:rFonts w:ascii="Calibri" w:cs="Calibri" w:eastAsia="Calibri" w:hAnsi="Calibri"/>
          <w:sz w:val="18"/>
          <w:szCs w:val="18"/>
          <w:color w:val="auto"/>
        </w:rPr>
      </w:pPr>
      <w:r>
        <w:rPr>
          <w:rFonts w:ascii="Calibri" w:cs="Calibri" w:eastAsia="Calibri" w:hAnsi="Calibri"/>
          <w:sz w:val="18"/>
          <w:szCs w:val="18"/>
          <w:color w:val="auto"/>
        </w:rPr>
        <w:t>Landlord shall tender possession of the Additonal Premises to Tenant on or before the Additonal Premises Turnover Date. During the period from and afer the Additonal Premises Turnover Date and contnuing through the day immediately preceding the Additonal Premises Commencement Date, all of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5" w:lineRule="auto"/>
        <w:rPr>
          <w:sz w:val="20"/>
          <w:szCs w:val="20"/>
          <w:color w:val="auto"/>
        </w:rPr>
      </w:pPr>
      <w:r>
        <w:rPr>
          <w:rFonts w:ascii="Calibri" w:cs="Calibri" w:eastAsia="Calibri" w:hAnsi="Calibri"/>
          <w:sz w:val="18"/>
          <w:szCs w:val="18"/>
          <w:color w:val="auto"/>
        </w:rPr>
        <w:t>and provisions of the Lease shall govern and control with respect to the Additonal Premises, to the same extent as applicable to the balance of the Premises, except that Tenant shall have no obligaton to pay Base Rent or Additonal Rent pertaining to the Additonal Premises during any such period prior to the Additonal Premises Commencement Date, and provided further, that except as may be expressly stated in the Workleter under the Lease with respect to services required to be furnished to the Existng Premises (which Workleter shall also apply to the Additonal Premises, to the extent described in Secton 2(d) below), and except as provided in Secton 2(c) below, Landlord shall not be obligated to perform any janitorial or other Building services to the Additonal Premises prior to the Additonal Premises Commencement Date.</w:t>
      </w:r>
    </w:p>
    <w:p>
      <w:pPr>
        <w:spacing w:after="0" w:line="113" w:lineRule="exact"/>
        <w:rPr>
          <w:sz w:val="20"/>
          <w:szCs w:val="20"/>
          <w:color w:val="auto"/>
        </w:rPr>
      </w:pPr>
    </w:p>
    <w:p>
      <w:pPr>
        <w:jc w:val="both"/>
        <w:ind w:firstLine="1505"/>
        <w:spacing w:after="0" w:line="235" w:lineRule="auto"/>
        <w:tabs>
          <w:tab w:leader="none" w:pos="2036"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Notwithstanding the foregoing terms of this Secton 2, Tenant shall have the right to occupy any portons or all of the Additonal Premises for the conduct of business operatons therefrom prior to the Additonal Premises Commencement Date; provided that Tenant’s occupancy of any porton of the Additonal Premises for the conduct of its business prior to the Additonal Premises Commencement Date shall only occur if it is then lawful to do so. Subject to the terms of the preceding sentence, if Tenant elects to occupy any portons or all of the Additonal Premises for the conduct of business operatons therefrom prior to the Additonal Premises Commencement Date, then Tenant shall give not less than two (2) business days’ prior notce thereof to Landlord, and Landlord agrees to furnish to the Additonal Premises, janitorial and other Building services otherwise required of Landlord under the Lease, as of the date when such operatons are to commence and Tenant has requested for Landlord to begin furnishing such services (such date, the “</w:t>
      </w:r>
      <w:r>
        <w:rPr>
          <w:rFonts w:ascii="Calibri" w:cs="Calibri" w:eastAsia="Calibri" w:hAnsi="Calibri"/>
          <w:sz w:val="18"/>
          <w:szCs w:val="18"/>
          <w:b w:val="1"/>
          <w:bCs w:val="1"/>
          <w:color w:val="auto"/>
        </w:rPr>
        <w:t>Early</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Occupancy Date</w:t>
      </w:r>
      <w:r>
        <w:rPr>
          <w:rFonts w:ascii="Calibri" w:cs="Calibri" w:eastAsia="Calibri" w:hAnsi="Calibri"/>
          <w:sz w:val="18"/>
          <w:szCs w:val="18"/>
          <w:color w:val="auto"/>
        </w:rPr>
        <w:t>”), through and including the date immediately preceding the Additonal Premises Commencement Date, whereupon Tenant shall be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obligated to pay Landlord, for the entre Additonal Premises, a user charge equal to the amount of janitorial and other Expenses reasonably determined by Landlord, in good faith, to be associated with Tenant’s occupancy (the “</w:t>
      </w:r>
      <w:r>
        <w:rPr>
          <w:rFonts w:ascii="Calibri" w:cs="Calibri" w:eastAsia="Calibri" w:hAnsi="Calibri"/>
          <w:sz w:val="18"/>
          <w:szCs w:val="18"/>
          <w:b w:val="1"/>
          <w:bCs w:val="1"/>
          <w:color w:val="auto"/>
        </w:rPr>
        <w:t>Early Occupancy Charge</w:t>
      </w:r>
      <w:r>
        <w:rPr>
          <w:rFonts w:ascii="Calibri" w:cs="Calibri" w:eastAsia="Calibri" w:hAnsi="Calibri"/>
          <w:sz w:val="18"/>
          <w:szCs w:val="18"/>
          <w:color w:val="auto"/>
        </w:rPr>
        <w:t>”) for the period from and afer the Early Occupancy Date and through the date immediately preceding the Additonal Premises Commencement Date. Payment of the Early Occupancy Charge shall be paid within thirty (30) days afer Landlord’s demand therefor from tme to tme, and shall otherwise be paid in accordance with the same terms as applicable to payment of Base Rent under the Lease, and shall be deemed “Rent” for purposes of the Lease. Tenant shall, in any event, be required to pay (i) electricity charges for the Additonal Premises for all periods from and afer the Additonal Premises Turnover Date and prior to the Additonal Premises Commencement Date, which payments shall be made directly to the electrical utlity company pursuant to separate metering covering all such space (or, if not then separately metered, shall be payable to Landlord from tme to tme, within thirty (30) days following demand, based on Landlord’s good faith allocaton of electricity charges per the overall meter reading from the meter covering the Additonal Premises), and (ii) any afer-hours’ HVAC costs based on afer-hours’ HVAC service furnished to the Additonal Premises at any tme following the Early Occupancy Date and prior to the Additonal Premises Commencement Date at Tenant’s request therefor (which terms and provisions governing afer-hours’ HVAC prior to the Additonal Premises Commencement Date shall be the same afer-hours’ HVAC terms and provisions (including charges) as would apply to the Additonal Premises from and afer the Additonal Premises Commencement Date and thereafer during the Term pursuant to Secton 8.D. of the Lease, and which afer-hours’ HVAC charges shall be payable by Tenant to Landlord within thirty (30) days following Landlord’s writen request therefor from tme to tme). Without limitaton of the foregoing terms of this paragraph, all terms and provisions of the Lease, as amended by this Amendment (including, without limitaton, Tenant’s obligaton to pay Base Rent, Additonal Rent and all other charges due and owing from Tenant as set forth herein, and Landlord’s obligaton to furnish all base Building services required to be furnished by Landlord under the Lease), with respect to the Additonal Premises shall, in any event, apply for the period from and afer the Additonal Premises Commencement Date and thereafer through the remainder of the Term.</w:t>
      </w:r>
    </w:p>
    <w:p>
      <w:pPr>
        <w:spacing w:after="0" w:line="129"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Tenant shall, at its sole cost and expense, perform such work as may be necessary or desired by Tenant to construct or renovate the Additonal Premises, all subject to and in accordance with the provisions of the Lease, including, without limitaton, the provisions of the Workleter atached to the Lease, to the same extent as applicable to the “</w:t>
      </w:r>
      <w:r>
        <w:rPr>
          <w:rFonts w:ascii="Calibri" w:cs="Calibri" w:eastAsia="Calibri" w:hAnsi="Calibri"/>
          <w:sz w:val="18"/>
          <w:szCs w:val="18"/>
          <w:b w:val="1"/>
          <w:bCs w:val="1"/>
          <w:color w:val="auto"/>
        </w:rPr>
        <w:t>Tenant’s Work</w:t>
      </w:r>
      <w:r>
        <w:rPr>
          <w:rFonts w:ascii="Calibri" w:cs="Calibri" w:eastAsia="Calibri" w:hAnsi="Calibri"/>
          <w:sz w:val="18"/>
          <w:szCs w:val="18"/>
          <w:color w:val="auto"/>
        </w:rPr>
        <w:t>” therein described (it being acknowledged and agreed that (i) in the event of any inconsistency between the terms of such Workleter and the terms of this Amendment, the terms of this Amendment shall prevail, (ii) in lieu of any allowances or other contributons described in the Lease relatve to the “Tenant’s Work” therein described, the terms of Secton 6 below shall govern and control relatve to the Tenant’s Work hereunder, and (iii) any specifc dates set forth in the Workleter will be appropriately adjusted by the partes), and all in accordance with constructon-related rules and regulatons applicable to work being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35" w:lineRule="auto"/>
        <w:rPr>
          <w:sz w:val="20"/>
          <w:szCs w:val="20"/>
          <w:color w:val="auto"/>
        </w:rPr>
      </w:pPr>
      <w:r>
        <w:rPr>
          <w:rFonts w:ascii="Calibri" w:cs="Calibri" w:eastAsia="Calibri" w:hAnsi="Calibri"/>
          <w:sz w:val="18"/>
          <w:szCs w:val="18"/>
          <w:color w:val="auto"/>
        </w:rPr>
        <w:t>performed from tme to tme at the Building. For the avoidance of doubt, it is understood and agreed that Tenant shall not be enttled to any rental abatements, tenant improvement allowance or other concessions relatve to the Additonal Premises, except for the rental abatements, and except for the “Allowance” proceeds expressly provided in this Amendment. All work referred to in this subparagraph, to the extent such work is performed at the Additonal Premises on or before the twelve (12) month anniversary of the Additonal Premises Turnover Date, is herein collectvely referred to as the “</w:t>
      </w:r>
      <w:r>
        <w:rPr>
          <w:rFonts w:ascii="Calibri" w:cs="Calibri" w:eastAsia="Calibri" w:hAnsi="Calibri"/>
          <w:sz w:val="18"/>
          <w:szCs w:val="18"/>
          <w:b w:val="1"/>
          <w:bCs w:val="1"/>
          <w:color w:val="auto"/>
        </w:rPr>
        <w:t>Tenant’s Work</w:t>
      </w:r>
      <w:r>
        <w:rPr>
          <w:rFonts w:ascii="Calibri" w:cs="Calibri" w:eastAsia="Calibri" w:hAnsi="Calibri"/>
          <w:sz w:val="18"/>
          <w:szCs w:val="18"/>
          <w:color w:val="auto"/>
        </w:rPr>
        <w:t>.” Tenant’s Work shall include, in any event, any work necessary to separately meter the Additonal Premises for electricity (lights and outlets), separate and apart from any other space at the Building (i.e., other than the Existng Premises, which may be metered for electricity, together with the Additonal Premises, if Tenant so elects); the foregoing separate metering porton of the Tenant’s Work shall be completed, in any event, on or before the frst to occur of (i) the Additonal Premises Commencement Date, or (ii) any Early Occupancy Date under Secton 2(c) above.</w:t>
      </w:r>
    </w:p>
    <w:p>
      <w:pPr>
        <w:spacing w:after="0" w:line="115" w:lineRule="exact"/>
        <w:rPr>
          <w:sz w:val="20"/>
          <w:szCs w:val="20"/>
          <w:color w:val="auto"/>
        </w:rPr>
      </w:pPr>
    </w:p>
    <w:p>
      <w:pPr>
        <w:ind w:firstLine="757"/>
        <w:spacing w:after="0" w:line="235" w:lineRule="auto"/>
        <w:tabs>
          <w:tab w:leader="none" w:pos="1018" w:val="left"/>
        </w:tabs>
        <w:numPr>
          <w:ilvl w:val="0"/>
          <w:numId w:val="76"/>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Additonal Premises</w:t>
      </w:r>
      <w:r>
        <w:rPr>
          <w:rFonts w:ascii="Calibri" w:cs="Calibri" w:eastAsia="Calibri" w:hAnsi="Calibri"/>
          <w:sz w:val="18"/>
          <w:szCs w:val="18"/>
          <w:color w:val="auto"/>
        </w:rPr>
        <w:t>. Efectve as of the Additonal Premises Commencement Date for the Additonal Premises and for a lease term expiring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concurrently with the end of the Term (and subject, in any event, to any renewal or extension rights and any terminaton rights, as provided in the Lease):</w:t>
      </w:r>
    </w:p>
    <w:p>
      <w:pPr>
        <w:spacing w:after="0" w:line="104" w:lineRule="exact"/>
        <w:rPr>
          <w:rFonts w:ascii="Calibri" w:cs="Calibri" w:eastAsia="Calibri" w:hAnsi="Calibri"/>
          <w:sz w:val="18"/>
          <w:szCs w:val="18"/>
          <w:color w:val="auto"/>
        </w:rPr>
      </w:pPr>
    </w:p>
    <w:p>
      <w:pPr>
        <w:ind w:left="2040" w:hanging="535"/>
        <w:spacing w:after="0"/>
        <w:tabs>
          <w:tab w:leader="none" w:pos="2040" w:val="left"/>
        </w:tabs>
        <w:numPr>
          <w:ilvl w:val="1"/>
          <w:numId w:val="76"/>
        </w:numPr>
        <w:rPr>
          <w:rFonts w:ascii="Calibri" w:cs="Calibri" w:eastAsia="Calibri" w:hAnsi="Calibri"/>
          <w:sz w:val="18"/>
          <w:szCs w:val="18"/>
          <w:color w:val="auto"/>
        </w:rPr>
      </w:pPr>
      <w:r>
        <w:rPr>
          <w:rFonts w:ascii="Calibri" w:cs="Calibri" w:eastAsia="Calibri" w:hAnsi="Calibri"/>
          <w:sz w:val="18"/>
          <w:szCs w:val="18"/>
          <w:color w:val="auto"/>
        </w:rPr>
        <w:t>the “Premises” under the Lease shall mean the Existng Premises and the Additonal Premises; and</w:t>
      </w:r>
    </w:p>
    <w:p>
      <w:pPr>
        <w:spacing w:after="0" w:line="109"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1"/>
          <w:numId w:val="76"/>
        </w:numPr>
        <w:rPr>
          <w:rFonts w:ascii="Calibri" w:cs="Calibri" w:eastAsia="Calibri" w:hAnsi="Calibri"/>
          <w:sz w:val="18"/>
          <w:szCs w:val="18"/>
          <w:color w:val="auto"/>
        </w:rPr>
      </w:pPr>
      <w:r>
        <w:rPr>
          <w:rFonts w:ascii="Calibri" w:cs="Calibri" w:eastAsia="Calibri" w:hAnsi="Calibri"/>
          <w:sz w:val="18"/>
          <w:szCs w:val="18"/>
          <w:color w:val="auto"/>
        </w:rPr>
        <w:t>the Rentable Square Feet of the Premises shall be increased by the Rentable Square Feet of the Additonal Premises (and Tenant’s Proportonate Share under the Lease shall be increased to be 8.31% refectng the aggregate of the Existng Premises and the Additonal Premises, subject, however, in any event to the terms of Secton 5 regarding certain limited separate payment and abatement of Additonal Rent relatve to the Existng Premises and relatve to the Additonal Premises, all as therein set forth).</w:t>
      </w:r>
    </w:p>
    <w:p>
      <w:pPr>
        <w:spacing w:after="0" w:line="106" w:lineRule="exact"/>
        <w:rPr>
          <w:rFonts w:ascii="Calibri" w:cs="Calibri" w:eastAsia="Calibri" w:hAnsi="Calibri"/>
          <w:sz w:val="18"/>
          <w:szCs w:val="18"/>
          <w:color w:val="auto"/>
        </w:rPr>
      </w:pPr>
    </w:p>
    <w:p>
      <w:pPr>
        <w:ind w:left="1020" w:hanging="263"/>
        <w:spacing w:after="0"/>
        <w:tabs>
          <w:tab w:leader="none" w:pos="1020" w:val="left"/>
        </w:tabs>
        <w:numPr>
          <w:ilvl w:val="0"/>
          <w:numId w:val="76"/>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Base Rent</w:t>
      </w:r>
      <w:r>
        <w:rPr>
          <w:rFonts w:ascii="Calibri" w:cs="Calibri" w:eastAsia="Calibri" w:hAnsi="Calibri"/>
          <w:sz w:val="18"/>
          <w:szCs w:val="18"/>
          <w:color w:val="auto"/>
        </w:rPr>
        <w:t>.</w:t>
      </w:r>
    </w:p>
    <w:p>
      <w:pPr>
        <w:spacing w:after="0" w:line="109"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1"/>
          <w:numId w:val="76"/>
        </w:numPr>
        <w:rPr>
          <w:rFonts w:ascii="Calibri" w:cs="Calibri" w:eastAsia="Calibri" w:hAnsi="Calibri"/>
          <w:sz w:val="18"/>
          <w:szCs w:val="18"/>
          <w:color w:val="auto"/>
        </w:rPr>
      </w:pPr>
      <w:r>
        <w:rPr>
          <w:rFonts w:ascii="Calibri" w:cs="Calibri" w:eastAsia="Calibri" w:hAnsi="Calibri"/>
          <w:sz w:val="18"/>
          <w:szCs w:val="18"/>
          <w:color w:val="auto"/>
        </w:rPr>
        <w:t>Base Rent for the Existng Premises shall contnue to be payable in such amounts and in accordance with such provisions as are set forth in the Lease from and afer the date hereof and through the Expiraton Date, without limitng, however, any terminaton and/or renewal or extension rights, as provided in the Lease. The foregoing Base Rent shall be payable at such tmes and at such place and in accordance with such provisions as otherwise set forth in the Lease relatve to the payment of “Base Rent” thereunder.</w:t>
      </w:r>
    </w:p>
    <w:p>
      <w:pPr>
        <w:spacing w:after="0" w:line="111"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1"/>
          <w:numId w:val="76"/>
        </w:numPr>
        <w:rPr>
          <w:rFonts w:ascii="Calibri" w:cs="Calibri" w:eastAsia="Calibri" w:hAnsi="Calibri"/>
          <w:sz w:val="18"/>
          <w:szCs w:val="18"/>
          <w:color w:val="auto"/>
        </w:rPr>
      </w:pPr>
      <w:r>
        <w:rPr>
          <w:rFonts w:ascii="Calibri" w:cs="Calibri" w:eastAsia="Calibri" w:hAnsi="Calibri"/>
          <w:sz w:val="18"/>
          <w:szCs w:val="18"/>
          <w:color w:val="auto"/>
        </w:rPr>
        <w:t>From and afer the Additonal Premises Commencement Date and through December 31, 2033 (being the current “Expiraton Date” set forth in the Lease), and without limitng, however, any terminaton and/or renewal or extension rights, as provided in the Lease, Base Rent for the Additonal Premises shall be payable by Tenant in the following amounts and at the following annual rates per Rentable Square Foot of the Additonal Premises for the respectve periods hereinafer described (and Secton 1.K. and Secton 5.B.(i) of the Lease is hereby supplemented accordingly), subject, in any event, to certain abatement thereof, as applicable, pursuant to Secton 4(c)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19"/>
                <w:szCs w:val="19"/>
                <w:color w:val="auto"/>
              </w:rPr>
            </w:pPr>
          </w:p>
        </w:tc>
        <w:tc>
          <w:tcPr>
            <w:tcW w:w="2420" w:type="dxa"/>
            <w:vAlign w:val="bottom"/>
          </w:tcPr>
          <w:p>
            <w:pPr>
              <w:jc w:val="center"/>
              <w:ind w:left="30"/>
              <w:spacing w:after="0"/>
              <w:rPr>
                <w:sz w:val="20"/>
                <w:szCs w:val="20"/>
                <w:color w:val="auto"/>
              </w:rPr>
            </w:pPr>
            <w:r>
              <w:rPr>
                <w:rFonts w:ascii="Calibri" w:cs="Calibri" w:eastAsia="Calibri" w:hAnsi="Calibri"/>
                <w:sz w:val="18"/>
                <w:szCs w:val="18"/>
                <w:b w:val="1"/>
                <w:bCs w:val="1"/>
                <w:color w:val="auto"/>
                <w:w w:val="97"/>
              </w:rPr>
              <w:t>Annual Base Rent for the</w:t>
            </w:r>
          </w:p>
        </w:tc>
        <w:tc>
          <w:tcPr>
            <w:tcW w:w="1940" w:type="dxa"/>
            <w:vAlign w:val="bottom"/>
          </w:tcPr>
          <w:p>
            <w:pPr>
              <w:jc w:val="center"/>
              <w:ind w:left="30"/>
              <w:spacing w:after="0"/>
              <w:rPr>
                <w:sz w:val="20"/>
                <w:szCs w:val="20"/>
                <w:color w:val="auto"/>
              </w:rPr>
            </w:pPr>
            <w:r>
              <w:rPr>
                <w:rFonts w:ascii="Calibri" w:cs="Calibri" w:eastAsia="Calibri" w:hAnsi="Calibri"/>
                <w:sz w:val="18"/>
                <w:szCs w:val="18"/>
                <w:b w:val="1"/>
                <w:bCs w:val="1"/>
                <w:color w:val="auto"/>
                <w:w w:val="97"/>
              </w:rPr>
              <w:t>Annual Base Rent for</w:t>
            </w:r>
          </w:p>
        </w:tc>
        <w:tc>
          <w:tcPr>
            <w:tcW w:w="174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Monthly Base Rent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420" w:type="dxa"/>
            <w:vAlign w:val="bottom"/>
          </w:tcPr>
          <w:p>
            <w:pPr>
              <w:jc w:val="center"/>
              <w:ind w:left="50"/>
              <w:spacing w:after="0" w:line="216" w:lineRule="exact"/>
              <w:rPr>
                <w:sz w:val="20"/>
                <w:szCs w:val="20"/>
                <w:color w:val="auto"/>
              </w:rPr>
            </w:pPr>
            <w:r>
              <w:rPr>
                <w:rFonts w:ascii="Calibri" w:cs="Calibri" w:eastAsia="Calibri" w:hAnsi="Calibri"/>
                <w:sz w:val="18"/>
                <w:szCs w:val="18"/>
                <w:b w:val="1"/>
                <w:bCs w:val="1"/>
                <w:color w:val="auto"/>
              </w:rPr>
              <w:t>Additonal Premises (Per</w:t>
            </w:r>
          </w:p>
        </w:tc>
        <w:tc>
          <w:tcPr>
            <w:tcW w:w="1940" w:type="dxa"/>
            <w:vAlign w:val="bottom"/>
          </w:tcPr>
          <w:p>
            <w:pPr>
              <w:jc w:val="center"/>
              <w:ind w:left="10"/>
              <w:spacing w:after="0" w:line="216" w:lineRule="exact"/>
              <w:rPr>
                <w:sz w:val="20"/>
                <w:szCs w:val="20"/>
                <w:color w:val="auto"/>
              </w:rPr>
            </w:pPr>
            <w:r>
              <w:rPr>
                <w:rFonts w:ascii="Calibri" w:cs="Calibri" w:eastAsia="Calibri" w:hAnsi="Calibri"/>
                <w:sz w:val="18"/>
                <w:szCs w:val="18"/>
                <w:b w:val="1"/>
                <w:bCs w:val="1"/>
                <w:color w:val="auto"/>
              </w:rPr>
              <w:t>the Additonal</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for the Additonal</w:t>
            </w:r>
          </w:p>
        </w:tc>
        <w:tc>
          <w:tcPr>
            <w:tcW w:w="0" w:type="dxa"/>
            <w:vAlign w:val="bottom"/>
          </w:tcPr>
          <w:p>
            <w:pPr>
              <w:spacing w:after="0"/>
              <w:rPr>
                <w:sz w:val="1"/>
                <w:szCs w:val="1"/>
                <w:color w:val="auto"/>
              </w:rPr>
            </w:pPr>
          </w:p>
        </w:tc>
      </w:tr>
      <w:tr>
        <w:trPr>
          <w:trHeight w:val="216"/>
        </w:trPr>
        <w:tc>
          <w:tcPr>
            <w:tcW w:w="5140" w:type="dxa"/>
            <w:vAlign w:val="bottom"/>
          </w:tcPr>
          <w:p>
            <w:pPr>
              <w:ind w:left="2360"/>
              <w:spacing w:after="0" w:line="216" w:lineRule="exact"/>
              <w:rPr>
                <w:sz w:val="20"/>
                <w:szCs w:val="20"/>
                <w:color w:val="auto"/>
              </w:rPr>
            </w:pPr>
            <w:r>
              <w:rPr>
                <w:rFonts w:ascii="Calibri" w:cs="Calibri" w:eastAsia="Calibri" w:hAnsi="Calibri"/>
                <w:sz w:val="18"/>
                <w:szCs w:val="18"/>
                <w:b w:val="1"/>
                <w:bCs w:val="1"/>
                <w:color w:val="auto"/>
              </w:rPr>
              <w:t>Period</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b w:val="1"/>
                <w:bCs w:val="1"/>
                <w:color w:val="auto"/>
                <w:w w:val="97"/>
              </w:rPr>
              <w:t>Rentable Square Foot)</w:t>
            </w:r>
          </w:p>
        </w:tc>
        <w:tc>
          <w:tcPr>
            <w:tcW w:w="1940" w:type="dxa"/>
            <w:vAlign w:val="bottom"/>
          </w:tcPr>
          <w:p>
            <w:pPr>
              <w:jc w:val="center"/>
              <w:ind w:left="70"/>
              <w:spacing w:after="0" w:line="216" w:lineRule="exact"/>
              <w:rPr>
                <w:sz w:val="20"/>
                <w:szCs w:val="20"/>
                <w:color w:val="auto"/>
              </w:rPr>
            </w:pPr>
            <w:r>
              <w:rPr>
                <w:rFonts w:ascii="Calibri" w:cs="Calibri" w:eastAsia="Calibri" w:hAnsi="Calibri"/>
                <w:sz w:val="18"/>
                <w:szCs w:val="18"/>
                <w:b w:val="1"/>
                <w:bCs w:val="1"/>
                <w:color w:val="auto"/>
                <w:w w:val="97"/>
              </w:rPr>
              <w:t>Premises</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Premises</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Additonal Premises Commencement Date through December 31,</w:t>
            </w:r>
          </w:p>
        </w:tc>
        <w:tc>
          <w:tcPr>
            <w:tcW w:w="2420" w:type="dxa"/>
            <w:vAlign w:val="bottom"/>
            <w:vMerge w:val="restart"/>
          </w:tcPr>
          <w:p>
            <w:pPr>
              <w:jc w:val="center"/>
              <w:ind w:left="70"/>
              <w:spacing w:after="0"/>
              <w:rPr>
                <w:sz w:val="20"/>
                <w:szCs w:val="20"/>
                <w:color w:val="auto"/>
              </w:rPr>
            </w:pPr>
            <w:r>
              <w:rPr>
                <w:rFonts w:ascii="Calibri" w:cs="Calibri" w:eastAsia="Calibri" w:hAnsi="Calibri"/>
                <w:sz w:val="18"/>
                <w:szCs w:val="18"/>
                <w:color w:val="auto"/>
                <w:w w:val="99"/>
              </w:rPr>
              <w:t>$32.80</w:t>
            </w:r>
          </w:p>
        </w:tc>
        <w:tc>
          <w:tcPr>
            <w:tcW w:w="1940" w:type="dxa"/>
            <w:vAlign w:val="bottom"/>
            <w:vMerge w:val="restart"/>
          </w:tcPr>
          <w:p>
            <w:pPr>
              <w:jc w:val="center"/>
              <w:ind w:left="50"/>
              <w:spacing w:after="0"/>
              <w:rPr>
                <w:sz w:val="20"/>
                <w:szCs w:val="20"/>
                <w:color w:val="auto"/>
              </w:rPr>
            </w:pPr>
            <w:r>
              <w:rPr>
                <w:rFonts w:ascii="Calibri" w:cs="Calibri" w:eastAsia="Calibri" w:hAnsi="Calibri"/>
                <w:sz w:val="18"/>
                <w:szCs w:val="18"/>
                <w:color w:val="auto"/>
                <w:w w:val="96"/>
              </w:rPr>
              <w:t>$164,951.20</w:t>
            </w:r>
          </w:p>
        </w:tc>
        <w:tc>
          <w:tcPr>
            <w:tcW w:w="1740" w:type="dxa"/>
            <w:vAlign w:val="bottom"/>
            <w:vMerge w:val="restart"/>
          </w:tcPr>
          <w:p>
            <w:pPr>
              <w:jc w:val="center"/>
              <w:spacing w:after="0"/>
              <w:rPr>
                <w:sz w:val="20"/>
                <w:szCs w:val="20"/>
                <w:color w:val="auto"/>
              </w:rPr>
            </w:pPr>
            <w:r>
              <w:rPr>
                <w:rFonts w:ascii="Calibri" w:cs="Calibri" w:eastAsia="Calibri" w:hAnsi="Calibri"/>
                <w:sz w:val="18"/>
                <w:szCs w:val="18"/>
                <w:color w:val="auto"/>
                <w:w w:val="97"/>
              </w:rPr>
              <w:t>$13,745.93</w:t>
            </w:r>
          </w:p>
        </w:tc>
        <w:tc>
          <w:tcPr>
            <w:tcW w:w="0" w:type="dxa"/>
            <w:vAlign w:val="bottom"/>
          </w:tcPr>
          <w:p>
            <w:pPr>
              <w:spacing w:after="0"/>
              <w:rPr>
                <w:sz w:val="1"/>
                <w:szCs w:val="1"/>
                <w:color w:val="auto"/>
              </w:rPr>
            </w:pPr>
          </w:p>
        </w:tc>
      </w:tr>
      <w:tr>
        <w:trPr>
          <w:trHeight w:val="108"/>
        </w:trPr>
        <w:tc>
          <w:tcPr>
            <w:tcW w:w="5140" w:type="dxa"/>
            <w:vAlign w:val="bottom"/>
            <w:vMerge w:val="restart"/>
          </w:tcPr>
          <w:p>
            <w:pPr>
              <w:ind w:left="100"/>
              <w:spacing w:after="0" w:line="216" w:lineRule="exact"/>
              <w:rPr>
                <w:sz w:val="20"/>
                <w:szCs w:val="20"/>
                <w:color w:val="auto"/>
              </w:rPr>
            </w:pPr>
            <w:r>
              <w:rPr>
                <w:rFonts w:ascii="Calibri" w:cs="Calibri" w:eastAsia="Calibri" w:hAnsi="Calibri"/>
                <w:sz w:val="18"/>
                <w:szCs w:val="18"/>
                <w:color w:val="auto"/>
              </w:rPr>
              <w:t>2024</w:t>
            </w:r>
          </w:p>
        </w:tc>
        <w:tc>
          <w:tcPr>
            <w:tcW w:w="242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4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2025 through December 31, 2025</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$33.54</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$168,672.66</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$14,056.06</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2026 through December 31, 2026</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$34.29</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$172,444.41</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$14,370.37</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2027 through December 31, 2027</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$35.06</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$176,316.74</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$14,693.06</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2028 through December 31, 2028</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$35.85</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$180,289.65</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$15,024.14</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2029 through December 31, 2029</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$36.66</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$184,363.14</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$15,363.60</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2030 through December 31, 2030</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$37.48</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$188,486.92</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$15,707.24</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2031 through December 31, 2031</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$38.33</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$192,761.57</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$16,063.46</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I, 2032 through December 31, 2032</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$39.19</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$197,086.51</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$16,423.88</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line="216" w:lineRule="exact"/>
              <w:rPr>
                <w:sz w:val="20"/>
                <w:szCs w:val="20"/>
                <w:color w:val="auto"/>
              </w:rPr>
            </w:pPr>
            <w:r>
              <w:rPr>
                <w:rFonts w:ascii="Calibri" w:cs="Calibri" w:eastAsia="Calibri" w:hAnsi="Calibri"/>
                <w:sz w:val="18"/>
                <w:szCs w:val="18"/>
                <w:color w:val="auto"/>
              </w:rPr>
              <w:t>January 1, 2033 through December 31, 2033</w:t>
            </w:r>
          </w:p>
        </w:tc>
        <w:tc>
          <w:tcPr>
            <w:tcW w:w="2420" w:type="dxa"/>
            <w:vAlign w:val="bottom"/>
          </w:tcPr>
          <w:p>
            <w:pPr>
              <w:jc w:val="center"/>
              <w:ind w:left="70"/>
              <w:spacing w:after="0" w:line="216" w:lineRule="exact"/>
              <w:rPr>
                <w:sz w:val="20"/>
                <w:szCs w:val="20"/>
                <w:color w:val="auto"/>
              </w:rPr>
            </w:pPr>
            <w:r>
              <w:rPr>
                <w:rFonts w:ascii="Calibri" w:cs="Calibri" w:eastAsia="Calibri" w:hAnsi="Calibri"/>
                <w:sz w:val="18"/>
                <w:szCs w:val="18"/>
                <w:color w:val="auto"/>
                <w:w w:val="99"/>
              </w:rPr>
              <w:t>$40.07</w:t>
            </w:r>
          </w:p>
        </w:tc>
        <w:tc>
          <w:tcPr>
            <w:tcW w:w="1940" w:type="dxa"/>
            <w:vAlign w:val="bottom"/>
          </w:tcPr>
          <w:p>
            <w:pPr>
              <w:jc w:val="center"/>
              <w:ind w:left="50"/>
              <w:spacing w:after="0" w:line="216" w:lineRule="exact"/>
              <w:rPr>
                <w:sz w:val="20"/>
                <w:szCs w:val="20"/>
                <w:color w:val="auto"/>
              </w:rPr>
            </w:pPr>
            <w:r>
              <w:rPr>
                <w:rFonts w:ascii="Calibri" w:cs="Calibri" w:eastAsia="Calibri" w:hAnsi="Calibri"/>
                <w:sz w:val="18"/>
                <w:szCs w:val="18"/>
                <w:color w:val="auto"/>
                <w:w w:val="96"/>
              </w:rPr>
              <w:t>$201,512.03</w:t>
            </w: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$16,792.67</w:t>
            </w:r>
          </w:p>
        </w:tc>
        <w:tc>
          <w:tcPr>
            <w:tcW w:w="0" w:type="dxa"/>
            <w:vAlign w:val="bottom"/>
          </w:tcPr>
          <w:p>
            <w:pPr>
              <w:spacing w:after="0"/>
              <w:rPr>
                <w:sz w:val="1"/>
                <w:szCs w:val="1"/>
                <w:color w:val="auto"/>
              </w:rPr>
            </w:pPr>
          </w:p>
        </w:tc>
      </w:tr>
      <w:tr>
        <w:trPr>
          <w:trHeight w:val="864"/>
        </w:trPr>
        <w:tc>
          <w:tcPr>
            <w:tcW w:w="5140" w:type="dxa"/>
            <w:vAlign w:val="bottom"/>
          </w:tcPr>
          <w:p>
            <w:pPr>
              <w:spacing w:after="0"/>
              <w:rPr>
                <w:sz w:val="24"/>
                <w:szCs w:val="24"/>
                <w:color w:val="auto"/>
              </w:rPr>
            </w:pPr>
          </w:p>
        </w:tc>
        <w:tc>
          <w:tcPr>
            <w:tcW w:w="2420" w:type="dxa"/>
            <w:vAlign w:val="bottom"/>
          </w:tcPr>
          <w:p>
            <w:pPr>
              <w:jc w:val="right"/>
              <w:ind w:right="1790"/>
              <w:spacing w:after="0"/>
              <w:rPr>
                <w:sz w:val="20"/>
                <w:szCs w:val="20"/>
                <w:color w:val="auto"/>
              </w:rPr>
            </w:pPr>
            <w:r>
              <w:rPr>
                <w:rFonts w:ascii="Calibri" w:cs="Calibri" w:eastAsia="Calibri" w:hAnsi="Calibri"/>
                <w:sz w:val="18"/>
                <w:szCs w:val="18"/>
                <w:color w:val="auto"/>
              </w:rPr>
              <w:t>3</w:t>
            </w: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51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82" w:lineRule="exact"/>
        <w:rPr>
          <w:sz w:val="20"/>
          <w:szCs w:val="20"/>
          <w:color w:val="auto"/>
        </w:rPr>
      </w:pPr>
    </w:p>
    <w:p>
      <w:pPr>
        <w:jc w:val="both"/>
        <w:ind w:firstLine="1505"/>
        <w:spacing w:after="0" w:line="235" w:lineRule="auto"/>
        <w:tabs>
          <w:tab w:leader="none" w:pos="2036"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Without limitng the abatement of Additonal Rent as provided in Secton 5(c) below Base Rent for the Additonal Premises leased hereunder shall abate for each of the frst eleven (11) full calendar months from and afer the Additonal Premises Commencement Date (each such calendar month, an “</w:t>
      </w:r>
      <w:r>
        <w:rPr>
          <w:rFonts w:ascii="Calibri" w:cs="Calibri" w:eastAsia="Calibri" w:hAnsi="Calibri"/>
          <w:sz w:val="18"/>
          <w:szCs w:val="18"/>
          <w:b w:val="1"/>
          <w:bCs w:val="1"/>
          <w:color w:val="auto"/>
        </w:rPr>
        <w:t>Additonal Premises Abatement Month</w:t>
      </w:r>
      <w:r>
        <w:rPr>
          <w:rFonts w:ascii="Calibri" w:cs="Calibri" w:eastAsia="Calibri" w:hAnsi="Calibri"/>
          <w:sz w:val="18"/>
          <w:szCs w:val="18"/>
          <w:color w:val="auto"/>
        </w:rPr>
        <w:t>,” and collectvely, “</w:t>
      </w:r>
      <w:r>
        <w:rPr>
          <w:rFonts w:ascii="Calibri" w:cs="Calibri" w:eastAsia="Calibri" w:hAnsi="Calibri"/>
          <w:sz w:val="18"/>
          <w:szCs w:val="18"/>
          <w:b w:val="1"/>
          <w:bCs w:val="1"/>
          <w:color w:val="auto"/>
        </w:rPr>
        <w:t>Additonal Premises Abatement Months</w:t>
      </w:r>
      <w:r>
        <w:rPr>
          <w:rFonts w:ascii="Calibri" w:cs="Calibri" w:eastAsia="Calibri" w:hAnsi="Calibri"/>
          <w:sz w:val="18"/>
          <w:szCs w:val="18"/>
          <w:color w:val="auto"/>
        </w:rPr>
        <w:t>”); provided that Tenant shall remain responsible for all other obligatons of Tenant with respect to the Additonal Premises hereunder during each of the aforedescribed Additonal Premises Abatement Months (subject to the abatement of Additonal Rent for the Additonal Premises Abatement Months as expressly provided for in Secton 5(c) below), and provided further, that such abatement of Base Rent for the Additonal Premises shall not apply for any Additonal Premises Abatement Month during which Tenant, at any tme, is otherwise in Default (defned in Secton 19.A. of the Lease) under the Lease, as amended hereby.</w:t>
      </w:r>
    </w:p>
    <w:p>
      <w:pPr>
        <w:spacing w:after="0" w:line="113"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The foregoing Base Rent atributable to the Additonal Premises as described above in this Secton 4 shall be payable at such tmes and at such place and in accordance with such provisions as otherwise set forth in the Lease relatve to the payment of Base Rent thereunder (provided that, except for the abatement of Base Rent described in Secton 4(c) above and the possible set-of rights set forth in Secton 7 below, there will be no other Base Rent abatements relatve to the Additonal Premises, except as otherwise may be expressly provided in the Lease, including, without limitaton, Secton 8.E. and Secton 15.C. thereof, but specifcally excluding, in any event, any abatements described in Secton 5.B.(i) of the Lease (which abatements shall remain applicable to the Existng Premises)).</w:t>
      </w:r>
    </w:p>
    <w:p>
      <w:pPr>
        <w:spacing w:after="0" w:line="113"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The term “</w:t>
      </w:r>
      <w:r>
        <w:rPr>
          <w:rFonts w:ascii="Calibri" w:cs="Calibri" w:eastAsia="Calibri" w:hAnsi="Calibri"/>
          <w:sz w:val="18"/>
          <w:szCs w:val="18"/>
          <w:b w:val="1"/>
          <w:bCs w:val="1"/>
          <w:color w:val="auto"/>
        </w:rPr>
        <w:t>Base Rent</w:t>
      </w:r>
      <w:r>
        <w:rPr>
          <w:rFonts w:ascii="Calibri" w:cs="Calibri" w:eastAsia="Calibri" w:hAnsi="Calibri"/>
          <w:sz w:val="18"/>
          <w:szCs w:val="18"/>
          <w:color w:val="auto"/>
        </w:rPr>
        <w:t>,” as used in the Lease, shall mean all Base Rent payable relatve to the Existng Premises as described in Secton 4(a) above, and the amounts payable relatve to the Additonal Premises as described in Secton 4(b) above, subject, in any event, to any abatements thereof as expressly provided in the Lease, as amended hereby.</w:t>
      </w:r>
    </w:p>
    <w:p>
      <w:pPr>
        <w:spacing w:after="0" w:line="105" w:lineRule="exact"/>
        <w:rPr>
          <w:rFonts w:ascii="Calibri" w:cs="Calibri" w:eastAsia="Calibri" w:hAnsi="Calibri"/>
          <w:sz w:val="18"/>
          <w:szCs w:val="18"/>
          <w:color w:val="auto"/>
        </w:rPr>
      </w:pPr>
    </w:p>
    <w:p>
      <w:pPr>
        <w:ind w:left="1020" w:hanging="263"/>
        <w:spacing w:after="0"/>
        <w:tabs>
          <w:tab w:leader="none" w:pos="1020" w:val="left"/>
        </w:tabs>
        <w:numPr>
          <w:ilvl w:val="0"/>
          <w:numId w:val="78"/>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Additonal Rent</w:t>
      </w:r>
      <w:r>
        <w:rPr>
          <w:rFonts w:ascii="Calibri" w:cs="Calibri" w:eastAsia="Calibri" w:hAnsi="Calibri"/>
          <w:sz w:val="18"/>
          <w:szCs w:val="18"/>
          <w:color w:val="auto"/>
        </w:rPr>
        <w:t>.</w:t>
      </w:r>
    </w:p>
    <w:p>
      <w:pPr>
        <w:spacing w:after="0" w:line="109"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For the calendar year 2024 (being the calendar year in which the Additonal Premises Commencement Date occurs), and for calendar year 2025 (being the calendar year in which the last Additonal Premises Abatement Month is scheduled to occur), Tenant’s Proportonate Share of Expenses and Taxes (i.e., Additonal Rent under the Lease) provided for in Secton 5 of the Lease shall be calculated separately for the Additonal Premises and the Existng Premises, but not for any subsequent years of the Term of the Lease. In subsequent years, Additonal Rent shall be calculated, together, for the Additonal Premises and the Existng Premises. Additonal Rent for the Additonal Premises for calendar year 2024 shall be abated in full, all as and to the extent provided in Secton 5(c) below.</w:t>
      </w:r>
    </w:p>
    <w:p>
      <w:pPr>
        <w:spacing w:after="0" w:line="113" w:lineRule="exact"/>
        <w:rPr>
          <w:rFonts w:ascii="Calibri" w:cs="Calibri" w:eastAsia="Calibri" w:hAnsi="Calibri"/>
          <w:sz w:val="18"/>
          <w:szCs w:val="18"/>
          <w:color w:val="auto"/>
        </w:rPr>
      </w:pPr>
    </w:p>
    <w:p>
      <w:pPr>
        <w:jc w:val="both"/>
        <w:ind w:firstLine="1505"/>
        <w:spacing w:after="0" w:line="235" w:lineRule="auto"/>
        <w:tabs>
          <w:tab w:leader="none" w:pos="2036"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Without limitng the terms of Secton 5(c) below regarding certain abatement of Additonal Rent relatve to the Additonal Premises, all as and to the extent set forth in the last sentence of Secton 5(a) above and in said Secton 5(c), for purposes of calculatng Additonal Rent payable on account of the Additonal Premises for calendar year 2024 and for calendar year 2025, and notwithstanding anything in the Lease or this Amendment to the contrary, “Tenant’s Proportonate Share” shall be determined in accordance with the defniton thereof set forth in Secton 5.D. of the Lease, except that the numerator of the fracton described therein shall be 5,029 Rentable Square Feet (i.e., being the Rentable Square Feet of the Additonal Premises as set forth in Secton 1 hereinabove), for a Tenant’s Proportonate Share of .79%. For purposes of calculatng Additonal Rent payable on account of the Existng Premises for calendar year 2024 and for calendar year 2025, “Tenant’s Proportonate Share” shall contnue to be 7.52%, as provided in Secton 1.N. of the Lease. For purposes of calculatng Additonal Rent payable on account of the Additonal Premises and the Existng Premises, together, for all calendar years falling in whole or in part during the Term and occurring afer calendar year 2025, “Tenant’s Proportonate Share” shall be determined in accordance with the defniton thereof set forth in Secton 5.D. of the Lease, except that the numerator of the fracton described therein shall be 52,910 Rentable Square Feet (i.e., being the Rentable Square Feet of the Additonal Premises and the Rentable Square Feet of the Existng Premises, together) for a Tenant’s Proportonate Share of 8.31%. Tenant’s Proportonate Share under the Lease shall be subject, in any event, to further adjustments thereto from tme to tme as expressly provided in Secton 5.D. of the Lease. As set forth in Secton 5.D. of the Lease, Landlord and Tenant acknowledge and agree that, for purposes of calculatng Tenant’s Proportonate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rPr>
          <w:sz w:val="20"/>
          <w:szCs w:val="20"/>
          <w:color w:val="auto"/>
        </w:rPr>
      </w:pPr>
      <w:r>
        <w:rPr>
          <w:rFonts w:ascii="Calibri" w:cs="Calibri" w:eastAsia="Calibri" w:hAnsi="Calibri"/>
          <w:sz w:val="18"/>
          <w:szCs w:val="18"/>
          <w:color w:val="auto"/>
        </w:rPr>
        <w:t>Share, the Rentable Square Feet of the Building is, and shall remain during the Term (as it may be extended), 636,848 Rentable Square Feet.</w:t>
      </w:r>
    </w:p>
    <w:p>
      <w:pPr>
        <w:spacing w:after="0" w:line="109" w:lineRule="exact"/>
        <w:rPr>
          <w:sz w:val="20"/>
          <w:szCs w:val="20"/>
          <w:color w:val="auto"/>
        </w:rPr>
      </w:pPr>
    </w:p>
    <w:p>
      <w:pPr>
        <w:jc w:val="both"/>
        <w:ind w:firstLine="1505"/>
        <w:spacing w:after="0" w:line="235" w:lineRule="auto"/>
        <w:tabs>
          <w:tab w:leader="none" w:pos="2036" w:val="left"/>
        </w:tabs>
        <w:numPr>
          <w:ilvl w:val="2"/>
          <w:numId w:val="79"/>
        </w:numPr>
        <w:rPr>
          <w:rFonts w:ascii="Calibri" w:cs="Calibri" w:eastAsia="Calibri" w:hAnsi="Calibri"/>
          <w:sz w:val="18"/>
          <w:szCs w:val="18"/>
          <w:color w:val="auto"/>
        </w:rPr>
      </w:pPr>
      <w:r>
        <w:rPr>
          <w:rFonts w:ascii="Calibri" w:cs="Calibri" w:eastAsia="Calibri" w:hAnsi="Calibri"/>
          <w:sz w:val="18"/>
          <w:szCs w:val="18"/>
          <w:color w:val="auto"/>
        </w:rPr>
        <w:t>Notwithstanding the foregoing, and without limitng the abatement of Base Rent as provided in Secton 4(c) above, Additonal Rent relatve to the Additonal Premises leased hereunder shall abate for each of the Additonal Premises Abatement Months (as defned in Secton 4(c) above); provided that Tenant shall remain responsible for all other obligatons of Tenant with respect to the Additonal Premises hereunder during each of the aforedescribed Additonal Premises Abatement Months (subject to the abatement of Base Rent for the Additonal Premises Abatement Months as expressly provided for in Secton 4(c) above), and provided further, that such abatement of Additonal Rent for the Additonal Premises shall not apply for any Additonal Premises Abatement Month during which Tenant, at any tme, is otherwise in Default (defned in Secton 19 .A. of the Lease) under the Lease, as amended hereby. Notwithstanding anything herein to the contrary, Landlord shall have the right, at any tme and from tme to tme, to elect, upon delivery of not less than thirty (30) days’ prior writen notce to the other, to have Landlord make a cash payment to Tenant equal to the monthly Additonal Rent atributable to the Additonal Premises being leased hereunder for any one or more Additonal Premises Abatement Month(s) which have not theretofore occurred, using the then monthly estmate of Additonal Rent for the Additonal Premises in efect at the tme of such payment, in which case Tenant shall no longer be enttled to the aforementoned abatement of Additonal Rent atributable to the Additonal Premises for the applicable atributable to the Additonal Premises Abatement Month(s) for which Landlord has made such cash payment; provided further, that Tenant’s Additonal Rent obligatons under the Lease for the Additonal Premises relatve to any such Additonal Premises Rent Abatement Month(s) for which Landlord has made such cash payment shall be fxed at the monthly Additonal Rent estmate amount used as the basis for such cash payment calculaton, to ensure Tenant obtains the full beneft of any such abatement.</w:t>
      </w:r>
    </w:p>
    <w:p>
      <w:pPr>
        <w:spacing w:after="0" w:line="120" w:lineRule="exact"/>
        <w:rPr>
          <w:rFonts w:ascii="Calibri" w:cs="Calibri" w:eastAsia="Calibri" w:hAnsi="Calibri"/>
          <w:sz w:val="18"/>
          <w:szCs w:val="18"/>
          <w:color w:val="auto"/>
        </w:rPr>
      </w:pPr>
    </w:p>
    <w:p>
      <w:pPr>
        <w:jc w:val="both"/>
        <w:ind w:firstLine="1505"/>
        <w:spacing w:after="0" w:line="249" w:lineRule="auto"/>
        <w:tabs>
          <w:tab w:leader="none" w:pos="2036" w:val="left"/>
        </w:tabs>
        <w:numPr>
          <w:ilvl w:val="2"/>
          <w:numId w:val="79"/>
        </w:numPr>
        <w:rPr>
          <w:rFonts w:ascii="Calibri" w:cs="Calibri" w:eastAsia="Calibri" w:hAnsi="Calibri"/>
          <w:sz w:val="17"/>
          <w:szCs w:val="17"/>
          <w:color w:val="auto"/>
        </w:rPr>
      </w:pPr>
      <w:r>
        <w:rPr>
          <w:rFonts w:ascii="Calibri" w:cs="Calibri" w:eastAsia="Calibri" w:hAnsi="Calibri"/>
          <w:sz w:val="17"/>
          <w:szCs w:val="17"/>
          <w:color w:val="auto"/>
        </w:rPr>
        <w:t>All Additonal Rent described in this Secton 5 shall be payable at such tmes, in such manner, and in accordance with such procedures (i.e., including payment of monthly estmates and annual reconciliatons) as set forth in Secton 5 of the Lease relatve to payment of Additonal Rent thereunder (provided that, except for the abatement of Additonal Rent described in Secton 5(c) above and the possible set-of rights set forth in Secton 7 below, there will be no other Additonal Rent abatements relatve to the Additonal Premises, except as otherwise may be expressly provided in the Lease, including, without limitaton, Secton 8.E. and Secton 15.C. thereof, but specifcally excluding, in any event, any abatements described in Secton 5.B.</w:t>
      </w:r>
    </w:p>
    <w:p>
      <w:pPr>
        <w:spacing w:after="0" w:line="2" w:lineRule="exact"/>
        <w:rPr>
          <w:rFonts w:ascii="Calibri" w:cs="Calibri" w:eastAsia="Calibri" w:hAnsi="Calibri"/>
          <w:sz w:val="17"/>
          <w:szCs w:val="17"/>
          <w:color w:val="auto"/>
        </w:rPr>
      </w:pPr>
    </w:p>
    <w:p>
      <w:pPr>
        <w:ind w:left="240" w:hanging="232"/>
        <w:spacing w:after="0" w:line="235" w:lineRule="auto"/>
        <w:tabs>
          <w:tab w:leader="none" w:pos="240" w:val="left"/>
        </w:tabs>
        <w:numPr>
          <w:ilvl w:val="0"/>
          <w:numId w:val="80"/>
        </w:numPr>
        <w:rPr>
          <w:rFonts w:ascii="Calibri" w:cs="Calibri" w:eastAsia="Calibri" w:hAnsi="Calibri"/>
          <w:sz w:val="18"/>
          <w:szCs w:val="18"/>
          <w:color w:val="auto"/>
        </w:rPr>
      </w:pPr>
      <w:r>
        <w:rPr>
          <w:rFonts w:ascii="Calibri" w:cs="Calibri" w:eastAsia="Calibri" w:hAnsi="Calibri"/>
          <w:sz w:val="18"/>
          <w:szCs w:val="18"/>
          <w:color w:val="auto"/>
        </w:rPr>
        <w:t>of the Lease (which abatements shall remain applicable to the Existng Premises)).</w:t>
      </w:r>
    </w:p>
    <w:p>
      <w:pPr>
        <w:spacing w:after="0" w:line="109"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1"/>
          <w:numId w:val="80"/>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Allowance</w:t>
      </w:r>
      <w:r>
        <w:rPr>
          <w:rFonts w:ascii="Calibri" w:cs="Calibri" w:eastAsia="Calibri" w:hAnsi="Calibri"/>
          <w:sz w:val="18"/>
          <w:szCs w:val="18"/>
          <w:color w:val="auto"/>
        </w:rPr>
        <w:t>. Landlord shall make a contributon (the “</w:t>
      </w:r>
      <w:r>
        <w:rPr>
          <w:rFonts w:ascii="Calibri" w:cs="Calibri" w:eastAsia="Calibri" w:hAnsi="Calibri"/>
          <w:sz w:val="18"/>
          <w:szCs w:val="18"/>
          <w:b w:val="1"/>
          <w:bCs w:val="1"/>
          <w:color w:val="auto"/>
        </w:rPr>
        <w:t>Allowance</w:t>
      </w:r>
      <w:r>
        <w:rPr>
          <w:rFonts w:ascii="Calibri" w:cs="Calibri" w:eastAsia="Calibri" w:hAnsi="Calibri"/>
          <w:sz w:val="18"/>
          <w:szCs w:val="18"/>
          <w:color w:val="auto"/>
        </w:rPr>
        <w:t>”) towards the cost of the Tenant’s Work (as defned in Secton 2(d) above)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(including, without limitaton, the costs of constructon, furniture, installaton and wiring of phone and data processing equipment, permits and inspectons, space plans, design drawings and other architectural and engineering drawings) and toward moving costs, professional fees, and any other architectural or design fees in connecton with the Tenant’s Work (collectvely the “</w:t>
      </w:r>
      <w:r>
        <w:rPr>
          <w:rFonts w:ascii="Calibri" w:cs="Calibri" w:eastAsia="Calibri" w:hAnsi="Calibri"/>
          <w:sz w:val="18"/>
          <w:szCs w:val="18"/>
          <w:b w:val="1"/>
          <w:bCs w:val="1"/>
          <w:color w:val="auto"/>
        </w:rPr>
        <w:t>Allowance Permited Costs</w:t>
      </w:r>
      <w:r>
        <w:rPr>
          <w:rFonts w:ascii="Calibri" w:cs="Calibri" w:eastAsia="Calibri" w:hAnsi="Calibri"/>
          <w:sz w:val="18"/>
          <w:szCs w:val="18"/>
          <w:color w:val="auto"/>
        </w:rPr>
        <w:t>”), in an amount equal to $638,683.00 (i.e., being $127.00 per Rentable Square Foot of the Additonal Premises). Said Allowance, or portons thereof, shall be disbursed to Tenant from tme to tme following the Additonal Premises Turnover Date in accordance with the same terms and conditons and limitatons (including, without limitaton, the same so-called “30%” sof constructon cost limitaton percentage described in Paragraph 9(a)i) of the Workleter, the same retainage percentage (i.e., being 5%) as described in Paragraph 9(f) of the Workleter, and the same so-called cap (i.e., being $10.00 per Rentable Square Foot of the Additonal Premises) on excess Allowance proceeds which may be applied as a credit against Base Rent for the Additonal Premises or as a cash payment from Landlord under Paragraph 9(g) of the Workleter), as otherwise set forth in Paragraph 9 of the Workleter atached to the Lease relatve to the “Allowance” thereunder (it being understood and agreed that all provisions of Paragraph 9 of the Workleter atached to the Lease shall apply to the Allowance under this Secton 6, to the same extent as applicable to the “</w:t>
      </w:r>
      <w:r>
        <w:rPr>
          <w:rFonts w:ascii="Calibri" w:cs="Calibri" w:eastAsia="Calibri" w:hAnsi="Calibri"/>
          <w:sz w:val="18"/>
          <w:szCs w:val="18"/>
          <w:b w:val="1"/>
          <w:bCs w:val="1"/>
          <w:color w:val="auto"/>
        </w:rPr>
        <w:t>Allowance</w:t>
      </w:r>
      <w:r>
        <w:rPr>
          <w:rFonts w:ascii="Calibri" w:cs="Calibri" w:eastAsia="Calibri" w:hAnsi="Calibri"/>
          <w:sz w:val="18"/>
          <w:szCs w:val="18"/>
          <w:color w:val="auto"/>
        </w:rPr>
        <w:t>” thereunder).</w:t>
      </w:r>
    </w:p>
    <w:p>
      <w:pPr>
        <w:spacing w:after="0" w:line="118"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1"/>
          <w:numId w:val="80"/>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Self Help/Set-Of Rights-Allowance Disbursement Defaults</w:t>
      </w:r>
      <w:r>
        <w:rPr>
          <w:rFonts w:ascii="Calibri" w:cs="Calibri" w:eastAsia="Calibri" w:hAnsi="Calibri"/>
          <w:sz w:val="18"/>
          <w:szCs w:val="18"/>
          <w:color w:val="auto"/>
        </w:rPr>
        <w:t>. The terms of Secton 40 of the Lease shall apply to any default of Landlord in its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obligaton to disburse the “Allowance” under this Amendment, to the same extent as was applicable relatve to Landlord’s default in its obligaton to fund the inital “Allowance” under the Workleter, but with it being further understood and agreed that for purposes of this Amendment, the term “Allowance,” as used in said Secton 40, shall refer to the “Allowance” required under this Amendment, and the term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spacing w:after="0" w:line="235" w:lineRule="auto"/>
        <w:rPr>
          <w:sz w:val="20"/>
          <w:szCs w:val="20"/>
          <w:color w:val="auto"/>
        </w:rPr>
      </w:pPr>
      <w:r>
        <w:rPr>
          <w:rFonts w:ascii="Calibri" w:cs="Calibri" w:eastAsia="Calibri" w:hAnsi="Calibri"/>
          <w:sz w:val="18"/>
          <w:szCs w:val="18"/>
          <w:color w:val="auto"/>
        </w:rPr>
        <w:t>“Rent,” as used in in said Secton 40, shall refer to the Base Rent and Additonal Rent due and owing from tme to tme relatve to the Additonal Premises hereunder.</w:t>
      </w:r>
    </w:p>
    <w:p>
      <w:pPr>
        <w:spacing w:after="0" w:line="110" w:lineRule="exact"/>
        <w:rPr>
          <w:sz w:val="20"/>
          <w:szCs w:val="20"/>
          <w:color w:val="auto"/>
        </w:rPr>
      </w:pPr>
    </w:p>
    <w:p>
      <w:pPr>
        <w:jc w:val="both"/>
        <w:ind w:firstLine="757"/>
        <w:spacing w:after="0" w:line="235" w:lineRule="auto"/>
        <w:tabs>
          <w:tab w:leader="none" w:pos="1018" w:val="left"/>
        </w:tabs>
        <w:numPr>
          <w:ilvl w:val="0"/>
          <w:numId w:val="81"/>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Brokers</w:t>
      </w:r>
      <w:r>
        <w:rPr>
          <w:rFonts w:ascii="Calibri" w:cs="Calibri" w:eastAsia="Calibri" w:hAnsi="Calibri"/>
          <w:sz w:val="18"/>
          <w:szCs w:val="18"/>
          <w:color w:val="auto"/>
        </w:rPr>
        <w:t>. Each party hereby represents to the other that the party making such representaton have dealt only with CBRE, Inc. (“</w:t>
      </w:r>
      <w:r>
        <w:rPr>
          <w:rFonts w:ascii="Calibri" w:cs="Calibri" w:eastAsia="Calibri" w:hAnsi="Calibri"/>
          <w:sz w:val="18"/>
          <w:szCs w:val="18"/>
          <w:b w:val="1"/>
          <w:bCs w:val="1"/>
          <w:color w:val="auto"/>
        </w:rPr>
        <w:t>Tenant’s Broker</w:t>
      </w:r>
      <w:r>
        <w:rPr>
          <w:rFonts w:ascii="Calibri" w:cs="Calibri" w:eastAsia="Calibri" w:hAnsi="Calibri"/>
          <w:sz w:val="18"/>
          <w:szCs w:val="18"/>
          <w:color w:val="auto"/>
        </w:rPr>
        <w:t>”) and The Telos Group, LLC (“</w:t>
      </w:r>
      <w:r>
        <w:rPr>
          <w:rFonts w:ascii="Calibri" w:cs="Calibri" w:eastAsia="Calibri" w:hAnsi="Calibri"/>
          <w:sz w:val="18"/>
          <w:szCs w:val="18"/>
          <w:b w:val="1"/>
          <w:bCs w:val="1"/>
          <w:color w:val="auto"/>
        </w:rPr>
        <w:t>Landlord’s Broker</w:t>
      </w:r>
      <w:r>
        <w:rPr>
          <w:rFonts w:ascii="Calibri" w:cs="Calibri" w:eastAsia="Calibri" w:hAnsi="Calibri"/>
          <w:sz w:val="18"/>
          <w:szCs w:val="18"/>
          <w:color w:val="auto"/>
        </w:rPr>
        <w:t>”), in connecton with the transactons contemplated hereby and no broker other than Tenant’s Broker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Landlord’s Broker would be enttled to any commissions in connecton with this Amendment or the Additonal Premises being leased hereunder or any of the transactons contemplated hereby, and each party agrees to indemnify, defend and hold harmless the other from and against any and all claims of any other broker or brokers or fnders claiming to have any fee or commission due relatve to the leasing of the Additonal Premises or the other transactons contemplated by this Amendment based on dealings or alleged dealings with, or other engagement or alleged engagement by, the indemnifying party hereunder. Landlord shall be responsible for payment of any fees or commissions due to Tenant’s Broker and Landlord’s Broker by reason of the executon, delivery and/or performance of this Amendment pursuant to one or more separate commission agreement(s) by and between (i) Landlord and (ii) Tenant’s Broker or Landlord’s Broker, as the case may be, and Landlord shall indemnify, defend, and hold Tenant harmless from and against its failure, or alleged failure, to pay any commission due, or allegedly due, the Landlord’s Broker or the Tenant’s Broker (as the case may be) pursuant to such separate commission agreement(s) entered into with Landlord’s Broker or Tenant’s Broker (as the case may be) in connecton with this Amendment and/or the Additonal Premises.</w:t>
      </w:r>
    </w:p>
    <w:p>
      <w:pPr>
        <w:spacing w:after="0" w:line="118"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81"/>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First Ofer Space</w:t>
      </w:r>
      <w:r>
        <w:rPr>
          <w:rFonts w:ascii="Calibri" w:cs="Calibri" w:eastAsia="Calibri" w:hAnsi="Calibri"/>
          <w:sz w:val="18"/>
          <w:szCs w:val="18"/>
          <w:color w:val="auto"/>
        </w:rPr>
        <w:t>. Landlord and Tenant hereby acknowledge and agree that the Additonal Premises consists of a porton of the overall First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Ofer Space described in Secton 30 of the Lease, and it is hereby further agreed that Tenant’s frst ofer rights under Secton 30 of the Lease shall contnue in full force from and afer the date of this Amendment, except that the “First Ofer Space,” as defned in the opening paragraph of Secton 30 of the Lease, shall hereafer mean that certain space located on the 9</w:t>
      </w:r>
      <w:r>
        <w:rPr>
          <w:rFonts w:ascii="Calibri" w:cs="Calibri" w:eastAsia="Calibri" w:hAnsi="Calibri"/>
          <w:sz w:val="12"/>
          <w:szCs w:val="12"/>
          <w:color w:val="auto"/>
        </w:rPr>
        <w:t>th</w:t>
      </w:r>
      <w:r>
        <w:rPr>
          <w:rFonts w:ascii="Calibri" w:cs="Calibri" w:eastAsia="Calibri" w:hAnsi="Calibri"/>
          <w:sz w:val="18"/>
          <w:szCs w:val="18"/>
          <w:color w:val="auto"/>
        </w:rPr>
        <w:t xml:space="preserve"> foor of the Building known as “Suite 940” and consistng of 29,880 Rentable Square Feet (being the remaining space on the 9</w:t>
      </w:r>
      <w:r>
        <w:rPr>
          <w:rFonts w:ascii="Calibri" w:cs="Calibri" w:eastAsia="Calibri" w:hAnsi="Calibri"/>
          <w:sz w:val="12"/>
          <w:szCs w:val="12"/>
          <w:color w:val="auto"/>
        </w:rPr>
        <w:t>th</w:t>
      </w:r>
      <w:r>
        <w:rPr>
          <w:rFonts w:ascii="Calibri" w:cs="Calibri" w:eastAsia="Calibri" w:hAnsi="Calibri"/>
          <w:sz w:val="18"/>
          <w:szCs w:val="18"/>
          <w:color w:val="auto"/>
        </w:rPr>
        <w:t xml:space="preserve"> foor of the Building which has not heretofore been leased). Further, it is hereby stpulated by the partes that the terms of this Amendment governing the Additonal Premises meet all requirements of Secton 30 of the Lease, and it is agreed that the terms governing the Additonal Premises shall be governed solely by the terms of this Amendment and the terms of the Lease, as amended hereby, all notwithstanding anything to the contrary that may be set forth in Secton 30 of the Lease (and, accordingly, for the avoidance of doubt, as it relates to the Additonal Premises being leased hereunder, in the event of any confict or inconsistency between the terms set forth in Secton 30 of the Lease and the terms of this Amendment, the terms of this Amendment shall govern and control).</w:t>
      </w:r>
    </w:p>
    <w:p>
      <w:pPr>
        <w:spacing w:after="0" w:line="116"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81"/>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Inapplicable Provisions; Satsfacton of Obligatons; Confrmaton of Commencement Date and Expiraton Date</w:t>
      </w:r>
      <w:r>
        <w:rPr>
          <w:rFonts w:ascii="Calibri" w:cs="Calibri" w:eastAsia="Calibri" w:hAnsi="Calibri"/>
          <w:sz w:val="18"/>
          <w:szCs w:val="18"/>
          <w:color w:val="auto"/>
        </w:rPr>
        <w:t>. It is hereby agreed that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Landlord has heretofore fully satsfed its obligatons to disburse the “Allowance” and the “Space Plan Allowance” under the Lease, and to perform and complete all Landlord Work requirements under the Lease. Accordingly, it is hereby confrmed that the Commencement Date under the Lease, for all purposes, occurred on January 1, 2023, and that the last day of the inital stated Term of the Lease (being the “Expiraton Date, as initally provided in the Lease), is December 31, 2033 (without limitng, however, any earlier terminaton or any renewal or extension rights set forth in the Lease). Finally, it is hereby confrmed that Tenant did not heretofore tmely exercise its pre-occupancy expansion opton under Secton 39 of the Lease, and, accordingly, it is hereby agreed that said Secton 39 of the Lease has no further force or efect, and said Secton 39 is hereby deemed null and void in its entrety.</w:t>
      </w:r>
    </w:p>
    <w:p>
      <w:pPr>
        <w:spacing w:after="0" w:line="113" w:lineRule="exact"/>
        <w:rPr>
          <w:rFonts w:ascii="Calibri" w:cs="Calibri" w:eastAsia="Calibri" w:hAnsi="Calibri"/>
          <w:sz w:val="18"/>
          <w:szCs w:val="18"/>
          <w:color w:val="auto"/>
        </w:rPr>
      </w:pPr>
    </w:p>
    <w:p>
      <w:pPr>
        <w:ind w:firstLine="757"/>
        <w:spacing w:after="0" w:line="235" w:lineRule="auto"/>
        <w:tabs>
          <w:tab w:leader="none" w:pos="1018" w:val="left"/>
        </w:tabs>
        <w:numPr>
          <w:ilvl w:val="0"/>
          <w:numId w:val="81"/>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Terminaton Fee</w:t>
      </w:r>
      <w:r>
        <w:rPr>
          <w:rFonts w:ascii="Calibri" w:cs="Calibri" w:eastAsia="Calibri" w:hAnsi="Calibri"/>
          <w:sz w:val="18"/>
          <w:szCs w:val="18"/>
          <w:color w:val="auto"/>
        </w:rPr>
        <w:t>. For informaton purposes only, the partes hereby acknowledge and agree that the “Terminaton Fee” applicable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Additonal Premises hereunder, as determined pursuant to Secton 34.A. of the Lease, means the sum of $394,280.87.</w:t>
      </w:r>
    </w:p>
    <w:p>
      <w:pPr>
        <w:spacing w:after="0" w:line="109" w:lineRule="exact"/>
        <w:rPr>
          <w:rFonts w:ascii="Calibri" w:cs="Calibri" w:eastAsia="Calibri" w:hAnsi="Calibri"/>
          <w:sz w:val="18"/>
          <w:szCs w:val="18"/>
          <w:color w:val="auto"/>
        </w:rPr>
      </w:pPr>
    </w:p>
    <w:p>
      <w:pPr>
        <w:ind w:firstLine="757"/>
        <w:spacing w:after="0" w:line="235" w:lineRule="auto"/>
        <w:tabs>
          <w:tab w:leader="none" w:pos="1018" w:val="left"/>
        </w:tabs>
        <w:numPr>
          <w:ilvl w:val="0"/>
          <w:numId w:val="81"/>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Entre Agreement</w:t>
      </w:r>
      <w:r>
        <w:rPr>
          <w:rFonts w:ascii="Calibri" w:cs="Calibri" w:eastAsia="Calibri" w:hAnsi="Calibri"/>
          <w:sz w:val="18"/>
          <w:szCs w:val="18"/>
          <w:color w:val="auto"/>
        </w:rPr>
        <w:t>. The entre agreement of the partes with respect to the subject mater hereof is set forth in this Amendment and in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Lease as amended hereby. No prior agreement or understanding with respect to the Lease or this Amendment shall be valid or of any force or efect.</w:t>
      </w:r>
    </w:p>
    <w:p>
      <w:pPr>
        <w:spacing w:after="0" w:line="109" w:lineRule="exact"/>
        <w:rPr>
          <w:rFonts w:ascii="Calibri" w:cs="Calibri" w:eastAsia="Calibri" w:hAnsi="Calibri"/>
          <w:sz w:val="18"/>
          <w:szCs w:val="18"/>
          <w:color w:val="auto"/>
        </w:rPr>
      </w:pPr>
    </w:p>
    <w:p>
      <w:pPr>
        <w:ind w:firstLine="757"/>
        <w:spacing w:after="0" w:line="235" w:lineRule="auto"/>
        <w:tabs>
          <w:tab w:leader="none" w:pos="1018" w:val="left"/>
        </w:tabs>
        <w:numPr>
          <w:ilvl w:val="0"/>
          <w:numId w:val="81"/>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Ofer to Lease</w:t>
      </w:r>
      <w:r>
        <w:rPr>
          <w:rFonts w:ascii="Calibri" w:cs="Calibri" w:eastAsia="Calibri" w:hAnsi="Calibri"/>
          <w:sz w:val="18"/>
          <w:szCs w:val="18"/>
          <w:color w:val="auto"/>
        </w:rPr>
        <w:t>. Submission of this Amendment for examinaton shall not consttute a reservaton or opton for the Additonal Premises, or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any manner bind Landlord or Tenant, unless and untl this Amendment is signed and delivered by both Landlord and Tenant.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ind w:firstLine="757"/>
        <w:spacing w:after="0" w:line="235" w:lineRule="auto"/>
        <w:tabs>
          <w:tab w:leader="none" w:pos="1018" w:val="left"/>
        </w:tabs>
        <w:numPr>
          <w:ilvl w:val="0"/>
          <w:numId w:val="82"/>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Counterparts; Authority; Email</w:t>
      </w:r>
      <w:r>
        <w:rPr>
          <w:rFonts w:ascii="Calibri" w:cs="Calibri" w:eastAsia="Calibri" w:hAnsi="Calibri"/>
          <w:sz w:val="18"/>
          <w:szCs w:val="18"/>
          <w:color w:val="auto"/>
        </w:rPr>
        <w:t>. This Amendment may be executed in any number of counterparts and by each of the undersigned on separate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counterparts, which counterparts taken together shall consttute one and the same instrument. Landlord and Tenant represent and warrant to one another that each individual executng this Amendment on behalf of Landlord and Tenant, as applicable, is duly authorized to execute and deliver this Amendment on behalf of Landlord and Tenant, as applicable, and that, to the best of each party’s knowledge, this Amendment is binding upon and enforceable against Landlord and Tenant, as applicable, in all respects. For purposes of this Amendment, any signature transmited by e-mail (in pdf or comparable format) or other electronic means (e.g., DocuSign) shall be considered to have the same legal and binding efect as any original signature.</w:t>
      </w:r>
    </w:p>
    <w:p>
      <w:pPr>
        <w:spacing w:after="0" w:line="113" w:lineRule="exact"/>
        <w:rPr>
          <w:rFonts w:ascii="Calibri" w:cs="Calibri" w:eastAsia="Calibri" w:hAnsi="Calibri"/>
          <w:sz w:val="18"/>
          <w:szCs w:val="18"/>
          <w:color w:val="auto"/>
        </w:rPr>
      </w:pPr>
    </w:p>
    <w:p>
      <w:pPr>
        <w:jc w:val="both"/>
        <w:ind w:firstLine="757"/>
        <w:spacing w:after="0" w:line="235" w:lineRule="auto"/>
        <w:tabs>
          <w:tab w:leader="none" w:pos="1018" w:val="left"/>
        </w:tabs>
        <w:numPr>
          <w:ilvl w:val="0"/>
          <w:numId w:val="82"/>
        </w:numPr>
        <w:rPr>
          <w:rFonts w:ascii="Calibri" w:cs="Calibri" w:eastAsia="Calibri" w:hAnsi="Calibri"/>
          <w:sz w:val="18"/>
          <w:szCs w:val="18"/>
          <w:color w:val="auto"/>
        </w:rPr>
      </w:pPr>
      <w:r>
        <w:rPr>
          <w:rFonts w:ascii="Calibri" w:cs="Calibri" w:eastAsia="Calibri" w:hAnsi="Calibri"/>
          <w:sz w:val="18"/>
          <w:szCs w:val="18"/>
          <w:b w:val="1"/>
          <w:bCs w:val="1"/>
          <w:u w:val="single" w:color="auto"/>
          <w:color w:val="auto"/>
        </w:rPr>
        <w:t>Miscellaneous</w:t>
      </w:r>
      <w:r>
        <w:rPr>
          <w:rFonts w:ascii="Calibri" w:cs="Calibri" w:eastAsia="Calibri" w:hAnsi="Calibri"/>
          <w:sz w:val="18"/>
          <w:szCs w:val="18"/>
          <w:color w:val="auto"/>
        </w:rPr>
        <w:t>. Except as modifed herein, the Lease and all of the terms and provisions thereof shall remain unmodifed and in full force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efect as originally writen. Without limitaton of the foregoing, the terms of Secton 29.Q. of the Lease regarding Landlord’s liability shall apply to this Amendment and are expressly incorporated herein by reference, and said Secton 29.Q. shall contnue to apply to the Lease, as amended hereby. In the event of any confict or inconsistency between the provisions of the Lease, and the provisions of this Amendment, the provisions of this Amendment shall control. Any reference in the Lease to the term “this lease” or “this Lease” (or words of similar import) shall hereafer refer to the Lease, as expressly modifed by this Amendment. This Amendment shall be binding upon and shall inure to the beneft of the partes hereto and their respectve successors and permited assigns.</w:t>
      </w:r>
    </w:p>
    <w:p>
      <w:pPr>
        <w:spacing w:after="0" w:line="109"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[Signature Page Follows]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spacing w:after="0"/>
        <w:rPr>
          <w:sz w:val="20"/>
          <w:szCs w:val="20"/>
          <w:color w:val="auto"/>
        </w:rPr>
      </w:pPr>
      <w:r>
        <w:rPr>
          <w:rFonts w:ascii="Calibri" w:cs="Calibri" w:eastAsia="Calibri" w:hAnsi="Calibri"/>
          <w:sz w:val="18"/>
          <w:szCs w:val="18"/>
          <w:color w:val="auto"/>
        </w:rPr>
        <w:t>IN WITNESS WHEREOF, this Amendment is executed by the partes as of the day and year frst set forth above.</w:t>
      </w:r>
    </w:p>
    <w:p>
      <w:pPr>
        <w:spacing w:after="0" w:line="172"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u w:val="single" w:color="auto"/>
          <w:color w:val="auto"/>
        </w:rPr>
        <w:t>LANDLORD</w:t>
      </w:r>
      <w:r>
        <w:rPr>
          <w:rFonts w:ascii="Calibri" w:cs="Calibri" w:eastAsia="Calibri" w:hAnsi="Calibri"/>
          <w:sz w:val="18"/>
          <w:szCs w:val="18"/>
          <w:b w:val="1"/>
          <w:bCs w:val="1"/>
          <w:color w:val="auto"/>
        </w:rPr>
        <w:t>:</w:t>
      </w:r>
    </w:p>
    <w:p>
      <w:pPr>
        <w:spacing w:after="0" w:line="190" w:lineRule="exact"/>
        <w:rPr>
          <w:sz w:val="20"/>
          <w:szCs w:val="20"/>
          <w:color w:val="auto"/>
        </w:rPr>
      </w:pPr>
    </w:p>
    <w:p>
      <w:pPr>
        <w:ind w:left="4480"/>
        <w:spacing w:after="0"/>
        <w:rPr>
          <w:sz w:val="20"/>
          <w:szCs w:val="20"/>
          <w:color w:val="auto"/>
        </w:rPr>
      </w:pPr>
      <w:r>
        <w:rPr>
          <w:rFonts w:ascii="Calibri" w:cs="Calibri" w:eastAsia="Calibri" w:hAnsi="Calibri"/>
          <w:sz w:val="17"/>
          <w:szCs w:val="17"/>
          <w:b w:val="1"/>
          <w:bCs w:val="1"/>
          <w:color w:val="auto"/>
        </w:rPr>
        <w:t>BSREP II SS CHICAGO LLC</w:t>
      </w:r>
      <w:r>
        <w:rPr>
          <w:rFonts w:ascii="Calibri" w:cs="Calibri" w:eastAsia="Calibri" w:hAnsi="Calibri"/>
          <w:sz w:val="17"/>
          <w:szCs w:val="17"/>
          <w:color w:val="auto"/>
        </w:rPr>
        <w:t>, a Delaware limited liability company</w:t>
      </w:r>
    </w:p>
    <w:p>
      <w:pPr>
        <w:spacing w:after="0" w:line="179" w:lineRule="exact"/>
        <w:rPr>
          <w:sz w:val="20"/>
          <w:szCs w:val="20"/>
          <w:color w:val="auto"/>
        </w:rPr>
      </w:pPr>
    </w:p>
    <w:p>
      <w:pPr>
        <w:ind w:left="4480"/>
        <w:spacing w:after="0"/>
        <w:rPr>
          <w:sz w:val="20"/>
          <w:szCs w:val="20"/>
          <w:color w:val="auto"/>
        </w:rPr>
      </w:pPr>
      <w:r>
        <w:rPr>
          <w:rFonts w:ascii="Calibri" w:cs="Calibri" w:eastAsia="Calibri" w:hAnsi="Calibri"/>
          <w:sz w:val="18"/>
          <w:szCs w:val="18"/>
          <w:color w:val="auto"/>
        </w:rPr>
        <w:t xml:space="preserve">By: </w:t>
      </w:r>
      <w:r>
        <w:rPr>
          <w:rFonts w:ascii="Calibri" w:cs="Calibri" w:eastAsia="Calibri" w:hAnsi="Calibri"/>
          <w:sz w:val="18"/>
          <w:szCs w:val="18"/>
          <w:u w:val="single" w:color="auto"/>
          <w:color w:val="auto"/>
        </w:rPr>
        <w:t>/s/ Mathew Whity</w:t>
      </w:r>
    </w:p>
    <w:p>
      <w:pPr>
        <w:ind w:left="4480"/>
        <w:spacing w:after="0" w:line="235" w:lineRule="auto"/>
        <w:rPr>
          <w:sz w:val="20"/>
          <w:szCs w:val="20"/>
          <w:color w:val="auto"/>
        </w:rPr>
      </w:pPr>
      <w:r>
        <w:rPr>
          <w:rFonts w:ascii="Calibri" w:cs="Calibri" w:eastAsia="Calibri" w:hAnsi="Calibri"/>
          <w:sz w:val="18"/>
          <w:szCs w:val="18"/>
          <w:color w:val="auto"/>
        </w:rPr>
        <w:t>Name: Mathew Whity</w:t>
      </w:r>
    </w:p>
    <w:p>
      <w:pPr>
        <w:ind w:left="4480"/>
        <w:spacing w:after="0" w:line="236" w:lineRule="auto"/>
        <w:rPr>
          <w:sz w:val="20"/>
          <w:szCs w:val="20"/>
          <w:color w:val="auto"/>
        </w:rPr>
      </w:pPr>
      <w:r>
        <w:rPr>
          <w:rFonts w:ascii="Calibri" w:cs="Calibri" w:eastAsia="Calibri" w:hAnsi="Calibri"/>
          <w:sz w:val="18"/>
          <w:szCs w:val="18"/>
          <w:color w:val="auto"/>
        </w:rPr>
        <w:t>Its: SVP, Ofce Leasing</w:t>
      </w:r>
    </w:p>
    <w:p>
      <w:pPr>
        <w:spacing w:after="0" w:line="173" w:lineRule="exact"/>
        <w:rPr>
          <w:sz w:val="20"/>
          <w:szCs w:val="20"/>
          <w:color w:val="auto"/>
        </w:rPr>
      </w:pPr>
    </w:p>
    <w:p>
      <w:pPr>
        <w:jc w:val="center"/>
        <w:ind w:right="-240"/>
        <w:spacing w:after="0"/>
        <w:rPr>
          <w:sz w:val="20"/>
          <w:szCs w:val="20"/>
          <w:color w:val="auto"/>
        </w:rPr>
      </w:pPr>
      <w:r>
        <w:rPr>
          <w:rFonts w:ascii="Calibri" w:cs="Calibri" w:eastAsia="Calibri" w:hAnsi="Calibri"/>
          <w:sz w:val="18"/>
          <w:szCs w:val="18"/>
          <w:b w:val="1"/>
          <w:bCs w:val="1"/>
          <w:u w:val="single" w:color="auto"/>
          <w:color w:val="auto"/>
        </w:rPr>
        <w:t>TENANT</w:t>
      </w:r>
      <w:r>
        <w:rPr>
          <w:rFonts w:ascii="Calibri" w:cs="Calibri" w:eastAsia="Calibri" w:hAnsi="Calibri"/>
          <w:sz w:val="18"/>
          <w:szCs w:val="18"/>
          <w:b w:val="1"/>
          <w:bCs w:val="1"/>
          <w:color w:val="auto"/>
        </w:rPr>
        <w:t>:</w:t>
      </w:r>
    </w:p>
    <w:p>
      <w:pPr>
        <w:spacing w:after="0" w:line="185"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color w:val="auto"/>
        </w:rPr>
        <w:t>VIVID SEATS LLC</w:t>
      </w:r>
      <w:r>
        <w:rPr>
          <w:rFonts w:ascii="Calibri" w:cs="Calibri" w:eastAsia="Calibri" w:hAnsi="Calibri"/>
          <w:sz w:val="18"/>
          <w:szCs w:val="18"/>
          <w:color w:val="auto"/>
        </w:rPr>
        <w:t>, a Delaware limited liability company</w:t>
      </w:r>
    </w:p>
    <w:p>
      <w:pPr>
        <w:spacing w:after="0" w:line="172" w:lineRule="exact"/>
        <w:rPr>
          <w:sz w:val="20"/>
          <w:szCs w:val="20"/>
          <w:color w:val="auto"/>
        </w:rPr>
      </w:pPr>
    </w:p>
    <w:p>
      <w:pPr>
        <w:ind w:left="4480"/>
        <w:spacing w:after="0"/>
        <w:rPr>
          <w:sz w:val="20"/>
          <w:szCs w:val="20"/>
          <w:color w:val="auto"/>
        </w:rPr>
      </w:pPr>
      <w:r>
        <w:rPr>
          <w:rFonts w:ascii="Calibri" w:cs="Calibri" w:eastAsia="Calibri" w:hAnsi="Calibri"/>
          <w:sz w:val="18"/>
          <w:szCs w:val="18"/>
          <w:color w:val="auto"/>
        </w:rPr>
        <w:t xml:space="preserve">By: </w:t>
      </w:r>
      <w:r>
        <w:rPr>
          <w:rFonts w:ascii="Calibri" w:cs="Calibri" w:eastAsia="Calibri" w:hAnsi="Calibri"/>
          <w:sz w:val="18"/>
          <w:szCs w:val="18"/>
          <w:u w:val="single" w:color="auto"/>
          <w:color w:val="auto"/>
        </w:rPr>
        <w:t>/s/ Lawrence Fey</w:t>
      </w:r>
    </w:p>
    <w:p>
      <w:pPr>
        <w:ind w:left="4480"/>
        <w:spacing w:after="0" w:line="235" w:lineRule="auto"/>
        <w:rPr>
          <w:sz w:val="20"/>
          <w:szCs w:val="20"/>
          <w:color w:val="auto"/>
        </w:rPr>
      </w:pPr>
      <w:r>
        <w:rPr>
          <w:rFonts w:ascii="Calibri" w:cs="Calibri" w:eastAsia="Calibri" w:hAnsi="Calibri"/>
          <w:sz w:val="18"/>
          <w:szCs w:val="18"/>
          <w:color w:val="auto"/>
        </w:rPr>
        <w:t>Name: Lawrence Fey</w:t>
      </w:r>
    </w:p>
    <w:p>
      <w:pPr>
        <w:ind w:left="4480"/>
        <w:spacing w:after="0" w:line="236" w:lineRule="auto"/>
        <w:rPr>
          <w:sz w:val="20"/>
          <w:szCs w:val="20"/>
          <w:color w:val="auto"/>
        </w:rPr>
      </w:pPr>
      <w:r>
        <w:rPr>
          <w:rFonts w:ascii="Calibri" w:cs="Calibri" w:eastAsia="Calibri" w:hAnsi="Calibri"/>
          <w:sz w:val="18"/>
          <w:szCs w:val="18"/>
          <w:color w:val="auto"/>
        </w:rPr>
        <w:t>Its: Chief Financial Ofcer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0"/>
        <w:spacing w:after="0"/>
        <w:rPr>
          <w:sz w:val="20"/>
          <w:szCs w:val="20"/>
          <w:color w:val="auto"/>
        </w:rPr>
      </w:pPr>
      <w:r>
        <w:rPr>
          <w:rFonts w:ascii="Calibri" w:cs="Calibri" w:eastAsia="Calibri" w:hAnsi="Calibri"/>
          <w:sz w:val="18"/>
          <w:szCs w:val="18"/>
          <w:color w:val="auto"/>
        </w:rPr>
        <w:t>[Signature Page to First 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481965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8" w:right="1440" w:bottom="1440" w:gutter="0" w:footer="0" w:header="0"/>
        </w:sectPr>
      </w:pPr>
    </w:p>
    <w:bookmarkStart w:id="157" w:name="page158"/>
    <w:bookmarkEnd w:id="157"/>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VIVID SEATS INC.</w:t>
      </w:r>
    </w:p>
    <w:p>
      <w:pPr>
        <w:ind w:left="4700"/>
        <w:spacing w:after="0" w:line="235" w:lineRule="auto"/>
        <w:rPr>
          <w:sz w:val="20"/>
          <w:szCs w:val="20"/>
          <w:color w:val="auto"/>
        </w:rPr>
      </w:pPr>
      <w:r>
        <w:rPr>
          <w:rFonts w:ascii="Calibri" w:cs="Calibri" w:eastAsia="Calibri" w:hAnsi="Calibri"/>
          <w:sz w:val="18"/>
          <w:szCs w:val="18"/>
          <w:b w:val="1"/>
          <w:bCs w:val="1"/>
          <w:color w:val="auto"/>
        </w:rPr>
        <w:t>INSIDER TRADING POLICY</w:t>
      </w:r>
    </w:p>
    <w:p>
      <w:pPr>
        <w:ind w:left="4720"/>
        <w:spacing w:after="0" w:line="236" w:lineRule="auto"/>
        <w:rPr>
          <w:sz w:val="20"/>
          <w:szCs w:val="20"/>
          <w:color w:val="auto"/>
        </w:rPr>
      </w:pPr>
      <w:r>
        <w:rPr>
          <w:rFonts w:ascii="Calibri" w:cs="Calibri" w:eastAsia="Calibri" w:hAnsi="Calibri"/>
          <w:sz w:val="18"/>
          <w:szCs w:val="18"/>
          <w:color w:val="auto"/>
        </w:rPr>
        <w:t>(As of November 5, 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 SUMMARY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Preventng insider trading is necessary to comply with securites laws, as well as to preserve the reputaton and integrity of Vivid Seats Inc. and its subsidiaries (collectvely,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and persons afliated with the Company. Generally, “insider trading” occurs when any person purchases or sells a security while in possession of material, non-public informaton relatng to a company or its securites. Insider trading is a crime, the penaltes for which can include imprisonment, disgorgement of profts, and signifcant civil and criminal penaltes. Insider trading is also prohibited by this Insider Trading Policy (this "</w:t>
      </w:r>
      <w:r>
        <w:rPr>
          <w:rFonts w:ascii="Calibri" w:cs="Calibri" w:eastAsia="Calibri" w:hAnsi="Calibri"/>
          <w:sz w:val="18"/>
          <w:szCs w:val="18"/>
          <w:b w:val="1"/>
          <w:bCs w:val="1"/>
          <w:i w:val="1"/>
          <w:iCs w:val="1"/>
          <w:color w:val="auto"/>
        </w:rPr>
        <w:t>Policy</w:t>
      </w:r>
      <w:r>
        <w:rPr>
          <w:rFonts w:ascii="Calibri" w:cs="Calibri" w:eastAsia="Calibri" w:hAnsi="Calibri"/>
          <w:sz w:val="18"/>
          <w:szCs w:val="18"/>
          <w:color w:val="auto"/>
        </w:rPr>
        <w:t>"), any violaton of which may result in Company-imposed disciplinary acton, including terminaton of employment for cause.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Policy applies to all of the Company's directors, ofcers, employees and designated consultants, as well as to any enttes controlled by such individuals. Individuals subject to this Policy are also responsible for ensuring that members of their households and family members who do not live in their household but whose transactons in Company securites are directed by them or subject to their infuence or control (collectvely, “</w:t>
      </w:r>
      <w:r>
        <w:rPr>
          <w:rFonts w:ascii="Calibri" w:cs="Calibri" w:eastAsia="Calibri" w:hAnsi="Calibri"/>
          <w:sz w:val="18"/>
          <w:szCs w:val="18"/>
          <w:b w:val="1"/>
          <w:bCs w:val="1"/>
          <w:i w:val="1"/>
          <w:iCs w:val="1"/>
          <w:color w:val="auto"/>
        </w:rPr>
        <w:t>Family Members</w:t>
      </w:r>
      <w:r>
        <w:rPr>
          <w:rFonts w:ascii="Calibri" w:cs="Calibri" w:eastAsia="Calibri" w:hAnsi="Calibri"/>
          <w:sz w:val="18"/>
          <w:szCs w:val="18"/>
          <w:color w:val="auto"/>
        </w:rPr>
        <w:t>”) comply with this Policy.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Questons regarding this Policy should be directed to the Company’s General Counsel (the "</w:t>
      </w:r>
      <w:r>
        <w:rPr>
          <w:rFonts w:ascii="Calibri" w:cs="Calibri" w:eastAsia="Calibri" w:hAnsi="Calibri"/>
          <w:sz w:val="18"/>
          <w:szCs w:val="18"/>
          <w:b w:val="1"/>
          <w:bCs w:val="1"/>
          <w:i w:val="1"/>
          <w:iCs w:val="1"/>
          <w:color w:val="auto"/>
        </w:rPr>
        <w:t>General Counsel</w:t>
      </w:r>
      <w:r>
        <w:rPr>
          <w:rFonts w:ascii="Calibri" w:cs="Calibri" w:eastAsia="Calibri" w:hAnsi="Calibri"/>
          <w:sz w:val="18"/>
          <w:szCs w:val="18"/>
          <w:color w:val="auto"/>
        </w:rPr>
        <w: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II. STATEMENT OF POLICIES PROHIBITING INSIDER TRADING</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No individual or entty subject to this Policy shall purchase or sell any type of security while in possession of material, non-public informaton relatng to a company or its securites, whether or not the company in queston is the Company. For example, if such an individual, in the course of their relatonship with the Company, learns material non-public informaton relatng to another company with which the Company does business, including a business partner or collaborator, they may not purchase or sell such other company’s securites untl the informaton becomes public or is no longer material. Similarly, if such an individual, in the course of their relatonship with the Company, learns material non-public informaton that could afect the stock price of another publicly traded company, they may not purchase or sell such other company’s securites untl the informaton becomes public or is no longer material.</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color w:val="auto"/>
        </w:rPr>
        <w:t>These prohibitons do not apply to:</w:t>
      </w:r>
    </w:p>
    <w:p>
      <w:pPr>
        <w:spacing w:after="0" w:line="118"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sale/purchase of Company securites to/from the Company;</w:t>
      </w:r>
    </w:p>
    <w:p>
      <w:pPr>
        <w:spacing w:after="0" w:line="122"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(i) exercise of Company stock optons or other equity awards, (ii) surrender of Company stock to the Company in payment of the exercise price or in satsfacton of any tax withholding obligatons in a manner permited by the applicable equity award agreement or (iii) vestng of Company equity awards, in each case that does not involve a market sale of Company securites;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for the avoidance of doubt, that the “cashless exercise” of a Company stock opton through a broker does involve a market sale of Company securites and does not qualify under this excepton; or</w:t>
      </w:r>
    </w:p>
    <w:p>
      <w:pPr>
        <w:spacing w:after="0" w:line="125" w:lineRule="exact"/>
        <w:rPr>
          <w:rFonts w:ascii="Times New Roman" w:cs="Times New Roman" w:eastAsia="Times New Roman" w:hAnsi="Times New Roman"/>
          <w:sz w:val="18"/>
          <w:szCs w:val="18"/>
          <w:color w:val="auto"/>
        </w:rPr>
      </w:pPr>
    </w:p>
    <w:p>
      <w:pPr>
        <w:ind w:left="1020" w:right="320" w:hanging="503"/>
        <w:spacing w:after="0" w:line="235" w:lineRule="auto"/>
        <w:tabs>
          <w:tab w:leader="none" w:pos="1020" w:val="left"/>
        </w:tabs>
        <w:numPr>
          <w:ilvl w:val="0"/>
          <w:numId w:val="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sale/purchase of Company securites pursuant to a Trading Plan that complies with Rule 10b5-1 (each, as defned in </w:t>
      </w:r>
      <w:r>
        <w:rPr>
          <w:rFonts w:ascii="Calibri" w:cs="Calibri" w:eastAsia="Calibri" w:hAnsi="Calibri"/>
          <w:sz w:val="18"/>
          <w:szCs w:val="18"/>
          <w:u w:val="single" w:color="auto"/>
          <w:color w:val="auto"/>
        </w:rPr>
        <w:t>Secton VI</w:t>
      </w:r>
      <w:r>
        <w:rPr>
          <w:rFonts w:ascii="Calibri" w:cs="Calibri" w:eastAsia="Calibri" w:hAnsi="Calibri"/>
          <w:sz w:val="18"/>
          <w:szCs w:val="18"/>
          <w:color w:val="auto"/>
        </w:rPr>
        <w:t>) and the terms of this Policy.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no individual or entty subject to this Policy shall directly or indirectly communicate (“</w:t>
      </w:r>
      <w:r>
        <w:rPr>
          <w:rFonts w:ascii="Calibri" w:cs="Calibri" w:eastAsia="Calibri" w:hAnsi="Calibri"/>
          <w:sz w:val="18"/>
          <w:szCs w:val="18"/>
          <w:b w:val="1"/>
          <w:bCs w:val="1"/>
          <w:i w:val="1"/>
          <w:iCs w:val="1"/>
          <w:color w:val="auto"/>
        </w:rPr>
        <w:t>tp</w:t>
      </w:r>
      <w:r>
        <w:rPr>
          <w:rFonts w:ascii="Calibri" w:cs="Calibri" w:eastAsia="Calibri" w:hAnsi="Calibri"/>
          <w:sz w:val="18"/>
          <w:szCs w:val="18"/>
          <w:color w:val="auto"/>
        </w:rPr>
        <w:t>”) material, non-public informaton to anyone (i) outside of the Company, except in accordance with Company policies regarding the protecton or authorized external disclosure of Company informaton, or (ii) within the Company, other than on a need-to-know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spacing w:after="0"/>
        <w:rPr>
          <w:sz w:val="20"/>
          <w:szCs w:val="20"/>
          <w:color w:val="auto"/>
        </w:rPr>
      </w:pPr>
      <w:r>
        <w:rPr>
          <w:rFonts w:ascii="Calibri" w:cs="Calibri" w:eastAsia="Calibri" w:hAnsi="Calibri"/>
          <w:sz w:val="18"/>
          <w:szCs w:val="18"/>
          <w:b w:val="1"/>
          <w:bCs w:val="1"/>
          <w:color w:val="auto"/>
        </w:rPr>
        <w:t>III. EXPLANATION OF INSIDER TRADING</w:t>
      </w:r>
    </w:p>
    <w:p>
      <w:pPr>
        <w:spacing w:after="0" w:line="104" w:lineRule="exact"/>
        <w:rPr>
          <w:sz w:val="20"/>
          <w:szCs w:val="20"/>
          <w:color w:val="auto"/>
        </w:rPr>
      </w:pPr>
    </w:p>
    <w:p>
      <w:pPr>
        <w:ind w:left="200" w:hanging="192"/>
        <w:spacing w:after="0"/>
        <w:tabs>
          <w:tab w:leader="none" w:pos="200" w:val="left"/>
        </w:tabs>
        <w:numPr>
          <w:ilvl w:val="0"/>
          <w:numId w:val="84"/>
        </w:numPr>
        <w:rPr>
          <w:rFonts w:ascii="Calibri" w:cs="Calibri" w:eastAsia="Calibri" w:hAnsi="Calibri"/>
          <w:sz w:val="18"/>
          <w:szCs w:val="18"/>
          <w:color w:val="auto"/>
        </w:rPr>
      </w:pPr>
      <w:r>
        <w:rPr>
          <w:rFonts w:ascii="Calibri" w:cs="Calibri" w:eastAsia="Calibri" w:hAnsi="Calibri"/>
          <w:sz w:val="18"/>
          <w:szCs w:val="18"/>
          <w:u w:val="single" w:color="auto"/>
          <w:color w:val="auto"/>
        </w:rPr>
        <w:t>Defnitons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For purposes of this Policy:</w:t>
      </w:r>
    </w:p>
    <w:p>
      <w:pPr>
        <w:spacing w:after="0" w:line="123" w:lineRule="exact"/>
        <w:rPr>
          <w:sz w:val="20"/>
          <w:szCs w:val="20"/>
          <w:color w:val="auto"/>
        </w:rPr>
      </w:pPr>
    </w:p>
    <w:p>
      <w:pPr>
        <w:ind w:left="1020" w:hanging="503"/>
        <w:spacing w:after="0" w:line="235" w:lineRule="auto"/>
        <w:tabs>
          <w:tab w:leader="none" w:pos="1020" w:val="left"/>
        </w:tabs>
        <w:numPr>
          <w:ilvl w:val="0"/>
          <w:numId w:val="8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insider trading</w:t>
      </w:r>
      <w:r>
        <w:rPr>
          <w:rFonts w:ascii="Calibri" w:cs="Calibri" w:eastAsia="Calibri" w:hAnsi="Calibri"/>
          <w:sz w:val="18"/>
          <w:szCs w:val="18"/>
          <w:color w:val="auto"/>
        </w:rPr>
        <w:t>” refers to the purchase or sale of a security while in possession of “material,” “non-public” informaton relatng to the security or its issuer;</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securites</w:t>
      </w:r>
      <w:r>
        <w:rPr>
          <w:rFonts w:ascii="Calibri" w:cs="Calibri" w:eastAsia="Calibri" w:hAnsi="Calibri"/>
          <w:sz w:val="18"/>
          <w:szCs w:val="18"/>
          <w:color w:val="auto"/>
        </w:rPr>
        <w:t>” includes stocks, bonds, notes, debentures, optons, warrants and other convertble securites, as well as derivatve instruments;</w:t>
      </w:r>
    </w:p>
    <w:p>
      <w:pPr>
        <w:spacing w:after="0" w:line="122"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8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purchase</w:t>
      </w:r>
      <w:r>
        <w:rPr>
          <w:rFonts w:ascii="Calibri" w:cs="Calibri" w:eastAsia="Calibri" w:hAnsi="Calibri"/>
          <w:sz w:val="18"/>
          <w:szCs w:val="18"/>
          <w:color w:val="auto"/>
        </w:rPr>
        <w:t>” and “</w:t>
      </w:r>
      <w:r>
        <w:rPr>
          <w:rFonts w:ascii="Calibri" w:cs="Calibri" w:eastAsia="Calibri" w:hAnsi="Calibri"/>
          <w:sz w:val="18"/>
          <w:szCs w:val="18"/>
          <w:b w:val="1"/>
          <w:bCs w:val="1"/>
          <w:i w:val="1"/>
          <w:iCs w:val="1"/>
          <w:color w:val="auto"/>
        </w:rPr>
        <w:t>sale</w:t>
      </w:r>
      <w:r>
        <w:rPr>
          <w:rFonts w:ascii="Calibri" w:cs="Calibri" w:eastAsia="Calibri" w:hAnsi="Calibri"/>
          <w:sz w:val="18"/>
          <w:szCs w:val="18"/>
          <w:color w:val="auto"/>
        </w:rPr>
        <w:t>” are defned broadly under the federal securites laws to include not only the actual purchase or sale of a security, but any contract to purchase/sell or otherwise acquire/dispose of a security; accordingly, for purposes of this Policy, these terms include not only a purchase or sale of securites in the public market, but also any other purchase, sale, transfer, gif or other acquisiton/dispositon of securites, and any other arrangement or transacton that afects economic exposure to changes in the prices of securites.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It is generally understood that insider trading includes: (i) purchasing and selling by insiders while in possession of material, non-public informaton; (ii) communicatng, or tpping, material, non-public informaton to a third person who then purchases or sells, including recommending the purchase or sale of a security while in possession of such informaton; and (iii) purchasing and selling by non-insiders while in possession of material, non-public informaton that was tpped to them or misappropriated.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B. </w:t>
      </w:r>
      <w:r>
        <w:rPr>
          <w:rFonts w:ascii="Calibri" w:cs="Calibri" w:eastAsia="Calibri" w:hAnsi="Calibri"/>
          <w:sz w:val="18"/>
          <w:szCs w:val="18"/>
          <w:u w:val="single" w:color="auto"/>
          <w:color w:val="auto"/>
        </w:rPr>
        <w:t>What Informaton Is Material?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materiality of informaton depends upon the specifc facts and circumstances and is ofen evaluated by relevant enforcement authorites with the beneft of hindsight. Informaton is considered “material” if there is a substantal likelihood that a reasonable investor would consider it important in making a decision to purchase, sell or hold a security, or if the informaton is likely to have a signifcant efect on a security's market price. Material informaton can be positve or negatve and can relate to virtually any aspect of a company’s business or to any type of security. Moreover, material informaton does not need to relate to a company’s business; for example, the contents of a forthcoming newspaper artcle that is expected to afect a security's market price can be material.</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Examples of material informaton include, but are not limited to, informaton about: corporate earnings or earnings forecasts; potental mergers, acquisitons, tender ofers, dispositons or other signifcant transactons; major new products or product developments; important business developments, such as those regarding strategic collaboratons; management or control changes; signifcant fnancing developments, including pending sales or oferings of securites; defaults on borrowings or bankruptcies; signifcant disruptons in the Company’s operatons; the signifcant loss, potental loss, breach or unauthorized access of Company property or assets, including informaton technology infrastructure and cybersecurity and privacy incidents or events; and signifcant litgaton or regulatory actons.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C. </w:t>
      </w:r>
      <w:r>
        <w:rPr>
          <w:rFonts w:ascii="Calibri" w:cs="Calibri" w:eastAsia="Calibri" w:hAnsi="Calibri"/>
          <w:sz w:val="18"/>
          <w:szCs w:val="18"/>
          <w:u w:val="single" w:color="auto"/>
          <w:color w:val="auto"/>
        </w:rPr>
        <w:t>What Informaton Is Non-Public?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Informaton is “non-public” if it is not available to the general public. In order for informaton to be considered public, it must be widely disseminated in a manner making it generally available to investors through a widely available (i) media outlet, such as </w:t>
      </w:r>
      <w:r>
        <w:rPr>
          <w:rFonts w:ascii="Calibri" w:cs="Calibri" w:eastAsia="Calibri" w:hAnsi="Calibri"/>
          <w:sz w:val="18"/>
          <w:szCs w:val="18"/>
          <w:i w:val="1"/>
          <w:iCs w:val="1"/>
          <w:color w:val="auto"/>
        </w:rPr>
        <w:t>Dow Jones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Business Wire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Reuters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The Wall Street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Journal</w:t>
      </w:r>
      <w:r>
        <w:rPr>
          <w:rFonts w:ascii="Calibri" w:cs="Calibri" w:eastAsia="Calibri" w:hAnsi="Calibri"/>
          <w:sz w:val="18"/>
          <w:szCs w:val="18"/>
          <w:color w:val="auto"/>
        </w:rPr>
        <w:t>,</w:t>
      </w:r>
      <w:r>
        <w:rPr>
          <w:rFonts w:ascii="Calibri" w:cs="Calibri" w:eastAsia="Calibri" w:hAnsi="Calibri"/>
          <w:sz w:val="18"/>
          <w:szCs w:val="18"/>
          <w:i w:val="1"/>
          <w:iCs w:val="1"/>
          <w:color w:val="auto"/>
        </w:rPr>
        <w:t xml:space="preserve"> Associated Press </w:t>
      </w:r>
      <w:r>
        <w:rPr>
          <w:rFonts w:ascii="Calibri" w:cs="Calibri" w:eastAsia="Calibri" w:hAnsi="Calibri"/>
          <w:sz w:val="18"/>
          <w:szCs w:val="18"/>
          <w:color w:val="auto"/>
        </w:rPr>
        <w:t>or</w:t>
      </w:r>
      <w:r>
        <w:rPr>
          <w:rFonts w:ascii="Calibri" w:cs="Calibri" w:eastAsia="Calibri" w:hAnsi="Calibri"/>
          <w:sz w:val="18"/>
          <w:szCs w:val="18"/>
          <w:i w:val="1"/>
          <w:iCs w:val="1"/>
          <w:color w:val="auto"/>
        </w:rPr>
        <w:t xml:space="preserve"> United Press Internatonal</w:t>
      </w:r>
      <w:r>
        <w:rPr>
          <w:rFonts w:ascii="Calibri" w:cs="Calibri" w:eastAsia="Calibri" w:hAnsi="Calibri"/>
          <w:sz w:val="18"/>
          <w:szCs w:val="18"/>
          <w:color w:val="auto"/>
        </w:rPr>
        <w:t>, (ii) radio or television broadcast, (iii) newspaper or magazine publicaton or (iv) news website.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Informaton can also be made public by the Company through a Regulaton FD-compliant conference call, press release, website postng or fling with the Securites and Exchange Commission (the “</w:t>
      </w:r>
      <w:r>
        <w:rPr>
          <w:rFonts w:ascii="Calibri" w:cs="Calibri" w:eastAsia="Calibri" w:hAnsi="Calibri"/>
          <w:sz w:val="18"/>
          <w:szCs w:val="18"/>
          <w:b w:val="1"/>
          <w:bCs w:val="1"/>
          <w:i w:val="1"/>
          <w:iCs w:val="1"/>
          <w:color w:val="auto"/>
        </w:rPr>
        <w:t>SEC</w:t>
      </w:r>
      <w:r>
        <w:rPr>
          <w:rFonts w:ascii="Calibri" w:cs="Calibri" w:eastAsia="Calibri" w:hAnsi="Calibri"/>
          <w:sz w:val="18"/>
          <w:szCs w:val="18"/>
          <w:color w:val="auto"/>
        </w:rPr>
        <w:t>”). The circulaton of rumors, even if accurate and reported in the media, does not consttute efectve public disseminaton.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Even afer informaton is frst publicized, a reasonable period of tme (generally, two full trading days) must lapse in order for the market to react to the informaton before it is considered public. For the purposes of this Policy, a “</w:t>
      </w:r>
      <w:r>
        <w:rPr>
          <w:rFonts w:ascii="Calibri" w:cs="Calibri" w:eastAsia="Calibri" w:hAnsi="Calibri"/>
          <w:sz w:val="18"/>
          <w:szCs w:val="18"/>
          <w:b w:val="1"/>
          <w:bCs w:val="1"/>
          <w:i w:val="1"/>
          <w:iCs w:val="1"/>
          <w:color w:val="auto"/>
        </w:rPr>
        <w:t>trading day</w:t>
      </w:r>
      <w:r>
        <w:rPr>
          <w:rFonts w:ascii="Calibri" w:cs="Calibri" w:eastAsia="Calibri" w:hAnsi="Calibri"/>
          <w:sz w:val="18"/>
          <w:szCs w:val="18"/>
          <w:color w:val="auto"/>
        </w:rPr>
        <w:t>” is a day on which natonal stock exchanges are open for trading. For example, if the Company announced informaton on Monday (i) before 9:30 a.m. ET, the informaton would be deemed public afer the close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spacing w:after="0"/>
        <w:rPr>
          <w:sz w:val="20"/>
          <w:szCs w:val="20"/>
          <w:color w:val="auto"/>
        </w:rPr>
      </w:pPr>
      <w:r>
        <w:rPr>
          <w:rFonts w:ascii="Calibri" w:cs="Calibri" w:eastAsia="Calibri" w:hAnsi="Calibri"/>
          <w:sz w:val="18"/>
          <w:szCs w:val="18"/>
          <w:color w:val="auto"/>
        </w:rPr>
        <w:t>of trading on Tuesday, and (ii) afer 9:30 a.m. ET, the informaton would be deemed public afer the close of trading on Wednesday.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Questons regarding whether informaton is material or non-public should be directed to the General Counsel. </w:t>
      </w:r>
      <w:r>
        <w:rPr>
          <w:rFonts w:ascii="Calibri" w:cs="Calibri" w:eastAsia="Calibri" w:hAnsi="Calibri"/>
          <w:sz w:val="18"/>
          <w:szCs w:val="18"/>
          <w:b w:val="1"/>
          <w:bCs w:val="1"/>
          <w:color w:val="auto"/>
        </w:rPr>
        <w:t>As a rule of thumb, when in doubt about</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whether you possess material, non-public informaton, do not purchase or sell securites.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Who Is An Insider?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“Insiders” include a company's directors, ofcers, employees and designated consultants, as well as anyone else in possession of material non-public informaton relatng to the company. Insiders have independent fduciary dutes to their company and its stockholders not to purchase or sell on the basis of material, non-public informaton relatng to the company or its securites.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Policy applies to all of the Company's directors, ofcers, employees and designated consultants, who should consider themselves insiders of the Company. This Policy also applies to any enttes controlled by the foregoing individuals, including, but not limited to, any corporatons, limited liability companies, partnerships or trusts. Transactons by such enttes should be treated for purposes of this Policy and applicable securites laws as if they were transactons for the individual's own account. Individuals subject to this Policy are also responsible for ensuring that their Family Members comply with this Policy.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E. </w:t>
      </w:r>
      <w:r>
        <w:rPr>
          <w:rFonts w:ascii="Calibri" w:cs="Calibri" w:eastAsia="Calibri" w:hAnsi="Calibri"/>
          <w:sz w:val="18"/>
          <w:szCs w:val="18"/>
          <w:u w:val="single" w:color="auto"/>
          <w:color w:val="auto"/>
        </w:rPr>
        <w:t>Trading by Persons Who Are Not Insiders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 insider is liable for communicatng, or tpping, material, non-public informaton to a third party who purchases or sells on the basis of such informaton. A tppee also inherits an insider’s dutes and is liable for purchasing or selling on the basis of material, non-public informaton illegally tpped to them. Similarly, just as an insider is liable for the insider trading of their tppee, so is a tppee who tps material, non-public informaton to another person who purchases or sells on the basis of such informaton. In other words, a tppee’s liability for insider trading is no diferent from that of an insider.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receiving overt tps, a non-insider can be liable for insider trading when they misappropriate and take advantage of material, non-public informaton obtained in breach of a fduciary duty owed to the source thereof.</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 </w:t>
      </w:r>
      <w:r>
        <w:rPr>
          <w:rFonts w:ascii="Calibri" w:cs="Calibri" w:eastAsia="Calibri" w:hAnsi="Calibri"/>
          <w:sz w:val="18"/>
          <w:szCs w:val="18"/>
          <w:u w:val="single" w:color="auto"/>
          <w:color w:val="auto"/>
        </w:rPr>
        <w:t>Examples of Insider Trading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Examples of insider trading cases include: (i) a director, ofcer, employee or designated consultant who purchases or sells in their company’s securites afer learning of signifcant confdental corporate developments; (ii) a friend, business associate, Family Member or other tppee of such insider who purchases or sells in such securites afer receiving such informaton; and (iii) a government employee who learns of such informaton in the course of their employment and purchases or sells on the basis of such informaton.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G. </w:t>
      </w:r>
      <w:r>
        <w:rPr>
          <w:rFonts w:ascii="Calibri" w:cs="Calibri" w:eastAsia="Calibri" w:hAnsi="Calibri"/>
          <w:sz w:val="18"/>
          <w:szCs w:val="18"/>
          <w:u w:val="single" w:color="auto"/>
          <w:color w:val="auto"/>
        </w:rPr>
        <w:t>Penaltes for Engaging in Insider Trading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Penaltes for insider trading can extend signifcantly beyond any profts made or losses avoided, both for individuals engaging in such unlawful conduct and their employers. The SEC and the Department of Justce have made the civil and criminal prosecuton of insider trading violatons a top priority. Enforcement remedies available to the government or private plaintfs under the federal securites laws include: SEC administratve sanctons; securites industry self-regulatory organizaton sanctons; civil injunctons; damage awards to private plaintfs; disgorgement of all profts; civil fnes for the violator of up to three tmes the amount of proft gained or loss avoided; civil fnes for the employer or other controlling person of a violator (i.e., where the violator is an employee or other controlled person) of up to three tmes the amount of proft gained or loss avoided by the violator; criminal fnes for violators of up to $5,000,000 (for an individual) or $25,000,000 (for an entty); and jail sentences of up to 20 years.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Violatons of this Policy could also result in Company-imposed disciplinary acton, including terminaton of employment for cause. Insider trading violatons are not limited to violatons of the federal securites laws. Other federal and state civil or criminal laws, such as those prohibitng mail and wire fraud and the Racketeer Infuenced and Corrupt Organizatons Act (RICO), may also be violated in connecton with insider trading.</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H. </w:t>
      </w:r>
      <w:r>
        <w:rPr>
          <w:rFonts w:ascii="Calibri" w:cs="Calibri" w:eastAsia="Calibri" w:hAnsi="Calibri"/>
          <w:sz w:val="18"/>
          <w:szCs w:val="18"/>
          <w:u w:val="single" w:color="auto"/>
          <w:color w:val="auto"/>
        </w:rPr>
        <w:t>Size of Transacton &amp; Reason for Transacton Do Not Mater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spacing w:after="0" w:line="235" w:lineRule="auto"/>
        <w:rPr>
          <w:sz w:val="20"/>
          <w:szCs w:val="20"/>
          <w:color w:val="auto"/>
        </w:rPr>
      </w:pPr>
      <w:r>
        <w:rPr>
          <w:rFonts w:ascii="Calibri" w:cs="Calibri" w:eastAsia="Calibri" w:hAnsi="Calibri"/>
          <w:sz w:val="18"/>
          <w:szCs w:val="18"/>
          <w:color w:val="auto"/>
        </w:rPr>
        <w:t>The size of the transacton or the amount of proft received does not have to be signifcant to result in prosecuton. The SEC performs routne market surveillance and has the ability to monitor even the smallest trades. Brokers and dealers are required by law to inform the SEC of any possible violatons by people who may have material, non-public informaton. The SEC aggressively investgates even small insider trading violatons.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IV. STATEMENT OF PROCEDURES PREVENTING INSIDER TRADING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procedures have been established, and are maintained and enforced, by the Company to prevent insider trading. All of the Company's directors, ofcers and designated employees are required to follow these procedures.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 </w:t>
      </w:r>
      <w:r>
        <w:rPr>
          <w:rFonts w:ascii="Calibri" w:cs="Calibri" w:eastAsia="Calibri" w:hAnsi="Calibri"/>
          <w:sz w:val="18"/>
          <w:szCs w:val="18"/>
          <w:u w:val="single" w:color="auto"/>
          <w:color w:val="auto"/>
        </w:rPr>
        <w:t>Pre-Clearance of All Transactons by Directors, Ofcers &amp; Designated Employees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To assist in preventng inadvertent securites law violatons and to avoid the appearance of impropriety in connecton with the purchase and sale of Company securites, </w:t>
      </w:r>
      <w:r>
        <w:rPr>
          <w:rFonts w:ascii="Calibri" w:cs="Calibri" w:eastAsia="Calibri" w:hAnsi="Calibri"/>
          <w:sz w:val="18"/>
          <w:szCs w:val="18"/>
          <w:b w:val="1"/>
          <w:bCs w:val="1"/>
          <w:color w:val="auto"/>
        </w:rPr>
        <w:t>all transactons in Company securites (including, without limitaton, stock sales/purchases, stock opton exercises and the sale of stock issued</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 xml:space="preserve">upon stock opton exercises) by the Company's directors, ofcers and other employees designated in </w:t>
      </w:r>
      <w:r>
        <w:rPr>
          <w:rFonts w:ascii="Calibri" w:cs="Calibri" w:eastAsia="Calibri" w:hAnsi="Calibri"/>
          <w:sz w:val="18"/>
          <w:szCs w:val="18"/>
          <w:b w:val="1"/>
          <w:bCs w:val="1"/>
          <w:u w:val="single" w:color="auto"/>
          <w:color w:val="auto"/>
        </w:rPr>
        <w:t>Schedule I</w:t>
      </w:r>
      <w:r>
        <w:rPr>
          <w:rFonts w:ascii="Calibri" w:cs="Calibri" w:eastAsia="Calibri" w:hAnsi="Calibri"/>
          <w:sz w:val="18"/>
          <w:szCs w:val="18"/>
          <w:b w:val="1"/>
          <w:bCs w:val="1"/>
          <w:color w:val="auto"/>
        </w:rPr>
        <w:t xml:space="preserve"> hereto (which may be modifed from tme to tme by the Company's Board of Directors (the "</w:t>
      </w:r>
      <w:r>
        <w:rPr>
          <w:rFonts w:ascii="Calibri" w:cs="Calibri" w:eastAsia="Calibri" w:hAnsi="Calibri"/>
          <w:sz w:val="18"/>
          <w:szCs w:val="18"/>
          <w:b w:val="1"/>
          <w:bCs w:val="1"/>
          <w:i w:val="1"/>
          <w:iCs w:val="1"/>
          <w:color w:val="auto"/>
        </w:rPr>
        <w:t>Board</w:t>
      </w:r>
      <w:r>
        <w:rPr>
          <w:rFonts w:ascii="Calibri" w:cs="Calibri" w:eastAsia="Calibri" w:hAnsi="Calibri"/>
          <w:sz w:val="18"/>
          <w:szCs w:val="18"/>
          <w:b w:val="1"/>
          <w:bCs w:val="1"/>
          <w:color w:val="auto"/>
        </w:rPr>
        <w:t>"), Chief Executve Ofcer (the "</w:t>
      </w:r>
      <w:r>
        <w:rPr>
          <w:rFonts w:ascii="Calibri" w:cs="Calibri" w:eastAsia="Calibri" w:hAnsi="Calibri"/>
          <w:sz w:val="18"/>
          <w:szCs w:val="18"/>
          <w:b w:val="1"/>
          <w:bCs w:val="1"/>
          <w:i w:val="1"/>
          <w:iCs w:val="1"/>
          <w:color w:val="auto"/>
        </w:rPr>
        <w:t>CEO</w:t>
      </w:r>
      <w:r>
        <w:rPr>
          <w:rFonts w:ascii="Calibri" w:cs="Calibri" w:eastAsia="Calibri" w:hAnsi="Calibri"/>
          <w:sz w:val="18"/>
          <w:szCs w:val="18"/>
          <w:b w:val="1"/>
          <w:bCs w:val="1"/>
          <w:color w:val="auto"/>
        </w:rPr>
        <w:t>"), Chief Financial Ofcer (the "</w:t>
      </w:r>
      <w:r>
        <w:rPr>
          <w:rFonts w:ascii="Calibri" w:cs="Calibri" w:eastAsia="Calibri" w:hAnsi="Calibri"/>
          <w:sz w:val="18"/>
          <w:szCs w:val="18"/>
          <w:b w:val="1"/>
          <w:bCs w:val="1"/>
          <w:i w:val="1"/>
          <w:iCs w:val="1"/>
          <w:color w:val="auto"/>
        </w:rPr>
        <w:t>CFO</w:t>
      </w:r>
      <w:r>
        <w:rPr>
          <w:rFonts w:ascii="Calibri" w:cs="Calibri" w:eastAsia="Calibri" w:hAnsi="Calibri"/>
          <w:sz w:val="18"/>
          <w:szCs w:val="18"/>
          <w:b w:val="1"/>
          <w:bCs w:val="1"/>
          <w:color w:val="auto"/>
        </w:rPr>
        <w:t>") or the General Counsel) (each, a “</w:t>
      </w:r>
      <w:r>
        <w:rPr>
          <w:rFonts w:ascii="Calibri" w:cs="Calibri" w:eastAsia="Calibri" w:hAnsi="Calibri"/>
          <w:sz w:val="18"/>
          <w:szCs w:val="18"/>
          <w:b w:val="1"/>
          <w:bCs w:val="1"/>
          <w:i w:val="1"/>
          <w:iCs w:val="1"/>
          <w:color w:val="auto"/>
        </w:rPr>
        <w:t>Pre-Clearance Person</w:t>
      </w:r>
      <w:r>
        <w:rPr>
          <w:rFonts w:ascii="Calibri" w:cs="Calibri" w:eastAsia="Calibri" w:hAnsi="Calibri"/>
          <w:sz w:val="18"/>
          <w:szCs w:val="18"/>
          <w:b w:val="1"/>
          <w:bCs w:val="1"/>
          <w:color w:val="auto"/>
        </w:rPr>
        <w:t>”), as well as by their Family Members and enttes controlled by them, must be pre-cleared by the General Counsel</w:t>
      </w:r>
      <w:r>
        <w:rPr>
          <w:rFonts w:ascii="Calibri" w:cs="Calibri" w:eastAsia="Calibri" w:hAnsi="Calibri"/>
          <w:sz w:val="18"/>
          <w:szCs w:val="18"/>
          <w:color w:val="auto"/>
        </w:rPr>
        <w:t>. Pre-clearance does not relieve anyone of their responsibility to comply with federal securites laws or this Policy.</w:t>
      </w:r>
    </w:p>
    <w:p>
      <w:pPr>
        <w:spacing w:after="0" w:line="11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request for pre-clearance must be submited in writng (including, without limitaton, by e-mail) to the General Counsel at least two trading days in advance of the proposed transacton and should identfy (i) the name of the Pre-Clearance Person, (ii) the type of the proposed transacton (</w:t>
      </w:r>
      <w:r>
        <w:rPr>
          <w:rFonts w:ascii="Calibri" w:cs="Calibri" w:eastAsia="Calibri" w:hAnsi="Calibri"/>
          <w:sz w:val="17"/>
          <w:szCs w:val="17"/>
          <w:i w:val="1"/>
          <w:iCs w:val="1"/>
          <w:color w:val="auto"/>
        </w:rPr>
        <w:t>e.g.</w:t>
      </w:r>
      <w:r>
        <w:rPr>
          <w:rFonts w:ascii="Calibri" w:cs="Calibri" w:eastAsia="Calibri" w:hAnsi="Calibri"/>
          <w:sz w:val="17"/>
          <w:szCs w:val="17"/>
          <w:color w:val="auto"/>
        </w:rPr>
        <w:t>, open market purchase, privately negotated sale, stock opton exercise), (iii) the proposed date of the proposed transacton and (iv) the type and number of securites to be involved in the proposed transacton. Unless otherwise determined by the General Counsel, the Pre-Clearance Person must also execute a certfcaton (in a form approved by the General Counsel) that they are not aware of any material, non-public informaton relatng to the Company or its securites.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General Counsel has sole discreton to decide whether to clear any request for a proposed transacton;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the CFO has sole discreton to decide whether to clear any request for a proposed transacton by the General Counsel or any person or entty subject to this Policy as a result of their relatonship with the General Counsel. A pre-cleared transacton must be efected within fve trading days of receipt of the pre-clearance unless a specifc excepton has been granted by the General Counsel (or the CFO, as applicable). A pre-cleared transacton (or any porton thereof) that has not been efected during such fve trading day period must be pre-cleared again prior to executon. Notwithstanding receipt of pre-clearance, if a Pre-Clearance Person becomes aware of material, non-public informaton or becomes subject to a black-out period before the pre-cleared transacton is efected, the transacton may not be completed (unless otherwise determined by the General Counsel or the CFO, as applicable).</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None of the Company, the Board, the CEO, the CFO, the General Counsel, the Company’s other employees or any other person will have any liability for any delay in reviewing, or refusal of, a request for pre-clearance. Notwithstanding any pre-clearance of a transacton, none of the Company, the Board, the CFO, the General Counsel, the Company’s other employees or any other person assumes any liability for the legality or consequences of any transacton to the person engaging in such transacton.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B. </w:t>
      </w:r>
      <w:r>
        <w:rPr>
          <w:rFonts w:ascii="Calibri" w:cs="Calibri" w:eastAsia="Calibri" w:hAnsi="Calibri"/>
          <w:sz w:val="18"/>
          <w:szCs w:val="18"/>
          <w:u w:val="single" w:color="auto"/>
          <w:color w:val="auto"/>
        </w:rPr>
        <w:t>Black-Out Periods</w:t>
      </w:r>
    </w:p>
    <w:p>
      <w:pPr>
        <w:spacing w:after="0" w:line="109" w:lineRule="exact"/>
        <w:rPr>
          <w:sz w:val="20"/>
          <w:szCs w:val="20"/>
          <w:color w:val="auto"/>
        </w:rPr>
      </w:pPr>
    </w:p>
    <w:p>
      <w:pPr>
        <w:jc w:val="both"/>
        <w:spacing w:after="0"/>
        <w:rPr>
          <w:sz w:val="20"/>
          <w:szCs w:val="20"/>
          <w:color w:val="auto"/>
        </w:rPr>
      </w:pPr>
      <w:r>
        <w:rPr>
          <w:rFonts w:ascii="Calibri" w:cs="Calibri" w:eastAsia="Calibri" w:hAnsi="Calibri"/>
          <w:sz w:val="17"/>
          <w:szCs w:val="17"/>
          <w:b w:val="1"/>
          <w:bCs w:val="1"/>
          <w:color w:val="auto"/>
        </w:rPr>
        <w:t xml:space="preserve">Directors, ofcers and those employees and consultants designated in </w:t>
      </w:r>
      <w:r>
        <w:rPr>
          <w:rFonts w:ascii="Calibri" w:cs="Calibri" w:eastAsia="Calibri" w:hAnsi="Calibri"/>
          <w:sz w:val="17"/>
          <w:szCs w:val="17"/>
          <w:b w:val="1"/>
          <w:bCs w:val="1"/>
          <w:u w:val="single" w:color="auto"/>
          <w:color w:val="auto"/>
        </w:rPr>
        <w:t>Schedule II</w:t>
      </w:r>
      <w:r>
        <w:rPr>
          <w:rFonts w:ascii="Calibri" w:cs="Calibri" w:eastAsia="Calibri" w:hAnsi="Calibri"/>
          <w:sz w:val="17"/>
          <w:szCs w:val="17"/>
          <w:b w:val="1"/>
          <w:bCs w:val="1"/>
          <w:color w:val="auto"/>
        </w:rPr>
        <w:t xml:space="preserve"> hereto (which may be modifed from tme to tme by the Board, the CEO, the CFO or the General Counsel), as well as by their Family Members and enttes controlled by them, are subject to quarterly black-out periods and shall not purchase or sell any Company security during the period beginning at 11:59 p.m. ET on the 14</w:t>
      </w:r>
      <w:r>
        <w:rPr>
          <w:rFonts w:ascii="Calibri" w:cs="Calibri" w:eastAsia="Calibri" w:hAnsi="Calibri"/>
          <w:sz w:val="23"/>
          <w:szCs w:val="23"/>
          <w:b w:val="1"/>
          <w:bCs w:val="1"/>
          <w:color w:val="auto"/>
          <w:vertAlign w:val="superscript"/>
        </w:rPr>
        <w:t>th</w:t>
      </w:r>
      <w:r>
        <w:rPr>
          <w:rFonts w:ascii="Calibri" w:cs="Calibri" w:eastAsia="Calibri" w:hAnsi="Calibri"/>
          <w:sz w:val="17"/>
          <w:szCs w:val="17"/>
          <w:b w:val="1"/>
          <w:bCs w:val="1"/>
          <w:color w:val="auto"/>
        </w:rPr>
        <w:t xml:space="preserve"> calendar day before the end of any fscal quarter of the Company and ending at the completon of the second full trading day afer the public release of earnings data for such fscal quarter (or during any other trading suspension period declared by the Company), </w:t>
      </w:r>
      <w:r>
        <w:rPr>
          <w:rFonts w:ascii="Calibri" w:cs="Calibri" w:eastAsia="Calibri" w:hAnsi="Calibri"/>
          <w:sz w:val="17"/>
          <w:szCs w:val="17"/>
          <w:color w:val="auto"/>
        </w:rPr>
        <w:t>except for the permited transactons described in</w:t>
      </w:r>
      <w:r>
        <w:rPr>
          <w:rFonts w:ascii="Calibri" w:cs="Calibri" w:eastAsia="Calibri" w:hAnsi="Calibri"/>
          <w:sz w:val="17"/>
          <w:szCs w:val="17"/>
          <w:b w:val="1"/>
          <w:bCs w:val="1"/>
          <w:color w:val="auto"/>
        </w:rPr>
        <w:t xml:space="preserve"> </w:t>
      </w:r>
      <w:r>
        <w:rPr>
          <w:rFonts w:ascii="Calibri" w:cs="Calibri" w:eastAsia="Calibri" w:hAnsi="Calibri"/>
          <w:sz w:val="17"/>
          <w:szCs w:val="17"/>
          <w:u w:val="single" w:color="auto"/>
          <w:color w:val="auto"/>
        </w:rPr>
        <w:t>Secton II</w:t>
      </w:r>
      <w:r>
        <w:rPr>
          <w:rFonts w:ascii="Calibri" w:cs="Calibri" w:eastAsia="Calibri" w:hAnsi="Calibri"/>
          <w:sz w:val="17"/>
          <w:szCs w:val="17"/>
          <w:color w:val="auto"/>
        </w:rPr>
        <w:t>. For example, if the Company’s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fourth fscal quarter ends at 11:59 p.m. ET on December 31, the corresponding black-out period would begin at 11:59 p.m. ET on December 17.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35" w:lineRule="auto"/>
        <w:rPr>
          <w:sz w:val="20"/>
          <w:szCs w:val="20"/>
          <w:color w:val="auto"/>
        </w:rPr>
      </w:pPr>
      <w:r>
        <w:rPr>
          <w:rFonts w:ascii="Calibri" w:cs="Calibri" w:eastAsia="Calibri" w:hAnsi="Calibri"/>
          <w:sz w:val="18"/>
          <w:szCs w:val="18"/>
          <w:color w:val="auto"/>
        </w:rPr>
        <w:t xml:space="preserve">Exceptons to the quarterly black-out period policy may be approved only by the General Counsel; </w:t>
      </w:r>
      <w:r>
        <w:rPr>
          <w:rFonts w:ascii="Calibri" w:cs="Calibri" w:eastAsia="Calibri" w:hAnsi="Calibri"/>
          <w:sz w:val="18"/>
          <w:szCs w:val="18"/>
          <w:i w:val="1"/>
          <w:iCs w:val="1"/>
          <w:color w:val="auto"/>
        </w:rPr>
        <w:t>provided</w:t>
      </w:r>
      <w:r>
        <w:rPr>
          <w:rFonts w:ascii="Calibri" w:cs="Calibri" w:eastAsia="Calibri" w:hAnsi="Calibri"/>
          <w:sz w:val="18"/>
          <w:szCs w:val="18"/>
          <w:color w:val="auto"/>
        </w:rPr>
        <w:t xml:space="preserve"> that the CFO may approve exceptons for the General Counsel or any person or entty subject to this Policy as a result of their relatonship with the General Counsel; </w:t>
      </w:r>
      <w:r>
        <w:rPr>
          <w:rFonts w:ascii="Calibri" w:cs="Calibri" w:eastAsia="Calibri" w:hAnsi="Calibri"/>
          <w:sz w:val="18"/>
          <w:szCs w:val="18"/>
          <w:i w:val="1"/>
          <w:iCs w:val="1"/>
          <w:color w:val="auto"/>
        </w:rPr>
        <w:t>provided further</w:t>
      </w:r>
      <w:r>
        <w:rPr>
          <w:rFonts w:ascii="Calibri" w:cs="Calibri" w:eastAsia="Calibri" w:hAnsi="Calibri"/>
          <w:sz w:val="18"/>
          <w:szCs w:val="18"/>
          <w:color w:val="auto"/>
        </w:rPr>
        <w:t xml:space="preserve"> that the Board may approve exceptons for a director or any person or entty subject to this Policy as a result of their relatonship with a director.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the Company (through the Board, the Company's Disclosure Commitee, the CEO, the CFO or the General Counsel) may recommend that directors, ofcers, employees, designated consultants or others suspend transactons in Company securites because of developments that have not yet been publicly disclosed. Afected persons will be notfed and shall not purchase or sell any Company security while the suspension is in efect and should not disclose to others the existence of the suspension.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the Company is required to impose a “pension fund black-out period” under Regulaton BTR, directors and executve ofcers (as defned in Rule 16a-1(f) under the Exchange Act) shall not, directly or indirectly sell, purchase or otherwise transfer during such period any Company equity securites acquired in connecton with their service as a director or ofcer, except as permited by Regulaton BTR.</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C. </w:t>
      </w:r>
      <w:r>
        <w:rPr>
          <w:rFonts w:ascii="Calibri" w:cs="Calibri" w:eastAsia="Calibri" w:hAnsi="Calibri"/>
          <w:sz w:val="18"/>
          <w:szCs w:val="18"/>
          <w:u w:val="single" w:color="auto"/>
          <w:color w:val="auto"/>
        </w:rPr>
        <w:t>Post-Terminaton Transactons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If an individual is in possession of material, non-public informaton when their service with the Company terminates, that individual may not purchase or sell Company securites untl such informaton has become public or is no longer material.</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 ADDITIONAL PROHIBITED TRANSACTIONS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determined that there is heightened legal risk and/or the appearance of improper or inappropriate conduct if persons subject to this Policy engage in certain types of transactons. Therefore, persons and enttes subject to this Policy shall comply with each of the following policies with respect to certain transactons in Company securites: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 </w:t>
      </w:r>
      <w:r>
        <w:rPr>
          <w:rFonts w:ascii="Calibri" w:cs="Calibri" w:eastAsia="Calibri" w:hAnsi="Calibri"/>
          <w:sz w:val="18"/>
          <w:szCs w:val="18"/>
          <w:u w:val="single" w:color="auto"/>
          <w:color w:val="auto"/>
        </w:rPr>
        <w:t>Short Sales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Short sales of Company securites may evidence an expectaton on the part of the seller that such securites will decline in value and, therefore, may signal to the market that such seller lacks confdence in the Company or its short-term prospects. Short sales may also reduce the seller’s incentve to improve the Company’s performance. Accordingly, short sales of Company securites are prohibited by this Policy.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the above prohibiton, Secton 16 reportng persons (i.e., directors, certain ofcers and 10% stockholders) are prohibited under Secton 16(c) of the Securites Exchange Act of 1934, as amended (the "</w:t>
      </w:r>
      <w:r>
        <w:rPr>
          <w:rFonts w:ascii="Calibri" w:cs="Calibri" w:eastAsia="Calibri" w:hAnsi="Calibri"/>
          <w:sz w:val="18"/>
          <w:szCs w:val="18"/>
          <w:b w:val="1"/>
          <w:bCs w:val="1"/>
          <w:i w:val="1"/>
          <w:iCs w:val="1"/>
          <w:color w:val="auto"/>
        </w:rPr>
        <w:t>Exchange Act</w:t>
      </w:r>
      <w:r>
        <w:rPr>
          <w:rFonts w:ascii="Calibri" w:cs="Calibri" w:eastAsia="Calibri" w:hAnsi="Calibri"/>
          <w:sz w:val="18"/>
          <w:szCs w:val="18"/>
          <w:color w:val="auto"/>
        </w:rPr>
        <w:t>"), from making short sales of Company equity securites (i.e., sales of shares that the person does not own at the tme of sale, or sales of shares against which the person does not deliver such shares within 20 days afer the sale).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B. </w:t>
      </w:r>
      <w:r>
        <w:rPr>
          <w:rFonts w:ascii="Calibri" w:cs="Calibri" w:eastAsia="Calibri" w:hAnsi="Calibri"/>
          <w:sz w:val="18"/>
          <w:szCs w:val="18"/>
          <w:u w:val="single" w:color="auto"/>
          <w:color w:val="auto"/>
        </w:rPr>
        <w:t>Puts, Calls, Optons &amp; Derivatve Securites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Transactons in puts, calls, optons and other derivatve securites involving Company equity securites are, in efect, bets on the short-term movement of the Company’s stock and, therefore, may create the appearance that a director, ofcer, employee or designated consultant is trading based on inside informaton. Transactons in optons, whether on an exchange, another organized market or an over-the-counter market, may also focus a person’s atenton on the Company's short-term performance at the expense of its long-term objectves. Accordingly, transactons in puts, calls, optons and other derivatve securites involving Company equity securites are prohibited by this Policy.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C. </w:t>
      </w:r>
      <w:r>
        <w:rPr>
          <w:rFonts w:ascii="Calibri" w:cs="Calibri" w:eastAsia="Calibri" w:hAnsi="Calibri"/>
          <w:sz w:val="18"/>
          <w:szCs w:val="18"/>
          <w:u w:val="single" w:color="auto"/>
          <w:color w:val="auto"/>
        </w:rPr>
        <w:t>Hedging Transactons</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Purchasing fnancial instruments, such as prepaid variable forward contracts, equity swaps, collars and exchange funds, or otherwise engaging in transactons that hedge or ofset, or are designed to hedge or ofset, any decrease in the market value of Company equity securites, may cause a director, ofcer, employee or designated consultant to have diferent objectves than the Company’s other stockholders. Accordingly, all such transactons involving Company equity securites, whether such securites were granted as compensaton or are otherwise held, directly or indirectly, are prohibited by this Policy.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Purchases of Securites on Margin; Pledging Securites as Collateral to Secure Margin or Other Loans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Purchasing on margin means borrowing from a brokerage frm, bank or other entty in order to purchase Company securites (other than the cashless exercise of Company stock optons through a broker under the Company’s equity plans). Margin purchases of Company securites are prohibited by this Policy except as otherwise may be pre-approved by the Board. Pledging Company securites as collateral to secure loans is also prohibited by this Policy, except as may be pre-approved by the Board. Any request for approval of such a transacton must be submited in writng to the Board at least ten trading days prior to the proposed executon of documents evidencing the transacton. These prohibitons mean, among other things, that directors, ofcers, employees and designated consultants cannot hold Company securites in a “margin account” (which would allow them to borrow against their holdings to purchase securites).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E. </w:t>
      </w:r>
      <w:r>
        <w:rPr>
          <w:rFonts w:ascii="Calibri" w:cs="Calibri" w:eastAsia="Calibri" w:hAnsi="Calibri"/>
          <w:sz w:val="18"/>
          <w:szCs w:val="18"/>
          <w:u w:val="single" w:color="auto"/>
          <w:color w:val="auto"/>
        </w:rPr>
        <w:t>Director &amp; Ofcer Cashless Exercises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will not arrange with brokers to administer cashless exercises on behalf of directors and ofcers. Directors and ofcers may use the cashless exercise feature of their equity awards only if (i) they retain a broker independently of the Company, (ii) the Company’s involvement is limited to confrming that it will deliver the stock promptly upon payment of the exercise price, (iii) they use a “T+1” cashless exercise arrangement, in which the Company agrees to deliver stock against the payment of the exercise price on the same day the sale of the stock underlying the equity award setles and (iv) they otherwise comply with this Policy. Under a T+1 cashless exercise, a broker, the Company, and the Company's transfer agent work together to make all transactons setle simultaneously. This approach is to avoid any inference that the Company has “extended credit” in the form of a personal loan to a director or ofcer. Questons about cashless exercises should be directed to the General Counsel.</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 </w:t>
      </w:r>
      <w:r>
        <w:rPr>
          <w:rFonts w:ascii="Calibri" w:cs="Calibri" w:eastAsia="Calibri" w:hAnsi="Calibri"/>
          <w:sz w:val="18"/>
          <w:szCs w:val="18"/>
          <w:u w:val="single" w:color="auto"/>
          <w:color w:val="auto"/>
        </w:rPr>
        <w:t>Partnership Distributons</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Nothing in this Policy is intended to limit the ability of a venture capital partnership or other similar entty with which a director is afliated to distribute Company securites to its partners, members or similar persons. It is the responsibility of each afected director and afliated entty, in consultaton with their own counsel (as appropriate), to determine the tming of any such distributons based on all relevant facts and circumstances and applicable securites laws.</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VI. RULE 10B5-1 TRADING PLANS</w:t>
      </w:r>
    </w:p>
    <w:p>
      <w:pPr>
        <w:spacing w:after="0" w:line="104" w:lineRule="exact"/>
        <w:rPr>
          <w:sz w:val="20"/>
          <w:szCs w:val="20"/>
          <w:color w:val="auto"/>
        </w:rPr>
      </w:pPr>
    </w:p>
    <w:p>
      <w:pPr>
        <w:ind w:left="200" w:hanging="192"/>
        <w:spacing w:after="0"/>
        <w:tabs>
          <w:tab w:leader="none" w:pos="200" w:val="left"/>
        </w:tabs>
        <w:numPr>
          <w:ilvl w:val="0"/>
          <w:numId w:val="86"/>
        </w:numPr>
        <w:rPr>
          <w:rFonts w:ascii="Calibri" w:cs="Calibri" w:eastAsia="Calibri" w:hAnsi="Calibri"/>
          <w:sz w:val="18"/>
          <w:szCs w:val="18"/>
          <w:color w:val="auto"/>
        </w:rPr>
      </w:pPr>
      <w:r>
        <w:rPr>
          <w:rFonts w:ascii="Calibri" w:cs="Calibri" w:eastAsia="Calibri" w:hAnsi="Calibri"/>
          <w:sz w:val="18"/>
          <w:szCs w:val="18"/>
          <w:u w:val="single" w:color="auto"/>
          <w:color w:val="auto"/>
        </w:rPr>
        <w:t>Overview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Rule 10b5-1 under the Exchange Act ("</w:t>
      </w:r>
      <w:r>
        <w:rPr>
          <w:rFonts w:ascii="Calibri" w:cs="Calibri" w:eastAsia="Calibri" w:hAnsi="Calibri"/>
          <w:sz w:val="18"/>
          <w:szCs w:val="18"/>
          <w:b w:val="1"/>
          <w:bCs w:val="1"/>
          <w:i w:val="1"/>
          <w:iCs w:val="1"/>
          <w:color w:val="auto"/>
        </w:rPr>
        <w:t>Rule 10b5-1</w:t>
      </w:r>
      <w:r>
        <w:rPr>
          <w:rFonts w:ascii="Calibri" w:cs="Calibri" w:eastAsia="Calibri" w:hAnsi="Calibri"/>
          <w:sz w:val="18"/>
          <w:szCs w:val="18"/>
          <w:color w:val="auto"/>
        </w:rPr>
        <w:t>") presents an opportunity for insiders to establish Trading Plans (as defned below) allowing them to (i) sell or purchase Company stock without the restrictons set forth in this Policy regarding black-out periods, even when there is undisclosed material informaton, and (ii) protect themselves from insider trading liability under Rule 10b5-1 for transactons thereunder.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discussed in further detail below, a "</w:t>
      </w:r>
      <w:r>
        <w:rPr>
          <w:rFonts w:ascii="Calibri" w:cs="Calibri" w:eastAsia="Calibri" w:hAnsi="Calibri"/>
          <w:sz w:val="18"/>
          <w:szCs w:val="18"/>
          <w:b w:val="1"/>
          <w:bCs w:val="1"/>
          <w:i w:val="1"/>
          <w:iCs w:val="1"/>
          <w:color w:val="auto"/>
        </w:rPr>
        <w:t>Trading Plan</w:t>
      </w:r>
      <w:r>
        <w:rPr>
          <w:rFonts w:ascii="Calibri" w:cs="Calibri" w:eastAsia="Calibri" w:hAnsi="Calibri"/>
          <w:sz w:val="18"/>
          <w:szCs w:val="18"/>
          <w:color w:val="auto"/>
        </w:rPr>
        <w:t>" is a binding contract, writen plan or specifc instructon to purchase or sell Company stock that (i) was entered into in good faith outside of a black-out period and while the relevant person was unaware of material, non-public informaton and (ii) meets all of the other requirements of the afrmatve defense provided by Rule 10b5-1.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Each Trading Plan, including any blind trust, discretonary account with banks or brokers, or limit orders, and any proposed modifcaton or terminaton of a Trading Plan, must be submited to and pre-approved by the General Counsel or such other person as the Board may designate from tme to tme (the “</w:t>
      </w:r>
      <w:r>
        <w:rPr>
          <w:rFonts w:ascii="Calibri" w:cs="Calibri" w:eastAsia="Calibri" w:hAnsi="Calibri"/>
          <w:sz w:val="18"/>
          <w:szCs w:val="18"/>
          <w:b w:val="1"/>
          <w:bCs w:val="1"/>
          <w:i w:val="1"/>
          <w:iCs w:val="1"/>
          <w:color w:val="auto"/>
        </w:rPr>
        <w:t>Authorizing Ofcer</w:t>
      </w:r>
      <w:r>
        <w:rPr>
          <w:rFonts w:ascii="Calibri" w:cs="Calibri" w:eastAsia="Calibri" w:hAnsi="Calibri"/>
          <w:sz w:val="18"/>
          <w:szCs w:val="18"/>
          <w:color w:val="auto"/>
        </w:rPr>
        <w:t>”), who may impose such conditons on the implementaton and operaton of the Trading Plan as the Authorizing Ofcer deems necessary or advisable. However, compliance of Trading Plans with the terms of Rule 10b5-1 and the executon of transactons pursuant to Trading Plans are the sole responsibility of the persons initatng the Trading Plans, not of the Company or the Authorizing Ofcer.</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Trading Plans do not exempt individuals from complying with Secton 16 reportng obligatons or from short-swing proft rules or liability. Furthermore, a Trading Plan only provides an “afrmatve defense” in the event there is an insider trading lawsuit; it does not prevent someone from bringing such a lawsuit.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spacing w:after="0" w:line="235" w:lineRule="auto"/>
        <w:rPr>
          <w:sz w:val="20"/>
          <w:szCs w:val="20"/>
          <w:color w:val="auto"/>
        </w:rPr>
      </w:pPr>
      <w:r>
        <w:rPr>
          <w:rFonts w:ascii="Calibri" w:cs="Calibri" w:eastAsia="Calibri" w:hAnsi="Calibri"/>
          <w:sz w:val="18"/>
          <w:szCs w:val="18"/>
          <w:color w:val="auto"/>
        </w:rPr>
        <w:t xml:space="preserve">A person may enter into a Trading Plan only outside of a black-out period and at a tme when such person does not possess material, non-public informaton. Although transactons efected under a pre-approved Trading Plan will not require further pre-approval at the tme of the transacton, each transacton (including the quantty and price) made pursuant to a Trading Plan of a Secton 16 reportng person must be reported to the Company promptly on the day of the transacton to permit the Company to assist in the preparaton and fling of a required Form 4. However, the sole responsibility, and liability, for tmely fling remains with the Secton 16 reportng person, not with the Company. The Company reserves the right from tme to tme to suspend, discontnue or otherwise prohibit any transacton in Company securites, even pursuant to a previously approved Trading Plan, if the Authorizing Ofcer or the Board, in their discreton, determine that doing so is in the best interests of the Company. Any Trading Plan submited for approval hereunder should explicitly acknowledge the Company’s right to prohibit transactons Company securites. Failure to discontnue transactons as directed by the Authorizing Ofcer or the Board shall consttute a violaton of the terms of this Policy and result in a loss of the exemptons set forth in this </w:t>
      </w:r>
      <w:r>
        <w:rPr>
          <w:rFonts w:ascii="Calibri" w:cs="Calibri" w:eastAsia="Calibri" w:hAnsi="Calibri"/>
          <w:sz w:val="18"/>
          <w:szCs w:val="18"/>
          <w:u w:val="single" w:color="auto"/>
          <w:color w:val="auto"/>
        </w:rPr>
        <w:t>Secton VI</w:t>
      </w:r>
      <w:r>
        <w:rPr>
          <w:rFonts w:ascii="Calibri" w:cs="Calibri" w:eastAsia="Calibri" w:hAnsi="Calibri"/>
          <w:sz w:val="18"/>
          <w:szCs w:val="18"/>
          <w:color w:val="auto"/>
        </w:rPr>
        <w:t>.</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Directors, ofcers and employees may adopt Trading Plans with brokers that outline a pre-set plan for purchases or sales of Company stock, including the exercise of Company optons. While transactons pursuant to a Trading Plan generally may occur at any tme, a Trading Plan must include a minimum "cooling-of period" between its establishment and the commencement of any transactons thereunder that extends untl the expiraton of a period of: (a) for Secton 16 reportng persons, the later of (i) 90 days afer adopton or modifcaton of a Trading Plan or (ii) two business days afer fling the Form 10-K or Form 10-Q covering the fscal quarter in which the Trading Plan was adopted or modifed, subject to a maximum of 120 days; and (b) for all other persons (except the Company), 30 days afer adopton or modifcaton of a Trading Plan.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Each Trading Plan must include a representaton certfying that, at the tme of adopton, the director, ofcer or employee is (i) not aware of any material non-public informaton about the Company or its securites and (ii) adoptng the Trading Plan in good faith and not as a part of a plan or scheme to evade the prohibitons of Secton 10(b) of the Exchange Act.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Individuals may not adopt more than one Trading Plan at a tme except under the limited circumstances permited by Rule 10b5-1.</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For clarity, the requirements of this </w:t>
      </w:r>
      <w:r>
        <w:rPr>
          <w:rFonts w:ascii="Calibri" w:cs="Calibri" w:eastAsia="Calibri" w:hAnsi="Calibri"/>
          <w:sz w:val="18"/>
          <w:szCs w:val="18"/>
          <w:u w:val="single" w:color="auto"/>
          <w:color w:val="auto"/>
        </w:rPr>
        <w:t>Secton VI.A</w:t>
      </w:r>
      <w:r>
        <w:rPr>
          <w:rFonts w:ascii="Calibri" w:cs="Calibri" w:eastAsia="Calibri" w:hAnsi="Calibri"/>
          <w:sz w:val="18"/>
          <w:szCs w:val="18"/>
          <w:color w:val="auto"/>
        </w:rPr>
        <w:t xml:space="preserve"> do not apply to a Trading Plan entered into by a venture capital partnership or other similar entty with which a director is afliated. It is the responsibility of each such partnership or entty, in consultaton with their own counsel (as appropriate), to comply with applicable securites laws in connecton with any Trading Plan.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B. </w:t>
      </w:r>
      <w:r>
        <w:rPr>
          <w:rFonts w:ascii="Calibri" w:cs="Calibri" w:eastAsia="Calibri" w:hAnsi="Calibri"/>
          <w:sz w:val="18"/>
          <w:szCs w:val="18"/>
          <w:u w:val="single" w:color="auto"/>
          <w:color w:val="auto"/>
        </w:rPr>
        <w:t>Terminatons and Amendments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Trading Plan should be terminated occur only in unusual circumstances. Any modifcaton or terminaton of a Trading Plan must be submited to and pre-approved by the Authorizing Ofcer.</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 person actng in good faith may amend pr modify a Trading Plan so long as such it is made outside of a black-out period and at a tme when such person does not possess material, non-public informaton. Any amendment to or modifcaton of a Trading Plan must be submited to and pre-approved by the Authorizing Ofcer. Any amendment to or modifcaton of a Trading Plan that changes the amount, price or tming of the purchase or sale of the underlying securites will trigger a new cooling-of period (as described in </w:t>
      </w:r>
      <w:r>
        <w:rPr>
          <w:rFonts w:ascii="Calibri" w:cs="Calibri" w:eastAsia="Calibri" w:hAnsi="Calibri"/>
          <w:sz w:val="18"/>
          <w:szCs w:val="18"/>
          <w:u w:val="single" w:color="auto"/>
          <w:color w:val="auto"/>
        </w:rPr>
        <w:t>Secton VI.A</w:t>
      </w:r>
      <w:r>
        <w:rPr>
          <w:rFonts w:ascii="Calibri" w:cs="Calibri" w:eastAsia="Calibri" w:hAnsi="Calibri"/>
          <w:sz w:val="18"/>
          <w:szCs w:val="18"/>
          <w:color w:val="auto"/>
        </w:rPr>
        <w: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Under certain circumstances, a Trading Plan </w:t>
      </w:r>
      <w:r>
        <w:rPr>
          <w:rFonts w:ascii="Calibri" w:cs="Calibri" w:eastAsia="Calibri" w:hAnsi="Calibri"/>
          <w:sz w:val="18"/>
          <w:szCs w:val="18"/>
          <w:i w:val="1"/>
          <w:iCs w:val="1"/>
          <w:color w:val="auto"/>
        </w:rPr>
        <w:t>must</w:t>
      </w:r>
      <w:r>
        <w:rPr>
          <w:rFonts w:ascii="Calibri" w:cs="Calibri" w:eastAsia="Calibri" w:hAnsi="Calibri"/>
          <w:sz w:val="18"/>
          <w:szCs w:val="18"/>
          <w:color w:val="auto"/>
        </w:rPr>
        <w:t xml:space="preserve"> be terminated. This may include circumstances such as the announcement of a merger or the occurrence of an event that would cause transactons under the Trading Plan to either violate applicable law or adversely efect the Company. The Authorizing Ofcer or the administrator of the Company’s equity plans is authorized to notfy the broker in such circumstances, thereby insulatng the insider in the event of terminaton.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C. </w:t>
      </w:r>
      <w:r>
        <w:rPr>
          <w:rFonts w:ascii="Calibri" w:cs="Calibri" w:eastAsia="Calibri" w:hAnsi="Calibri"/>
          <w:sz w:val="18"/>
          <w:szCs w:val="18"/>
          <w:u w:val="single" w:color="auto"/>
          <w:color w:val="auto"/>
        </w:rPr>
        <w:t>Discretonary Plans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non-discretonary Trading Plans are preferred, discretonary Trading Plans, where the discreton or control over trading is transferred to a broker, are permited if pre-approved by the Authorizing Ofcer.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Reportng (if Required)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51" w:lineRule="auto"/>
        <w:rPr>
          <w:sz w:val="20"/>
          <w:szCs w:val="20"/>
          <w:color w:val="auto"/>
        </w:rPr>
      </w:pPr>
      <w:r>
        <w:rPr>
          <w:rFonts w:ascii="Calibri" w:cs="Calibri" w:eastAsia="Calibri" w:hAnsi="Calibri"/>
          <w:sz w:val="17"/>
          <w:szCs w:val="17"/>
          <w:color w:val="auto"/>
        </w:rPr>
        <w:t xml:space="preserve">If required, a Form 144 will be completed and fled with the SEC by the individual/broke in accordance with the existng rules regarding Form 144 flings. The Form 144 should indicate that the relevant dispositon(s) are being made in reliance on Rule 10b5-1. For Secton 16 reportng persons, a Form 4 should be fled before the end of the second business day following the date that the broker, dealer or plan administrator informs the individual that a transacton was executed; </w:t>
      </w:r>
      <w:r>
        <w:rPr>
          <w:rFonts w:ascii="Calibri" w:cs="Calibri" w:eastAsia="Calibri" w:hAnsi="Calibri"/>
          <w:sz w:val="17"/>
          <w:szCs w:val="17"/>
          <w:i w:val="1"/>
          <w:iCs w:val="1"/>
          <w:color w:val="auto"/>
        </w:rPr>
        <w:t>provided</w:t>
      </w:r>
      <w:r>
        <w:rPr>
          <w:rFonts w:ascii="Calibri" w:cs="Calibri" w:eastAsia="Calibri" w:hAnsi="Calibri"/>
          <w:sz w:val="17"/>
          <w:szCs w:val="17"/>
          <w:color w:val="auto"/>
        </w:rPr>
        <w:t xml:space="preserve"> that the date of such notfcaton is not later than the third business day following the trade date. The Form 4 must indicate that the transacton was made pursuant to a contract, instructon or writen plan that is intended to satsfy the afrmatve defense conditons of Rule 10b5-1(c).</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E. </w:t>
      </w:r>
      <w:r>
        <w:rPr>
          <w:rFonts w:ascii="Calibri" w:cs="Calibri" w:eastAsia="Calibri" w:hAnsi="Calibri"/>
          <w:sz w:val="18"/>
          <w:szCs w:val="18"/>
          <w:u w:val="single" w:color="auto"/>
          <w:color w:val="auto"/>
        </w:rPr>
        <w:t>Stock Optons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a broker is required to execute a cashless exercise in accordance with a Trading Plan, then the Company must have exercise forms atached to the Trading Plan that are signed, undated and with the number of shares to be exercised lef blank. Once a broker determines that the tme is right to exercise the opton and dispose of the shares in accordance with the Trading Plan, the broker will notfy the Company in writng and the administrator of the Company’s equity plans will fll in the number of shares and the date of exercise on the previously signed exercise form. The insider should not be involved with this part of the exercise.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 </w:t>
      </w:r>
      <w:r>
        <w:rPr>
          <w:rFonts w:ascii="Calibri" w:cs="Calibri" w:eastAsia="Calibri" w:hAnsi="Calibri"/>
          <w:sz w:val="18"/>
          <w:szCs w:val="18"/>
          <w:u w:val="single" w:color="auto"/>
          <w:color w:val="auto"/>
        </w:rPr>
        <w:t>Trades Outside of a Trading Plan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Outside of a black-out period, transactons outside of a Trading Plan while there is a Trading Plan in place are allowed as long as the Trading Plan contnues to be followed and such transactons do not impact the availability of the Rule 10b5-1 afrmatve defense (in other words, such transactons do not have the efect of changing the amount, price or tming of, or consttute a corresponding or hedging transacton or positon with respect to, any purchase or sale under the Trading Plan).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G. </w:t>
      </w:r>
      <w:r>
        <w:rPr>
          <w:rFonts w:ascii="Calibri" w:cs="Calibri" w:eastAsia="Calibri" w:hAnsi="Calibri"/>
          <w:sz w:val="18"/>
          <w:szCs w:val="18"/>
          <w:u w:val="single" w:color="auto"/>
          <w:color w:val="auto"/>
        </w:rPr>
        <w:t>Public Disclosure</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reserves the right to publicly disclose, announce or respond to inquiries from the media regarding the adopton, modifcaton or terminaton of any Trading Plan and/or non-Rule 10b5-1 trading arrangement, or the executon of transactons made thereunder.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H. </w:t>
      </w:r>
      <w:r>
        <w:rPr>
          <w:rFonts w:ascii="Calibri" w:cs="Calibri" w:eastAsia="Calibri" w:hAnsi="Calibri"/>
          <w:sz w:val="18"/>
          <w:szCs w:val="18"/>
          <w:u w:val="single" w:color="auto"/>
          <w:color w:val="auto"/>
        </w:rPr>
        <w:t>Prohibited Transactons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The transactons prohibited under </w:t>
      </w:r>
      <w:r>
        <w:rPr>
          <w:rFonts w:ascii="Calibri" w:cs="Calibri" w:eastAsia="Calibri" w:hAnsi="Calibri"/>
          <w:sz w:val="18"/>
          <w:szCs w:val="18"/>
          <w:u w:val="single" w:color="auto"/>
          <w:color w:val="auto"/>
        </w:rPr>
        <w:t>Secton V</w:t>
      </w:r>
      <w:r>
        <w:rPr>
          <w:rFonts w:ascii="Calibri" w:cs="Calibri" w:eastAsia="Calibri" w:hAnsi="Calibri"/>
          <w:sz w:val="18"/>
          <w:szCs w:val="18"/>
          <w:color w:val="auto"/>
        </w:rPr>
        <w:t xml:space="preserve"> may not be carried out through a Trading Plan or other arrangement or instructon involving potental sales or purchases of Company securites.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I. </w:t>
      </w:r>
      <w:r>
        <w:rPr>
          <w:rFonts w:ascii="Calibri" w:cs="Calibri" w:eastAsia="Calibri" w:hAnsi="Calibri"/>
          <w:sz w:val="18"/>
          <w:szCs w:val="18"/>
          <w:u w:val="single" w:color="auto"/>
          <w:color w:val="auto"/>
        </w:rPr>
        <w:t>Limitaton on Liability</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None of the Company, the Board, the CEO, the CFO, the General Counsel, the Authorizing Ofcer, the Company’s other employees or any other person will have any liability for any delay in reviewing, or refusal of, a Trading Plan. Notwithstanding any review of a Trading Plan, none of the Company, the Board, the CFO, the General Counsel, the Authorizing Ofcer, the Company’s other employees or any other person assumes any liability for the legality or consequences of any Trading Plan or transacton to the person adoptng such Trading Plan or engaging in such transacton.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VII. CERTIFICATION OF COMPLIANCE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Afer reviewing this Policy and on an annual basis, all directors, ofcers, employees and designated consultants shall execute and return to the General Counsel the Certfcaton of Compliance form atached hereto as </w:t>
      </w:r>
      <w:r>
        <w:rPr>
          <w:rFonts w:ascii="Calibri" w:cs="Calibri" w:eastAsia="Calibri" w:hAnsi="Calibri"/>
          <w:sz w:val="18"/>
          <w:szCs w:val="18"/>
          <w:u w:val="single" w:color="auto"/>
          <w:color w:val="auto"/>
        </w:rPr>
        <w:t>Exhibit A</w:t>
      </w:r>
      <w:r>
        <w:rPr>
          <w:rFonts w:ascii="Calibri" w:cs="Calibri" w:eastAsia="Calibri" w:hAnsi="Calibri"/>
          <w:sz w:val="18"/>
          <w:szCs w:val="18"/>
          <w:color w:val="auto"/>
        </w:rPr>
        <w:t>.</w:t>
      </w:r>
    </w:p>
    <w:p>
      <w:pPr>
        <w:spacing w:after="0" w:line="105" w:lineRule="exact"/>
        <w:rPr>
          <w:sz w:val="20"/>
          <w:szCs w:val="20"/>
          <w:color w:val="auto"/>
        </w:rPr>
      </w:pPr>
    </w:p>
    <w:p>
      <w:pPr>
        <w:ind w:left="4620"/>
        <w:spacing w:after="0"/>
        <w:tabs>
          <w:tab w:leader="none" w:pos="5080" w:val="left"/>
          <w:tab w:leader="none" w:pos="5560" w:val="left"/>
          <w:tab w:leader="none" w:pos="6040" w:val="left"/>
          <w:tab w:leader="none" w:pos="65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center"/>
        <w:ind w:right="-1120"/>
        <w:spacing w:after="0"/>
        <w:rPr>
          <w:sz w:val="20"/>
          <w:szCs w:val="20"/>
          <w:color w:val="auto"/>
        </w:rPr>
      </w:pPr>
      <w:r>
        <w:rPr>
          <w:rFonts w:ascii="Calibri" w:cs="Calibri" w:eastAsia="Calibri" w:hAnsi="Calibri"/>
          <w:sz w:val="18"/>
          <w:szCs w:val="18"/>
          <w:b w:val="1"/>
          <w:bCs w:val="1"/>
          <w:color w:val="auto"/>
        </w:rPr>
        <w:t>SCHEDULE I</w:t>
      </w:r>
    </w:p>
    <w:p>
      <w:pPr>
        <w:spacing w:after="0" w:line="1" w:lineRule="exact"/>
        <w:rPr>
          <w:sz w:val="20"/>
          <w:szCs w:val="20"/>
          <w:color w:val="auto"/>
        </w:rPr>
      </w:pPr>
    </w:p>
    <w:p>
      <w:pPr>
        <w:jc w:val="center"/>
        <w:ind w:right="-1120"/>
        <w:spacing w:after="0"/>
        <w:rPr>
          <w:sz w:val="20"/>
          <w:szCs w:val="20"/>
          <w:color w:val="auto"/>
        </w:rPr>
      </w:pPr>
      <w:r>
        <w:rPr>
          <w:rFonts w:ascii="Calibri" w:cs="Calibri" w:eastAsia="Calibri" w:hAnsi="Calibri"/>
          <w:sz w:val="17"/>
          <w:szCs w:val="17"/>
          <w:b w:val="1"/>
          <w:bCs w:val="1"/>
          <w:color w:val="auto"/>
        </w:rPr>
        <w:t>DESIGNATED PERSONS SUBJECT TO PRE-CLEARANCE REQUIREMENTS</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color w:val="auto"/>
        </w:rPr>
        <w:t>Directors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All employees that are Director or a higher level of seniority</w:t>
      </w:r>
    </w:p>
    <w:p>
      <w:pPr>
        <w:spacing w:after="0" w:line="172" w:lineRule="exact"/>
        <w:rPr>
          <w:sz w:val="20"/>
          <w:szCs w:val="20"/>
          <w:color w:val="auto"/>
        </w:rPr>
      </w:pPr>
    </w:p>
    <w:p>
      <w:pPr>
        <w:jc w:val="center"/>
        <w:ind w:right="-1120"/>
        <w:spacing w:after="0"/>
        <w:rPr>
          <w:sz w:val="20"/>
          <w:szCs w:val="20"/>
          <w:color w:val="auto"/>
        </w:rPr>
      </w:pPr>
      <w:r>
        <w:rPr>
          <w:rFonts w:ascii="Calibri" w:cs="Calibri" w:eastAsia="Calibri" w:hAnsi="Calibri"/>
          <w:sz w:val="18"/>
          <w:szCs w:val="18"/>
          <w:b w:val="1"/>
          <w:bCs w:val="1"/>
          <w:color w:val="auto"/>
        </w:rPr>
        <w:t>SCHEDULE II</w:t>
      </w:r>
    </w:p>
    <w:p>
      <w:pPr>
        <w:jc w:val="center"/>
        <w:ind w:right="-1120"/>
        <w:spacing w:after="0" w:line="235" w:lineRule="auto"/>
        <w:rPr>
          <w:sz w:val="20"/>
          <w:szCs w:val="20"/>
          <w:color w:val="auto"/>
        </w:rPr>
      </w:pPr>
      <w:r>
        <w:rPr>
          <w:rFonts w:ascii="Calibri" w:cs="Calibri" w:eastAsia="Calibri" w:hAnsi="Calibri"/>
          <w:sz w:val="18"/>
          <w:szCs w:val="18"/>
          <w:b w:val="1"/>
          <w:bCs w:val="1"/>
          <w:color w:val="auto"/>
        </w:rPr>
        <w:t>DESIGNATED EMPLOYEES SUBJECT TO BLACK-OUT PERIODS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166" w:name="page167"/>
    <w:bookmarkEnd w:id="166"/>
    <w:p>
      <w:pPr>
        <w:jc w:val="center"/>
        <w:ind w:right="-19"/>
        <w:spacing w:after="0"/>
        <w:rPr>
          <w:sz w:val="20"/>
          <w:szCs w:val="20"/>
          <w:color w:val="auto"/>
        </w:rPr>
      </w:pPr>
      <w:r>
        <w:rPr>
          <w:rFonts w:ascii="Calibri" w:cs="Calibri" w:eastAsia="Calibri" w:hAnsi="Calibri"/>
          <w:sz w:val="18"/>
          <w:szCs w:val="18"/>
          <w:b w:val="1"/>
          <w:bCs w:val="1"/>
          <w:color w:val="auto"/>
        </w:rPr>
        <w:t>EXHIBIT A</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CERTIFICATION OF COMPLIANCE</w:t>
      </w:r>
    </w:p>
    <w:p>
      <w:pPr>
        <w:spacing w:after="0" w:line="105"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color w:val="auto"/>
        </w:rPr>
        <w:t>RETURN BY</w:t>
      </w:r>
      <w:r>
        <w:rPr>
          <w:sz w:val="20"/>
          <w:szCs w:val="20"/>
          <w:color w:val="auto"/>
        </w:rPr>
        <w:tab/>
      </w:r>
      <w:r>
        <w:rPr>
          <w:rFonts w:ascii="Calibri" w:cs="Calibri" w:eastAsia="Calibri" w:hAnsi="Calibri"/>
          <w:sz w:val="17"/>
          <w:szCs w:val="17"/>
          <w:color w:val="auto"/>
        </w:rPr>
        <w:t xml:space="preserve">[_________] </w:t>
      </w:r>
      <w:r>
        <w:rPr>
          <w:rFonts w:ascii="Calibri" w:cs="Calibri" w:eastAsia="Calibri" w:hAnsi="Calibri"/>
          <w:sz w:val="17"/>
          <w:szCs w:val="17"/>
          <w:i w:val="1"/>
          <w:iCs w:val="1"/>
          <w:color w:val="auto"/>
        </w:rPr>
        <w:t>[insert return deadline]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TO: General Counsel</w:t>
      </w:r>
    </w:p>
    <w:p>
      <w:pPr>
        <w:spacing w:after="0" w:line="104"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18"/>
          <w:szCs w:val="18"/>
          <w:color w:val="auto"/>
        </w:rPr>
        <w:t>FROM:</w:t>
      </w:r>
      <w:r>
        <w:rPr>
          <w:sz w:val="20"/>
          <w:szCs w:val="20"/>
          <w:color w:val="auto"/>
        </w:rPr>
        <w:tab/>
      </w:r>
      <w:r>
        <w:rPr>
          <w:rFonts w:ascii="Calibri" w:cs="Calibri" w:eastAsia="Calibri" w:hAnsi="Calibri"/>
          <w:sz w:val="17"/>
          <w:szCs w:val="17"/>
          <w:color w:val="auto"/>
        </w:rPr>
        <w:t>__________________________</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RE: INSIDER TRADING POLICY OF VIVID SEATS INC.</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 have received, reviewed and understand the Insider Trading Policy of Vivid Seats Inc. (the "Company") and undertake, as a conditon to my present and contnued employment and/or afliaton with the Company, to comply fully with the policies and procedures contained therein.</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[I hereby certfy, to the best of my knowledge, that during the calendar year ending December 31, [__], I complied fully with the policies and procedures contained in the above-referenced Insider Trading Policy.] </w:t>
      </w:r>
      <w:r>
        <w:rPr>
          <w:rFonts w:ascii="Calibri" w:cs="Calibri" w:eastAsia="Calibri" w:hAnsi="Calibri"/>
          <w:sz w:val="18"/>
          <w:szCs w:val="18"/>
          <w:i w:val="1"/>
          <w:iCs w:val="1"/>
          <w:color w:val="auto"/>
        </w:rPr>
        <w:t>[Bracketed language should be excluded from an inital certfcaton.]</w:t>
      </w:r>
    </w:p>
    <w:p>
      <w:pPr>
        <w:spacing w:after="0" w:line="172" w:lineRule="exact"/>
        <w:rPr>
          <w:sz w:val="20"/>
          <w:szCs w:val="20"/>
          <w:color w:val="auto"/>
        </w:rPr>
      </w:pPr>
    </w:p>
    <w:p>
      <w:pPr>
        <w:spacing w:after="0"/>
        <w:tabs>
          <w:tab w:leader="none" w:pos="2520" w:val="left"/>
        </w:tabs>
        <w:rPr>
          <w:sz w:val="20"/>
          <w:szCs w:val="20"/>
          <w:color w:val="auto"/>
        </w:rPr>
      </w:pPr>
      <w:r>
        <w:rPr>
          <w:rFonts w:ascii="Calibri" w:cs="Calibri" w:eastAsia="Calibri" w:hAnsi="Calibri"/>
          <w:sz w:val="18"/>
          <w:szCs w:val="18"/>
          <w:color w:val="auto"/>
        </w:rPr>
        <w:t>___________________________</w:t>
      </w:r>
      <w:r>
        <w:rPr>
          <w:sz w:val="20"/>
          <w:szCs w:val="20"/>
          <w:color w:val="auto"/>
        </w:rPr>
        <w:tab/>
      </w:r>
      <w:r>
        <w:rPr>
          <w:rFonts w:ascii="Calibri" w:cs="Calibri" w:eastAsia="Calibri" w:hAnsi="Calibri"/>
          <w:sz w:val="17"/>
          <w:szCs w:val="17"/>
          <w:color w:val="auto"/>
        </w:rPr>
        <w:t>_______________</w:t>
      </w:r>
    </w:p>
    <w:p>
      <w:pPr>
        <w:spacing w:after="0" w:line="235" w:lineRule="auto"/>
        <w:tabs>
          <w:tab w:leader="none" w:pos="1580" w:val="left"/>
        </w:tabs>
        <w:rPr>
          <w:sz w:val="20"/>
          <w:szCs w:val="20"/>
          <w:color w:val="auto"/>
        </w:rPr>
      </w:pPr>
      <w:r>
        <w:rPr>
          <w:rFonts w:ascii="Calibri" w:cs="Calibri" w:eastAsia="Calibri" w:hAnsi="Calibri"/>
          <w:sz w:val="18"/>
          <w:szCs w:val="18"/>
          <w:color w:val="auto"/>
        </w:rPr>
        <w:t>SIGNATURE</w:t>
      </w:r>
      <w:r>
        <w:rPr>
          <w:sz w:val="20"/>
          <w:szCs w:val="20"/>
          <w:color w:val="auto"/>
        </w:rPr>
        <w:tab/>
      </w:r>
      <w:r>
        <w:rPr>
          <w:rFonts w:ascii="Calibri" w:cs="Calibri" w:eastAsia="Calibri" w:hAnsi="Calibri"/>
          <w:sz w:val="18"/>
          <w:szCs w:val="18"/>
          <w:color w:val="auto"/>
        </w:rPr>
        <w:t>DATE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w:t>
      </w:r>
    </w:p>
    <w:p>
      <w:pPr>
        <w:spacing w:after="0" w:line="235" w:lineRule="auto"/>
        <w:rPr>
          <w:sz w:val="20"/>
          <w:szCs w:val="20"/>
          <w:color w:val="auto"/>
        </w:rPr>
      </w:pPr>
      <w:r>
        <w:rPr>
          <w:rFonts w:ascii="Calibri" w:cs="Calibri" w:eastAsia="Calibri" w:hAnsi="Calibri"/>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1408430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jc w:val="right"/>
        <w:spacing w:after="0"/>
        <w:rPr>
          <w:sz w:val="20"/>
          <w:szCs w:val="20"/>
          <w:color w:val="auto"/>
        </w:rPr>
      </w:pPr>
      <w:r>
        <w:rPr>
          <w:rFonts w:ascii="Calibri" w:cs="Calibri" w:eastAsia="Calibri" w:hAnsi="Calibri"/>
          <w:sz w:val="18"/>
          <w:szCs w:val="18"/>
          <w:b w:val="1"/>
          <w:bCs w:val="1"/>
          <w:color w:val="auto"/>
        </w:rPr>
        <w:t>Exhibit 21.1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Calibri" w:cs="Calibri" w:eastAsia="Calibri" w:hAnsi="Calibri"/>
                <w:sz w:val="18"/>
                <w:szCs w:val="18"/>
                <w:b w:val="1"/>
                <w:bCs w:val="1"/>
                <w:color w:val="auto"/>
              </w:rPr>
              <w:t>Jurisdicton of</w:t>
            </w:r>
          </w:p>
        </w:tc>
        <w:tc>
          <w:tcPr>
            <w:tcW w:w="2420" w:type="dxa"/>
            <w:vAlign w:val="bottom"/>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Subsidiary</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Incorporaton or Organizaton</w:t>
            </w:r>
          </w:p>
        </w:tc>
        <w:tc>
          <w:tcPr>
            <w:tcW w:w="2420" w:type="dxa"/>
            <w:vAlign w:val="bottom"/>
          </w:tcPr>
          <w:p>
            <w:pPr>
              <w:spacing w:after="0"/>
              <w:rPr>
                <w:sz w:val="18"/>
                <w:szCs w:val="18"/>
                <w:color w:val="auto"/>
              </w:rPr>
            </w:pPr>
          </w:p>
        </w:tc>
      </w:tr>
      <w:tr>
        <w:trPr>
          <w:trHeight w:val="23"/>
        </w:trPr>
        <w:tc>
          <w:tcPr>
            <w:tcW w:w="24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r>
      <w:tr>
        <w:trPr>
          <w:trHeight w:val="187"/>
        </w:trPr>
        <w:tc>
          <w:tcPr>
            <w:tcW w:w="2420" w:type="dxa"/>
            <w:vAlign w:val="bottom"/>
          </w:tcPr>
          <w:p>
            <w:pPr>
              <w:spacing w:after="0"/>
              <w:rPr>
                <w:sz w:val="16"/>
                <w:szCs w:val="16"/>
                <w:color w:val="auto"/>
              </w:rPr>
            </w:pPr>
          </w:p>
        </w:tc>
        <w:tc>
          <w:tcPr>
            <w:tcW w:w="348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ActCo LLC</w:t>
            </w:r>
          </w:p>
        </w:tc>
        <w:tc>
          <w:tcPr>
            <w:tcW w:w="292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6"/>
                <w:szCs w:val="16"/>
                <w:color w:val="auto"/>
              </w:rPr>
            </w:pPr>
          </w:p>
        </w:tc>
      </w:tr>
      <w:tr>
        <w:trPr>
          <w:trHeight w:val="215"/>
        </w:trPr>
        <w:tc>
          <w:tcPr>
            <w:tcW w:w="2420" w:type="dxa"/>
            <w:vAlign w:val="bottom"/>
          </w:tcPr>
          <w:p>
            <w:pPr>
              <w:spacing w:after="0"/>
              <w:rPr>
                <w:sz w:val="18"/>
                <w:szCs w:val="18"/>
                <w:color w:val="auto"/>
              </w:rPr>
            </w:pPr>
          </w:p>
        </w:tc>
        <w:tc>
          <w:tcPr>
            <w:tcW w:w="34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Actve Ticket Company LP</w:t>
            </w:r>
          </w:p>
        </w:tc>
        <w:tc>
          <w:tcPr>
            <w:tcW w:w="292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BroadwayShows.com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Casino Travel &amp; Tours,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Nevada</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CM6B Vivid Equity, Inc.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rPr>
              <w:t>CT&amp;T Transportaton,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Nevada</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CTT Tours,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Nevada</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Hoya Intermediate,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Hoya Midco,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Internatonal Tickets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LV.com,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Nevada</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rPr>
              <w:t>Skybox Ticket Resale Platorm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Illinois</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Ticket Fulfllment Services Canada Ltd.</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Canada</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Ticket Fulfllment Services LP</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Ticket Website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VDC-MGG Holdings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Vegas.com,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Nevada</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Vivid Cheers Inc.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Vivid Hospitality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Illinois</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Vivid Picks,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Vivid Seats Asia Pacifc Inc.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Vivid Seats Canada Ltd.</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Canada</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Vivid Seats Internatonal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Vivid Seats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Vivid Seats UK Ltd.</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United Kingdom</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Vivid VDC,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Wavedash Co., Ltd.</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rPr>
              <w:t>Japan</w:t>
            </w:r>
          </w:p>
        </w:tc>
        <w:tc>
          <w:tcPr>
            <w:tcW w:w="24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World Ticket Source, LLC</w:t>
            </w:r>
          </w:p>
        </w:tc>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2420" w:type="dxa"/>
            <w:vAlign w:val="bottom"/>
          </w:tcPr>
          <w:p>
            <w:pPr>
              <w:spacing w:after="0"/>
              <w:rPr>
                <w:sz w:val="18"/>
                <w:szCs w:val="18"/>
                <w:color w:val="auto"/>
              </w:rPr>
            </w:pPr>
          </w:p>
        </w:tc>
      </w:tr>
      <w:tr>
        <w:trPr>
          <w:trHeight w:val="1002"/>
        </w:trPr>
        <w:tc>
          <w:tcPr>
            <w:tcW w:w="24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8" w:name="page169"/>
    <w:bookmarkEnd w:id="168"/>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CONSENT OF INDEPENDENT REGISTERED PUBLIC ACCOUNTING FIRM</w:t>
      </w:r>
    </w:p>
    <w:p>
      <w:pPr>
        <w:spacing w:after="0" w:line="158" w:lineRule="exact"/>
        <w:rPr>
          <w:sz w:val="20"/>
          <w:szCs w:val="20"/>
          <w:color w:val="auto"/>
        </w:rPr>
      </w:pPr>
    </w:p>
    <w:p>
      <w:pPr>
        <w:jc w:val="both"/>
        <w:spacing w:after="0" w:line="247" w:lineRule="auto"/>
        <w:rPr>
          <w:sz w:val="20"/>
          <w:szCs w:val="20"/>
          <w:color w:val="auto"/>
        </w:rPr>
      </w:pPr>
      <w:r>
        <w:rPr>
          <w:rFonts w:ascii="Calibri" w:cs="Calibri" w:eastAsia="Calibri" w:hAnsi="Calibri"/>
          <w:sz w:val="16"/>
          <w:szCs w:val="16"/>
          <w:color w:val="auto"/>
        </w:rPr>
        <w:t>We consent to the incorporaton by reference in Registraton Statement Nos. 333-275889 and 333-260839 on Form S-3, and Registraton Statement Nos. 333-260332 and 333-277766 on Form S-8 of our report dated March 12, 2025 relatng to the fnancial statements of Vivid Seats Inc. appearing in this Annual Report on Form 10-K for the year ended December 31, 2024.</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color w:val="auto"/>
        </w:rPr>
        <w:t>/s/ Deloite &amp; Touche LLP</w:t>
      </w:r>
    </w:p>
    <w:p>
      <w:pPr>
        <w:spacing w:after="0" w:line="142" w:lineRule="exact"/>
        <w:rPr>
          <w:sz w:val="20"/>
          <w:szCs w:val="20"/>
          <w:color w:val="auto"/>
        </w:rPr>
      </w:pPr>
    </w:p>
    <w:p>
      <w:pPr>
        <w:spacing w:after="0"/>
        <w:rPr>
          <w:sz w:val="20"/>
          <w:szCs w:val="20"/>
          <w:color w:val="auto"/>
        </w:rPr>
      </w:pPr>
      <w:r>
        <w:rPr>
          <w:rFonts w:ascii="Calibri" w:cs="Calibri" w:eastAsia="Calibri" w:hAnsi="Calibri"/>
          <w:sz w:val="16"/>
          <w:szCs w:val="16"/>
          <w:color w:val="auto"/>
        </w:rPr>
        <w:t>Chicago, Illinois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9" w:name="page170"/>
    <w:bookmarkEnd w:id="169"/>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212" w:lineRule="exact"/>
        <w:rPr>
          <w:sz w:val="20"/>
          <w:szCs w:val="20"/>
          <w:color w:val="auto"/>
        </w:rPr>
      </w:pPr>
    </w:p>
    <w:p>
      <w:pPr>
        <w:ind w:left="520" w:hanging="512"/>
        <w:spacing w:after="0"/>
        <w:tabs>
          <w:tab w:leader="none" w:pos="52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Vivid Seats Inc.;</w:t>
      </w:r>
    </w:p>
    <w:p>
      <w:pPr>
        <w:spacing w:after="0" w:line="217"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87"/>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87"/>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87"/>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7"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87"/>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8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87"/>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87"/>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67"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March 12, 2025</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70" w:name="page171"/>
    <w:bookmarkEnd w:id="170"/>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 13a-14(a) /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212" w:lineRule="exact"/>
        <w:rPr>
          <w:sz w:val="20"/>
          <w:szCs w:val="20"/>
          <w:color w:val="auto"/>
        </w:rPr>
      </w:pPr>
    </w:p>
    <w:p>
      <w:pPr>
        <w:ind w:left="520" w:hanging="512"/>
        <w:spacing w:after="0"/>
        <w:tabs>
          <w:tab w:leader="none" w:pos="520" w:val="left"/>
        </w:tabs>
        <w:numPr>
          <w:ilvl w:val="0"/>
          <w:numId w:val="88"/>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Vivid Seats Inc.;</w:t>
      </w:r>
    </w:p>
    <w:p>
      <w:pPr>
        <w:spacing w:after="0" w:line="217"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88"/>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88"/>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jc w:val="both"/>
        <w:ind w:left="520" w:hanging="512"/>
        <w:spacing w:after="0" w:line="235" w:lineRule="auto"/>
        <w:tabs>
          <w:tab w:leader="none" w:pos="520" w:val="left"/>
        </w:tabs>
        <w:numPr>
          <w:ilvl w:val="0"/>
          <w:numId w:val="8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88"/>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88"/>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88"/>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7" w:lineRule="exact"/>
        <w:rPr>
          <w:rFonts w:ascii="Calibri" w:cs="Calibri" w:eastAsia="Calibri" w:hAnsi="Calibri"/>
          <w:sz w:val="18"/>
          <w:szCs w:val="18"/>
          <w:color w:val="auto"/>
        </w:rPr>
      </w:pPr>
    </w:p>
    <w:p>
      <w:pPr>
        <w:jc w:val="both"/>
        <w:ind w:left="1020" w:hanging="503"/>
        <w:spacing w:after="0" w:line="235" w:lineRule="auto"/>
        <w:tabs>
          <w:tab w:leader="none" w:pos="1020" w:val="left"/>
        </w:tabs>
        <w:numPr>
          <w:ilvl w:val="1"/>
          <w:numId w:val="88"/>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520" w:hanging="512"/>
        <w:spacing w:after="0" w:line="235" w:lineRule="auto"/>
        <w:tabs>
          <w:tab w:leader="none" w:pos="520" w:val="left"/>
        </w:tabs>
        <w:numPr>
          <w:ilvl w:val="0"/>
          <w:numId w:val="8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88"/>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88"/>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March 12, 2025</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71" w:name="page172"/>
    <w:bookmarkEnd w:id="171"/>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0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2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10"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In connecton with the Annual Report on Form 10-K of Vivid Seats Inc. (the “Company”) for the year ended December 31, 2024 as fled with the Securites and Exchange Commission on the date hereof (the “Report”), I, Stanley Chia, Chief Executve Ofcer, certfy, pursuant to 18 U.S.C. § 1350, as adopted pursuant to</w:t>
      </w:r>
    </w:p>
    <w:p>
      <w:pPr>
        <w:ind w:left="140" w:hanging="132"/>
        <w:spacing w:after="0" w:line="236" w:lineRule="auto"/>
        <w:tabs>
          <w:tab w:leader="none" w:pos="140" w:val="left"/>
        </w:tabs>
        <w:numPr>
          <w:ilvl w:val="0"/>
          <w:numId w:val="89"/>
        </w:numPr>
        <w:rPr>
          <w:rFonts w:ascii="Calibri" w:cs="Calibri" w:eastAsia="Calibri" w:hAnsi="Calibri"/>
          <w:sz w:val="18"/>
          <w:szCs w:val="18"/>
          <w:color w:val="auto"/>
        </w:rPr>
      </w:pPr>
      <w:r>
        <w:rPr>
          <w:rFonts w:ascii="Calibri" w:cs="Calibri" w:eastAsia="Calibri" w:hAnsi="Calibri"/>
          <w:sz w:val="18"/>
          <w:szCs w:val="18"/>
          <w:color w:val="auto"/>
        </w:rPr>
        <w:t>906 of the Sarbanes-Oxley Act of 2002, that:</w:t>
      </w:r>
    </w:p>
    <w:p>
      <w:pPr>
        <w:spacing w:after="0" w:line="104" w:lineRule="exact"/>
        <w:rPr>
          <w:rFonts w:ascii="Calibri" w:cs="Calibri" w:eastAsia="Calibri" w:hAnsi="Calibri"/>
          <w:sz w:val="18"/>
          <w:szCs w:val="18"/>
          <w:color w:val="auto"/>
        </w:rPr>
      </w:pPr>
    </w:p>
    <w:p>
      <w:pPr>
        <w:ind w:left="1020" w:hanging="503"/>
        <w:spacing w:after="0"/>
        <w:tabs>
          <w:tab w:leader="none" w:pos="1020" w:val="left"/>
        </w:tabs>
        <w:numPr>
          <w:ilvl w:val="1"/>
          <w:numId w:val="89"/>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1"/>
          <w:numId w:val="89"/>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105"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March 12, 2025</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Exchange Commission or its staf upon request.</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foregoing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72" w:name="page173"/>
    <w:bookmarkEnd w:id="172"/>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0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2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the Annual Report on Form 10-K of Vivid Seats Inc. (the “Company”) for the year ended December 31, 2024 as fled with the Securites and Exchange Commission on the date hereof (the “Report”), I, Lawrence Fey, Chief Financial Ofcer, certfy, pursuant to 18 U.S.C. § 1350, as adopted pursuant to § 906 of the Sarbanes-Oxley Act of 2002, that:</w:t>
      </w:r>
    </w:p>
    <w:p>
      <w:pPr>
        <w:spacing w:after="0" w:line="106" w:lineRule="exact"/>
        <w:rPr>
          <w:sz w:val="20"/>
          <w:szCs w:val="20"/>
          <w:color w:val="auto"/>
        </w:rPr>
      </w:pPr>
    </w:p>
    <w:p>
      <w:pPr>
        <w:ind w:left="1020" w:hanging="503"/>
        <w:spacing w:after="0"/>
        <w:tabs>
          <w:tab w:leader="none" w:pos="102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9" w:lineRule="exact"/>
        <w:rPr>
          <w:rFonts w:ascii="Calibri" w:cs="Calibri" w:eastAsia="Calibri" w:hAnsi="Calibri"/>
          <w:sz w:val="18"/>
          <w:szCs w:val="18"/>
          <w:color w:val="auto"/>
        </w:rPr>
      </w:pPr>
    </w:p>
    <w:p>
      <w:pPr>
        <w:ind w:left="1020" w:hanging="503"/>
        <w:spacing w:after="0" w:line="235" w:lineRule="auto"/>
        <w:tabs>
          <w:tab w:leader="none" w:pos="1020" w:val="left"/>
        </w:tabs>
        <w:numPr>
          <w:ilvl w:val="0"/>
          <w:numId w:val="90"/>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105"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March 12, 2025</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the Company and will be retained by the Company and furnished to the Securites Exchange Commission or its staf upon request.</w:t>
      </w:r>
    </w:p>
    <w:p>
      <w:pPr>
        <w:spacing w:after="0" w:line="1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foregoing certfcaton is being furnished solely pursuant to 18 U.S.C. § 1350 and is not being fled as a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73" w:name="page174"/>
    <w:bookmarkEnd w:id="1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Roman"/>
      <w:start w:val="6"/>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lowerRoman"/>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2"/>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decimal"/>
      <w:start w:val="10"/>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decimal"/>
      <w:start w:val="19"/>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lowerRoman"/>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lowerRoman"/>
      <w:start w:val="1"/>
    </w:lvl>
  </w:abstractNum>
  <w:abstractNum w:abstractNumId="41">
    <w:nsid w:val="1DBABF0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
    <w:nsid w:val="4AD084E9"/>
    <w:multiLevelType w:val="hybridMultilevel"/>
    <w:lvl w:ilvl="0">
      <w:lvlJc w:val="left"/>
      <w:lvlText w:val="%1"/>
      <w:numFmt w:val="decimal"/>
      <w:start w:val="1"/>
    </w:lvl>
    <w:lvl w:ilvl="1">
      <w:lvlJc w:val="left"/>
      <w:lvlText w:val="(%2)"/>
      <w:numFmt w:val="lowerRoman"/>
      <w:start w:val="3"/>
    </w:lvl>
  </w:abstractNum>
  <w:abstractNum w:abstractNumId="43">
    <w:nsid w:val="1F48EAA1"/>
    <w:multiLevelType w:val="hybridMultilevel"/>
    <w:lvl w:ilvl="0">
      <w:lvlJc w:val="left"/>
      <w:lvlText w:val="%1."/>
      <w:numFmt w:val="decimal"/>
      <w:start w:val="3"/>
    </w:lvl>
    <w:lvl w:ilvl="1">
      <w:lvlJc w:val="left"/>
      <w:lvlText w:val="%2"/>
      <w:numFmt w:val="lowerRoman"/>
      <w:start w:val="1"/>
    </w:lvl>
  </w:abstractNum>
  <w:abstractNum w:abstractNumId="44">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5DB70AE5"/>
    <w:multiLevelType w:val="hybridMultilevel"/>
    <w:lvl w:ilvl="0">
      <w:lvlJc w:val="left"/>
      <w:lvlText w:val="%1."/>
      <w:numFmt w:val="decimal"/>
      <w:start w:val="2"/>
    </w:lvl>
    <w:lvl w:ilvl="1">
      <w:lvlJc w:val="left"/>
      <w:lvlText w:val="%2."/>
      <w:numFmt w:val="lowerLetter"/>
      <w:start w:val="1"/>
    </w:lvl>
  </w:abstractNum>
  <w:abstractNum w:abstractNumId="46">
    <w:nsid w:val="100F8FCA"/>
    <w:multiLevelType w:val="hybridMultilevel"/>
    <w:lvl w:ilvl="0">
      <w:lvlJc w:val="left"/>
      <w:lvlText w:val="%1."/>
      <w:numFmt w:val="lowerLetter"/>
      <w:start w:val="4"/>
    </w:lvl>
    <w:lvl w:ilvl="1">
      <w:lvlJc w:val="left"/>
      <w:lvlText w:val="*"/>
      <w:numFmt w:val="bullet"/>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3"/>
    </w:lvl>
  </w:abstractNum>
  <w:abstractNum w:abstractNumId="49">
    <w:nsid w:val="5F5E7FD0"/>
    <w:multiLevelType w:val="hybridMultilevel"/>
    <w:lvl w:ilvl="0">
      <w:lvlJc w:val="left"/>
      <w:lvlText w:val="%1."/>
      <w:numFmt w:val="decimal"/>
      <w:start w:val="5"/>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7"/>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decimal"/>
      <w:start w:val="10"/>
    </w:lvl>
  </w:abstractNum>
  <w:abstractNum w:abstractNumId="54">
    <w:nsid w:val="168E121F"/>
    <w:multiLevelType w:val="hybridMultilevel"/>
    <w:lvl w:ilvl="0">
      <w:lvlJc w:val="left"/>
      <w:lvlText w:val="%1."/>
      <w:numFmt w:val="decimal"/>
      <w:start w:val="16"/>
    </w:lvl>
  </w:abstractNum>
  <w:abstractNum w:abstractNumId="55">
    <w:nsid w:val="1EBA5D23"/>
    <w:multiLevelType w:val="hybridMultilevel"/>
    <w:lvl w:ilvl="0">
      <w:lvlJc w:val="left"/>
      <w:lvlText w:val="(%1)"/>
      <w:numFmt w:val="upperLetter"/>
      <w:start w:val="1"/>
    </w:lvl>
  </w:abstractNum>
  <w:abstractNum w:abstractNumId="56">
    <w:nsid w:val="661E3F1E"/>
    <w:multiLevelType w:val="hybridMultilevel"/>
    <w:lvl w:ilvl="0">
      <w:lvlJc w:val="left"/>
      <w:lvlText w:val="(%1)"/>
      <w:numFmt w:val="upperLetter"/>
      <w:start w:val="4"/>
    </w:lvl>
  </w:abstractNum>
  <w:abstractNum w:abstractNumId="57">
    <w:nsid w:val="5DC79EA8"/>
    <w:multiLevelType w:val="hybridMultilevel"/>
    <w:lvl w:ilvl="0">
      <w:lvlJc w:val="left"/>
      <w:lvlText w:val="(%1)"/>
      <w:numFmt w:val="lowerRoman"/>
      <w:start w:val="4"/>
    </w:lvl>
  </w:abstractNum>
  <w:abstractNum w:abstractNumId="58">
    <w:nsid w:val="540A471C"/>
    <w:multiLevelType w:val="hybridMultilevel"/>
    <w:lvl w:ilvl="0">
      <w:lvlJc w:val="left"/>
      <w:lvlText w:val="(%1)"/>
      <w:numFmt w:val="lowerRoman"/>
      <w:start w:val="2"/>
    </w:lvl>
  </w:abstractNum>
  <w:abstractNum w:abstractNumId="59">
    <w:nsid w:val="7BD3EE7B"/>
    <w:multiLevelType w:val="hybridMultilevel"/>
    <w:lvl w:ilvl="0">
      <w:lvlJc w:val="left"/>
      <w:lvlText w:val="(%1)"/>
      <w:numFmt w:val="decimal"/>
      <w:start w:val="2"/>
    </w:lvl>
  </w:abstractNum>
  <w:abstractNum w:abstractNumId="60">
    <w:nsid w:val="51D9C564"/>
    <w:multiLevelType w:val="hybridMultilevel"/>
    <w:lvl w:ilvl="0">
      <w:lvlJc w:val="left"/>
      <w:lvlText w:val="(%1)"/>
      <w:numFmt w:val="lowerRoman"/>
      <w:start w:val="1"/>
    </w:lvl>
  </w:abstractNum>
  <w:abstractNum w:abstractNumId="61">
    <w:nsid w:val="613EFDC5"/>
    <w:multiLevelType w:val="hybridMultilevel"/>
    <w:lvl w:ilvl="0">
      <w:lvlJc w:val="left"/>
      <w:lvlText w:val="(%1)"/>
      <w:numFmt w:val="lowerLetter"/>
      <w:start w:val="2"/>
    </w:lvl>
  </w:abstractNum>
  <w:abstractNum w:abstractNumId="62">
    <w:nsid w:val="BF72B14"/>
    <w:multiLevelType w:val="hybridMultilevel"/>
    <w:lvl w:ilvl="0">
      <w:lvlJc w:val="left"/>
      <w:lvlText w:val="%1."/>
      <w:numFmt w:val="decimal"/>
      <w:start w:val="1"/>
    </w:lvl>
    <w:lvl w:ilvl="1">
      <w:lvlJc w:val="left"/>
      <w:lvlText w:val="%2."/>
      <w:numFmt w:val="lowerRoman"/>
      <w:start w:val="1"/>
    </w:lvl>
  </w:abstractNum>
  <w:abstractNum w:abstractNumId="63">
    <w:nsid w:val="11447B73"/>
    <w:multiLevelType w:val="hybridMultilevel"/>
    <w:lvl w:ilvl="0">
      <w:lvlJc w:val="left"/>
      <w:lvlText w:val="%1."/>
      <w:numFmt w:val="decimal"/>
      <w:start w:val="3"/>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2"/>
    </w:lvl>
  </w:abstractNum>
  <w:abstractNum w:abstractNumId="66">
    <w:nsid w:val="8F2B15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67">
    <w:nsid w:val="1A32234B"/>
    <w:multiLevelType w:val="hybridMultilevel"/>
    <w:lvl w:ilvl="0">
      <w:lvlJc w:val="left"/>
      <w:lvlText w:val="%1."/>
      <w:numFmt w:val="decimal"/>
      <w:start w:val="3"/>
    </w:lvl>
  </w:abstractNum>
  <w:abstractNum w:abstractNumId="68">
    <w:nsid w:val="3B0FD379"/>
    <w:multiLevelType w:val="hybridMultilevel"/>
    <w:lvl w:ilvl="0">
      <w:lvlJc w:val="left"/>
      <w:lvlText w:val="%1."/>
      <w:numFmt w:val="decimal"/>
      <w:start w:val="4"/>
    </w:lvl>
  </w:abstractNum>
  <w:abstractNum w:abstractNumId="69">
    <w:nsid w:val="68EB2F63"/>
    <w:multiLevelType w:val="hybridMultilevel"/>
    <w:lvl w:ilvl="0">
      <w:lvlJc w:val="left"/>
      <w:lvlText w:val="%1."/>
      <w:numFmt w:val="decimal"/>
      <w:start w:val="5"/>
    </w:lvl>
  </w:abstractNum>
  <w:abstractNum w:abstractNumId="70">
    <w:nsid w:val="4962813B"/>
    <w:multiLevelType w:val="hybridMultilevel"/>
    <w:lvl w:ilvl="0">
      <w:lvlJc w:val="left"/>
      <w:lvlText w:val="%1."/>
      <w:numFmt w:val="decimal"/>
      <w:start w:val="6"/>
    </w:lvl>
  </w:abstractNum>
  <w:abstractNum w:abstractNumId="71">
    <w:nsid w:val="60B6DF70"/>
    <w:multiLevelType w:val="hybridMultilevel"/>
    <w:lvl w:ilvl="0">
      <w:lvlJc w:val="left"/>
      <w:lvlText w:val="%1."/>
      <w:numFmt w:val="decimal"/>
      <w:start w:val="7"/>
    </w:lvl>
  </w:abstractNum>
  <w:abstractNum w:abstractNumId="72">
    <w:nsid w:val="6A5EE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3">
    <w:nsid w:val="1433062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4">
    <w:nsid w:val="7FFFCA11"/>
    <w:multiLevelType w:val="hybridMultilevel"/>
    <w:lvl w:ilvl="0">
      <w:lvlJc w:val="left"/>
      <w:lvlText w:val="%1."/>
      <w:numFmt w:val="lowerLetter"/>
      <w:start w:val="3"/>
    </w:lvl>
  </w:abstractNum>
  <w:abstractNum w:abstractNumId="75">
    <w:nsid w:val="1A27709E"/>
    <w:multiLevelType w:val="hybridMultilevel"/>
    <w:lvl w:ilvl="0">
      <w:lvlJc w:val="left"/>
      <w:lvlText w:val="%1."/>
      <w:numFmt w:val="decimal"/>
      <w:start w:val="3"/>
    </w:lvl>
    <w:lvl w:ilvl="1">
      <w:lvlJc w:val="left"/>
      <w:lvlText w:val="%2."/>
      <w:numFmt w:val="lowerLetter"/>
      <w:start w:val="1"/>
    </w:lvl>
  </w:abstractNum>
  <w:abstractNum w:abstractNumId="76">
    <w:nsid w:val="71EA1109"/>
    <w:multiLevelType w:val="hybridMultilevel"/>
    <w:lvl w:ilvl="0">
      <w:lvlJc w:val="left"/>
      <w:lvlText w:val="%1"/>
      <w:numFmt w:val="decimal"/>
      <w:start w:val="1"/>
    </w:lvl>
    <w:lvl w:ilvl="1">
      <w:lvlJc w:val="left"/>
      <w:lvlText w:val="%2."/>
      <w:numFmt w:val="lowerLetter"/>
      <w:start w:val="3"/>
    </w:lvl>
  </w:abstractNum>
  <w:abstractNum w:abstractNumId="77">
    <w:nsid w:val="100F59DC"/>
    <w:multiLevelType w:val="hybridMultilevel"/>
    <w:lvl w:ilvl="0">
      <w:lvlJc w:val="left"/>
      <w:lvlText w:val="%1."/>
      <w:numFmt w:val="decimal"/>
      <w:start w:val="5"/>
    </w:lvl>
    <w:lvl w:ilvl="1">
      <w:lvlJc w:val="left"/>
      <w:lvlText w:val="%2."/>
      <w:numFmt w:val="lowerLetter"/>
      <w:start w:val="1"/>
    </w:lvl>
  </w:abstractNum>
  <w:abstractNum w:abstractNumId="78">
    <w:nsid w:val="7FB7E0A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79">
    <w:nsid w:val="6EB5BD4"/>
    <w:multiLevelType w:val="hybridMultilevel"/>
    <w:lvl w:ilvl="0">
      <w:lvlJc w:val="left"/>
      <w:lvlText w:val="(%1)"/>
      <w:numFmt w:val="lowerRoman"/>
      <w:start w:val="2"/>
    </w:lvl>
    <w:lvl w:ilvl="1">
      <w:lvlJc w:val="left"/>
      <w:lvlText w:val="%2."/>
      <w:numFmt w:val="decimal"/>
      <w:start w:val="6"/>
    </w:lvl>
    <w:lvl w:ilvl="2">
      <w:lvlJc w:val="left"/>
      <w:lvlText w:val="%3"/>
      <w:numFmt w:val="lowerLetter"/>
      <w:start w:val="1"/>
    </w:lvl>
  </w:abstractNum>
  <w:abstractNum w:abstractNumId="80">
    <w:nsid w:val="6F6DD9AC"/>
    <w:multiLevelType w:val="hybridMultilevel"/>
    <w:lvl w:ilvl="0">
      <w:lvlJc w:val="left"/>
      <w:lvlText w:val="%1."/>
      <w:numFmt w:val="decimal"/>
      <w:start w:val="8"/>
    </w:lvl>
  </w:abstractNum>
  <w:abstractNum w:abstractNumId="81">
    <w:nsid w:val="94211F2"/>
    <w:multiLevelType w:val="hybridMultilevel"/>
    <w:lvl w:ilvl="0">
      <w:lvlJc w:val="left"/>
      <w:lvlText w:val="%1."/>
      <w:numFmt w:val="decimal"/>
      <w:start w:val="14"/>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1."/>
      <w:numFmt w:val="upperLetter"/>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upperLetter"/>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
      <w:numFmt w:val="bullet"/>
      <w:start w:val="1"/>
    </w:lvl>
    <w:lvl w:ilvl="1">
      <w:lvlJc w:val="left"/>
      <w:lvlText w:val="%2."/>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4" Type="http://schemas.openxmlformats.org/officeDocument/2006/relationships/image" Target="media/image511.png"/><Relationship Id="rId535" Type="http://schemas.openxmlformats.org/officeDocument/2006/relationships/image" Target="media/image512.png"/><Relationship Id="rId536"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50" Type="http://schemas.openxmlformats.org/officeDocument/2006/relationships/image" Target="media/image523.png"/><Relationship Id="rId551" Type="http://schemas.openxmlformats.org/officeDocument/2006/relationships/image" Target="media/image524.png"/><Relationship Id="rId553" Type="http://schemas.openxmlformats.org/officeDocument/2006/relationships/image" Target="media/image525.png"/><Relationship Id="rId554" Type="http://schemas.openxmlformats.org/officeDocument/2006/relationships/image" Target="media/image526.png"/><Relationship Id="rId556" Type="http://schemas.openxmlformats.org/officeDocument/2006/relationships/image" Target="media/image527.png"/><Relationship Id="rId557"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2" Type="http://schemas.openxmlformats.org/officeDocument/2006/relationships/image" Target="media/image531.png"/><Relationship Id="rId563" Type="http://schemas.openxmlformats.org/officeDocument/2006/relationships/image" Target="media/image532.png"/><Relationship Id="rId564" Type="http://schemas.openxmlformats.org/officeDocument/2006/relationships/image" Target="media/image533.png"/><Relationship Id="rId566" Type="http://schemas.openxmlformats.org/officeDocument/2006/relationships/image" Target="media/image534.png"/><Relationship Id="rId568" Type="http://schemas.openxmlformats.org/officeDocument/2006/relationships/image" Target="media/image535.png"/><Relationship Id="rId570" Type="http://schemas.openxmlformats.org/officeDocument/2006/relationships/image" Target="media/image536.png"/><Relationship Id="rId572" Type="http://schemas.openxmlformats.org/officeDocument/2006/relationships/image" Target="media/image537.png"/><Relationship Id="rId574" Type="http://schemas.openxmlformats.org/officeDocument/2006/relationships/image" Target="media/image538.png"/><Relationship Id="rId576" Type="http://schemas.openxmlformats.org/officeDocument/2006/relationships/image" Target="media/image539.png"/><Relationship Id="rId577" Type="http://schemas.openxmlformats.org/officeDocument/2006/relationships/image" Target="media/image540.png"/><Relationship Id="rId579" Type="http://schemas.openxmlformats.org/officeDocument/2006/relationships/image" Target="media/image541.png"/><Relationship Id="rId581" Type="http://schemas.openxmlformats.org/officeDocument/2006/relationships/image" Target="media/image542.png"/><Relationship Id="rId583" Type="http://schemas.openxmlformats.org/officeDocument/2006/relationships/image" Target="media/image543.png"/><Relationship Id="rId584" Type="http://schemas.openxmlformats.org/officeDocument/2006/relationships/image" Target="media/image544.png"/><Relationship Id="rId586" Type="http://schemas.openxmlformats.org/officeDocument/2006/relationships/image" Target="media/image545.png"/><Relationship Id="rId587" Type="http://schemas.openxmlformats.org/officeDocument/2006/relationships/image" Target="media/image546.png"/><Relationship Id="rId589" Type="http://schemas.openxmlformats.org/officeDocument/2006/relationships/image" Target="media/image547.png"/><Relationship Id="rId590" Type="http://schemas.openxmlformats.org/officeDocument/2006/relationships/image" Target="media/image548.png"/><Relationship Id="rId592" Type="http://schemas.openxmlformats.org/officeDocument/2006/relationships/image" Target="media/image549.png"/><Relationship Id="rId593" Type="http://schemas.openxmlformats.org/officeDocument/2006/relationships/image" Target="media/image550.png"/><Relationship Id="rId595" Type="http://schemas.openxmlformats.org/officeDocument/2006/relationships/image" Target="media/image551.png"/><Relationship Id="rId596" Type="http://schemas.openxmlformats.org/officeDocument/2006/relationships/image" Target="media/image552.png"/><Relationship Id="rId598" Type="http://schemas.openxmlformats.org/officeDocument/2006/relationships/image" Target="media/image553.png"/><Relationship Id="rId599" Type="http://schemas.openxmlformats.org/officeDocument/2006/relationships/image" Target="media/image554.png"/><Relationship Id="rId600" Type="http://schemas.openxmlformats.org/officeDocument/2006/relationships/image" Target="media/image555.png"/><Relationship Id="rId601" Type="http://schemas.openxmlformats.org/officeDocument/2006/relationships/image" Target="media/image556.png"/><Relationship Id="rId602" Type="http://schemas.openxmlformats.org/officeDocument/2006/relationships/image" Target="media/image557.png"/><Relationship Id="rId603" Type="http://schemas.openxmlformats.org/officeDocument/2006/relationships/image" Target="media/image558.png"/><Relationship Id="rId605" Type="http://schemas.openxmlformats.org/officeDocument/2006/relationships/image" Target="media/image559.png"/><Relationship Id="rId607" Type="http://schemas.openxmlformats.org/officeDocument/2006/relationships/image" Target="media/image560.png"/><Relationship Id="rId608" Type="http://schemas.openxmlformats.org/officeDocument/2006/relationships/image" Target="media/image561.png"/><Relationship Id="rId609" Type="http://schemas.openxmlformats.org/officeDocument/2006/relationships/image" Target="media/image562.png"/><Relationship Id="rId610" Type="http://schemas.openxmlformats.org/officeDocument/2006/relationships/image" Target="media/image563.png"/><Relationship Id="rId612" Type="http://schemas.openxmlformats.org/officeDocument/2006/relationships/image" Target="media/image564.png"/><Relationship Id="rId613" Type="http://schemas.openxmlformats.org/officeDocument/2006/relationships/image" Target="media/image565.png"/><Relationship Id="rId614" Type="http://schemas.openxmlformats.org/officeDocument/2006/relationships/image" Target="media/image566.png"/><Relationship Id="rId616" Type="http://schemas.openxmlformats.org/officeDocument/2006/relationships/image" Target="media/image567.png"/><Relationship Id="rId617" Type="http://schemas.openxmlformats.org/officeDocument/2006/relationships/image" Target="media/image568.png"/><Relationship Id="rId618" Type="http://schemas.openxmlformats.org/officeDocument/2006/relationships/image" Target="media/image569.png"/><Relationship Id="rId620" Type="http://schemas.openxmlformats.org/officeDocument/2006/relationships/image" Target="media/image570.png"/><Relationship Id="rId621" Type="http://schemas.openxmlformats.org/officeDocument/2006/relationships/image" Target="media/image571.png"/><Relationship Id="rId622" Type="http://schemas.openxmlformats.org/officeDocument/2006/relationships/image" Target="media/image572.png"/><Relationship Id="rId624" Type="http://schemas.openxmlformats.org/officeDocument/2006/relationships/image" Target="media/image573.png"/><Relationship Id="rId625" Type="http://schemas.openxmlformats.org/officeDocument/2006/relationships/image" Target="media/image574.png"/><Relationship Id="rId626" Type="http://schemas.openxmlformats.org/officeDocument/2006/relationships/image" Target="media/image575.png"/><Relationship Id="rId628" Type="http://schemas.openxmlformats.org/officeDocument/2006/relationships/image" Target="media/image576.png"/><Relationship Id="rId629" Type="http://schemas.openxmlformats.org/officeDocument/2006/relationships/image" Target="media/image577.png"/><Relationship Id="rId630" Type="http://schemas.openxmlformats.org/officeDocument/2006/relationships/image" Target="media/image578.png"/><Relationship Id="rId632" Type="http://schemas.openxmlformats.org/officeDocument/2006/relationships/image" Target="media/image579.png"/><Relationship Id="rId633" Type="http://schemas.openxmlformats.org/officeDocument/2006/relationships/image" Target="media/image580.png"/><Relationship Id="rId634" Type="http://schemas.openxmlformats.org/officeDocument/2006/relationships/image" Target="media/image581.png"/><Relationship Id="rId637" Type="http://schemas.openxmlformats.org/officeDocument/2006/relationships/image" Target="media/image582.png"/><Relationship Id="rId638" Type="http://schemas.openxmlformats.org/officeDocument/2006/relationships/image" Target="media/image583.png"/><Relationship Id="rId639" Type="http://schemas.openxmlformats.org/officeDocument/2006/relationships/image" Target="media/image584.png"/><Relationship Id="rId640" Type="http://schemas.openxmlformats.org/officeDocument/2006/relationships/image" Target="media/image585.png"/><Relationship Id="rId641" Type="http://schemas.openxmlformats.org/officeDocument/2006/relationships/image" Target="media/image586.png"/><Relationship Id="rId642" Type="http://schemas.openxmlformats.org/officeDocument/2006/relationships/image" Target="media/image587.png"/><Relationship Id="rId643" Type="http://schemas.openxmlformats.org/officeDocument/2006/relationships/image" Target="media/image588.png"/><Relationship Id="rId644" Type="http://schemas.openxmlformats.org/officeDocument/2006/relationships/image" Target="media/image589.png"/><Relationship Id="rId645" Type="http://schemas.openxmlformats.org/officeDocument/2006/relationships/image" Target="media/image590.png"/><Relationship Id="rId646" Type="http://schemas.openxmlformats.org/officeDocument/2006/relationships/image" Target="media/image591.png"/><Relationship Id="rId647" Type="http://schemas.openxmlformats.org/officeDocument/2006/relationships/image" Target="media/image592.png"/><Relationship Id="rId648" Type="http://schemas.openxmlformats.org/officeDocument/2006/relationships/image" Target="media/image593.png"/><Relationship Id="rId649" Type="http://schemas.openxmlformats.org/officeDocument/2006/relationships/image" Target="media/image594.png"/><Relationship Id="rId650" Type="http://schemas.openxmlformats.org/officeDocument/2006/relationships/image" Target="media/image595.png"/><Relationship Id="rId651" Type="http://schemas.openxmlformats.org/officeDocument/2006/relationships/image" Target="media/image596.png"/><Relationship Id="rId652" Type="http://schemas.openxmlformats.org/officeDocument/2006/relationships/image" Target="media/image597.png"/><Relationship Id="rId653" Type="http://schemas.openxmlformats.org/officeDocument/2006/relationships/image" Target="media/image598.png"/><Relationship Id="rId654" Type="http://schemas.openxmlformats.org/officeDocument/2006/relationships/image" Target="media/image599.png"/><Relationship Id="rId655" Type="http://schemas.openxmlformats.org/officeDocument/2006/relationships/image" Target="media/image600.png"/><Relationship Id="rId656" Type="http://schemas.openxmlformats.org/officeDocument/2006/relationships/image" Target="media/image601.png"/><Relationship Id="rId657" Type="http://schemas.openxmlformats.org/officeDocument/2006/relationships/image" Target="media/image602.png"/><Relationship Id="rId658" Type="http://schemas.openxmlformats.org/officeDocument/2006/relationships/image" Target="media/image603.png"/><Relationship Id="rId659" Type="http://schemas.openxmlformats.org/officeDocument/2006/relationships/image" Target="media/image604.png"/><Relationship Id="rId660" Type="http://schemas.openxmlformats.org/officeDocument/2006/relationships/image" Target="media/image605.png"/><Relationship Id="rId661" Type="http://schemas.openxmlformats.org/officeDocument/2006/relationships/image" Target="media/image606.png"/><Relationship Id="rId662" Type="http://schemas.openxmlformats.org/officeDocument/2006/relationships/image" Target="media/image607.png"/><Relationship Id="rId663" Type="http://schemas.openxmlformats.org/officeDocument/2006/relationships/image" Target="media/image608.png"/><Relationship Id="rId664" Type="http://schemas.openxmlformats.org/officeDocument/2006/relationships/image" Target="media/image609.png"/><Relationship Id="rId665" Type="http://schemas.openxmlformats.org/officeDocument/2006/relationships/image" Target="media/image610.png"/><Relationship Id="rId666" Type="http://schemas.openxmlformats.org/officeDocument/2006/relationships/image" Target="media/image611.png"/><Relationship Id="rId667" Type="http://schemas.openxmlformats.org/officeDocument/2006/relationships/image" Target="media/image612.png"/><Relationship Id="rId668" Type="http://schemas.openxmlformats.org/officeDocument/2006/relationships/image" Target="media/image613.png"/><Relationship Id="rId669" Type="http://schemas.openxmlformats.org/officeDocument/2006/relationships/image" Target="media/image614.png"/><Relationship Id="rId670" Type="http://schemas.openxmlformats.org/officeDocument/2006/relationships/image" Target="media/image615.png"/><Relationship Id="rId671" Type="http://schemas.openxmlformats.org/officeDocument/2006/relationships/image" Target="media/image616.png"/><Relationship Id="rId672" Type="http://schemas.openxmlformats.org/officeDocument/2006/relationships/image" Target="media/image617.png"/><Relationship Id="rId673" Type="http://schemas.openxmlformats.org/officeDocument/2006/relationships/image" Target="media/image618.png"/><Relationship Id="rId674" Type="http://schemas.openxmlformats.org/officeDocument/2006/relationships/image" Target="media/image619.png"/><Relationship Id="rId675" Type="http://schemas.openxmlformats.org/officeDocument/2006/relationships/image" Target="media/image620.png"/><Relationship Id="rId676" Type="http://schemas.openxmlformats.org/officeDocument/2006/relationships/image" Target="media/image621.png"/><Relationship Id="rId677" Type="http://schemas.openxmlformats.org/officeDocument/2006/relationships/image" Target="media/image622.png"/><Relationship Id="rId678" Type="http://schemas.openxmlformats.org/officeDocument/2006/relationships/image" Target="media/image623.png"/><Relationship Id="rId679" Type="http://schemas.openxmlformats.org/officeDocument/2006/relationships/image" Target="media/image624.png"/><Relationship Id="rId680" Type="http://schemas.openxmlformats.org/officeDocument/2006/relationships/image" Target="media/image625.png"/><Relationship Id="rId681" Type="http://schemas.openxmlformats.org/officeDocument/2006/relationships/image" Target="media/image626.png"/><Relationship Id="rId682" Type="http://schemas.openxmlformats.org/officeDocument/2006/relationships/image" Target="media/image627.png"/><Relationship Id="rId683" Type="http://schemas.openxmlformats.org/officeDocument/2006/relationships/image" Target="media/image628.png"/><Relationship Id="rId684" Type="http://schemas.openxmlformats.org/officeDocument/2006/relationships/image" Target="media/image629.png"/><Relationship Id="rId685" Type="http://schemas.openxmlformats.org/officeDocument/2006/relationships/image" Target="media/image630.png"/><Relationship Id="rId686" Type="http://schemas.openxmlformats.org/officeDocument/2006/relationships/image" Target="media/image631.png"/><Relationship Id="rId687" Type="http://schemas.openxmlformats.org/officeDocument/2006/relationships/image" Target="media/image632.png"/><Relationship Id="rId688" Type="http://schemas.openxmlformats.org/officeDocument/2006/relationships/image" Target="media/image633.png"/><Relationship Id="rId689" Type="http://schemas.openxmlformats.org/officeDocument/2006/relationships/image" Target="media/image634.png"/><Relationship Id="rId690" Type="http://schemas.openxmlformats.org/officeDocument/2006/relationships/image" Target="media/image635.png"/><Relationship Id="rId691" Type="http://schemas.openxmlformats.org/officeDocument/2006/relationships/image" Target="media/image636.png"/><Relationship Id="rId692" Type="http://schemas.openxmlformats.org/officeDocument/2006/relationships/image" Target="media/image637.png"/><Relationship Id="rId693" Type="http://schemas.openxmlformats.org/officeDocument/2006/relationships/image" Target="media/image638.png"/><Relationship Id="rId694" Type="http://schemas.openxmlformats.org/officeDocument/2006/relationships/image" Target="media/image639.png"/><Relationship Id="rId695" Type="http://schemas.openxmlformats.org/officeDocument/2006/relationships/image" Target="media/image640.png"/><Relationship Id="rId696" Type="http://schemas.openxmlformats.org/officeDocument/2006/relationships/image" Target="media/image641.png"/><Relationship Id="rId697" Type="http://schemas.openxmlformats.org/officeDocument/2006/relationships/image" Target="media/image642.png"/><Relationship Id="rId698" Type="http://schemas.openxmlformats.org/officeDocument/2006/relationships/image" Target="media/image643.png"/><Relationship Id="rId699" Type="http://schemas.openxmlformats.org/officeDocument/2006/relationships/image" Target="media/image644.png"/><Relationship Id="rId700" Type="http://schemas.openxmlformats.org/officeDocument/2006/relationships/image" Target="media/image645.png"/><Relationship Id="rId701" Type="http://schemas.openxmlformats.org/officeDocument/2006/relationships/image" Target="media/image646.png"/><Relationship Id="rId702" Type="http://schemas.openxmlformats.org/officeDocument/2006/relationships/image" Target="media/image647.png"/><Relationship Id="rId703" Type="http://schemas.openxmlformats.org/officeDocument/2006/relationships/image" Target="media/image648.png"/><Relationship Id="rId704" Type="http://schemas.openxmlformats.org/officeDocument/2006/relationships/image" Target="media/image649.png"/><Relationship Id="rId705" Type="http://schemas.openxmlformats.org/officeDocument/2006/relationships/image" Target="media/image650.png"/><Relationship Id="rId706" Type="http://schemas.openxmlformats.org/officeDocument/2006/relationships/image" Target="media/image651.png"/><Relationship Id="rId707" Type="http://schemas.openxmlformats.org/officeDocument/2006/relationships/image" Target="media/image652.png"/><Relationship Id="rId708" Type="http://schemas.openxmlformats.org/officeDocument/2006/relationships/image" Target="media/image653.png"/><Relationship Id="rId709" Type="http://schemas.openxmlformats.org/officeDocument/2006/relationships/image" Target="media/image654.png"/><Relationship Id="rId79" Type="http://schemas.openxmlformats.org/officeDocument/2006/relationships/hyperlink" Target="https://www.sec.gov/ix?doc=/Archives/edgar/data/1856031/000095017024028243/seat-20231231.htm" TargetMode="External"/><Relationship Id="rId509" Type="http://schemas.openxmlformats.org/officeDocument/2006/relationships/hyperlink" Target="https://www.sec.gov/Archives/edgar/data/0001856031/000119312521175583/d447259ds4.htm#ii447259_10" TargetMode="External"/><Relationship Id="rId510" Type="http://schemas.openxmlformats.org/officeDocument/2006/relationships/hyperlink" Target="https://www.sec.gov/Archives/edgar/data/1856031/000119312521175583/d447259dex22.htm" TargetMode="External"/><Relationship Id="rId511" Type="http://schemas.openxmlformats.org/officeDocument/2006/relationships/hyperlink" Target="https://www.sec.gov/Archives/edgar/data/0001856031/000095017021004585/seat-ex2_3.htm" TargetMode="External"/><Relationship Id="rId512" Type="http://schemas.openxmlformats.org/officeDocument/2006/relationships/hyperlink" Target="https://www.sec.gov/Archives/edgar/data/1856031/000095017023059730/seat-ex2_1.htm" TargetMode="External"/><Relationship Id="rId513" Type="http://schemas.openxmlformats.org/officeDocument/2006/relationships/hyperlink" Target="https://www.sec.gov/Archives/edgar/data/0001856031/000119312521305506/d216055dex31.htm" TargetMode="External"/><Relationship Id="rId514" Type="http://schemas.openxmlformats.org/officeDocument/2006/relationships/hyperlink" Target="https://www.sec.gov/Archives/edgar/data/0001856031/000119312521305506/d216055dex32.htm" TargetMode="External"/><Relationship Id="rId515" Type="http://schemas.openxmlformats.org/officeDocument/2006/relationships/hyperlink" Target="https://www.sec.gov/Archives/edgar/data/1856031/000095017022008705/seat-ex3_2.htm" TargetMode="External"/><Relationship Id="rId516" Type="http://schemas.openxmlformats.org/officeDocument/2006/relationships/hyperlink" Target="https://www.sec.gov/Archives/edgar/data/0001856031/000119312521305506/d216055dex107.htm" TargetMode="External"/><Relationship Id="rId517" Type="http://schemas.openxmlformats.org/officeDocument/2006/relationships/hyperlink" Target="https://www.sec.gov/Archives/edgar/data/1856031/000095017022003749/seat-ex4_2.htm" TargetMode="External"/><Relationship Id="rId518" Type="http://schemas.openxmlformats.org/officeDocument/2006/relationships/hyperlink" Target="https://www.sec.gov/Archives/edgar/data/1856031/000095017022003749/seat-ex4_3.htm" TargetMode="External"/><Relationship Id="rId519" Type="http://schemas.openxmlformats.org/officeDocument/2006/relationships/hyperlink" Target="https://www.sec.gov/Archives/edgar/data/1856031/000095017022003749/seat-ex4_4.htm" TargetMode="External"/><Relationship Id="rId522" Type="http://schemas.openxmlformats.org/officeDocument/2006/relationships/hyperlink" Target="https://www.sec.gov/Archives/edgar/data/1856031/000095017023006371/seat-ex10_38.htm" TargetMode="External"/><Relationship Id="rId525" Type="http://schemas.openxmlformats.org/officeDocument/2006/relationships/hyperlink" Target="https://www.sec.gov/Archives/edgar/data/0001856031/000119312521305506/d216055dex101.htm" TargetMode="External"/><Relationship Id="rId530" Type="http://schemas.openxmlformats.org/officeDocument/2006/relationships/hyperlink" Target="https://www.sec.gov/Archives/edgar/data/0001856031/000119312521305506/d216055dex102.htm" TargetMode="External"/><Relationship Id="rId533" Type="http://schemas.openxmlformats.org/officeDocument/2006/relationships/hyperlink" Target="https://www.sec.gov/Archives/edgar/data/1856031/000095017023059730/seat-ex10_1.htm" TargetMode="External"/><Relationship Id="rId537" Type="http://schemas.openxmlformats.org/officeDocument/2006/relationships/hyperlink" Target="https://www.sec.gov/Archives/edgar/data/0001856031/000119312521305506/d216055dex103.htm" TargetMode="External"/><Relationship Id="rId541" Type="http://schemas.openxmlformats.org/officeDocument/2006/relationships/hyperlink" Target="https://www.sec.gov/Archives/edgar/data/0001856031/000119312521305506/d216055dex106.htm" TargetMode="External"/><Relationship Id="rId544" Type="http://schemas.openxmlformats.org/officeDocument/2006/relationships/hyperlink" Target="https://www.sec.gov/Archives/edgar/data/1856031/000095017024028243/seat-ex10_41.htm" TargetMode="External"/><Relationship Id="rId549" Type="http://schemas.openxmlformats.org/officeDocument/2006/relationships/hyperlink" Target="https://www.sec.gov/Archives/edgar/data/0001856031/000119312521305506/d216055dex108.htm" TargetMode="External"/><Relationship Id="rId552" Type="http://schemas.openxmlformats.org/officeDocument/2006/relationships/hyperlink" Target="https://www.sec.gov/Archives/edgar/data/0001856031/000119312521305506/d216055dex109.htm" TargetMode="External"/><Relationship Id="rId555" Type="http://schemas.openxmlformats.org/officeDocument/2006/relationships/hyperlink" Target="https://www.sec.gov/Archives/edgar/data/0001856031/000119312521305506/d216055dex1010.htm" TargetMode="External"/><Relationship Id="rId558" Type="http://schemas.openxmlformats.org/officeDocument/2006/relationships/hyperlink" Target="https://www.sec.gov/Archives/edgar/data/0001856031/000119312521305506/d216055dex1011.htm" TargetMode="External"/><Relationship Id="rId561" Type="http://schemas.openxmlformats.org/officeDocument/2006/relationships/hyperlink" Target="https://www.sec.gov/Archives/edgar/data/1856031/000095017024028243/seat-ex10_42.htm" TargetMode="External"/><Relationship Id="rId565" Type="http://schemas.openxmlformats.org/officeDocument/2006/relationships/hyperlink" Target="https://www.sec.gov/Archives/edgar/data/1856031/000119312521280500/d447259ds4a.htm#ii447259_13" TargetMode="External"/><Relationship Id="rId567" Type="http://schemas.openxmlformats.org/officeDocument/2006/relationships/hyperlink" Target="https://www.sec.gov/Archives/edgar/data/0001856031/000119312521305506/d216055dex105.htm" TargetMode="External"/><Relationship Id="rId569" Type="http://schemas.openxmlformats.org/officeDocument/2006/relationships/hyperlink" Target="https://www.sec.gov/Archives/edgar/data/0001856031/000119312521301134/d48086dex991.htm" TargetMode="External"/><Relationship Id="rId571" Type="http://schemas.openxmlformats.org/officeDocument/2006/relationships/hyperlink" Target="https://www.sec.gov/Archives/edgar/data/1856031/000114036124006725/ef20020800_ex10-1.htm" TargetMode="External"/><Relationship Id="rId573" Type="http://schemas.openxmlformats.org/officeDocument/2006/relationships/hyperlink" Target="https://www.sec.gov/Archives/edgar/data/0001856031/000119312521301134/d48086dex992.htm" TargetMode="External"/><Relationship Id="rId575" Type="http://schemas.openxmlformats.org/officeDocument/2006/relationships/hyperlink" Target="https://www.sec.gov/Archives/edgar/data/0001856031/000119312521301134/d48086dex993.htm" TargetMode="External"/><Relationship Id="rId578" Type="http://schemas.openxmlformats.org/officeDocument/2006/relationships/hyperlink" Target="https://www.sec.gov/Archives/edgar/data/0001856031/000119312521301134/d48086dex994.htm" TargetMode="External"/><Relationship Id="rId580" Type="http://schemas.openxmlformats.org/officeDocument/2006/relationships/hyperlink" Target="https://www.sec.gov/Archives/edgar/data/0001856031/000119312521301134/d48086dex995.htm" TargetMode="External"/><Relationship Id="rId582" Type="http://schemas.openxmlformats.org/officeDocument/2006/relationships/hyperlink" Target="https://www.sec.gov/Archives/edgar/data/1856031/000095017024028243/seat-ex10_43.htm" TargetMode="External"/><Relationship Id="rId585" Type="http://schemas.openxmlformats.org/officeDocument/2006/relationships/hyperlink" Target="https://www.sec.gov/Archives/edgar/data/0001856031/000119312521246893/d447259dex1014.htm" TargetMode="External"/><Relationship Id="rId588" Type="http://schemas.openxmlformats.org/officeDocument/2006/relationships/hyperlink" Target="https://www.sec.gov/Archives/edgar/data/1856031/000095017024091203/seat-ex10_2.htm" TargetMode="External"/><Relationship Id="rId591" Type="http://schemas.openxmlformats.org/officeDocument/2006/relationships/hyperlink" Target="https://www.sec.gov/Archives/edgar/data/1856031/000119312521246893/d447259dex1019.htm" TargetMode="External"/><Relationship Id="rId594" Type="http://schemas.openxmlformats.org/officeDocument/2006/relationships/hyperlink" Target="https://www.sec.gov/Archives/edgar/data/0001856031/000119312521246893/d447259dex1018.htm" TargetMode="External"/><Relationship Id="rId597" Type="http://schemas.openxmlformats.org/officeDocument/2006/relationships/hyperlink" Target="https://www.sec.gov/Archives/edgar/data/1856031/000095017024091203/seat-ex10_3.htm" TargetMode="External"/><Relationship Id="rId604" Type="http://schemas.openxmlformats.org/officeDocument/2006/relationships/hyperlink" Target="https://www.sec.gov/Archives/edgar/data/1856031/000095017024091203/seat-ex10_4.htm" TargetMode="External"/><Relationship Id="rId606" Type="http://schemas.openxmlformats.org/officeDocument/2006/relationships/hyperlink" Target="https://www.sec.gov/Archives/edgar/data/1856031/000095017021005329/seat-ex10_1.htm" TargetMode="External"/><Relationship Id="rId611" Type="http://schemas.openxmlformats.org/officeDocument/2006/relationships/hyperlink" Target="https://www.sec.gov/Archives/edgar/data/0001856031/000119312521209032/d447259dex107.htm" TargetMode="External"/><Relationship Id="rId615" Type="http://schemas.openxmlformats.org/officeDocument/2006/relationships/hyperlink" Target="https://www.sec.gov/Archives/edgar/data/0001856031/000119312521209032/d447259dex108.htm" TargetMode="External"/><Relationship Id="rId619" Type="http://schemas.openxmlformats.org/officeDocument/2006/relationships/hyperlink" Target="https://www.sec.gov/Archives/edgar/data/0001856031/000119312521209032/d447259dex109.htm" TargetMode="External"/><Relationship Id="rId623" Type="http://schemas.openxmlformats.org/officeDocument/2006/relationships/hyperlink" Target="https://www.sec.gov/Archives/edgar/data/0001856031/000119312521209032/d447259dex1010.htm" TargetMode="External"/><Relationship Id="rId627" Type="http://schemas.openxmlformats.org/officeDocument/2006/relationships/hyperlink" Target="https://www.sec.gov/Archives/edgar/data/1856031/000095017022000833/seat-ex10_1.htm" TargetMode="External"/><Relationship Id="rId631" Type="http://schemas.openxmlformats.org/officeDocument/2006/relationships/hyperlink" Target="https://www.sec.gov/Archives/edgar/data/1856031/000114036124030734/ef20031291_ex10-1.htm" TargetMode="External"/><Relationship Id="rId635" Type="http://schemas.openxmlformats.org/officeDocument/2006/relationships/hyperlink" Target="https://www.sec.gov/Archives/edgar/data/0001856031/000114036125003838/ef20042962_ex10-1.htm" TargetMode="External"/><Relationship Id="rId636" Type="http://schemas.openxmlformats.org/officeDocument/2006/relationships/hyperlink" Target="https://www.sec.gov/Archives/edgar/data/1856031/000095017024028243/sea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2025-03-12T05:45:04Z</dcterms:created>
  <dcterms:modified xsi:type="dcterms:W3CDTF">2025-03-12T05:45:04Z</dcterms:modified>
</cp:coreProperties>
</file>