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at-20260630.htm"/>
      <w:bookmarkStart w:id="1" w:name="ksseat20260630"/>
      <w:bookmarkEnd w:id="0"/>
      <w:bookmarkEnd w:id="1"/>
      <w:r>
        <w:rPr/>
        <w:t> </w:t>
      </w:r>
    </w:p>
    <w:p>
      <w:pPr>
        <w:pStyle w:val="TextBody"/>
        <w:bidi w:val="0"/>
        <w:jc w:val="left"/>
        <w:rPr>
          <w:rFonts w:ascii="sans-serif" w:hAnsi="sans-serif"/>
          <w:color w:val="000000"/>
          <w:sz w:val="2"/>
        </w:rPr>
      </w:pPr>
      <w:r>
        <w:rPr>
          <w:rFonts w:ascii="sans-serif" w:hAnsi="sans-serif"/>
          <w:color w:val="000000"/>
          <w:sz w:val="2"/>
        </w:rPr>
        <w:t>e i</w:t>
      </w:r>
    </w:p>
    <w:p>
      <w:pPr>
        <w:pStyle w:val="TextBody"/>
        <w:pBdr>
          <w:top w:val="double" w:sz="18" w:space="1" w:color="000000"/>
        </w:pBdr>
        <w:bidi w:val="0"/>
        <w:jc w:val="center"/>
        <w:rPr>
          <w:rFonts w:ascii="sans-serif" w:hAnsi="sans-serif"/>
          <w:b/>
          <w:color w:val="000000"/>
          <w:sz w:val="28"/>
        </w:rPr>
      </w:pPr>
      <w:r>
        <w:rPr>
          <w:rFonts w:ascii="sans-serif" w:hAnsi="sans-serif"/>
          <w:b/>
          <w:color w:val="000000"/>
          <w:sz w:val="28"/>
        </w:rPr>
        <w:t>UNITED STATES</w:t>
      </w:r>
    </w:p>
    <w:p>
      <w:pPr>
        <w:pStyle w:val="TextBody"/>
        <w:bidi w:val="0"/>
        <w:jc w:val="center"/>
        <w:rPr>
          <w:rFonts w:ascii="sans-serif" w:hAnsi="sans-serif"/>
          <w:b/>
          <w:color w:val="000000"/>
          <w:sz w:val="28"/>
        </w:rPr>
      </w:pPr>
      <w:r>
        <w:rPr>
          <w:rFonts w:ascii="sans-serif" w:hAnsi="sans-serif"/>
          <w:b/>
          <w:color w:val="000000"/>
          <w:sz w:val="28"/>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8" w:space="1" w:color="000000"/>
        </w:pBdr>
        <w:bidi w:val="0"/>
        <w:jc w:val="center"/>
        <w:rPr/>
      </w:pPr>
      <w:r>
        <w:rPr/>
        <w:t> </w:t>
      </w:r>
    </w:p>
    <w:p>
      <w:pPr>
        <w:pStyle w:val="TextBody"/>
        <w:bidi w:val="0"/>
        <w:spacing w:before="120" w:after="283"/>
        <w:jc w:val="center"/>
        <w:rPr>
          <w:rFonts w:ascii="sans-serif" w:hAnsi="sans-serif"/>
          <w:b/>
          <w:color w:val="000000"/>
          <w:sz w:val="28"/>
        </w:rPr>
      </w:pPr>
      <w:r>
        <w:rPr>
          <w:rFonts w:ascii="sans-serif" w:hAnsi="sans-serif"/>
          <w:b/>
          <w:color w:val="000000"/>
          <w:sz w:val="28"/>
        </w:rPr>
        <w:t>FORM 10-Q</w:t>
      </w:r>
    </w:p>
    <w:p>
      <w:pPr>
        <w:pStyle w:val="TextBody"/>
        <w:pBdr>
          <w:bottom w:val="single" w:sz="8" w:space="1" w:color="000000"/>
        </w:pBdr>
        <w:bidi w:val="0"/>
        <w:jc w:val="center"/>
        <w:rPr/>
      </w:pPr>
      <w:r>
        <w:rPr/>
        <w:t> </w:t>
      </w:r>
    </w:p>
    <w:p>
      <w:pPr>
        <w:pStyle w:val="TextBody"/>
        <w:bidi w:val="0"/>
        <w:spacing w:before="120" w:after="120"/>
        <w:jc w:val="left"/>
        <w:rPr>
          <w:rFonts w:ascii="sans-serif" w:hAnsi="sans-serif"/>
          <w:color w:val="000000"/>
          <w:sz w:val="16"/>
        </w:rPr>
      </w:pPr>
      <w:r>
        <w:rPr>
          <w:rFonts w:ascii="sans-serif" w:hAnsi="sans-serif"/>
          <w:color w:val="000000"/>
          <w:sz w:val="16"/>
        </w:rPr>
        <w:t>(Mark One)</w:t>
      </w:r>
    </w:p>
    <w:tbl>
      <w:tblPr>
        <w:tblW w:w="9077" w:type="dxa"/>
        <w:jc w:val="left"/>
        <w:tblInd w:w="0" w:type="dxa"/>
        <w:tblLayout w:type="fixed"/>
        <w:tblCellMar>
          <w:top w:w="28" w:type="dxa"/>
          <w:left w:w="28" w:type="dxa"/>
          <w:bottom w:w="28" w:type="dxa"/>
          <w:right w:w="28" w:type="dxa"/>
        </w:tblCellMar>
      </w:tblPr>
      <w:tblGrid>
        <w:gridCol w:w="331"/>
        <w:gridCol w:w="8746"/>
      </w:tblGrid>
      <w:tr>
        <w:trPr/>
        <w:tc>
          <w:tcPr>
            <w:tcW w:w="331" w:type="dxa"/>
            <w:tcBorders/>
            <w:vAlign w:val="center"/>
          </w:tcPr>
          <w:p>
            <w:pPr>
              <w:pStyle w:val="TableContents"/>
              <w:bidi w:val="0"/>
              <w:spacing w:before="0" w:after="283"/>
              <w:jc w:val="left"/>
              <w:rPr>
                <w:sz w:val="4"/>
                <w:szCs w:val="4"/>
              </w:rPr>
            </w:pPr>
            <w:r>
              <w:rPr>
                <w:sz w:val="4"/>
                <w:szCs w:val="4"/>
              </w:rPr>
            </w:r>
          </w:p>
        </w:tc>
        <w:tc>
          <w:tcPr>
            <w:tcW w:w="87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4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16"/>
              </w:rPr>
            </w:pPr>
            <w:r>
              <w:rPr>
                <w:rFonts w:ascii="sans-serif" w:hAnsi="sans-serif"/>
                <w:color w:val="000000"/>
                <w:sz w:val="16"/>
              </w:rPr>
              <w:t>QUARTERLY REPORT PURSUANT TO SECTION 13 OR 15(d) OF THE SECURITIES EXCHANGE ACT OF 1934</w:t>
            </w:r>
          </w:p>
        </w:tc>
      </w:tr>
    </w:tbl>
    <w:p>
      <w:pPr>
        <w:pStyle w:val="TextBody"/>
        <w:bidi w:val="0"/>
        <w:spacing w:before="120" w:after="120"/>
        <w:jc w:val="center"/>
        <w:rPr>
          <w:rFonts w:ascii="sans-serif" w:hAnsi="sans-serif"/>
          <w:color w:val="000000"/>
          <w:sz w:val="16"/>
        </w:rPr>
      </w:pPr>
      <w:r>
        <w:rPr>
          <w:rFonts w:ascii="sans-serif" w:hAnsi="sans-serif"/>
          <w:color w:val="000000"/>
          <w:sz w:val="16"/>
        </w:rPr>
        <w:t>For the quarterly period ended June 30, 2026</w:t>
      </w:r>
    </w:p>
    <w:p>
      <w:pPr>
        <w:pStyle w:val="TextBody"/>
        <w:bidi w:val="0"/>
        <w:spacing w:before="0" w:after="120"/>
        <w:jc w:val="center"/>
        <w:rPr>
          <w:rFonts w:ascii="sans-serif" w:hAnsi="sans-serif"/>
          <w:color w:val="000000"/>
          <w:sz w:val="16"/>
        </w:rPr>
      </w:pPr>
      <w:r>
        <w:rPr>
          <w:rFonts w:ascii="sans-serif" w:hAnsi="sans-serif"/>
          <w:color w:val="000000"/>
          <w:sz w:val="16"/>
        </w:rPr>
        <w:t>or</w:t>
      </w:r>
    </w:p>
    <w:tbl>
      <w:tblPr>
        <w:tblW w:w="9077" w:type="dxa"/>
        <w:jc w:val="left"/>
        <w:tblInd w:w="0" w:type="dxa"/>
        <w:tblLayout w:type="fixed"/>
        <w:tblCellMar>
          <w:top w:w="28" w:type="dxa"/>
          <w:left w:w="28" w:type="dxa"/>
          <w:bottom w:w="28" w:type="dxa"/>
          <w:right w:w="28" w:type="dxa"/>
        </w:tblCellMar>
      </w:tblPr>
      <w:tblGrid>
        <w:gridCol w:w="331"/>
        <w:gridCol w:w="8746"/>
      </w:tblGrid>
      <w:tr>
        <w:trPr/>
        <w:tc>
          <w:tcPr>
            <w:tcW w:w="331" w:type="dxa"/>
            <w:tcBorders/>
            <w:vAlign w:val="center"/>
          </w:tcPr>
          <w:p>
            <w:pPr>
              <w:pStyle w:val="TableContents"/>
              <w:bidi w:val="0"/>
              <w:spacing w:before="0" w:after="283"/>
              <w:jc w:val="left"/>
              <w:rPr>
                <w:sz w:val="4"/>
                <w:szCs w:val="4"/>
              </w:rPr>
            </w:pPr>
            <w:r>
              <w:rPr>
                <w:sz w:val="4"/>
                <w:szCs w:val="4"/>
              </w:rPr>
            </w:r>
          </w:p>
        </w:tc>
        <w:tc>
          <w:tcPr>
            <w:tcW w:w="87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4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16"/>
              </w:rPr>
            </w:pPr>
            <w:r>
              <w:rPr>
                <w:rFonts w:ascii="sans-serif" w:hAnsi="sans-serif"/>
                <w:color w:val="000000"/>
                <w:sz w:val="16"/>
              </w:rPr>
              <w:t>TRANSITION REPORT PURSUANT TO SECTION 13 OR 15(d) OF THE SECURITIES EXCHANGE ACT OF 1934</w:t>
            </w:r>
          </w:p>
        </w:tc>
      </w:tr>
    </w:tbl>
    <w:p>
      <w:pPr>
        <w:pStyle w:val="TextBody"/>
        <w:bidi w:val="0"/>
        <w:spacing w:before="120" w:after="120"/>
        <w:jc w:val="center"/>
        <w:rPr>
          <w:rFonts w:ascii="sans-serif" w:hAnsi="sans-serif"/>
          <w:color w:val="000000"/>
          <w:sz w:val="16"/>
        </w:rPr>
      </w:pPr>
      <w:r>
        <w:rPr>
          <w:rFonts w:ascii="sans-serif" w:hAnsi="sans-serif"/>
          <w:color w:val="000000"/>
          <w:sz w:val="16"/>
        </w:rPr>
        <w:t>For the transition period from __________ to __________</w:t>
      </w:r>
    </w:p>
    <w:p>
      <w:pPr>
        <w:pStyle w:val="TextBody"/>
        <w:bidi w:val="0"/>
        <w:jc w:val="center"/>
        <w:rPr>
          <w:rFonts w:ascii="sans-serif" w:hAnsi="sans-serif"/>
          <w:color w:val="000000"/>
          <w:sz w:val="16"/>
        </w:rPr>
      </w:pPr>
      <w:r>
        <w:rPr>
          <w:rFonts w:ascii="sans-serif" w:hAnsi="sans-serif"/>
          <w:color w:val="000000"/>
          <w:sz w:val="16"/>
        </w:rPr>
        <w:t>Commission File Number: 001-40926</w:t>
      </w:r>
    </w:p>
    <w:p>
      <w:pPr>
        <w:pStyle w:val="TextBody"/>
        <w:pBdr>
          <w:bottom w:val="single" w:sz="8" w:space="1" w:color="000000"/>
        </w:pBdr>
        <w:bidi w:val="0"/>
        <w:jc w:val="center"/>
        <w:rPr/>
      </w:pPr>
      <w:r>
        <w:rPr/>
        <w:t> </w:t>
      </w:r>
    </w:p>
    <w:p>
      <w:pPr>
        <w:pStyle w:val="TextBody"/>
        <w:bidi w:val="0"/>
        <w:spacing w:before="120" w:after="283"/>
        <w:jc w:val="center"/>
        <w:rPr>
          <w:rFonts w:ascii="sans-serif" w:hAnsi="sans-serif"/>
          <w:b/>
          <w:color w:val="000000"/>
          <w:sz w:val="36"/>
        </w:rPr>
      </w:pPr>
      <w:r>
        <w:rPr>
          <w:rFonts w:ascii="sans-serif" w:hAnsi="sans-serif"/>
          <w:b/>
          <w:color w:val="000000"/>
          <w:sz w:val="36"/>
        </w:rPr>
        <w:t>Vivid Seats Inc.</w:t>
      </w:r>
    </w:p>
    <w:p>
      <w:pPr>
        <w:pStyle w:val="TextBody"/>
        <w:bidi w:val="0"/>
        <w:jc w:val="center"/>
        <w:rPr>
          <w:rFonts w:ascii="sans-serif" w:hAnsi="sans-serif"/>
          <w:color w:val="000000"/>
          <w:sz w:val="16"/>
        </w:rPr>
      </w:pPr>
      <w:r>
        <w:rPr>
          <w:rFonts w:ascii="sans-serif" w:hAnsi="sans-serif"/>
          <w:color w:val="000000"/>
          <w:sz w:val="16"/>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5056"/>
        <w:gridCol w:w="2971"/>
      </w:tblGrid>
      <w:tr>
        <w:trPr/>
        <w:tc>
          <w:tcPr>
            <w:tcW w:w="505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Delaware</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86-3355184</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(State or other jurisdiction of incorporation or organization)</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(I.R.S. Employer Identification No.)</w:t>
            </w:r>
          </w:p>
        </w:tc>
      </w:tr>
      <w:tr>
        <w:trPr/>
        <w:tc>
          <w:tcPr>
            <w:tcW w:w="5056"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16"/>
              </w:rPr>
            </w:pPr>
            <w:r>
              <w:rPr>
                <w:rFonts w:ascii="sans-serif" w:hAnsi="sans-serif"/>
                <w:b/>
                <w:color w:val="000000"/>
                <w:sz w:val="16"/>
              </w:rPr>
              <w:t>24 E. Washington Street, Suite 900</w:t>
            </w:r>
          </w:p>
          <w:p>
            <w:pPr>
              <w:pStyle w:val="TableContents"/>
              <w:bidi w:val="0"/>
              <w:spacing w:before="0" w:after="283"/>
              <w:jc w:val="center"/>
              <w:rPr>
                <w:rFonts w:ascii="Times New Roman" w:hAnsi="Times New Roman"/>
                <w:sz w:val="20"/>
              </w:rPr>
            </w:pPr>
            <w:r>
              <w:rPr>
                <w:rFonts w:ascii="sans-serif" w:hAnsi="sans-serif"/>
                <w:b/>
                <w:color w:val="000000"/>
                <w:sz w:val="16"/>
              </w:rPr>
              <w:t>Chicago,</w:t>
            </w:r>
            <w:r>
              <w:rPr>
                <w:rFonts w:ascii="Times New Roman" w:hAnsi="Times New Roman"/>
                <w:color w:val="000000"/>
                <w:sz w:val="20"/>
              </w:rPr>
              <w:t xml:space="preserve"> </w:t>
            </w:r>
            <w:r>
              <w:rPr>
                <w:rFonts w:ascii="sans-serif" w:hAnsi="sans-serif"/>
                <w:b/>
                <w:color w:val="000000"/>
                <w:sz w:val="16"/>
              </w:rPr>
              <w:t>Illinois</w:t>
            </w:r>
          </w:p>
        </w:tc>
        <w:tc>
          <w:tcPr>
            <w:tcW w:w="2971"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16"/>
              </w:rPr>
            </w:pPr>
            <w:r>
              <w:rPr>
                <w:rFonts w:ascii="sans-serif" w:hAnsi="sans-serif"/>
                <w:b/>
                <w:color w:val="000000"/>
                <w:sz w:val="16"/>
              </w:rPr>
              <w:t>60602</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(Address of principal executive offices)</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(Zip Code)</w:t>
            </w:r>
          </w:p>
        </w:tc>
      </w:tr>
    </w:tbl>
    <w:p>
      <w:pPr>
        <w:pStyle w:val="TextBody"/>
        <w:bidi w:val="0"/>
        <w:spacing w:before="120" w:after="283"/>
        <w:jc w:val="center"/>
        <w:rPr>
          <w:rFonts w:ascii="sans-serif" w:hAnsi="sans-serif"/>
          <w:b/>
          <w:color w:val="000000"/>
          <w:sz w:val="16"/>
        </w:rPr>
      </w:pPr>
      <w:r>
        <w:rPr>
          <w:rFonts w:ascii="sans-serif" w:hAnsi="sans-serif"/>
          <w:b/>
          <w:color w:val="000000"/>
          <w:sz w:val="16"/>
        </w:rPr>
        <w:t>(312) 291-9966</w:t>
      </w:r>
    </w:p>
    <w:p>
      <w:pPr>
        <w:pStyle w:val="TextBody"/>
        <w:bidi w:val="0"/>
        <w:jc w:val="center"/>
        <w:rPr>
          <w:rFonts w:ascii="sans-serif" w:hAnsi="sans-serif"/>
          <w:color w:val="000000"/>
          <w:sz w:val="16"/>
        </w:rPr>
      </w:pPr>
      <w:r>
        <w:rPr>
          <w:rFonts w:ascii="sans-serif" w:hAnsi="sans-serif"/>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120" w:after="120"/>
        <w:jc w:val="left"/>
        <w:rPr>
          <w:rFonts w:ascii="sans-serif" w:hAnsi="sans-serif"/>
          <w:color w:val="000000"/>
          <w:sz w:val="16"/>
        </w:rPr>
      </w:pPr>
      <w:r>
        <w:rPr>
          <w:rFonts w:ascii="sans-serif" w:hAnsi="sans-serif"/>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4681"/>
        <w:gridCol w:w="146"/>
        <w:gridCol w:w="1573"/>
        <w:gridCol w:w="146"/>
        <w:gridCol w:w="3659"/>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5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Name of each exchange on which registered</w:t>
            </w:r>
          </w:p>
        </w:tc>
      </w:tr>
      <w:tr>
        <w:trPr/>
        <w:tc>
          <w:tcPr>
            <w:tcW w:w="4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6"/>
              </w:rPr>
              <w:t>SEAT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6"/>
              </w:rPr>
              <w:t>The Nasdaq Stock Market LLC</w:t>
            </w:r>
            <w:r>
              <w:rPr>
                <w:rFonts w:ascii="Times New Roman" w:hAnsi="Times New Roman"/>
                <w:color w:val="000000"/>
                <w:sz w:val="20"/>
              </w:rPr>
              <w:t xml:space="preserve"> </w:t>
            </w:r>
          </w:p>
        </w:tc>
      </w:tr>
      <w:tr>
        <w:trPr/>
        <w:tc>
          <w:tcPr>
            <w:tcW w:w="4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Warrants to purchase Class A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SEATW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6"/>
              </w:rPr>
              <w:t>The Nasdaq Stock Market LLC</w:t>
            </w:r>
            <w:r>
              <w:rPr>
                <w:rFonts w:ascii="Times New Roman" w:hAnsi="Times New Roman"/>
                <w:color w:val="000000"/>
                <w:sz w:val="20"/>
              </w:rPr>
              <w:t xml:space="preserve"> </w:t>
            </w:r>
          </w:p>
        </w:tc>
      </w:tr>
    </w:tbl>
    <w:p>
      <w:pPr>
        <w:pStyle w:val="TextBody"/>
        <w:bidi w:val="0"/>
        <w:spacing w:before="120" w:after="120"/>
        <w:jc w:val="both"/>
        <w:rPr>
          <w:rFonts w:ascii="Times New Roman" w:hAnsi="Times New Roman"/>
          <w:sz w:val="20"/>
        </w:rPr>
      </w:pPr>
      <w:r>
        <w:rPr>
          <w:rFonts w:ascii="sans-serif" w:hAnsi="sans-serif"/>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6"/>
        </w:rPr>
        <w:t>No ☐</w:t>
      </w:r>
    </w:p>
    <w:p>
      <w:pPr>
        <w:pStyle w:val="TextBody"/>
        <w:bidi w:val="0"/>
        <w:spacing w:before="0" w:after="120"/>
        <w:jc w:val="both"/>
        <w:rPr>
          <w:rFonts w:ascii="Times New Roman" w:hAnsi="Times New Roman"/>
          <w:sz w:val="20"/>
        </w:rPr>
      </w:pPr>
      <w:r>
        <w:rPr>
          <w:rFonts w:ascii="sans-serif" w:hAnsi="sans-serif"/>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6"/>
        </w:rPr>
        <w:t>No ☐</w:t>
      </w:r>
    </w:p>
    <w:p>
      <w:pPr>
        <w:pStyle w:val="TextBody"/>
        <w:bidi w:val="0"/>
        <w:spacing w:before="0" w:after="120"/>
        <w:jc w:val="both"/>
        <w:rPr>
          <w:rFonts w:ascii="sans-serif" w:hAnsi="sans-serif"/>
          <w:color w:val="000000"/>
          <w:sz w:val="16"/>
        </w:rPr>
      </w:pPr>
      <w:r>
        <w:rPr>
          <w:rFonts w:ascii="sans-serif" w:hAnsi="sans-serif"/>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76" w:type="dxa"/>
        <w:jc w:val="left"/>
        <w:tblInd w:w="0" w:type="dxa"/>
        <w:tblLayout w:type="fixed"/>
        <w:tblCellMar>
          <w:top w:w="28" w:type="dxa"/>
          <w:left w:w="28" w:type="dxa"/>
          <w:bottom w:w="28" w:type="dxa"/>
          <w:right w:w="28" w:type="dxa"/>
        </w:tblCellMar>
      </w:tblPr>
      <w:tblGrid>
        <w:gridCol w:w="2011"/>
        <w:gridCol w:w="109"/>
        <w:gridCol w:w="316"/>
        <w:gridCol w:w="109"/>
        <w:gridCol w:w="2401"/>
        <w:gridCol w:w="109"/>
        <w:gridCol w:w="42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spacing w:before="120" w:after="120"/>
        <w:jc w:val="both"/>
        <w:rPr>
          <w:rFonts w:ascii="Times New Roman" w:hAnsi="Times New Roman"/>
          <w:sz w:val="20"/>
        </w:rPr>
      </w:pPr>
      <w:r>
        <w:rPr>
          <w:rFonts w:ascii="sans-serif" w:hAnsi="sans-serif"/>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sans-serif" w:hAnsi="sans-serif"/>
          <w:color w:val="000000"/>
          <w:sz w:val="16"/>
        </w:rPr>
        <w:t>Indicate by check mark whether the registrant is a shell company (as defined in Rule 12b-2 of the Exchange Act). Yes ☐ No </w:t>
      </w:r>
      <w:r>
        <w:rPr>
          <w:rFonts w:ascii="Times New Roman" w:hAnsi="Times New Roman"/>
          <w:color w:val="000000"/>
          <w:sz w:val="20"/>
        </w:rPr>
        <w:t>☒</w:t>
      </w:r>
    </w:p>
    <w:p>
      <w:pPr>
        <w:pStyle w:val="TextBody"/>
        <w:bidi w:val="0"/>
        <w:jc w:val="both"/>
        <w:rPr>
          <w:rFonts w:ascii="Times New Roman" w:hAnsi="Times New Roman"/>
          <w:sz w:val="20"/>
        </w:rPr>
      </w:pPr>
      <w:r>
        <w:rPr>
          <w:rFonts w:ascii="sans-serif" w:hAnsi="sans-serif"/>
          <w:color w:val="000000"/>
          <w:sz w:val="16"/>
        </w:rPr>
        <w:t>As of July 31, 2026, the registrant had outstanding 11,241,195</w:t>
      </w:r>
      <w:r>
        <w:rPr>
          <w:rFonts w:ascii="Times New Roman" w:hAnsi="Times New Roman"/>
          <w:color w:val="000000"/>
          <w:sz w:val="20"/>
        </w:rPr>
        <w:t xml:space="preserve"> </w:t>
      </w:r>
      <w:r>
        <w:rPr>
          <w:rFonts w:ascii="sans-serif" w:hAnsi="sans-serif"/>
          <w:color w:val="000000"/>
          <w:sz w:val="16"/>
        </w:rPr>
        <w:t>shares of Class A common stock, $0.0001 par value per share, net of treasury shares.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6"/>
        <w:gridCol w:w="8502"/>
        <w:gridCol w:w="707"/>
      </w:tblGrid>
      <w:tr>
        <w:trPr/>
        <w:tc>
          <w:tcPr>
            <w:tcW w:w="996" w:type="dxa"/>
            <w:tcBorders/>
            <w:vAlign w:val="center"/>
          </w:tcPr>
          <w:p>
            <w:pPr>
              <w:pStyle w:val="TableContents"/>
              <w:bidi w:val="0"/>
              <w:spacing w:before="0" w:after="283"/>
              <w:jc w:val="left"/>
              <w:rPr>
                <w:sz w:val="4"/>
                <w:szCs w:val="4"/>
              </w:rPr>
            </w:pPr>
            <w:r>
              <w:rPr>
                <w:sz w:val="4"/>
                <w:szCs w:val="4"/>
              </w:rPr>
            </w:r>
          </w:p>
        </w:tc>
        <w:tc>
          <w:tcPr>
            <w:tcW w:w="85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707" w:type="dxa"/>
            <w:tcBorders>
              <w:bottom w:val="single" w:sz="8" w:space="0" w:color="000000"/>
            </w:tcBorders>
            <w:shd w:fill="FFFFFF" w:val="clear"/>
            <w:tcMar>
              <w:top w:w="0" w:type="dxa"/>
              <w:left w:w="0" w:type="dxa"/>
              <w:right w:w="0" w:type="dxa"/>
            </w:tcMar>
            <w:vAlign w:val="center"/>
          </w:tcPr>
          <w:p>
            <w:pPr>
              <w:pStyle w:val="TableContents"/>
              <w:bidi w:val="0"/>
              <w:spacing w:before="0" w:after="60"/>
              <w:jc w:val="center"/>
              <w:rPr>
                <w:rFonts w:ascii="sans-serif" w:hAnsi="sans-serif"/>
                <w:b/>
                <w:color w:val="000000"/>
                <w:sz w:val="20"/>
              </w:rPr>
            </w:pPr>
            <w:r>
              <w:rPr>
                <w:rFonts w:ascii="sans-serif" w:hAnsi="sans-serif"/>
                <w:b/>
                <w:color w:val="000000"/>
                <w:sz w:val="20"/>
              </w:rPr>
              <w:t>Page</w:t>
            </w:r>
          </w:p>
        </w:tc>
      </w:tr>
      <w:tr>
        <w:trPr/>
        <w:tc>
          <w:tcPr>
            <w:tcW w:w="9498" w:type="dxa"/>
            <w:gridSpan w:val="2"/>
            <w:tcBorders/>
            <w:shd w:fill="FFFFFF" w:val="clear"/>
            <w:tcMar>
              <w:top w:w="0" w:type="dxa"/>
              <w:left w:w="0" w:type="dxa"/>
              <w:bottom w:w="0" w:type="dxa"/>
              <w:right w:w="0" w:type="dxa"/>
            </w:tcMar>
            <w:vAlign w:val="center"/>
          </w:tcPr>
          <w:p>
            <w:pPr>
              <w:pStyle w:val="TableContents"/>
              <w:bidi w:val="0"/>
              <w:spacing w:before="0" w:after="60"/>
              <w:jc w:val="left"/>
              <w:rPr/>
            </w:pPr>
            <w:hyperlink w:anchor="forward_looking_statements">
              <w:r>
                <w:rPr>
                  <w:rStyle w:val="InternetLink"/>
                  <w:rFonts w:ascii="sans-serif" w:hAnsi="sans-serif"/>
                  <w:color w:val="0000FF"/>
                  <w:sz w:val="20"/>
                  <w:u w:val="single"/>
                </w:rPr>
                <w:t>Forward-Looking Statements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1</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b/>
                <w:color w:val="000000"/>
                <w:sz w:val="20"/>
              </w:rPr>
            </w:pPr>
            <w:r>
              <w:rPr>
                <w:rFonts w:ascii="sans-serif" w:hAnsi="sans-serif"/>
                <w:b/>
                <w:color w:val="000000"/>
                <w:sz w:val="20"/>
              </w:rPr>
              <w:t>PART I.</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_financial_information">
              <w:r>
                <w:rPr>
                  <w:rStyle w:val="InternetLink"/>
                  <w:rFonts w:ascii="sans-serif" w:hAnsi="sans-serif"/>
                  <w:color w:val="0000FF"/>
                  <w:sz w:val="20"/>
                  <w:u w:val="single"/>
                </w:rPr>
                <w:t>FINANCIAL INFORMATION</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3</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1.</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_item_1_financial_stmts_unaudited">
              <w:r>
                <w:rPr>
                  <w:rStyle w:val="InternetLink"/>
                  <w:rFonts w:ascii="sans-serif" w:hAnsi="sans-serif"/>
                  <w:color w:val="0000FF"/>
                  <w:sz w:val="20"/>
                  <w:u w:val="single"/>
                </w:rPr>
                <w:t>Financial Statements (Unaudited)</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3</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consolidated_balance_sheets">
              <w:r>
                <w:rPr>
                  <w:rStyle w:val="InternetLink"/>
                  <w:rFonts w:ascii="sans-serif" w:hAnsi="sans-serif"/>
                  <w:color w:val="0000FF"/>
                  <w:sz w:val="20"/>
                  <w:u w:val="single"/>
                </w:rPr>
                <w:t>Condensed Consolidated Balance Sheets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3</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consolidated_stmts_of_ops">
              <w:r>
                <w:rPr>
                  <w:rStyle w:val="InternetLink"/>
                  <w:rFonts w:ascii="sans-serif" w:hAnsi="sans-serif"/>
                  <w:color w:val="0000FF"/>
                  <w:sz w:val="20"/>
                  <w:u w:val="single"/>
                </w:rPr>
                <w:t>Condensed Consolidated Statements of Operations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4</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consolidated_soci">
              <w:r>
                <w:rPr>
                  <w:rStyle w:val="InternetLink"/>
                  <w:rFonts w:ascii="sans-serif" w:hAnsi="sans-serif"/>
                  <w:color w:val="0000FF"/>
                  <w:sz w:val="20"/>
                  <w:u w:val="single"/>
                </w:rPr>
                <w:t>Condensed Consolidated Statements of Comprehensive Loss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5</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consolidated_stmts_of_equity">
              <w:r>
                <w:rPr>
                  <w:rStyle w:val="InternetLink"/>
                  <w:rFonts w:ascii="sans-serif" w:hAnsi="sans-serif"/>
                  <w:color w:val="0000FF"/>
                  <w:sz w:val="20"/>
                  <w:u w:val="single"/>
                </w:rPr>
                <w:t>Condensed Consolidated Statements of Equity (Deficit)</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6</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consolidated_scf">
              <w:r>
                <w:rPr>
                  <w:rStyle w:val="InternetLink"/>
                  <w:rFonts w:ascii="sans-serif" w:hAnsi="sans-serif"/>
                  <w:color w:val="0000FF"/>
                  <w:sz w:val="20"/>
                  <w:u w:val="single"/>
                </w:rPr>
                <w:t>Condensed Consolidated Statements of Cash Flows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pPr>
            <w:r>
              <w:rPr/>
              <w:t> </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_item_1_notes_to_financial_stmts">
              <w:r>
                <w:rPr>
                  <w:rStyle w:val="InternetLink"/>
                  <w:rFonts w:ascii="sans-serif" w:hAnsi="sans-serif"/>
                  <w:color w:val="0000FF"/>
                  <w:sz w:val="20"/>
                  <w:u w:val="single"/>
                </w:rPr>
                <w:t>Notes to Condensed Consolidated Financial Statements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9</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2.</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_item_2_mda">
              <w:r>
                <w:rPr>
                  <w:rStyle w:val="InternetLink"/>
                  <w:rFonts w:ascii="sans-serif" w:hAnsi="sans-serif"/>
                  <w:color w:val="0000FF"/>
                  <w:sz w:val="20"/>
                  <w:u w:val="single"/>
                </w:rPr>
                <w:t>Management’s Discussion and Analysis of Financial Condition and Results of Operations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32</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3.</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_item_3_disclosuresaboutmarketrisk">
              <w:r>
                <w:rPr>
                  <w:rStyle w:val="InternetLink"/>
                  <w:rFonts w:ascii="sans-serif" w:hAnsi="sans-serif"/>
                  <w:color w:val="0000FF"/>
                  <w:sz w:val="20"/>
                  <w:u w:val="single"/>
                </w:rPr>
                <w:t>Quantitative and Qualitative Disclosures About Market Risk</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48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4.</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_item_4_controls_and_procedures">
              <w:r>
                <w:rPr>
                  <w:rStyle w:val="InternetLink"/>
                  <w:rFonts w:ascii="sans-serif" w:hAnsi="sans-serif"/>
                  <w:color w:val="0000FF"/>
                  <w:sz w:val="20"/>
                  <w:u w:val="single"/>
                </w:rPr>
                <w:t>Controls and Procedures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48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b/>
                <w:color w:val="000000"/>
                <w:sz w:val="20"/>
              </w:rPr>
            </w:pPr>
            <w:r>
              <w:rPr>
                <w:rFonts w:ascii="sans-serif" w:hAnsi="sans-serif"/>
                <w:b/>
                <w:color w:val="000000"/>
                <w:sz w:val="20"/>
              </w:rPr>
              <w:t>PART II.</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other_information">
              <w:r>
                <w:rPr>
                  <w:rStyle w:val="InternetLink"/>
                  <w:rFonts w:ascii="sans-serif" w:hAnsi="sans-serif"/>
                  <w:color w:val="0000FF"/>
                  <w:sz w:val="20"/>
                  <w:u w:val="single"/>
                </w:rPr>
                <w:t>OTHER INFORMATION</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49</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1.</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1_legal_proceedings">
              <w:r>
                <w:rPr>
                  <w:rStyle w:val="InternetLink"/>
                  <w:rFonts w:ascii="sans-serif" w:hAnsi="sans-serif"/>
                  <w:color w:val="0000FF"/>
                  <w:sz w:val="20"/>
                  <w:u w:val="single"/>
                </w:rPr>
                <w:t>Legal Proceedings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49</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1A.</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1a_risk_factors">
              <w:r>
                <w:rPr>
                  <w:rStyle w:val="InternetLink"/>
                  <w:rFonts w:ascii="sans-serif" w:hAnsi="sans-serif"/>
                  <w:color w:val="0000FF"/>
                  <w:sz w:val="20"/>
                  <w:u w:val="single"/>
                </w:rPr>
                <w:t>Risk Factors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49</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2.</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2_issuer_equity_purchases">
              <w:r>
                <w:rPr>
                  <w:rStyle w:val="InternetLink"/>
                  <w:rFonts w:ascii="sans-serif" w:hAnsi="sans-serif"/>
                  <w:color w:val="0000FF"/>
                  <w:sz w:val="20"/>
                  <w:u w:val="single"/>
                </w:rPr>
                <w:t>Unregistered Sales of Equity Securities and Use of Proceeds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68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3.</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3_senior_security_defaults">
              <w:r>
                <w:rPr>
                  <w:rStyle w:val="InternetLink"/>
                  <w:rFonts w:ascii="sans-serif" w:hAnsi="sans-serif"/>
                  <w:color w:val="0000FF"/>
                  <w:sz w:val="20"/>
                  <w:u w:val="single"/>
                </w:rPr>
                <w:t>Defaults Upon Senior Securities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68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4.</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4_mine_safety_disclosures">
              <w:r>
                <w:rPr>
                  <w:rStyle w:val="InternetLink"/>
                  <w:rFonts w:ascii="sans-serif" w:hAnsi="sans-serif"/>
                  <w:color w:val="0000FF"/>
                  <w:sz w:val="20"/>
                  <w:u w:val="single"/>
                </w:rPr>
                <w:t>Mine Safety Disclosures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68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5.</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5_other_information">
              <w:r>
                <w:rPr>
                  <w:rStyle w:val="InternetLink"/>
                  <w:rFonts w:ascii="sans-serif" w:hAnsi="sans-serif"/>
                  <w:color w:val="0000FF"/>
                  <w:sz w:val="20"/>
                  <w:u w:val="single"/>
                </w:rPr>
                <w:t>Other Information</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68</w:t>
            </w:r>
          </w:p>
        </w:tc>
      </w:tr>
      <w:tr>
        <w:trPr/>
        <w:tc>
          <w:tcPr>
            <w:tcW w:w="996" w:type="dxa"/>
            <w:tcBorders/>
            <w:shd w:fill="FFFFFF" w:val="clear"/>
            <w:tcMar>
              <w:top w:w="0" w:type="dxa"/>
              <w:left w:w="0" w:type="dxa"/>
              <w:bottom w:w="0" w:type="dxa"/>
              <w:right w:w="0" w:type="dxa"/>
            </w:tcMar>
            <w:vAlign w:val="center"/>
          </w:tcPr>
          <w:p>
            <w:pPr>
              <w:pStyle w:val="TableContents"/>
              <w:bidi w:val="0"/>
              <w:spacing w:before="0" w:after="60"/>
              <w:jc w:val="left"/>
              <w:rPr>
                <w:rFonts w:ascii="sans-serif" w:hAnsi="sans-serif"/>
                <w:color w:val="000000"/>
                <w:sz w:val="20"/>
              </w:rPr>
            </w:pPr>
            <w:r>
              <w:rPr>
                <w:rFonts w:ascii="sans-serif" w:hAnsi="sans-serif"/>
                <w:color w:val="000000"/>
                <w:sz w:val="20"/>
              </w:rPr>
              <w:t>Item 6.</w:t>
            </w:r>
          </w:p>
        </w:tc>
        <w:tc>
          <w:tcPr>
            <w:tcW w:w="8502" w:type="dxa"/>
            <w:tcBorders/>
            <w:shd w:fill="FFFFFF" w:val="clear"/>
            <w:tcMar>
              <w:top w:w="0" w:type="dxa"/>
              <w:left w:w="0" w:type="dxa"/>
              <w:bottom w:w="0" w:type="dxa"/>
              <w:right w:w="0" w:type="dxa"/>
            </w:tcMar>
            <w:vAlign w:val="center"/>
          </w:tcPr>
          <w:p>
            <w:pPr>
              <w:pStyle w:val="TableContents"/>
              <w:bidi w:val="0"/>
              <w:spacing w:before="0" w:after="60"/>
              <w:jc w:val="left"/>
              <w:rPr/>
            </w:pPr>
            <w:hyperlink w:anchor="part_ii_item_6_exhibits">
              <w:r>
                <w:rPr>
                  <w:rStyle w:val="InternetLink"/>
                  <w:rFonts w:ascii="sans-serif" w:hAnsi="sans-serif"/>
                  <w:color w:val="0000FF"/>
                  <w:sz w:val="20"/>
                  <w:u w:val="single"/>
                </w:rPr>
                <w:t>Exhibits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69</w:t>
            </w:r>
          </w:p>
        </w:tc>
      </w:tr>
      <w:tr>
        <w:trPr/>
        <w:tc>
          <w:tcPr>
            <w:tcW w:w="9498" w:type="dxa"/>
            <w:gridSpan w:val="2"/>
            <w:tcBorders/>
            <w:shd w:fill="FFFFFF" w:val="clear"/>
            <w:tcMar>
              <w:top w:w="0" w:type="dxa"/>
              <w:left w:w="0" w:type="dxa"/>
              <w:bottom w:w="0" w:type="dxa"/>
              <w:right w:w="0" w:type="dxa"/>
            </w:tcMar>
            <w:vAlign w:val="center"/>
          </w:tcPr>
          <w:p>
            <w:pPr>
              <w:pStyle w:val="TableContents"/>
              <w:bidi w:val="0"/>
              <w:spacing w:before="0" w:after="60"/>
              <w:jc w:val="left"/>
              <w:rPr/>
            </w:pPr>
            <w:hyperlink w:anchor="signatures">
              <w:r>
                <w:rPr>
                  <w:rStyle w:val="InternetLink"/>
                  <w:rFonts w:ascii="sans-serif" w:hAnsi="sans-serif"/>
                  <w:color w:val="0000FF"/>
                  <w:sz w:val="20"/>
                  <w:u w:val="single"/>
                </w:rPr>
                <w:t>Signatures</w:t>
              </w:r>
            </w:hyperlink>
          </w:p>
        </w:tc>
        <w:tc>
          <w:tcPr>
            <w:tcW w:w="707" w:type="dxa"/>
            <w:tcBorders/>
            <w:shd w:fill="FFFFFF" w:val="clear"/>
            <w:tcMar>
              <w:top w:w="0" w:type="dxa"/>
              <w:left w:w="0" w:type="dxa"/>
              <w:bottom w:w="0" w:type="dxa"/>
              <w:right w:w="0" w:type="dxa"/>
            </w:tcMar>
            <w:vAlign w:val="center"/>
          </w:tcPr>
          <w:p>
            <w:pPr>
              <w:pStyle w:val="TableContents"/>
              <w:bidi w:val="0"/>
              <w:spacing w:before="0" w:after="60"/>
              <w:jc w:val="right"/>
              <w:rPr>
                <w:rFonts w:ascii="sans-serif" w:hAnsi="sans-serif"/>
                <w:color w:val="000000"/>
                <w:sz w:val="20"/>
              </w:rPr>
            </w:pPr>
            <w:r>
              <w:rPr>
                <w:rFonts w:ascii="sans-serif" w:hAnsi="sans-serif"/>
                <w:color w:val="000000"/>
                <w:sz w:val="20"/>
              </w:rPr>
              <w:t>71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20"/>
        <w:jc w:val="center"/>
        <w:rPr>
          <w:rFonts w:ascii="sans-serif" w:hAnsi="sans-serif"/>
          <w:b/>
          <w:caps/>
          <w:color w:val="000000"/>
          <w:sz w:val="20"/>
        </w:rPr>
      </w:pPr>
      <w:r>
        <w:rPr>
          <w:rFonts w:ascii="sans-serif" w:hAnsi="sans-serif"/>
          <w:b/>
          <w:caps/>
          <w:color w:val="000000"/>
          <w:sz w:val="20"/>
        </w:rPr>
        <w:t>forward-looking statements</w:t>
      </w:r>
    </w:p>
    <w:p>
      <w:pPr>
        <w:pStyle w:val="TextBody"/>
        <w:bidi w:val="0"/>
        <w:spacing w:before="0" w:after="120"/>
        <w:jc w:val="both"/>
        <w:rPr>
          <w:rFonts w:ascii="Times New Roman" w:hAnsi="Times New Roman"/>
          <w:sz w:val="20"/>
        </w:rPr>
      </w:pPr>
      <w:bookmarkStart w:id="2" w:name="forward_looking_statements"/>
      <w:bookmarkEnd w:id="2"/>
      <w:r>
        <w:rPr>
          <w:rFonts w:ascii="sans-serif" w:hAnsi="sans-serif"/>
          <w:color w:val="000000"/>
          <w:sz w:val="20"/>
        </w:rPr>
        <w:t>This Quarterly Report on Form 10-Q (this “</w:t>
      </w:r>
      <w:r>
        <w:rPr>
          <w:rFonts w:ascii="sans-serif" w:hAnsi="sans-serif"/>
          <w:color w:val="000000"/>
          <w:sz w:val="20"/>
          <w:u w:val="single"/>
        </w:rPr>
        <w:t>Report</w:t>
      </w:r>
      <w:r>
        <w:rPr>
          <w:rFonts w:ascii="Times New Roman" w:hAnsi="Times New Roman"/>
          <w:color w:val="000000"/>
          <w:sz w:val="20"/>
        </w:rPr>
        <w:t>”</w:t>
      </w:r>
      <w:r>
        <w:rPr>
          <w:rFonts w:ascii="sans-serif" w:hAnsi="sans-serif"/>
          <w:color w:val="000000"/>
          <w:sz w:val="20"/>
        </w:rPr>
        <w:t>) contains “forward-looking statements” within the meaning of Section 27A of the Securities Act of 1933, as amended (the “</w:t>
      </w:r>
      <w:r>
        <w:rPr>
          <w:rFonts w:ascii="sans-serif" w:hAnsi="sans-serif"/>
          <w:color w:val="000000"/>
          <w:sz w:val="20"/>
          <w:u w:val="single"/>
        </w:rPr>
        <w:t>Securities Act</w:t>
      </w:r>
      <w:r>
        <w:rPr>
          <w:rFonts w:ascii="Times New Roman" w:hAnsi="Times New Roman"/>
          <w:color w:val="000000"/>
          <w:sz w:val="20"/>
        </w:rPr>
        <w:t>”</w:t>
      </w:r>
      <w:r>
        <w:rPr>
          <w:rFonts w:ascii="sans-serif" w:hAnsi="sans-serif"/>
          <w:color w:val="000000"/>
          <w:sz w:val="20"/>
        </w:rPr>
        <w:t>), and Section 21E of the Securities Exchange Act of 1934, as amended (the “</w:t>
      </w:r>
      <w:r>
        <w:rPr>
          <w:rFonts w:ascii="sans-serif" w:hAnsi="sans-serif"/>
          <w:color w:val="000000"/>
          <w:sz w:val="20"/>
          <w:u w:val="single"/>
        </w:rPr>
        <w:t>Exchange Act</w:t>
      </w:r>
      <w:r>
        <w:rPr>
          <w:rFonts w:ascii="Times New Roman" w:hAnsi="Times New Roman"/>
          <w:color w:val="000000"/>
          <w:sz w:val="20"/>
        </w:rPr>
        <w:t>”</w:t>
      </w:r>
      <w:r>
        <w:rPr>
          <w:rFonts w:ascii="sans-serif" w:hAnsi="sans-serif"/>
          <w:color w:val="000000"/>
          <w:sz w:val="20"/>
        </w:rPr>
        <w:t>), regarding future events and trends and the future results of Vivid Seats Inc. (“</w:t>
      </w:r>
      <w:r>
        <w:rPr>
          <w:rFonts w:ascii="sans-serif" w:hAnsi="sans-serif"/>
          <w:color w:val="000000"/>
          <w:sz w:val="20"/>
          <w:u w:val="single"/>
        </w:rPr>
        <w:t>VSI</w:t>
      </w:r>
      <w:r>
        <w:rPr>
          <w:rFonts w:ascii="Times New Roman" w:hAnsi="Times New Roman"/>
          <w:color w:val="000000"/>
          <w:sz w:val="20"/>
        </w:rPr>
        <w:t>”</w:t>
      </w:r>
      <w:r>
        <w:rPr>
          <w:rFonts w:ascii="sans-serif" w:hAnsi="sans-serif"/>
          <w:color w:val="000000"/>
          <w:sz w:val="20"/>
        </w:rPr>
        <w:t>) and its subsidiaries, including Hoya Intermediate, LLC (“</w:t>
      </w:r>
      <w:r>
        <w:rPr>
          <w:rFonts w:ascii="sans-serif" w:hAnsi="sans-serif"/>
          <w:color w:val="000000"/>
          <w:sz w:val="20"/>
          <w:u w:val="single"/>
        </w:rPr>
        <w:t>Hoya Intermediate</w:t>
      </w:r>
      <w:r>
        <w:rPr>
          <w:rFonts w:ascii="Times New Roman" w:hAnsi="Times New Roman"/>
          <w:color w:val="000000"/>
          <w:sz w:val="20"/>
        </w:rPr>
        <w:t>”</w:t>
      </w:r>
      <w:r>
        <w:rPr>
          <w:rFonts w:ascii="sans-serif" w:hAnsi="sans-serif"/>
          <w:color w:val="000000"/>
          <w:sz w:val="20"/>
        </w:rPr>
        <w:t>), Hoya Midco, LLC, and Vivid Seats LLC (collectively, “</w:t>
      </w:r>
      <w:r>
        <w:rPr>
          <w:rFonts w:ascii="sans-serif" w:hAnsi="sans-serif"/>
          <w:color w:val="000000"/>
          <w:sz w:val="20"/>
          <w:u w:val="single"/>
        </w:rPr>
        <w:t>we</w:t>
      </w:r>
      <w:r>
        <w:rPr>
          <w:rFonts w:ascii="sans-serif" w:hAnsi="sans-serif"/>
          <w:color w:val="000000"/>
          <w:sz w:val="20"/>
        </w:rPr>
        <w:t>,” “</w:t>
      </w:r>
      <w:r>
        <w:rPr>
          <w:rFonts w:ascii="sans-serif" w:hAnsi="sans-serif"/>
          <w:color w:val="000000"/>
          <w:sz w:val="20"/>
          <w:u w:val="single"/>
        </w:rPr>
        <w:t>us</w:t>
      </w:r>
      <w:r>
        <w:rPr>
          <w:rFonts w:ascii="sans-serif" w:hAnsi="sans-serif"/>
          <w:color w:val="000000"/>
          <w:sz w:val="20"/>
        </w:rPr>
        <w:t>,” and “</w:t>
      </w:r>
      <w:r>
        <w:rPr>
          <w:rFonts w:ascii="sans-serif" w:hAnsi="sans-serif"/>
          <w:color w:val="000000"/>
          <w:sz w:val="20"/>
          <w:u w:val="single"/>
        </w:rPr>
        <w:t>our</w:t>
      </w:r>
      <w:r>
        <w:rPr>
          <w:rFonts w:ascii="Times New Roman" w:hAnsi="Times New Roman"/>
          <w:color w:val="000000"/>
          <w:sz w:val="20"/>
        </w:rPr>
        <w:t>”</w:t>
      </w:r>
      <w:r>
        <w:rPr>
          <w:rFonts w:ascii="sans-serif" w:hAnsi="sans-serif"/>
          <w:color w:val="000000"/>
          <w:sz w:val="20"/>
        </w:rPr>
        <w:t>). Words such as “anticipate,” “believe,” “can,” “continue,” “could,” “design,” “estimate,” “expect,” “forecast,” “future,” “goal,” “intend,” “likely,” “may,” “plan,” “project,” “propose,” “seek,” “should,” “target,” “will,” and “would,” as well as similar expressions that predict or indicate future events or do not relate to historical matters, are intended to identify such forward-looking statements. Such forward-looking statements may relate to, without limitation, our future operating results and financial performance and other topics such as: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supply of and demand for live events;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impact of adverse economic conditions and other factors affecting discretionary consumer and corporate spending;</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develop and maintain relationships with ticket buyers, sellers, and partners;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impact of changes to internet search engine algorithms and mobile app marketplace rules;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color w:val="231F20"/>
          <w:sz w:val="20"/>
        </w:rPr>
        <w:t>The impact of artificial intelligence (“</w:t>
      </w:r>
      <w:r>
        <w:rPr>
          <w:rFonts w:ascii="sans-serif" w:hAnsi="sans-serif"/>
          <w:color w:val="231F20"/>
          <w:sz w:val="20"/>
          <w:u w:val="single"/>
        </w:rPr>
        <w:t>AI</w:t>
      </w:r>
      <w:r>
        <w:rPr>
          <w:color w:val="231F20"/>
        </w:rPr>
        <w:t>”</w:t>
      </w:r>
      <w:r>
        <w:rPr>
          <w:rFonts w:ascii="sans-serif" w:hAnsi="sans-serif"/>
          <w:color w:val="231F20"/>
          <w:sz w:val="20"/>
        </w:rPr>
        <w:t>) on how consumers search for live event tickets;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attract ticket sellers and buyers to our platform in the increasingly competitive ticketing industry;</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continue to maintain and improve our platform;</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impact of extraordinary events, including disease epidemics;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identify suitable acquisition targets and to complete and realize the expected benefits of acquisitions and other strategic investments;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attract, hire, motivate, and retain our senior management team and other highly skilled personnel;</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comply with applicable laws and regulations;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ability of ticket holders to sell their tickets on the secondary market unencumbered;</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impact of unfavorable outcomes in legislation and legal proceedings;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maintain the integrity of our information systems and infrastructure, and to identify, assess, and manage relevant cybersecurity risks; and</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ability to generate sufficient cash flows and/or obtain additional financing when necessary or desirable.</w:t>
      </w:r>
    </w:p>
    <w:p>
      <w:pPr>
        <w:pStyle w:val="TextBody"/>
        <w:bidi w:val="0"/>
        <w:spacing w:before="0" w:after="120"/>
        <w:jc w:val="both"/>
        <w:rPr>
          <w:rFonts w:ascii="Times New Roman" w:hAnsi="Times New Roman"/>
          <w:sz w:val="20"/>
        </w:rPr>
      </w:pPr>
      <w:r>
        <w:rPr>
          <w:rFonts w:ascii="sans-serif" w:hAnsi="sans-serif"/>
          <w:color w:val="000000"/>
          <w:sz w:val="20"/>
        </w:rPr>
        <w:t>We have based such forward-looking statements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and uncertainties that can be difficult to predict and/or outside of our control. Therefore, actual results may differ materially from those contemplated by any such forward-looking statements. Such risks and uncertainties include, but are not limited to, those discussed in the “Risk Factors” and “Management’s Discussion and Analysis of Financial Condition and Results of Operations” sections of this Report and our Annual Report on Form 10-K for the fiscal year ended December 31, 2025 (our “</w:t>
      </w:r>
      <w:r>
        <w:rPr>
          <w:rFonts w:ascii="sans-serif" w:hAnsi="sans-serif"/>
          <w:color w:val="000000"/>
          <w:sz w:val="20"/>
          <w:u w:val="single"/>
        </w:rPr>
        <w:t>2025 Form 10-K</w:t>
      </w:r>
      <w:r>
        <w:rPr>
          <w:rFonts w:ascii="Times New Roman" w:hAnsi="Times New Roman"/>
          <w:color w:val="000000"/>
          <w:sz w:val="20"/>
        </w:rPr>
        <w:t>”</w:t>
      </w:r>
      <w:r>
        <w:rPr>
          <w:rFonts w:ascii="sans-serif" w:hAnsi="sans-serif"/>
          <w:color w:val="000000"/>
          <w:sz w:val="20"/>
        </w:rPr>
        <w:t>), as well as in our press releases and other filings with the Securities and Exchange Commission (the “</w:t>
      </w:r>
      <w:r>
        <w:rPr>
          <w:rFonts w:ascii="sans-serif" w:hAnsi="sans-serif"/>
          <w:color w:val="000000"/>
          <w:sz w:val="20"/>
          <w:u w:val="single"/>
        </w:rPr>
        <w:t>SEC</w:t>
      </w:r>
      <w:r>
        <w:rPr>
          <w:rFonts w:ascii="Times New Roman" w:hAnsi="Times New Roman"/>
          <w:color w:val="000000"/>
          <w:sz w:val="20"/>
        </w:rPr>
        <w:t>”</w:t>
      </w:r>
      <w:r>
        <w:rPr>
          <w:rFonts w:ascii="sans-serif" w:hAnsi="sans-serif"/>
          <w:color w:val="000000"/>
          <w:sz w:val="20"/>
        </w:rPr>
        <w:t>).</w:t>
      </w:r>
    </w:p>
    <w:p>
      <w:pPr>
        <w:pStyle w:val="TextBody"/>
        <w:bidi w:val="0"/>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Except as required by applicable law, we undertake no obligation to update or revise any such forward-looking statements, which speak only as of the date of this Report (or, in the case of statements incorporated by reference herein, as of the date of the incorporated document).</w:t>
      </w:r>
    </w:p>
    <w:p>
      <w:pPr>
        <w:pStyle w:val="TextBody"/>
        <w:bidi w:val="0"/>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smallCaps/>
          <w:color w:val="000000"/>
          <w:sz w:val="20"/>
        </w:rPr>
      </w:pPr>
      <w:r>
        <w:rPr>
          <w:rFonts w:ascii="sans-serif" w:hAnsi="sans-serif"/>
          <w:b/>
          <w:smallCaps/>
          <w:color w:val="000000"/>
          <w:sz w:val="20"/>
        </w:rPr>
        <w:t>VIVID SEATS INC.</w:t>
      </w:r>
    </w:p>
    <w:p>
      <w:pPr>
        <w:pStyle w:val="TextBody"/>
        <w:bidi w:val="0"/>
        <w:jc w:val="center"/>
        <w:rPr>
          <w:rFonts w:ascii="sans-serif" w:hAnsi="sans-serif"/>
          <w:b/>
          <w:smallCaps/>
          <w:color w:val="000000"/>
          <w:sz w:val="20"/>
        </w:rPr>
      </w:pPr>
      <w:r>
        <w:rPr>
          <w:rFonts w:ascii="sans-serif" w:hAnsi="sans-serif"/>
          <w:b/>
          <w:smallCaps/>
          <w:color w:val="000000"/>
          <w:sz w:val="20"/>
        </w:rPr>
        <w:t>CONDENSED CONSOLIDATED BALANCE SHEETS</w:t>
      </w:r>
    </w:p>
    <w:p>
      <w:pPr>
        <w:pStyle w:val="TextBody"/>
        <w:bidi w:val="0"/>
        <w:jc w:val="center"/>
        <w:rPr>
          <w:rFonts w:ascii="sans-serif" w:hAnsi="sans-serif"/>
          <w:b/>
          <w:color w:val="000000"/>
          <w:sz w:val="20"/>
        </w:rPr>
      </w:pPr>
      <w:r>
        <w:rPr>
          <w:rFonts w:ascii="sans-serif" w:hAnsi="sans-serif"/>
          <w:b/>
          <w:color w:val="000000"/>
          <w:sz w:val="20"/>
        </w:rPr>
        <w:t>(in thousands, except share and per share data) (Unaudited)</w:t>
      </w:r>
    </w:p>
    <w:p>
      <w:pPr>
        <w:pStyle w:val="TextBody"/>
        <w:bidi w:val="0"/>
        <w:jc w:val="left"/>
        <w:rPr/>
      </w:pPr>
      <w:bookmarkStart w:id="3" w:name="part_i_item_1_financial_stmts_unaudited"/>
      <w:bookmarkStart w:id="4" w:name="condensed_consolidated_balance_sheets"/>
      <w:bookmarkStart w:id="5" w:name="part_i_financial_information"/>
      <w:bookmarkEnd w:id="3"/>
      <w:bookmarkEnd w:id="4"/>
      <w:bookmarkEnd w:id="5"/>
      <w:r>
        <w:rPr/>
        <w:t> </w:t>
      </w:r>
    </w:p>
    <w:tbl>
      <w:tblPr>
        <w:tblW w:w="10205" w:type="dxa"/>
        <w:jc w:val="left"/>
        <w:tblInd w:w="0" w:type="dxa"/>
        <w:tblLayout w:type="fixed"/>
        <w:tblCellMar>
          <w:top w:w="28" w:type="dxa"/>
          <w:left w:w="28" w:type="dxa"/>
          <w:bottom w:w="28" w:type="dxa"/>
          <w:right w:w="28" w:type="dxa"/>
        </w:tblCellMar>
      </w:tblPr>
      <w:tblGrid>
        <w:gridCol w:w="6902"/>
        <w:gridCol w:w="146"/>
        <w:gridCol w:w="226"/>
        <w:gridCol w:w="991"/>
        <w:gridCol w:w="166"/>
        <w:gridCol w:w="146"/>
        <w:gridCol w:w="236"/>
        <w:gridCol w:w="1039"/>
        <w:gridCol w:w="353"/>
      </w:tblGrid>
      <w:tr>
        <w:trPr/>
        <w:tc>
          <w:tcPr>
            <w:tcW w:w="6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604</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receivable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30,664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Inventory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18,166</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26,336</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178,472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12,373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Right-of-use assets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10,515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Intangible assets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124,168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141,528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Goodwill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283,915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Deferred tax assets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5,365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3,575</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688,805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636,866</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Liabilities and shareholders'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230,849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153,418</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126,476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125,957</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19,973</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3,930</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303,278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Long-term debt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383,431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16,452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18,834</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793,884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721,995</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Shareholders'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sans-serif" w:hAnsi="sans-serif"/>
                <w:color w:val="000000"/>
                <w:sz w:val="16"/>
              </w:rPr>
              <w:t>Class A common stock, $0.0001</w:t>
            </w:r>
            <w:r>
              <w:rPr>
                <w:rFonts w:ascii="Times New Roman" w:hAnsi="Times New Roman"/>
                <w:color w:val="000000"/>
                <w:sz w:val="20"/>
              </w:rPr>
              <w:t> </w:t>
            </w:r>
            <w:r>
              <w:rPr>
                <w:rFonts w:ascii="sans-serif" w:hAnsi="sans-serif"/>
                <w:color w:val="000000"/>
                <w:sz w:val="16"/>
              </w:rPr>
              <w:t>par value; 500,000,000</w:t>
            </w:r>
            <w:r>
              <w:rPr>
                <w:rFonts w:ascii="Times New Roman" w:hAnsi="Times New Roman"/>
                <w:color w:val="000000"/>
                <w:sz w:val="20"/>
              </w:rPr>
              <w:t> </w:t>
            </w:r>
            <w:r>
              <w:rPr>
                <w:rFonts w:ascii="sans-serif" w:hAnsi="sans-serif"/>
                <w:color w:val="000000"/>
                <w:sz w:val="16"/>
              </w:rPr>
              <w:t>shares authorized, 12,190,860</w:t>
            </w:r>
            <w:r>
              <w:rPr>
                <w:rFonts w:ascii="Times New Roman" w:hAnsi="Times New Roman"/>
                <w:color w:val="000000"/>
                <w:sz w:val="20"/>
              </w:rPr>
              <w:t> </w:t>
            </w:r>
            <w:r>
              <w:rPr>
                <w:rFonts w:ascii="sans-serif" w:hAnsi="sans-serif"/>
                <w:color w:val="000000"/>
                <w:sz w:val="16"/>
              </w:rPr>
              <w:t>and 11,712,157</w:t>
            </w:r>
            <w:r>
              <w:rPr>
                <w:rFonts w:ascii="Times New Roman" w:hAnsi="Times New Roman"/>
                <w:color w:val="000000"/>
                <w:sz w:val="20"/>
              </w:rPr>
              <w:t> </w:t>
            </w:r>
            <w:r>
              <w:rPr>
                <w:rFonts w:ascii="sans-serif" w:hAnsi="sans-serif"/>
                <w:color w:val="000000"/>
                <w:sz w:val="16"/>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1,368,067</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sans-serif" w:hAnsi="sans-serif"/>
                <w:color w:val="000000"/>
                <w:sz w:val="16"/>
              </w:rPr>
              <w:t>Treasury stock, at cost, 949,665</w:t>
            </w:r>
            <w:r>
              <w:rPr>
                <w:rFonts w:ascii="Times New Roman" w:hAnsi="Times New Roman"/>
                <w:color w:val="000000"/>
                <w:sz w:val="20"/>
              </w:rPr>
              <w:t> </w:t>
            </w:r>
            <w:r>
              <w:rPr>
                <w:rFonts w:ascii="sans-serif" w:hAnsi="sans-serif"/>
                <w:color w:val="000000"/>
                <w:sz w:val="16"/>
              </w:rPr>
              <w:t>shares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(93,920</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(1,388,424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(1,359,472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shareholders'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(85,129</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liabilities and shareholders'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688,805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636,866</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rFonts w:ascii="sans-serif" w:hAnsi="sans-serif"/>
          <w:color w:val="000000"/>
          <w:sz w:val="20"/>
        </w:rPr>
      </w:pPr>
      <w:r>
        <w:rPr>
          <w:rFonts w:ascii="sans-serif" w:hAnsi="sans-serif"/>
          <w:color w:val="000000"/>
          <w:sz w:val="20"/>
        </w:rPr>
        <w:t>The accompanying notes are an integral part of these financial statements.</w:t>
      </w:r>
    </w:p>
    <w:p>
      <w:pPr>
        <w:pStyle w:val="TextBody"/>
        <w:bidi w:val="0"/>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smallCaps/>
          <w:color w:val="000000"/>
          <w:sz w:val="20"/>
        </w:rPr>
      </w:pPr>
      <w:r>
        <w:rPr>
          <w:rFonts w:ascii="sans-serif" w:hAnsi="sans-serif"/>
          <w:b/>
          <w:smallCaps/>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jc w:val="center"/>
        <w:rPr>
          <w:rFonts w:ascii="sans-serif" w:hAnsi="sans-serif"/>
          <w:b/>
          <w:color w:val="000000"/>
          <w:sz w:val="20"/>
        </w:rPr>
      </w:pPr>
      <w:r>
        <w:rPr>
          <w:rFonts w:ascii="sans-serif" w:hAnsi="sans-serif"/>
          <w:b/>
          <w:color w:val="000000"/>
          <w:sz w:val="20"/>
        </w:rPr>
        <w:t>(in thousands, except share and per share data) (Unaudited)</w:t>
      </w:r>
    </w:p>
    <w:p>
      <w:pPr>
        <w:pStyle w:val="TextBody"/>
        <w:bidi w:val="0"/>
        <w:jc w:val="left"/>
        <w:rPr/>
      </w:pPr>
      <w:bookmarkStart w:id="6" w:name="condensed_consolidated_stmts_of_ops"/>
      <w:bookmarkEnd w:id="6"/>
      <w:r>
        <w:rPr/>
        <w:t> </w:t>
      </w:r>
    </w:p>
    <w:tbl>
      <w:tblPr>
        <w:tblW w:w="10205" w:type="dxa"/>
        <w:jc w:val="left"/>
        <w:tblInd w:w="0" w:type="dxa"/>
        <w:tblLayout w:type="fixed"/>
        <w:tblCellMar>
          <w:top w:w="28" w:type="dxa"/>
          <w:left w:w="28" w:type="dxa"/>
          <w:bottom w:w="28" w:type="dxa"/>
          <w:right w:w="28" w:type="dxa"/>
        </w:tblCellMar>
      </w:tblPr>
      <w:tblGrid>
        <w:gridCol w:w="3594"/>
        <w:gridCol w:w="226"/>
        <w:gridCol w:w="226"/>
        <w:gridCol w:w="1037"/>
        <w:gridCol w:w="181"/>
        <w:gridCol w:w="146"/>
        <w:gridCol w:w="226"/>
        <w:gridCol w:w="1037"/>
        <w:gridCol w:w="181"/>
        <w:gridCol w:w="146"/>
        <w:gridCol w:w="226"/>
        <w:gridCol w:w="1036"/>
        <w:gridCol w:w="181"/>
        <w:gridCol w:w="146"/>
        <w:gridCol w:w="226"/>
        <w:gridCol w:w="1036"/>
        <w:gridCol w:w="354"/>
      </w:tblGrid>
      <w:tr>
        <w:trPr/>
        <w:tc>
          <w:tcPr>
            <w:tcW w:w="3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Revenues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129,861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143,566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255,644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307,589</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Costs and expenses: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Cost of revenues (exclusive of depreciation and amortization shown separately below)</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38,642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77,837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86,954</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Marketing and selling</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52,753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117,912</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General and administrative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65,706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94,354</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23,966</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charges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Total costs and expenses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136,302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475,291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643,635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from operations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(6,441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(331,725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(336,046</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Interest expense – net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11,299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expense (income) – net</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(150,197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(154,351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on extinguishment of debt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before 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(13,441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(187,162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(29,230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(193,795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Income tax expense (benefit)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76,165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79,320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(263,327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(273,115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redeemable noncontrolling interests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(127,498</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 attributable to Class A common stockholders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(139,675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(145,617</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Net loss per Class A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Basic</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(22.11</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Diluted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(26.24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Weighted average Class A common stock outstanding:</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Basic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11,049,238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6,526,899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10,933,116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6,585,629</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5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Diluted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11,049,238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10,348,132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10,933,116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10,406,862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rFonts w:ascii="sans-serif" w:hAnsi="sans-serif"/>
          <w:color w:val="000000"/>
          <w:sz w:val="20"/>
        </w:rPr>
      </w:pPr>
      <w:r>
        <w:rPr>
          <w:rFonts w:ascii="sans-serif" w:hAnsi="sans-serif"/>
          <w:color w:val="000000"/>
          <w:sz w:val="20"/>
        </w:rPr>
        <w:t>The accompanying notes are an integral part of these financial statements.</w:t>
      </w:r>
    </w:p>
    <w:p>
      <w:pPr>
        <w:pStyle w:val="TextBody"/>
        <w:bidi w:val="0"/>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COMPREHENSIVE LOSS</w:t>
      </w:r>
    </w:p>
    <w:p>
      <w:pPr>
        <w:pStyle w:val="TextBody"/>
        <w:bidi w:val="0"/>
        <w:jc w:val="center"/>
        <w:rPr>
          <w:rFonts w:ascii="sans-serif" w:hAnsi="sans-serif"/>
          <w:b/>
          <w:color w:val="000000"/>
          <w:sz w:val="20"/>
        </w:rPr>
      </w:pPr>
      <w:r>
        <w:rPr>
          <w:rFonts w:ascii="sans-serif" w:hAnsi="sans-serif"/>
          <w:b/>
          <w:color w:val="000000"/>
          <w:sz w:val="20"/>
        </w:rPr>
        <w:t>(in thousands) (Unaudited)</w:t>
      </w:r>
    </w:p>
    <w:p>
      <w:pPr>
        <w:pStyle w:val="TextBody"/>
        <w:bidi w:val="0"/>
        <w:jc w:val="left"/>
        <w:rPr/>
      </w:pPr>
      <w:bookmarkStart w:id="7" w:name="condensed_consolidated_soci"/>
      <w:bookmarkEnd w:id="7"/>
      <w:r>
        <w:rPr/>
        <w:t> </w:t>
      </w:r>
    </w:p>
    <w:tbl>
      <w:tblPr>
        <w:tblW w:w="10205" w:type="dxa"/>
        <w:jc w:val="left"/>
        <w:tblInd w:w="0" w:type="dxa"/>
        <w:tblLayout w:type="fixed"/>
        <w:tblCellMar>
          <w:top w:w="28" w:type="dxa"/>
          <w:left w:w="28" w:type="dxa"/>
          <w:bottom w:w="28" w:type="dxa"/>
          <w:right w:w="28" w:type="dxa"/>
        </w:tblCellMar>
      </w:tblPr>
      <w:tblGrid>
        <w:gridCol w:w="4071"/>
        <w:gridCol w:w="146"/>
        <w:gridCol w:w="235"/>
        <w:gridCol w:w="877"/>
        <w:gridCol w:w="188"/>
        <w:gridCol w:w="152"/>
        <w:gridCol w:w="235"/>
        <w:gridCol w:w="1002"/>
        <w:gridCol w:w="181"/>
        <w:gridCol w:w="146"/>
        <w:gridCol w:w="227"/>
        <w:gridCol w:w="846"/>
        <w:gridCol w:w="182"/>
        <w:gridCol w:w="146"/>
        <w:gridCol w:w="227"/>
        <w:gridCol w:w="967"/>
        <w:gridCol w:w="377"/>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(263,327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(273,115</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2,072</w:t>
            </w:r>
          </w:p>
        </w:tc>
        <w:tc>
          <w:tcPr>
            <w:tcW w:w="37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Unrealized gain (loss) on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2,034</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(14,112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(262,469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(28,570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(271,081</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(127,498</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comprehensive income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Foreign currency translation adjustment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759</w:t>
            </w:r>
          </w:p>
        </w:tc>
        <w:tc>
          <w:tcPr>
            <w:tcW w:w="377"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Unrealized loss on Note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other comprehensive income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745</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Comprehensive loss attributable to Class A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(14,112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(139,133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(28,570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(144,328</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center"/>
        <w:rPr>
          <w:rFonts w:ascii="sans-serif" w:hAnsi="sans-serif"/>
          <w:color w:val="000000"/>
          <w:sz w:val="20"/>
        </w:rPr>
      </w:pPr>
      <w:r>
        <w:rPr>
          <w:rFonts w:ascii="sans-serif" w:hAnsi="sans-serif"/>
          <w:color w:val="000000"/>
          <w:sz w:val="20"/>
        </w:rPr>
        <w:t>The accompanying notes are an integral part of these financial statements.</w:t>
      </w:r>
    </w:p>
    <w:p>
      <w:pPr>
        <w:pStyle w:val="TextBody"/>
        <w:bidi w:val="0"/>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EQUITY (DEFICIT)</w:t>
      </w:r>
    </w:p>
    <w:p>
      <w:pPr>
        <w:pStyle w:val="TextBody"/>
        <w:bidi w:val="0"/>
        <w:jc w:val="center"/>
        <w:rPr>
          <w:rFonts w:ascii="sans-serif" w:hAnsi="sans-serif"/>
          <w:b/>
          <w:color w:val="000000"/>
          <w:sz w:val="20"/>
        </w:rPr>
      </w:pPr>
      <w:r>
        <w:rPr>
          <w:rFonts w:ascii="sans-serif" w:hAnsi="sans-serif"/>
          <w:b/>
          <w:color w:val="000000"/>
          <w:sz w:val="20"/>
        </w:rPr>
        <w:t>(in thousands, except share data) (Unaudited)</w:t>
      </w:r>
    </w:p>
    <w:p>
      <w:pPr>
        <w:pStyle w:val="TextBody"/>
        <w:bidi w:val="0"/>
        <w:jc w:val="left"/>
        <w:rPr/>
      </w:pPr>
      <w:bookmarkStart w:id="8" w:name="condensed_consolidated_stmts_of_equity"/>
      <w:bookmarkEnd w:id="8"/>
      <w:r>
        <w:rPr/>
        <w:t> </w:t>
      </w:r>
    </w:p>
    <w:tbl>
      <w:tblPr>
        <w:tblW w:w="18285" w:type="dxa"/>
        <w:jc w:val="left"/>
        <w:tblInd w:w="0" w:type="dxa"/>
        <w:tblLayout w:type="fixed"/>
        <w:tblCellMar>
          <w:top w:w="28" w:type="dxa"/>
          <w:left w:w="28" w:type="dxa"/>
          <w:bottom w:w="28" w:type="dxa"/>
          <w:right w:w="28" w:type="dxa"/>
        </w:tblCellMar>
      </w:tblPr>
      <w:tblGrid>
        <w:gridCol w:w="1486"/>
        <w:gridCol w:w="146"/>
        <w:gridCol w:w="305"/>
        <w:gridCol w:w="1196"/>
        <w:gridCol w:w="166"/>
        <w:gridCol w:w="146"/>
        <w:gridCol w:w="146"/>
        <w:gridCol w:w="1066"/>
        <w:gridCol w:w="166"/>
        <w:gridCol w:w="146"/>
        <w:gridCol w:w="332"/>
        <w:gridCol w:w="509"/>
        <w:gridCol w:w="146"/>
        <w:gridCol w:w="146"/>
        <w:gridCol w:w="146"/>
        <w:gridCol w:w="1066"/>
        <w:gridCol w:w="146"/>
        <w:gridCol w:w="146"/>
        <w:gridCol w:w="332"/>
        <w:gridCol w:w="509"/>
        <w:gridCol w:w="146"/>
        <w:gridCol w:w="146"/>
        <w:gridCol w:w="226"/>
        <w:gridCol w:w="1066"/>
        <w:gridCol w:w="166"/>
        <w:gridCol w:w="146"/>
        <w:gridCol w:w="146"/>
        <w:gridCol w:w="961"/>
        <w:gridCol w:w="181"/>
        <w:gridCol w:w="146"/>
        <w:gridCol w:w="226"/>
        <w:gridCol w:w="841"/>
        <w:gridCol w:w="181"/>
        <w:gridCol w:w="146"/>
        <w:gridCol w:w="226"/>
        <w:gridCol w:w="1141"/>
        <w:gridCol w:w="181"/>
        <w:gridCol w:w="146"/>
        <w:gridCol w:w="446"/>
        <w:gridCol w:w="1070"/>
        <w:gridCol w:w="181"/>
        <w:gridCol w:w="146"/>
        <w:gridCol w:w="277"/>
        <w:gridCol w:w="1089"/>
        <w:gridCol w:w="21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 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 noncontrolling 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other comprehensive income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shareholders'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352,922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7,190,975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3,811,250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1,267,710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(571,687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(75,568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(930,171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261,113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Issuances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(118,926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Tax distributions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settlement of equity incentive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Subsequent remeasurement of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(122,189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122,189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122,189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225,627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7,311,549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3,811,250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1,399,423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(690,613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(82,485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(936,113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380,714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(139,675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(139,675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Issuances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(195,166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settlement of equity incentive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Subsequent remeasurement of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128,822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7,403,043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3,811,250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1,384,399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(885,779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(91,705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(1,075,788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217,337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EQUITY (DEFICIT)</w:t>
      </w:r>
    </w:p>
    <w:p>
      <w:pPr>
        <w:pStyle w:val="TextBody"/>
        <w:bidi w:val="0"/>
        <w:jc w:val="center"/>
        <w:rPr>
          <w:rFonts w:ascii="sans-serif" w:hAnsi="sans-serif"/>
          <w:b/>
          <w:color w:val="000000"/>
          <w:sz w:val="20"/>
        </w:rPr>
      </w:pPr>
      <w:r>
        <w:rPr>
          <w:rFonts w:ascii="sans-serif" w:hAnsi="sans-serif"/>
          <w:b/>
          <w:color w:val="000000"/>
          <w:sz w:val="20"/>
        </w:rPr>
        <w:t>(in thousands, except share data) (Unaudited)</w:t>
      </w:r>
    </w:p>
    <w:tbl>
      <w:tblPr>
        <w:tblW w:w="13955" w:type="dxa"/>
        <w:jc w:val="left"/>
        <w:tblInd w:w="0" w:type="dxa"/>
        <w:tblLayout w:type="fixed"/>
        <w:tblCellMar>
          <w:top w:w="28" w:type="dxa"/>
          <w:left w:w="28" w:type="dxa"/>
          <w:bottom w:w="28" w:type="dxa"/>
          <w:right w:w="28" w:type="dxa"/>
        </w:tblCellMar>
      </w:tblPr>
      <w:tblGrid>
        <w:gridCol w:w="1426"/>
        <w:gridCol w:w="146"/>
        <w:gridCol w:w="226"/>
        <w:gridCol w:w="1186"/>
        <w:gridCol w:w="166"/>
        <w:gridCol w:w="146"/>
        <w:gridCol w:w="332"/>
        <w:gridCol w:w="509"/>
        <w:gridCol w:w="146"/>
        <w:gridCol w:w="146"/>
        <w:gridCol w:w="226"/>
        <w:gridCol w:w="1066"/>
        <w:gridCol w:w="166"/>
        <w:gridCol w:w="146"/>
        <w:gridCol w:w="146"/>
        <w:gridCol w:w="961"/>
        <w:gridCol w:w="181"/>
        <w:gridCol w:w="146"/>
        <w:gridCol w:w="226"/>
        <w:gridCol w:w="841"/>
        <w:gridCol w:w="181"/>
        <w:gridCol w:w="146"/>
        <w:gridCol w:w="226"/>
        <w:gridCol w:w="1141"/>
        <w:gridCol w:w="181"/>
        <w:gridCol w:w="146"/>
        <w:gridCol w:w="495"/>
        <w:gridCol w:w="1021"/>
        <w:gridCol w:w="146"/>
        <w:gridCol w:w="146"/>
        <w:gridCol w:w="260"/>
        <w:gridCol w:w="1106"/>
        <w:gridCol w:w="22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 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shareholders' deficit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Balances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11,712,157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1,368,067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(949,665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(93,920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(1,359,472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(85,129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Issuances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280,626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settlement of equity incentive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11,937,076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(949,665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(93,920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(1,374,103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(95,392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Issuances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294,525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settlement of equity incentive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12,190,860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1,376,687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(949,665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(93,920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(1,388,424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1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(105,079</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center"/>
        <w:rPr>
          <w:rFonts w:ascii="sans-serif" w:hAnsi="sans-serif"/>
          <w:color w:val="000000"/>
          <w:sz w:val="20"/>
        </w:rPr>
      </w:pPr>
      <w:r>
        <w:rPr>
          <w:rFonts w:ascii="sans-serif" w:hAnsi="sans-serif"/>
          <w:color w:val="000000"/>
          <w:sz w:val="20"/>
        </w:rPr>
        <w:t>The accompanying notes are an integral part of these financial statements.</w:t>
      </w:r>
    </w:p>
    <w:p>
      <w:pPr>
        <w:pStyle w:val="TextBody"/>
        <w:bidi w:val="0"/>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VIVID SEATS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CASH FLOWS</w:t>
      </w:r>
    </w:p>
    <w:p>
      <w:pPr>
        <w:pStyle w:val="TextBody"/>
        <w:bidi w:val="0"/>
        <w:jc w:val="center"/>
        <w:rPr>
          <w:rFonts w:ascii="sans-serif" w:hAnsi="sans-serif"/>
          <w:b/>
          <w:color w:val="000000"/>
          <w:sz w:val="20"/>
        </w:rPr>
      </w:pPr>
      <w:r>
        <w:rPr>
          <w:rFonts w:ascii="sans-serif" w:hAnsi="sans-serif"/>
          <w:b/>
          <w:color w:val="000000"/>
          <w:sz w:val="20"/>
        </w:rPr>
        <w:t>(in thousands) (Unaudited)</w:t>
      </w:r>
    </w:p>
    <w:p>
      <w:pPr>
        <w:pStyle w:val="TextBody"/>
        <w:bidi w:val="0"/>
        <w:jc w:val="left"/>
        <w:rPr/>
      </w:pPr>
      <w:bookmarkStart w:id="9" w:name="condensed_consolidated_scf"/>
      <w:bookmarkEnd w:id="9"/>
      <w:r>
        <w:rPr/>
        <w:t> </w:t>
      </w:r>
    </w:p>
    <w:tbl>
      <w:tblPr>
        <w:tblW w:w="10205" w:type="dxa"/>
        <w:jc w:val="left"/>
        <w:tblInd w:w="0" w:type="dxa"/>
        <w:tblLayout w:type="fixed"/>
        <w:tblCellMar>
          <w:top w:w="28" w:type="dxa"/>
          <w:left w:w="28" w:type="dxa"/>
          <w:bottom w:w="28" w:type="dxa"/>
          <w:right w:w="28" w:type="dxa"/>
        </w:tblCellMar>
      </w:tblPr>
      <w:tblGrid>
        <w:gridCol w:w="7088"/>
        <w:gridCol w:w="146"/>
        <w:gridCol w:w="230"/>
        <w:gridCol w:w="903"/>
        <w:gridCol w:w="184"/>
        <w:gridCol w:w="148"/>
        <w:gridCol w:w="230"/>
        <w:gridCol w:w="903"/>
        <w:gridCol w:w="373"/>
      </w:tblGrid>
      <w:tr>
        <w:trPr/>
        <w:tc>
          <w:tcPr>
            <w:tcW w:w="7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(28,952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(273,115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24,626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23,966</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Amortization of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720</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485</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9,085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22,403</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on asset 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196</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Change in fair value of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573</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76,707</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Non-cash interest expense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334</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Foreign currency loss (gain)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(3,574</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Change in fair value of Intermediate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(4,849</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Adjustment of liabilities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(149,172</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Write-off of Sponsorship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2,024</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receivable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(14,520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(906</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Inventory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(8,764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(13,018</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(12,869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3,613</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77,670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(29,394</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(28,104</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(3,826</w:t>
            </w:r>
          </w:p>
        </w:tc>
        <w:tc>
          <w:tcPr>
            <w:tcW w:w="3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(1,085</w:t>
            </w:r>
          </w:p>
        </w:tc>
        <w:tc>
          <w:tcPr>
            <w:tcW w:w="37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assets and liabilities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864</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45,208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(53,908</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(2,043</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Purchases of personal seat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(960</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Investments in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(5,993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(8,341</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Purchases of seat images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(321</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(6,928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(11,665</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of taxes related to net settlement of equity incentive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(1,742</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of 2025 First Lien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toward Acquired Domain Name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 of deferred financing costs and other debt-related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Tax distributions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(1,689</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(15,862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 of liabilities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(4,005</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Payments of 2024 First Lien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(76,986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Proceeds from 2025 First Lien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76,986</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(3,651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(25,443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354</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34,274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(90,662</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cash equivalents, and restricted cash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103,306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244,648</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137,580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153,986</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12,086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14,883</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paid for income taxes, net of income tax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268</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1,953</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1,830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1,706</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Equity-based compensation expense related to capitalized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370</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Deferred financing costs and other debt-related expenses recorded in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798</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Repurchases of Class A common stock recorded in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rFonts w:ascii="sans-serif" w:hAnsi="sans-serif"/>
          <w:color w:val="000000"/>
          <w:sz w:val="20"/>
        </w:rPr>
      </w:pPr>
      <w:r>
        <w:rPr>
          <w:rFonts w:ascii="sans-serif" w:hAnsi="sans-serif"/>
          <w:color w:val="000000"/>
          <w:sz w:val="20"/>
        </w:rPr>
        <w:t>The accompanying notes are an integral part of these financial statements.</w:t>
      </w:r>
    </w:p>
    <w:p>
      <w:pPr>
        <w:pStyle w:val="TextBody"/>
        <w:bidi w:val="0"/>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b/>
          <w:smallCaps/>
          <w:color w:val="000000"/>
          <w:sz w:val="20"/>
        </w:rPr>
      </w:pPr>
      <w:bookmarkStart w:id="10" w:name="part_i_item_1_notes_to_financial_stmts"/>
      <w:bookmarkEnd w:id="10"/>
      <w:r>
        <w:rPr>
          <w:rFonts w:ascii="sans-serif" w:hAnsi="sans-serif"/>
          <w:b/>
          <w:smallCaps/>
          <w:color w:val="000000"/>
          <w:sz w:val="20"/>
        </w:rPr>
        <w:t>1. Background and Basis of Presentation</w:t>
      </w:r>
    </w:p>
    <w:p>
      <w:pPr>
        <w:pStyle w:val="TextBody"/>
        <w:bidi w:val="0"/>
        <w:spacing w:before="0" w:after="120"/>
        <w:jc w:val="both"/>
        <w:rPr>
          <w:rFonts w:ascii="Times New Roman" w:hAnsi="Times New Roman"/>
          <w:sz w:val="20"/>
        </w:rPr>
      </w:pPr>
      <w:r>
        <w:rPr>
          <w:rFonts w:ascii="sans-serif" w:hAnsi="sans-serif"/>
          <w:color w:val="000000"/>
          <w:sz w:val="20"/>
        </w:rPr>
        <w:t>Vivid Seats Inc. (“</w:t>
      </w:r>
      <w:r>
        <w:rPr>
          <w:rFonts w:ascii="sans-serif" w:hAnsi="sans-serif"/>
          <w:color w:val="000000"/>
          <w:sz w:val="20"/>
          <w:u w:val="single"/>
        </w:rPr>
        <w:t>VSI</w:t>
      </w:r>
      <w:r>
        <w:rPr>
          <w:rFonts w:ascii="Times New Roman" w:hAnsi="Times New Roman"/>
          <w:color w:val="000000"/>
          <w:sz w:val="20"/>
        </w:rPr>
        <w:t>”</w:t>
      </w:r>
      <w:r>
        <w:rPr>
          <w:rFonts w:ascii="sans-serif" w:hAnsi="sans-serif"/>
          <w:color w:val="000000"/>
          <w:sz w:val="20"/>
        </w:rPr>
        <w:t>) and its subsidiaries, including Hoya Intermediate, LLC (“</w:t>
      </w:r>
      <w:r>
        <w:rPr>
          <w:rFonts w:ascii="sans-serif" w:hAnsi="sans-serif"/>
          <w:color w:val="000000"/>
          <w:sz w:val="20"/>
          <w:u w:val="single"/>
        </w:rPr>
        <w:t>Hoya Intermediate</w:t>
      </w:r>
      <w:r>
        <w:rPr>
          <w:rFonts w:ascii="Times New Roman" w:hAnsi="Times New Roman"/>
          <w:color w:val="000000"/>
          <w:sz w:val="20"/>
        </w:rPr>
        <w:t>”</w:t>
      </w:r>
      <w:r>
        <w:rPr>
          <w:rFonts w:ascii="sans-serif" w:hAnsi="sans-serif"/>
          <w:color w:val="000000"/>
          <w:sz w:val="20"/>
        </w:rPr>
        <w:t>), Hoya Midco, LLC, and Vivid Seats LLC (collectively, “</w:t>
      </w:r>
      <w:r>
        <w:rPr>
          <w:rFonts w:ascii="sans-serif" w:hAnsi="sans-serif"/>
          <w:color w:val="000000"/>
          <w:sz w:val="20"/>
          <w:u w:val="single"/>
        </w:rPr>
        <w:t>we</w:t>
      </w:r>
      <w:r>
        <w:rPr>
          <w:rFonts w:ascii="sans-serif" w:hAnsi="sans-serif"/>
          <w:color w:val="000000"/>
          <w:sz w:val="20"/>
        </w:rPr>
        <w:t>,” “</w:t>
      </w:r>
      <w:r>
        <w:rPr>
          <w:rFonts w:ascii="sans-serif" w:hAnsi="sans-serif"/>
          <w:color w:val="000000"/>
          <w:sz w:val="20"/>
          <w:u w:val="single"/>
        </w:rPr>
        <w:t>us</w:t>
      </w:r>
      <w:r>
        <w:rPr>
          <w:rFonts w:ascii="sans-serif" w:hAnsi="sans-serif"/>
          <w:color w:val="000000"/>
          <w:sz w:val="20"/>
        </w:rPr>
        <w:t>,” and “</w:t>
      </w:r>
      <w:r>
        <w:rPr>
          <w:rFonts w:ascii="sans-serif" w:hAnsi="sans-serif"/>
          <w:color w:val="000000"/>
          <w:sz w:val="20"/>
          <w:u w:val="single"/>
        </w:rPr>
        <w:t>our</w:t>
      </w:r>
      <w:r>
        <w:rPr>
          <w:rFonts w:ascii="Times New Roman" w:hAnsi="Times New Roman"/>
          <w:color w:val="000000"/>
          <w:sz w:val="20"/>
        </w:rPr>
        <w:t>”</w:t>
      </w:r>
      <w:r>
        <w:rPr>
          <w:rFonts w:ascii="sans-serif" w:hAnsi="sans-serif"/>
          <w:color w:val="000000"/>
          <w:sz w:val="20"/>
        </w:rPr>
        <w:t>), provide an online ticket marketplace that enables consumers to easily discover and purchase tickets to live events and attractions and book hotel rooms and packages. In our Marketplace segment, we primarily act as an intermediary between ticket buyers, sellers, and partners, while offering products and services that allow ticket sellers to seamlessly manage their operations. In our Resale segment, we primarily acquire tickets to resell on secondary ticket marketplaces, including our own.</w:t>
      </w:r>
    </w:p>
    <w:p>
      <w:pPr>
        <w:pStyle w:val="TextBody"/>
        <w:bidi w:val="0"/>
        <w:spacing w:before="0" w:after="120"/>
        <w:jc w:val="both"/>
        <w:rPr>
          <w:rFonts w:ascii="Times New Roman" w:hAnsi="Times New Roman"/>
          <w:sz w:val="20"/>
        </w:rPr>
      </w:pPr>
      <w:r>
        <w:rPr>
          <w:rFonts w:ascii="sans-serif" w:hAnsi="sans-serif"/>
          <w:color w:val="000000"/>
          <w:sz w:val="20"/>
        </w:rPr>
        <w:t>We have prepared these unaudited condensed consolidated financial statements in accordance with accounting principles generally accepted in the United States of America (“</w:t>
      </w:r>
      <w:r>
        <w:rPr>
          <w:rFonts w:ascii="sans-serif" w:hAnsi="sans-serif"/>
          <w:color w:val="000000"/>
          <w:sz w:val="20"/>
          <w:u w:val="single"/>
        </w:rPr>
        <w:t>U.S. GAAP</w:t>
      </w:r>
      <w:r>
        <w:rPr>
          <w:rFonts w:ascii="Times New Roman" w:hAnsi="Times New Roman"/>
          <w:color w:val="000000"/>
          <w:sz w:val="20"/>
        </w:rPr>
        <w:t>”</w:t>
      </w:r>
      <w:r>
        <w:rPr>
          <w:rFonts w:ascii="sans-serif" w:hAnsi="sans-serif"/>
          <w:color w:val="000000"/>
          <w:sz w:val="20"/>
        </w:rPr>
        <w:t>) for interim financial information and Securities and Exchange Commission rules that permit reduced disclosure for interim periods. Accordingly, they do not include all of the information and notes required by U.S. GAAP for comprehensive annual financial statements. In our opinion, these unaudited condensed consolidated financial statements include all adjustments that are necessary for a fair presentation of our financial position, results of operations, and cash flows for the periods presented and are of a normal, recurring nature. The results reflected in these unaudited condensed consolidated financial statements are not necessarily indicative of the results that may be expected for any other interim period or for the full year. These unaudited condensed consolidated financial statements should be read together with the audited annual consolidated financial statements and accompanying notes included in our Annual Report on Form 10-K for the fiscal year ended December 31, 2025 (our “</w:t>
      </w:r>
      <w:r>
        <w:rPr>
          <w:rFonts w:ascii="sans-serif" w:hAnsi="sans-serif"/>
          <w:color w:val="000000"/>
          <w:sz w:val="20"/>
          <w:u w:val="single"/>
        </w:rPr>
        <w:t>2025 Form 10-K</w:t>
      </w:r>
      <w:r>
        <w:rPr>
          <w:rFonts w:ascii="Times New Roman" w:hAnsi="Times New Roman"/>
          <w:color w:val="000000"/>
          <w:sz w:val="20"/>
        </w:rPr>
        <w:t>”</w:t>
      </w:r>
      <w:r>
        <w:rPr>
          <w:rFonts w:ascii="sans-serif" w:hAnsi="sans-serif"/>
          <w:color w:val="000000"/>
          <w:sz w:val="20"/>
        </w:rPr>
        <w:t>). These unaudited condensed consolidated financial statements include all of our accounts, including those of our consolidated subsidiaries. All intercompany transactions and balances have been eliminated in consolidation.</w:t>
      </w:r>
    </w:p>
    <w:p>
      <w:pPr>
        <w:pStyle w:val="TextBody"/>
        <w:bidi w:val="0"/>
        <w:spacing w:before="0" w:after="120"/>
        <w:jc w:val="both"/>
        <w:rPr>
          <w:rFonts w:ascii="sans-serif" w:hAnsi="sans-serif"/>
          <w:b/>
          <w:color w:val="000000"/>
          <w:sz w:val="20"/>
        </w:rPr>
      </w:pPr>
      <w:r>
        <w:rPr>
          <w:rFonts w:ascii="sans-serif" w:hAnsi="sans-serif"/>
          <w:b/>
          <w:color w:val="000000"/>
          <w:sz w:val="20"/>
        </w:rPr>
        <w:t>Reverse Stock Split</w:t>
      </w:r>
    </w:p>
    <w:p>
      <w:pPr>
        <w:pStyle w:val="TextBody"/>
        <w:bidi w:val="0"/>
        <w:spacing w:before="0" w:after="120"/>
        <w:jc w:val="both"/>
        <w:rPr>
          <w:rFonts w:ascii="sans-serif" w:hAnsi="sans-serif"/>
          <w:sz w:val="20"/>
        </w:rPr>
      </w:pPr>
      <w:r>
        <w:rPr>
          <w:rFonts w:ascii="sans-serif" w:hAnsi="sans-serif"/>
          <w:color w:val="000000"/>
          <w:sz w:val="20"/>
        </w:rPr>
        <w:t>On August 5, 2025, we effected a 1-for-20 reverse stock split of our common stock, pursuant to which every 20 shares of Class A and Class B common stock were combined into one share of Class A and Class B common stock, respectively (the “</w:t>
      </w:r>
      <w:r>
        <w:rPr>
          <w:rFonts w:ascii="sans-serif" w:hAnsi="sans-serif"/>
          <w:color w:val="000000"/>
          <w:sz w:val="20"/>
          <w:u w:val="single"/>
        </w:rPr>
        <w:t>Reverse Stock Split</w:t>
      </w:r>
      <w:r>
        <w:rPr>
          <w:rFonts w:ascii="sans-serif" w:hAnsi="sans-serif"/>
          <w:color w:val="000000"/>
          <w:sz w:val="20"/>
        </w:rPr>
        <w:t>”). All share and per share amounts included in this Report have been adjusted to reflect the Reverse Stock Split.</w:t>
      </w:r>
    </w:p>
    <w:p>
      <w:pPr>
        <w:pStyle w:val="TextBody"/>
        <w:bidi w:val="0"/>
        <w:spacing w:before="0" w:after="120"/>
        <w:jc w:val="both"/>
        <w:rPr>
          <w:rFonts w:ascii="Times New Roman" w:hAnsi="Times New Roman"/>
          <w:sz w:val="20"/>
        </w:rPr>
      </w:pPr>
      <w:r>
        <w:rPr>
          <w:rFonts w:ascii="sans-serif" w:hAnsi="sans-serif"/>
          <w:color w:val="000000"/>
          <w:sz w:val="20"/>
        </w:rPr>
        <w:t>The Reverse Stock Split affected all stockholders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split ratio, we instead repurchased such fractional shares for cash and retired them from circulation, resulting in a less than $0.1</w:t>
      </w:r>
      <w:r>
        <w:rPr>
          <w:rFonts w:ascii="Times New Roman" w:hAnsi="Times New Roman"/>
          <w:color w:val="000000"/>
          <w:sz w:val="20"/>
        </w:rPr>
        <w:t xml:space="preserve"> </w:t>
      </w:r>
      <w:r>
        <w:rPr>
          <w:rFonts w:ascii="sans-serif" w:hAnsi="sans-serif"/>
          <w:color w:val="000000"/>
          <w:sz w:val="20"/>
        </w:rPr>
        <w:t>million cash outlay. The Reverse Stock Split did not affect the number of authorized shares or the par value of our common stock.</w:t>
      </w:r>
    </w:p>
    <w:p>
      <w:pPr>
        <w:pStyle w:val="TextBody"/>
        <w:bidi w:val="0"/>
        <w:spacing w:before="0" w:after="120"/>
        <w:jc w:val="both"/>
        <w:rPr>
          <w:rFonts w:ascii="sans-serif" w:hAnsi="sans-serif"/>
          <w:b/>
          <w:color w:val="000000"/>
          <w:sz w:val="20"/>
        </w:rPr>
      </w:pPr>
      <w:r>
        <w:rPr>
          <w:rFonts w:ascii="sans-serif" w:hAnsi="sans-serif"/>
          <w:b/>
          <w:color w:val="000000"/>
          <w:sz w:val="20"/>
        </w:rPr>
        <w:t>Corporate Simplification</w:t>
      </w:r>
    </w:p>
    <w:p>
      <w:pPr>
        <w:pStyle w:val="TextBody"/>
        <w:bidi w:val="0"/>
        <w:spacing w:before="0" w:after="120"/>
        <w:jc w:val="both"/>
        <w:rPr>
          <w:rFonts w:ascii="Times New Roman" w:hAnsi="Times New Roman"/>
          <w:sz w:val="20"/>
        </w:rPr>
      </w:pPr>
      <w:r>
        <w:rPr>
          <w:rFonts w:ascii="sans-serif" w:hAnsi="sans-serif"/>
          <w:color w:val="000000"/>
          <w:sz w:val="20"/>
        </w:rPr>
        <w:t>On October 19, 2025, we entered into a Corporate Simplification Agreement (the “</w:t>
      </w:r>
      <w:r>
        <w:rPr>
          <w:rFonts w:ascii="sans-serif" w:hAnsi="sans-serif"/>
          <w:color w:val="000000"/>
          <w:sz w:val="20"/>
          <w:u w:val="single"/>
        </w:rPr>
        <w:t>CSA</w:t>
      </w:r>
      <w:r>
        <w:rPr>
          <w:rFonts w:ascii="Times New Roman" w:hAnsi="Times New Roman"/>
          <w:color w:val="000000"/>
          <w:sz w:val="20"/>
        </w:rPr>
        <w:t>”</w:t>
      </w:r>
      <w:r>
        <w:rPr>
          <w:rFonts w:ascii="sans-serif" w:hAnsi="sans-serif"/>
          <w:color w:val="000000"/>
          <w:sz w:val="20"/>
        </w:rPr>
        <w:t>) with Hoya Intermediate and the TRA Parties named therein (including Hoya Topco, LLC (“</w:t>
      </w:r>
      <w:r>
        <w:rPr>
          <w:rFonts w:ascii="sans-serif" w:hAnsi="sans-serif"/>
          <w:color w:val="000000"/>
          <w:sz w:val="20"/>
          <w:u w:val="single"/>
        </w:rPr>
        <w:t>Hoya Topco</w:t>
      </w:r>
      <w:r>
        <w:rPr>
          <w:rFonts w:ascii="Times New Roman" w:hAnsi="Times New Roman"/>
          <w:color w:val="000000"/>
          <w:sz w:val="20"/>
        </w:rPr>
        <w:t>”</w:t>
      </w:r>
      <w:r>
        <w:rPr>
          <w:rFonts w:ascii="sans-serif" w:hAnsi="sans-serif"/>
          <w:color w:val="000000"/>
          <w:sz w:val="20"/>
        </w:rPr>
        <w:t>)).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sans-serif" w:hAnsi="sans-serif"/>
          <w:color w:val="000000"/>
          <w:sz w:val="20"/>
          <w:u w:val="single"/>
        </w:rPr>
        <w:t>Corporate Simplification</w:t>
      </w:r>
      <w:r>
        <w:rPr>
          <w:rFonts w:ascii="Times New Roman" w:hAnsi="Times New Roman"/>
          <w:color w:val="000000"/>
          <w:sz w:val="20"/>
        </w:rPr>
        <w:t>”</w:t>
      </w:r>
      <w:r>
        <w:rPr>
          <w:rFonts w:ascii="sans-serif" w:hAnsi="sans-serif"/>
          <w:color w:val="000000"/>
          <w:sz w:val="20"/>
        </w:rPr>
        <w: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In connection with the Corporate Simplification, among other things: (i) three Blocker Corporations (as defined in the CSA) merged with and into three of our wholly owned subsidiaries, respectively, such that the Blocker Corporations became our wholly owned subsidiaries; (ii) all 3,811,250</w:t>
      </w:r>
      <w:r>
        <w:rPr>
          <w:rFonts w:ascii="Times New Roman" w:hAnsi="Times New Roman"/>
          <w:color w:val="000000"/>
          <w:sz w:val="20"/>
        </w:rPr>
        <w:t xml:space="preserve"> </w:t>
      </w:r>
      <w:r>
        <w:rPr>
          <w:rFonts w:ascii="sans-serif" w:hAnsi="sans-serif"/>
          <w:color w:val="000000"/>
          <w:sz w:val="20"/>
        </w:rPr>
        <w:t>outstanding shares of Class B common stock (and corresponding common units of Hoya Intermediate (“</w:t>
      </w:r>
      <w:r>
        <w:rPr>
          <w:rFonts w:ascii="sans-serif" w:hAnsi="sans-serif"/>
          <w:color w:val="000000"/>
          <w:sz w:val="20"/>
          <w:u w:val="single"/>
        </w:rPr>
        <w:t>Intermediate Units</w:t>
      </w:r>
      <w:r>
        <w:rPr>
          <w:rFonts w:ascii="Times New Roman" w:hAnsi="Times New Roman"/>
          <w:color w:val="000000"/>
          <w:sz w:val="20"/>
        </w:rPr>
        <w:t>”</w:t>
      </w:r>
      <w:r>
        <w:rPr>
          <w:rFonts w:ascii="sans-serif" w:hAnsi="sans-serif"/>
          <w:color w:val="000000"/>
          <w:sz w:val="20"/>
        </w:rPr>
        <w:t>)) were exchanged for an equal number of shares of Class A common stock, following which we cancelled all outstanding shares, and instruments representing the right to purchase shares, of Class B common stock; (iii) the warrant agreements relating to the Intermediate Warrants (as defined herein)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(iv) all rights and obligations under the Tax Receivable Agreement (the “</w:t>
      </w:r>
      <w:r>
        <w:rPr>
          <w:rFonts w:ascii="sans-serif" w:hAnsi="sans-serif"/>
          <w:color w:val="000000"/>
          <w:sz w:val="20"/>
          <w:u w:val="single"/>
        </w:rPr>
        <w:t>TRA</w:t>
      </w:r>
      <w:r>
        <w:rPr>
          <w:rFonts w:ascii="Times New Roman" w:hAnsi="Times New Roman"/>
          <w:color w:val="000000"/>
          <w:sz w:val="20"/>
        </w:rPr>
        <w:t>”</w:t>
      </w:r>
      <w:r>
        <w:rPr>
          <w:rFonts w:ascii="sans-serif" w:hAnsi="sans-serif"/>
          <w:color w:val="000000"/>
          <w:sz w:val="20"/>
        </w:rPr>
        <w:t>) entered into with the existing Hoya Intermediate unitholders and Hoya Intermediate’s Limited Liability Company Agreement were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Times New Roman" w:hAnsi="Times New Roman"/>
          <w:sz w:val="20"/>
        </w:rPr>
      </w:pPr>
      <w:r>
        <w:rPr>
          <w:rFonts w:ascii="sans-serif" w:hAnsi="sans-serif"/>
          <w:color w:val="000000"/>
          <w:sz w:val="20"/>
        </w:rPr>
        <w:t>terminated (in each case other than certain terms thereof that expressly survived); and (v) we issued an aggregate of 403,022</w:t>
      </w:r>
      <w:r>
        <w:rPr>
          <w:rFonts w:ascii="Times New Roman" w:hAnsi="Times New Roman"/>
          <w:color w:val="000000"/>
          <w:sz w:val="20"/>
        </w:rPr>
        <w:t xml:space="preserve"> </w:t>
      </w:r>
      <w:r>
        <w:rPr>
          <w:rFonts w:ascii="sans-serif" w:hAnsi="sans-serif"/>
          <w:color w:val="000000"/>
          <w:sz w:val="20"/>
        </w:rPr>
        <w:t>shares of Class A common stock to the TRA Parties.</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2. New Accounting Standards</w:t>
      </w:r>
    </w:p>
    <w:p>
      <w:pPr>
        <w:pStyle w:val="TextBody"/>
        <w:bidi w:val="0"/>
        <w:spacing w:before="0" w:after="120"/>
        <w:jc w:val="both"/>
        <w:rPr>
          <w:rFonts w:ascii="sans-serif" w:hAnsi="sans-serif"/>
          <w:b/>
          <w:color w:val="000000"/>
          <w:sz w:val="20"/>
        </w:rPr>
      </w:pPr>
      <w:r>
        <w:rPr>
          <w:rFonts w:ascii="sans-serif" w:hAnsi="sans-serif"/>
          <w:b/>
          <w:color w:val="000000"/>
          <w:sz w:val="20"/>
        </w:rPr>
        <w:t>Issued Accounting Standards Adopted</w:t>
      </w:r>
    </w:p>
    <w:p>
      <w:pPr>
        <w:pStyle w:val="TextBody"/>
        <w:bidi w:val="0"/>
        <w:spacing w:before="0" w:after="120"/>
        <w:jc w:val="both"/>
        <w:rPr>
          <w:rFonts w:ascii="sans-serif" w:hAnsi="sans-serif"/>
          <w:b/>
          <w:i/>
          <w:color w:val="000000"/>
          <w:sz w:val="20"/>
        </w:rPr>
      </w:pPr>
      <w:r>
        <w:rPr>
          <w:rFonts w:ascii="sans-serif" w:hAnsi="sans-serif"/>
          <w:b/>
          <w:i/>
          <w:color w:val="000000"/>
          <w:sz w:val="20"/>
        </w:rPr>
        <w:t>Income Taxes</w:t>
      </w:r>
    </w:p>
    <w:p>
      <w:pPr>
        <w:pStyle w:val="TextBody"/>
        <w:bidi w:val="0"/>
        <w:spacing w:before="0" w:after="120"/>
        <w:jc w:val="both"/>
        <w:rPr>
          <w:rFonts w:ascii="Times New Roman" w:hAnsi="Times New Roman"/>
          <w:sz w:val="20"/>
        </w:rPr>
      </w:pPr>
      <w:r>
        <w:rPr>
          <w:rFonts w:ascii="sans-serif" w:hAnsi="sans-serif"/>
          <w:color w:val="000000"/>
          <w:sz w:val="20"/>
        </w:rPr>
        <w:t>In 2023, the Financial Accounting Standards Board (the “</w:t>
      </w:r>
      <w:r>
        <w:rPr>
          <w:rFonts w:ascii="sans-serif" w:hAnsi="sans-serif"/>
          <w:color w:val="000000"/>
          <w:sz w:val="20"/>
          <w:u w:val="single"/>
        </w:rPr>
        <w:t>FASB</w:t>
      </w:r>
      <w:r>
        <w:rPr>
          <w:rFonts w:ascii="Times New Roman" w:hAnsi="Times New Roman"/>
          <w:color w:val="000000"/>
          <w:sz w:val="20"/>
        </w:rPr>
        <w:t>”</w:t>
      </w:r>
      <w:r>
        <w:rPr>
          <w:rFonts w:ascii="sans-serif" w:hAnsi="sans-serif"/>
          <w:color w:val="000000"/>
          <w:sz w:val="20"/>
        </w:rPr>
        <w:t>) issued Accounting Standard Update (“</w:t>
      </w:r>
      <w:r>
        <w:rPr>
          <w:rFonts w:ascii="sans-serif" w:hAnsi="sans-serif"/>
          <w:color w:val="000000"/>
          <w:sz w:val="20"/>
          <w:u w:val="single"/>
        </w:rPr>
        <w:t>ASU</w:t>
      </w:r>
      <w:r>
        <w:rPr>
          <w:rFonts w:ascii="Times New Roman" w:hAnsi="Times New Roman"/>
          <w:color w:val="000000"/>
          <w:sz w:val="20"/>
        </w:rPr>
        <w:t>”</w:t>
      </w:r>
      <w:r>
        <w:rPr>
          <w:rFonts w:ascii="sans-serif" w:hAnsi="sans-serif"/>
          <w:color w:val="000000"/>
          <w:sz w:val="20"/>
        </w:rPr>
        <w:t xml:space="preserve">) 2023-09, </w:t>
      </w:r>
      <w:r>
        <w:rPr>
          <w:rFonts w:ascii="sans-serif" w:hAnsi="sans-serif"/>
          <w:i/>
          <w:color w:val="000000"/>
          <w:sz w:val="20"/>
        </w:rPr>
        <w:t>Income Taxes (Topic 740): Improvements to Income Tax Disclosures</w:t>
      </w:r>
      <w:r>
        <w:rPr>
          <w:rFonts w:ascii="sans-serif" w:hAnsi="sans-serif"/>
          <w:color w:val="000000"/>
          <w:sz w:val="20"/>
        </w:rPr>
        <w:t xml:space="preserve">, which requires that an entity, on an annual basis, disclose additional income tax information, primarily related to the rate reconciliation and income taxes paid. The amendments are intended to enhance the transparency and decision usefulness of income tax disclosures. We adopted the requirements during the year ended December 31, 2025 with no material impact on our consolidated financial statements, other than the impact thereof on our income taxes footnote. See Note 14, </w:t>
      </w:r>
      <w:r>
        <w:rPr>
          <w:rFonts w:ascii="sans-serif" w:hAnsi="sans-serif"/>
          <w:i/>
          <w:color w:val="000000"/>
          <w:sz w:val="20"/>
        </w:rPr>
        <w:t>Income Taxes</w:t>
      </w:r>
      <w:r>
        <w:rPr>
          <w:rFonts w:ascii="sans-serif" w:hAnsi="sans-serif"/>
          <w:color w:val="000000"/>
          <w:sz w:val="20"/>
        </w:rPr>
        <w: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Issued Accounting Standards Not Yet Adopted</w:t>
      </w:r>
    </w:p>
    <w:p>
      <w:pPr>
        <w:pStyle w:val="TextBody"/>
        <w:bidi w:val="0"/>
        <w:spacing w:before="0" w:after="120"/>
        <w:jc w:val="both"/>
        <w:rPr>
          <w:rFonts w:ascii="sans-serif" w:hAnsi="sans-serif"/>
          <w:b/>
          <w:i/>
          <w:color w:val="000000"/>
          <w:sz w:val="20"/>
        </w:rPr>
      </w:pPr>
      <w:r>
        <w:rPr>
          <w:rFonts w:ascii="sans-serif" w:hAnsi="sans-serif"/>
          <w:b/>
          <w:i/>
          <w:color w:val="000000"/>
          <w:sz w:val="20"/>
        </w:rPr>
        <w:t>Disaggregation of Income Statement Expenses</w:t>
      </w:r>
    </w:p>
    <w:p>
      <w:pPr>
        <w:pStyle w:val="TextBody"/>
        <w:bidi w:val="0"/>
        <w:spacing w:before="0" w:after="120"/>
        <w:jc w:val="both"/>
        <w:rPr>
          <w:rFonts w:ascii="Times New Roman" w:hAnsi="Times New Roman"/>
          <w:sz w:val="20"/>
        </w:rPr>
      </w:pPr>
      <w:r>
        <w:rPr>
          <w:rFonts w:ascii="sans-serif" w:hAnsi="sans-serif"/>
          <w:color w:val="000000"/>
          <w:sz w:val="20"/>
        </w:rPr>
        <w:t xml:space="preserve">In 2024, the FASB issued ASU 2024-03, </w:t>
      </w:r>
      <w:r>
        <w:rPr>
          <w:rFonts w:ascii="sans-serif" w:hAnsi="sans-serif"/>
          <w:i/>
          <w:color w:val="000000"/>
          <w:sz w:val="20"/>
        </w:rPr>
        <w:t>Income Statement Reporting — Comprehensive Income — Expense Disaggregation Disclosures (Subtopic 220-40): Disaggregation of Income Statement Expenses</w:t>
      </w:r>
      <w:r>
        <w:rPr>
          <w:rFonts w:ascii="sans-serif" w:hAnsi="sans-serif"/>
          <w:color w:val="000000"/>
          <w:sz w:val="20"/>
        </w:rPr>
        <w:t>. The amendments are intended to improve the disclosures about a public business entity’s expenses by requiring more detailed information about the types of expenses (including purchases of inventory, employee compensation, depreciation, and amortization) included within income statement expense captions. The amendments will be effective for annual reporting periods beginning after December 15, 2026 and interim reporting periods beginning after December 15, 2027. Early adoption is permitted for both interim and annual financial statements that have not yet been issued or made available for issuance. The amendments are to be applied prospectively with the option for retrospective application. We are currently evaluating the impact of adopting the amendments on our future consolidated financial statements.</w:t>
      </w:r>
    </w:p>
    <w:p>
      <w:pPr>
        <w:pStyle w:val="TextBody"/>
        <w:bidi w:val="0"/>
        <w:spacing w:before="0" w:after="120"/>
        <w:jc w:val="both"/>
        <w:rPr>
          <w:rFonts w:ascii="sans-serif" w:hAnsi="sans-serif"/>
          <w:b/>
          <w:i/>
          <w:color w:val="000000"/>
          <w:sz w:val="20"/>
        </w:rPr>
      </w:pPr>
      <w:r>
        <w:rPr>
          <w:rFonts w:ascii="sans-serif" w:hAnsi="sans-serif"/>
          <w:b/>
          <w:i/>
          <w:color w:val="000000"/>
          <w:sz w:val="20"/>
        </w:rPr>
        <w:t>Software Costs</w:t>
      </w:r>
    </w:p>
    <w:p>
      <w:pPr>
        <w:pStyle w:val="TextBody"/>
        <w:bidi w:val="0"/>
        <w:spacing w:before="0" w:after="120"/>
        <w:jc w:val="both"/>
        <w:rPr>
          <w:rFonts w:ascii="Times New Roman" w:hAnsi="Times New Roman"/>
          <w:sz w:val="20"/>
        </w:rPr>
      </w:pPr>
      <w:r>
        <w:rPr>
          <w:rFonts w:ascii="sans-serif" w:hAnsi="sans-serif"/>
          <w:color w:val="000000"/>
          <w:sz w:val="20"/>
        </w:rPr>
        <w:t xml:space="preserve">On September 18, 2025, the FASB issued ASU 2025-06, </w:t>
      </w:r>
      <w:r>
        <w:rPr>
          <w:rFonts w:ascii="sans-serif" w:hAnsi="sans-serif"/>
          <w:i/>
          <w:color w:val="000000"/>
          <w:sz w:val="20"/>
        </w:rPr>
        <w:t>Intangibles — Goodwill and Other — Internal-Use Software (Subtopic 350-40): Targeted Improvements to the Accounting for Internal-Use Software</w:t>
      </w:r>
      <w:r>
        <w:rPr>
          <w:rFonts w:ascii="sans-serif" w:hAnsi="sans-serif"/>
          <w:color w:val="000000"/>
          <w:sz w:val="20"/>
        </w:rPr>
        <w:t>, which amends certain aspects of the accounting for and disclosure of software costs under Accounting Standards Codification (“</w:t>
      </w:r>
      <w:r>
        <w:rPr>
          <w:rFonts w:ascii="sans-serif" w:hAnsi="sans-serif"/>
          <w:color w:val="000000"/>
          <w:sz w:val="20"/>
          <w:u w:val="single"/>
        </w:rPr>
        <w:t>ASC</w:t>
      </w:r>
      <w:r>
        <w:rPr>
          <w:rFonts w:ascii="Times New Roman" w:hAnsi="Times New Roman"/>
          <w:color w:val="000000"/>
          <w:sz w:val="20"/>
        </w:rPr>
        <w:t>”</w:t>
      </w:r>
      <w:r>
        <w:rPr>
          <w:rFonts w:ascii="sans-serif" w:hAnsi="sans-serif"/>
          <w:color w:val="000000"/>
          <w:sz w:val="20"/>
        </w:rPr>
        <w:t xml:space="preserve">) Subtopic 350-40, </w:t>
      </w:r>
      <w:r>
        <w:rPr>
          <w:rFonts w:ascii="sans-serif" w:hAnsi="sans-serif"/>
          <w:i/>
          <w:color w:val="000000"/>
          <w:sz w:val="20"/>
        </w:rPr>
        <w:t>Intangibles — Goodwill and Other — Internal-Use Software</w:t>
      </w:r>
      <w:r>
        <w:rPr>
          <w:rFonts w:ascii="sans-serif" w:hAnsi="sans-serif"/>
          <w:color w:val="000000"/>
          <w:sz w:val="20"/>
        </w:rPr>
        <w:t>. The amendments will be effective for annual reporting periods beginning after December 15, 2027 and interim reporting periods within those annual reporting periods. Early adoption is permitted for both interim and annual financial statements that have not yet been issued or made available for issuance. The amendments may be applied prospectively, retrospectively, or via a modified prospective transition method. We are currently evaluating the impact of adopting the amendments on our future consolidated financial statements.</w:t>
      </w:r>
    </w:p>
    <w:p>
      <w:pPr>
        <w:pStyle w:val="TextBody"/>
        <w:bidi w:val="0"/>
        <w:spacing w:before="0" w:after="120"/>
        <w:jc w:val="both"/>
        <w:rPr>
          <w:rFonts w:ascii="sans-serif" w:hAnsi="sans-serif"/>
          <w:b/>
          <w:i/>
          <w:color w:val="000000"/>
          <w:sz w:val="20"/>
        </w:rPr>
      </w:pPr>
      <w:r>
        <w:rPr>
          <w:rFonts w:ascii="sans-serif" w:hAnsi="sans-serif"/>
          <w:b/>
          <w:i/>
          <w:color w:val="000000"/>
          <w:sz w:val="20"/>
        </w:rPr>
        <w:t>Interim Reporting</w:t>
      </w:r>
    </w:p>
    <w:p>
      <w:pPr>
        <w:pStyle w:val="TextBody"/>
        <w:bidi w:val="0"/>
        <w:spacing w:before="0" w:after="120"/>
        <w:jc w:val="both"/>
        <w:rPr>
          <w:rFonts w:ascii="Times New Roman" w:hAnsi="Times New Roman"/>
          <w:sz w:val="20"/>
        </w:rPr>
      </w:pPr>
      <w:r>
        <w:rPr>
          <w:rFonts w:ascii="sans-serif" w:hAnsi="sans-serif"/>
          <w:color w:val="000000"/>
          <w:sz w:val="20"/>
        </w:rPr>
        <w:t xml:space="preserve">On December 8, 2025, the FASB issued ASU 2025-11, </w:t>
      </w:r>
      <w:r>
        <w:rPr>
          <w:rFonts w:ascii="sans-serif" w:hAnsi="sans-serif"/>
          <w:i/>
          <w:color w:val="000000"/>
          <w:sz w:val="20"/>
        </w:rPr>
        <w:t>Interim Reporting (Topic 270): Narrow-Scope Improvements</w:t>
      </w:r>
      <w:r>
        <w:rPr>
          <w:rFonts w:ascii="sans-serif" w:hAnsi="sans-serif"/>
          <w:color w:val="000000"/>
          <w:sz w:val="20"/>
        </w:rPr>
        <w:t xml:space="preserve">, which updates the guidance in ASC Topic 270, </w:t>
      </w:r>
      <w:r>
        <w:rPr>
          <w:rFonts w:ascii="sans-serif" w:hAnsi="sans-serif"/>
          <w:i/>
          <w:color w:val="000000"/>
          <w:sz w:val="20"/>
        </w:rPr>
        <w:t>Interim Reporting</w:t>
      </w:r>
      <w:r>
        <w:rPr>
          <w:rFonts w:ascii="sans-serif" w:hAnsi="sans-serif"/>
          <w:color w:val="000000"/>
          <w:sz w:val="20"/>
        </w:rPr>
        <w:t>,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December 15, 2027. The amendments may be applied prospectively, or retrospectively to all prior periods presented in the financial statements. Early adoption is permitted. We are currently evaluating the impact of adopting the amendments on our future condensed consolidated financial statements, but do not expect the impact to result in incremental interim financial statement disclosures.</w:t>
      </w:r>
    </w:p>
    <w:p>
      <w:pPr>
        <w:pStyle w:val="TextBody"/>
        <w:bidi w:val="0"/>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left"/>
        <w:rPr>
          <w:rFonts w:ascii="sans-serif" w:hAnsi="sans-serif"/>
          <w:b/>
          <w:smallCaps/>
          <w:color w:val="000000"/>
          <w:sz w:val="20"/>
        </w:rPr>
      </w:pPr>
      <w:r>
        <w:rPr>
          <w:rFonts w:ascii="sans-serif" w:hAnsi="sans-serif"/>
          <w:b/>
          <w:smallCaps/>
          <w:color w:val="000000"/>
          <w:sz w:val="20"/>
        </w:rPr>
        <w:t>3. Revenue Recognition</w:t>
      </w:r>
    </w:p>
    <w:p>
      <w:pPr>
        <w:pStyle w:val="TextBody"/>
        <w:bidi w:val="0"/>
        <w:spacing w:before="0" w:after="120"/>
        <w:jc w:val="both"/>
        <w:rPr>
          <w:rFonts w:ascii="Times New Roman" w:hAnsi="Times New Roman"/>
          <w:sz w:val="20"/>
        </w:rPr>
      </w:pPr>
      <w:r>
        <w:rPr>
          <w:rFonts w:ascii="sans-serif" w:hAnsi="sans-serif"/>
          <w:color w:val="000000"/>
          <w:sz w:val="20"/>
        </w:rPr>
        <w:t xml:space="preserve">We recognize revenue in accordance with ASC Topic 606, </w:t>
      </w:r>
      <w:r>
        <w:rPr>
          <w:rFonts w:ascii="sans-serif" w:hAnsi="sans-serif"/>
          <w:i/>
          <w:color w:val="000000"/>
          <w:sz w:val="20"/>
        </w:rPr>
        <w:t>Revenue from Contracts with Customers</w:t>
      </w:r>
      <w:r>
        <w:rPr>
          <w:rFonts w:ascii="sans-serif" w:hAnsi="sans-serif"/>
          <w:color w:val="000000"/>
          <w:sz w:val="20"/>
        </w:rPr>
        <w:t xml:space="preserve">. As discussed in Note 4, </w:t>
      </w:r>
      <w:r>
        <w:rPr>
          <w:rFonts w:ascii="sans-serif" w:hAnsi="sans-serif"/>
          <w:i/>
          <w:color w:val="000000"/>
          <w:sz w:val="20"/>
        </w:rPr>
        <w:t>Segment Reporting</w:t>
      </w:r>
      <w:r>
        <w:rPr>
          <w:rFonts w:ascii="sans-serif" w:hAnsi="sans-serif"/>
          <w:color w:val="000000"/>
          <w:sz w:val="20"/>
        </w:rPr>
        <w:t>, we have determined that we have two</w:t>
      </w:r>
      <w:r>
        <w:rPr>
          <w:rFonts w:ascii="Times New Roman" w:hAnsi="Times New Roman"/>
          <w:color w:val="000000"/>
          <w:sz w:val="20"/>
        </w:rPr>
        <w:t xml:space="preserve"> </w:t>
      </w:r>
      <w:r>
        <w:rPr>
          <w:rFonts w:ascii="sans-serif" w:hAnsi="sans-serif"/>
          <w:color w:val="000000"/>
          <w:sz w:val="20"/>
        </w:rPr>
        <w:t>operating and reportable segments: Marketplace and Resale.</w:t>
      </w:r>
    </w:p>
    <w:p>
      <w:pPr>
        <w:pStyle w:val="TextBody"/>
        <w:bidi w:val="0"/>
        <w:spacing w:before="0" w:after="120"/>
        <w:jc w:val="both"/>
        <w:rPr>
          <w:rFonts w:ascii="sans-serif" w:hAnsi="sans-serif"/>
          <w:color w:val="000000"/>
          <w:sz w:val="20"/>
        </w:rPr>
      </w:pPr>
      <w:r>
        <w:rPr>
          <w:rFonts w:ascii="sans-serif" w:hAnsi="sans-serif"/>
          <w:color w:val="000000"/>
          <w:sz w:val="20"/>
        </w:rPr>
        <w:t>The following tables present Marketplace revenues by business model and event category for the three and six months ended June 30, 2026 and 2025 (in thousands):</w:t>
      </w:r>
    </w:p>
    <w:tbl>
      <w:tblPr>
        <w:tblW w:w="10197" w:type="dxa"/>
        <w:jc w:val="left"/>
        <w:tblInd w:w="0" w:type="dxa"/>
        <w:tblLayout w:type="fixed"/>
        <w:tblCellMar>
          <w:top w:w="28" w:type="dxa"/>
          <w:left w:w="28" w:type="dxa"/>
          <w:bottom w:w="28" w:type="dxa"/>
          <w:right w:w="28" w:type="dxa"/>
        </w:tblCellMar>
      </w:tblPr>
      <w:tblGrid>
        <w:gridCol w:w="3196"/>
        <w:gridCol w:w="146"/>
        <w:gridCol w:w="292"/>
        <w:gridCol w:w="1203"/>
        <w:gridCol w:w="177"/>
        <w:gridCol w:w="177"/>
        <w:gridCol w:w="292"/>
        <w:gridCol w:w="1203"/>
        <w:gridCol w:w="146"/>
        <w:gridCol w:w="146"/>
        <w:gridCol w:w="265"/>
        <w:gridCol w:w="1089"/>
        <w:gridCol w:w="160"/>
        <w:gridCol w:w="160"/>
        <w:gridCol w:w="265"/>
        <w:gridCol w:w="1089"/>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Owned Properties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93,718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182,432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Private Label Offering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10,230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19,043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Marketplace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103,948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114,478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201,475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248,218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67" w:type="dxa"/>
        <w:jc w:val="left"/>
        <w:tblInd w:w="0" w:type="dxa"/>
        <w:tblLayout w:type="fixed"/>
        <w:tblCellMar>
          <w:top w:w="28" w:type="dxa"/>
          <w:left w:w="28" w:type="dxa"/>
          <w:bottom w:w="28" w:type="dxa"/>
          <w:right w:w="28" w:type="dxa"/>
        </w:tblCellMar>
      </w:tblPr>
      <w:tblGrid>
        <w:gridCol w:w="2566"/>
        <w:gridCol w:w="146"/>
        <w:gridCol w:w="292"/>
        <w:gridCol w:w="1203"/>
        <w:gridCol w:w="177"/>
        <w:gridCol w:w="177"/>
        <w:gridCol w:w="292"/>
        <w:gridCol w:w="1203"/>
        <w:gridCol w:w="146"/>
        <w:gridCol w:w="146"/>
        <w:gridCol w:w="265"/>
        <w:gridCol w:w="1089"/>
        <w:gridCol w:w="160"/>
        <w:gridCol w:w="160"/>
        <w:gridCol w:w="265"/>
        <w:gridCol w:w="1089"/>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Concert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42,424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85,994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Sport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41,721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71,263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74,416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Theater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15,943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36,048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55,277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3,860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8,170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Marketplace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103,948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114,478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201,475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248,218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sans-serif" w:hAnsi="sans-serif"/>
          <w:color w:val="000000"/>
          <w:sz w:val="20"/>
        </w:rPr>
        <w:t>During the three and six months ended June 30, 2026, we recognized Resale revenues of $25.9</w:t>
      </w:r>
      <w:r>
        <w:rPr>
          <w:rFonts w:ascii="Times New Roman" w:hAnsi="Times New Roman"/>
          <w:color w:val="000000"/>
          <w:sz w:val="20"/>
        </w:rPr>
        <w:t xml:space="preserve"> </w:t>
      </w:r>
      <w:r>
        <w:rPr>
          <w:rFonts w:ascii="sans-serif" w:hAnsi="sans-serif"/>
          <w:color w:val="000000"/>
          <w:sz w:val="20"/>
        </w:rPr>
        <w:t>million and $54.2</w:t>
      </w:r>
      <w:r>
        <w:rPr>
          <w:rFonts w:ascii="Times New Roman" w:hAnsi="Times New Roman"/>
          <w:color w:val="000000"/>
          <w:sz w:val="20"/>
        </w:rPr>
        <w:t xml:space="preserve"> </w:t>
      </w:r>
      <w:r>
        <w:rPr>
          <w:rFonts w:ascii="sans-serif" w:hAnsi="sans-serif"/>
          <w:color w:val="000000"/>
          <w:sz w:val="20"/>
        </w:rPr>
        <w:t>million, respectively, compared to Resale revenues of $29.1</w:t>
      </w:r>
      <w:r>
        <w:rPr>
          <w:rFonts w:ascii="Times New Roman" w:hAnsi="Times New Roman"/>
          <w:color w:val="000000"/>
          <w:sz w:val="20"/>
        </w:rPr>
        <w:t xml:space="preserve"> </w:t>
      </w:r>
      <w:r>
        <w:rPr>
          <w:rFonts w:ascii="sans-serif" w:hAnsi="sans-serif"/>
          <w:color w:val="000000"/>
          <w:sz w:val="20"/>
        </w:rPr>
        <w:t>million and $59.4</w:t>
      </w:r>
      <w:r>
        <w:rPr>
          <w:rFonts w:ascii="Times New Roman" w:hAnsi="Times New Roman"/>
          <w:color w:val="000000"/>
          <w:sz w:val="20"/>
        </w:rPr>
        <w:t xml:space="preserve"> </w:t>
      </w:r>
      <w:r>
        <w:rPr>
          <w:rFonts w:ascii="sans-serif" w:hAnsi="sans-serif"/>
          <w:color w:val="000000"/>
          <w:sz w:val="20"/>
        </w:rPr>
        <w:t>million, respectively, during the three and six months ended June 30, 2025.</w:t>
      </w:r>
    </w:p>
    <w:p>
      <w:pPr>
        <w:pStyle w:val="TextBody"/>
        <w:bidi w:val="0"/>
        <w:spacing w:before="0" w:after="120"/>
        <w:jc w:val="both"/>
        <w:rPr>
          <w:rFonts w:ascii="Times New Roman" w:hAnsi="Times New Roman"/>
          <w:sz w:val="20"/>
        </w:rPr>
      </w:pPr>
      <w:r>
        <w:rPr>
          <w:rFonts w:ascii="sans-serif" w:hAnsi="sans-serif"/>
          <w:color w:val="000000"/>
          <w:sz w:val="20"/>
        </w:rPr>
        <w:t>At June 30, 2026, Deferred revenue in the Condensed Consolidated Balance Sheets was $17.3</w:t>
      </w:r>
      <w:r>
        <w:rPr>
          <w:rFonts w:ascii="Times New Roman" w:hAnsi="Times New Roman"/>
          <w:color w:val="000000"/>
          <w:sz w:val="20"/>
        </w:rPr>
        <w:t xml:space="preserve"> </w:t>
      </w:r>
      <w:r>
        <w:rPr>
          <w:rFonts w:ascii="sans-serif" w:hAnsi="sans-serif"/>
          <w:color w:val="000000"/>
          <w:sz w:val="20"/>
        </w:rPr>
        <w:t>million, which primarily relates to the Vivid Seats Rewards Program. Stamps earned under the Vivid Seats Rewards Program expire in two</w:t>
      </w:r>
      <w:r>
        <w:rPr>
          <w:rFonts w:ascii="Times New Roman" w:hAnsi="Times New Roman"/>
          <w:color w:val="000000"/>
          <w:sz w:val="20"/>
        </w:rPr>
        <w:t xml:space="preserve"> </w:t>
      </w:r>
      <w:r>
        <w:rPr>
          <w:rFonts w:ascii="sans-serif" w:hAnsi="sans-serif"/>
          <w:color w:val="000000"/>
          <w:sz w:val="20"/>
        </w:rPr>
        <w:t>to three years, if not converted to credits, and credits expire in two</w:t>
      </w:r>
      <w:r>
        <w:rPr>
          <w:rFonts w:ascii="Times New Roman" w:hAnsi="Times New Roman"/>
          <w:color w:val="000000"/>
          <w:sz w:val="20"/>
        </w:rPr>
        <w:t xml:space="preserve"> </w:t>
      </w:r>
      <w:r>
        <w:rPr>
          <w:rFonts w:ascii="sans-serif" w:hAnsi="sans-serif"/>
          <w:color w:val="000000"/>
          <w:sz w:val="20"/>
        </w:rPr>
        <w:t>to four years, if not redeemed. We expect to recognize all outstanding deferred revenue within the next seven years.</w:t>
      </w:r>
    </w:p>
    <w:p>
      <w:pPr>
        <w:pStyle w:val="TextBody"/>
        <w:bidi w:val="0"/>
        <w:spacing w:before="0" w:after="120"/>
        <w:jc w:val="both"/>
        <w:rPr>
          <w:rFonts w:ascii="Times New Roman" w:hAnsi="Times New Roman"/>
          <w:sz w:val="20"/>
        </w:rPr>
      </w:pPr>
      <w:r>
        <w:rPr>
          <w:rFonts w:ascii="sans-serif" w:hAnsi="sans-serif"/>
          <w:color w:val="000000"/>
          <w:sz w:val="20"/>
        </w:rPr>
        <w:t>At December 31, 2025, $20.0</w:t>
      </w:r>
      <w:r>
        <w:rPr>
          <w:rFonts w:ascii="Times New Roman" w:hAnsi="Times New Roman"/>
          <w:color w:val="000000"/>
          <w:sz w:val="20"/>
        </w:rPr>
        <w:t xml:space="preserve"> </w:t>
      </w:r>
      <w:r>
        <w:rPr>
          <w:rFonts w:ascii="sans-serif" w:hAnsi="sans-serif"/>
          <w:color w:val="000000"/>
          <w:sz w:val="20"/>
        </w:rPr>
        <w:t>million was recorded as Deferred revenue in the Condensed Consolidated Balance Sheets, of which $4.4</w:t>
      </w:r>
      <w:r>
        <w:rPr>
          <w:rFonts w:ascii="Times New Roman" w:hAnsi="Times New Roman"/>
          <w:color w:val="000000"/>
          <w:sz w:val="20"/>
        </w:rPr>
        <w:t xml:space="preserve"> </w:t>
      </w:r>
      <w:r>
        <w:rPr>
          <w:rFonts w:ascii="sans-serif" w:hAnsi="sans-serif"/>
          <w:color w:val="000000"/>
          <w:sz w:val="20"/>
        </w:rPr>
        <w:t>million and $9.6</w:t>
      </w:r>
      <w:r>
        <w:rPr>
          <w:rFonts w:ascii="Times New Roman" w:hAnsi="Times New Roman"/>
          <w:color w:val="000000"/>
          <w:sz w:val="20"/>
        </w:rPr>
        <w:t xml:space="preserve"> </w:t>
      </w:r>
      <w:r>
        <w:rPr>
          <w:rFonts w:ascii="sans-serif" w:hAnsi="sans-serif"/>
          <w:color w:val="000000"/>
          <w:sz w:val="20"/>
        </w:rPr>
        <w:t>million was recognized as revenue during the three and six months ended June 30, 2026, respectively.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At December 31, 2024, $23.8</w:t>
      </w:r>
      <w:r>
        <w:rPr>
          <w:rFonts w:ascii="Times New Roman" w:hAnsi="Times New Roman"/>
          <w:color w:val="000000"/>
          <w:sz w:val="20"/>
        </w:rPr>
        <w:t xml:space="preserve"> </w:t>
      </w:r>
      <w:r>
        <w:rPr>
          <w:rFonts w:ascii="sans-serif" w:hAnsi="sans-serif"/>
          <w:color w:val="000000"/>
          <w:sz w:val="20"/>
        </w:rPr>
        <w:t>million was recorded as Deferred revenue in the Condensed Consolidated Balance Sheets, of which $4.5</w:t>
      </w:r>
      <w:r>
        <w:rPr>
          <w:rFonts w:ascii="Times New Roman" w:hAnsi="Times New Roman"/>
          <w:color w:val="000000"/>
          <w:sz w:val="20"/>
        </w:rPr>
        <w:t xml:space="preserve"> </w:t>
      </w:r>
      <w:r>
        <w:rPr>
          <w:rFonts w:ascii="sans-serif" w:hAnsi="sans-serif"/>
          <w:color w:val="000000"/>
          <w:sz w:val="20"/>
        </w:rPr>
        <w:t>million and $9.7</w:t>
      </w:r>
      <w:r>
        <w:rPr>
          <w:rFonts w:ascii="Times New Roman" w:hAnsi="Times New Roman"/>
          <w:color w:val="000000"/>
          <w:sz w:val="20"/>
        </w:rPr>
        <w:t xml:space="preserve"> </w:t>
      </w:r>
      <w:r>
        <w:rPr>
          <w:rFonts w:ascii="sans-serif" w:hAnsi="sans-serif"/>
          <w:color w:val="000000"/>
          <w:sz w:val="20"/>
        </w:rPr>
        <w:t>million was</w:t>
      </w:r>
      <w:r>
        <w:rPr>
          <w:rFonts w:ascii="Times New Roman" w:hAnsi="Times New Roman"/>
          <w:color w:val="000000"/>
          <w:sz w:val="20"/>
        </w:rPr>
        <w:t xml:space="preserve"> </w:t>
      </w:r>
      <w:r>
        <w:rPr>
          <w:rFonts w:ascii="sans-serif" w:hAnsi="sans-serif"/>
          <w:color w:val="000000"/>
          <w:sz w:val="20"/>
        </w:rPr>
        <w:t>recognized as revenue during the three and six months ended June 30, 2025, respectively.</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4. Segment Reporting</w:t>
      </w:r>
    </w:p>
    <w:p>
      <w:pPr>
        <w:pStyle w:val="TextBody"/>
        <w:bidi w:val="0"/>
        <w:spacing w:before="0" w:after="120"/>
        <w:jc w:val="both"/>
        <w:rPr>
          <w:rFonts w:ascii="Times New Roman" w:hAnsi="Times New Roman"/>
          <w:sz w:val="20"/>
        </w:rPr>
      </w:pPr>
      <w:r>
        <w:rPr>
          <w:rFonts w:ascii="sans-serif" w:hAnsi="sans-serif"/>
          <w:color w:val="000000"/>
          <w:sz w:val="20"/>
        </w:rPr>
        <w:t>Operating segments are defined as components of an entity for which discrete financial information is available and is regularly reviewed by the entity’s Chief Operating Decision Maker (“</w:t>
      </w:r>
      <w:r>
        <w:rPr>
          <w:rFonts w:ascii="sans-serif" w:hAnsi="sans-serif"/>
          <w:color w:val="000000"/>
          <w:sz w:val="20"/>
          <w:u w:val="single"/>
        </w:rPr>
        <w:t>CODM</w:t>
      </w:r>
      <w:r>
        <w:rPr>
          <w:rFonts w:ascii="Times New Roman" w:hAnsi="Times New Roman"/>
          <w:color w:val="000000"/>
          <w:sz w:val="20"/>
        </w:rPr>
        <w:t>”</w:t>
      </w:r>
      <w:r>
        <w:rPr>
          <w:rFonts w:ascii="sans-serif" w:hAnsi="sans-serif"/>
          <w:color w:val="000000"/>
          <w:sz w:val="20"/>
        </w:rPr>
        <w:t>) in making decisions regarding resource allocation and performance assessment. Our CODM is our Chief Executive Officer.</w:t>
      </w:r>
    </w:p>
    <w:p>
      <w:pPr>
        <w:pStyle w:val="TextBody"/>
        <w:bidi w:val="0"/>
        <w:spacing w:before="0" w:after="120"/>
        <w:jc w:val="both"/>
        <w:rPr>
          <w:rFonts w:ascii="Times New Roman" w:hAnsi="Times New Roman"/>
          <w:sz w:val="20"/>
        </w:rPr>
      </w:pPr>
      <w:r>
        <w:rPr>
          <w:rFonts w:ascii="sans-serif" w:hAnsi="sans-serif"/>
          <w:color w:val="000000"/>
          <w:sz w:val="20"/>
        </w:rPr>
        <w:t>We have determined that we have two</w:t>
      </w:r>
      <w:r>
        <w:rPr>
          <w:rFonts w:ascii="Times New Roman" w:hAnsi="Times New Roman"/>
          <w:color w:val="000000"/>
          <w:sz w:val="20"/>
        </w:rPr>
        <w:t xml:space="preserve"> </w:t>
      </w:r>
      <w:r>
        <w:rPr>
          <w:rFonts w:ascii="sans-serif" w:hAnsi="sans-serif"/>
          <w:color w:val="000000"/>
          <w:sz w:val="20"/>
        </w:rPr>
        <w:t>operating and reportable segments: Marketplace and Resale. 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 In our Resale segment, we primarily acquire tickets to resell on secondary ticket marketplaces, including our own.</w:t>
      </w:r>
    </w:p>
    <w:p>
      <w:pPr>
        <w:pStyle w:val="TextBody"/>
        <w:bidi w:val="0"/>
        <w:spacing w:before="0" w:after="120"/>
        <w:jc w:val="both"/>
        <w:rPr>
          <w:rFonts w:ascii="sans-serif" w:hAnsi="sans-serif"/>
          <w:color w:val="000000"/>
          <w:sz w:val="20"/>
        </w:rPr>
      </w:pPr>
      <w:r>
        <w:rPr>
          <w:rFonts w:ascii="sans-serif" w:hAnsi="sans-serif"/>
          <w:color w:val="000000"/>
          <w:sz w:val="20"/>
        </w:rPr>
        <w:t>For both segments, our CODM uses contribution margin (defined as revenues less cost of revenues and marketing and selling expenses) as a means to allocate resources, evaluate performance, and make strategic decisions during the annual budgeting and forecasting process. Contribution margin forms the basis for measuring trends in performance and comparing the relative potential of various initiatives.</w:t>
      </w:r>
    </w:p>
    <w:p>
      <w:pPr>
        <w:pStyle w:val="TextBody"/>
        <w:bidi w:val="0"/>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Cost of revenues largely consist of payment processing fees for our Marketplace segment and ticket costs for our Resale segment. Marketing and selling expenses, which relate entirely to our Marketplace segment, consist almost entirely of advertising costs. Most advertising costs are aimed towards acquiring new customers online through paid search engine marketing, fees paid to our advertising affiliates and distributors, and other various digital marketing activities. However, to a lesser extent, advertising costs are also aimed towards acquiring new customers offline through traditional media channels, advertising agency costs, and partnership expenses with sports teams and other media partners.</w:t>
      </w:r>
    </w:p>
    <w:p>
      <w:pPr>
        <w:pStyle w:val="TextBody"/>
        <w:bidi w:val="0"/>
        <w:spacing w:before="0" w:after="120"/>
        <w:jc w:val="both"/>
        <w:rPr>
          <w:rFonts w:ascii="sans-serif" w:hAnsi="sans-serif"/>
          <w:color w:val="000000"/>
          <w:sz w:val="20"/>
        </w:rPr>
      </w:pPr>
      <w:r>
        <w:rPr>
          <w:rFonts w:ascii="sans-serif" w:hAnsi="sans-serif"/>
          <w:color w:val="000000"/>
          <w:sz w:val="20"/>
        </w:rPr>
        <w:t>We do not report our assets, capital expenditures, general and administrative expenses, or depreciation and amortization expenses by segment because our CODM does not use this information to evaluate the performance of our operating segments.</w:t>
      </w:r>
    </w:p>
    <w:p>
      <w:pPr>
        <w:pStyle w:val="TextBody"/>
        <w:bidi w:val="0"/>
        <w:spacing w:before="0" w:after="120"/>
        <w:jc w:val="both"/>
        <w:rPr>
          <w:rFonts w:ascii="sans-serif" w:hAnsi="sans-serif"/>
          <w:color w:val="000000"/>
          <w:sz w:val="20"/>
        </w:rPr>
      </w:pPr>
      <w:r>
        <w:rPr>
          <w:rFonts w:ascii="sans-serif" w:hAnsi="sans-serif"/>
          <w:color w:val="000000"/>
          <w:sz w:val="20"/>
        </w:rPr>
        <w:t>The following tables summarize our segment information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543"/>
        <w:gridCol w:w="146"/>
        <w:gridCol w:w="250"/>
        <w:gridCol w:w="981"/>
        <w:gridCol w:w="146"/>
        <w:gridCol w:w="146"/>
        <w:gridCol w:w="226"/>
        <w:gridCol w:w="766"/>
        <w:gridCol w:w="146"/>
        <w:gridCol w:w="146"/>
        <w:gridCol w:w="226"/>
        <w:gridCol w:w="886"/>
        <w:gridCol w:w="181"/>
        <w:gridCol w:w="146"/>
        <w:gridCol w:w="250"/>
        <w:gridCol w:w="981"/>
        <w:gridCol w:w="146"/>
        <w:gridCol w:w="146"/>
        <w:gridCol w:w="226"/>
        <w:gridCol w:w="766"/>
        <w:gridCol w:w="146"/>
        <w:gridCol w:w="146"/>
        <w:gridCol w:w="226"/>
        <w:gridCol w:w="886"/>
        <w:gridCol w:w="351"/>
      </w:tblGrid>
      <w:tr>
        <w:trPr/>
        <w:tc>
          <w:tcPr>
            <w:tcW w:w="1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103,948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129,861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54,169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255,644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Cost of revenues (exclusive of depreciation and amortization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38,642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77,837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Marketing and 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Online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97,424</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Offline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2,307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5,280</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marketing and 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52,753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Contribution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38,466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64,709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75,103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65,706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24,626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(6,441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(15,229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Interest expense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11,986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expense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(13,441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(29,230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jc w:val="both"/>
        <w:rPr/>
      </w:pPr>
      <w:r>
        <w:rPr/>
        <w:t> </w:t>
      </w:r>
    </w:p>
    <w:tbl>
      <w:tblPr>
        <w:tblW w:w="10238" w:type="dxa"/>
        <w:jc w:val="left"/>
        <w:tblInd w:w="0" w:type="dxa"/>
        <w:tblLayout w:type="fixed"/>
        <w:tblCellMar>
          <w:top w:w="28" w:type="dxa"/>
          <w:left w:w="28" w:type="dxa"/>
          <w:bottom w:w="28" w:type="dxa"/>
          <w:right w:w="28" w:type="dxa"/>
        </w:tblCellMar>
      </w:tblPr>
      <w:tblGrid>
        <w:gridCol w:w="1426"/>
        <w:gridCol w:w="146"/>
        <w:gridCol w:w="250"/>
        <w:gridCol w:w="981"/>
        <w:gridCol w:w="146"/>
        <w:gridCol w:w="146"/>
        <w:gridCol w:w="226"/>
        <w:gridCol w:w="766"/>
        <w:gridCol w:w="146"/>
        <w:gridCol w:w="146"/>
        <w:gridCol w:w="226"/>
        <w:gridCol w:w="961"/>
        <w:gridCol w:w="181"/>
        <w:gridCol w:w="146"/>
        <w:gridCol w:w="250"/>
        <w:gridCol w:w="981"/>
        <w:gridCol w:w="146"/>
        <w:gridCol w:w="146"/>
        <w:gridCol w:w="226"/>
        <w:gridCol w:w="766"/>
        <w:gridCol w:w="146"/>
        <w:gridCol w:w="146"/>
        <w:gridCol w:w="226"/>
        <w:gridCol w:w="961"/>
        <w:gridCol w:w="35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114,478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29,088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143,566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248,218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59,371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307,589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Cost of revenues (exclusive of depreciation and amortization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42,429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86,954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Marketing and 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Online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107,829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107,829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Offline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10,083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marketing and 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53,800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117,912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Contribution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42,516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47,337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102,723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94,354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23,966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(331,725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(336,046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Interest expense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11,299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income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(150,197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(154,351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(187,162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(193,795</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Substantially all of our sales occur and assets reside in the United States.</w:t>
      </w:r>
    </w:p>
    <w:p>
      <w:pPr>
        <w:pStyle w:val="TextBody"/>
        <w:bidi w:val="0"/>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Times New Roman" w:hAnsi="Times New Roman"/>
          <w:sz w:val="20"/>
        </w:rPr>
      </w:pPr>
      <w:r>
        <w:rPr>
          <w:rFonts w:ascii="sans-serif" w:hAnsi="sans-serif"/>
          <w:b/>
          <w:smallCaps/>
          <w:color w:val="000000"/>
          <w:sz w:val="20"/>
        </w:rPr>
        <w:t xml:space="preserve">5. Accounts Receivable </w:t>
      </w:r>
      <w:r>
        <w:rPr>
          <w:rFonts w:ascii="sans-serif" w:hAnsi="sans-serif"/>
          <w:b/>
          <w:color w:val="000000"/>
          <w:sz w:val="20"/>
        </w:rPr>
        <w:t>-</w:t>
      </w:r>
      <w:r>
        <w:rPr>
          <w:rFonts w:ascii="Times New Roman" w:hAnsi="Times New Roman"/>
          <w:smallCaps/>
          <w:color w:val="000000"/>
          <w:sz w:val="20"/>
        </w:rPr>
        <w:t xml:space="preserve"> </w:t>
      </w:r>
      <w:r>
        <w:rPr>
          <w:rFonts w:ascii="sans-serif" w:hAnsi="sans-serif"/>
          <w:b/>
          <w:smallCaps/>
          <w:color w:val="000000"/>
          <w:sz w:val="20"/>
        </w:rPr>
        <w:t>Net</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the major components of Accounts receivable – net at June 30, 2026 and December 31, 2025 (in thousands):</w:t>
      </w:r>
    </w:p>
    <w:tbl>
      <w:tblPr>
        <w:tblW w:w="8922" w:type="dxa"/>
        <w:jc w:val="left"/>
        <w:tblInd w:w="0" w:type="dxa"/>
        <w:tblLayout w:type="fixed"/>
        <w:tblCellMar>
          <w:top w:w="28" w:type="dxa"/>
          <w:left w:w="28" w:type="dxa"/>
          <w:bottom w:w="28" w:type="dxa"/>
          <w:right w:w="28" w:type="dxa"/>
        </w:tblCellMar>
      </w:tblPr>
      <w:tblGrid>
        <w:gridCol w:w="5476"/>
        <w:gridCol w:w="146"/>
        <w:gridCol w:w="241"/>
        <w:gridCol w:w="856"/>
        <w:gridCol w:w="181"/>
        <w:gridCol w:w="146"/>
        <w:gridCol w:w="362"/>
        <w:gridCol w:w="1288"/>
        <w:gridCol w:w="226"/>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Uncollateralized payment processor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Due from ticket sellers for cancellation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Due from distribution partners for cancellation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Event insurance and other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6,369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59,110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43,527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(12,863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Accounts receivable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45,036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30,664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sans-serif" w:hAnsi="sans-serif"/>
          <w:color w:val="000000"/>
          <w:sz w:val="20"/>
        </w:rPr>
        <w:t>Accounts receivable is recorded net of the cumulative allowance for credit losses. As of June 30, 2026 and December 31, 2025, we recorded a cumulative allowance for credit losses of $14.1</w:t>
      </w:r>
      <w:r>
        <w:rPr>
          <w:rFonts w:ascii="Times New Roman" w:hAnsi="Times New Roman"/>
          <w:color w:val="000000"/>
          <w:sz w:val="20"/>
        </w:rPr>
        <w:t xml:space="preserve"> </w:t>
      </w:r>
      <w:r>
        <w:rPr>
          <w:rFonts w:ascii="sans-serif" w:hAnsi="sans-serif"/>
          <w:color w:val="000000"/>
          <w:sz w:val="20"/>
        </w:rPr>
        <w:t>million and $12.9</w:t>
      </w:r>
      <w:r>
        <w:rPr>
          <w:rFonts w:ascii="Times New Roman" w:hAnsi="Times New Roman"/>
          <w:color w:val="000000"/>
          <w:sz w:val="20"/>
        </w:rPr>
        <w:t xml:space="preserve"> </w:t>
      </w:r>
      <w:r>
        <w:rPr>
          <w:rFonts w:ascii="sans-serif" w:hAnsi="sans-serif"/>
          <w:color w:val="000000"/>
          <w:sz w:val="20"/>
        </w:rPr>
        <w:t>million, respectively, to reflect potential challenges in collecting funds from distribution partners and ticket sellers, particularly for amounts due upon usage of store credit previously issued to ticket buyers.</w:t>
      </w:r>
    </w:p>
    <w:p>
      <w:pPr>
        <w:pStyle w:val="TextBody"/>
        <w:bidi w:val="0"/>
        <w:spacing w:before="0" w:after="120"/>
        <w:jc w:val="both"/>
        <w:rPr>
          <w:rFonts w:ascii="Times New Roman" w:hAnsi="Times New Roman"/>
          <w:sz w:val="20"/>
        </w:rPr>
      </w:pPr>
      <w:r>
        <w:rPr>
          <w:rFonts w:ascii="sans-serif" w:hAnsi="sans-serif"/>
          <w:color w:val="000000"/>
          <w:sz w:val="20"/>
        </w:rPr>
        <w:t>We wrote off $0.1</w:t>
      </w:r>
      <w:r>
        <w:rPr>
          <w:rFonts w:ascii="Times New Roman" w:hAnsi="Times New Roman"/>
          <w:color w:val="000000"/>
          <w:sz w:val="20"/>
        </w:rPr>
        <w:t xml:space="preserve"> </w:t>
      </w:r>
      <w:r>
        <w:rPr>
          <w:rFonts w:ascii="sans-serif" w:hAnsi="sans-serif"/>
          <w:color w:val="000000"/>
          <w:sz w:val="20"/>
        </w:rPr>
        <w:t>million for uncollectible accounts receivable balances during the three and six months ended June 30, 2025. There were no</w:t>
      </w:r>
      <w:r>
        <w:rPr>
          <w:rFonts w:ascii="Times New Roman" w:hAnsi="Times New Roman"/>
          <w:color w:val="000000"/>
          <w:sz w:val="20"/>
        </w:rPr>
        <w:t xml:space="preserve"> </w:t>
      </w:r>
      <w:r>
        <w:rPr>
          <w:rFonts w:ascii="sans-serif" w:hAnsi="sans-serif"/>
          <w:color w:val="000000"/>
          <w:sz w:val="20"/>
        </w:rPr>
        <w:t>write-offs for uncollectible accounts receivable balances during the three and six months ended June 30, 2026.</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6. Prepaid Expenses and Other Current Assets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the major components of Prepaid expenses and other current assets at June 30, 2026 and December 31, 2025 (in thousands):</w:t>
      </w:r>
    </w:p>
    <w:tbl>
      <w:tblPr>
        <w:tblW w:w="8252" w:type="dxa"/>
        <w:jc w:val="left"/>
        <w:tblInd w:w="0" w:type="dxa"/>
        <w:tblLayout w:type="fixed"/>
        <w:tblCellMar>
          <w:top w:w="28" w:type="dxa"/>
          <w:left w:w="28" w:type="dxa"/>
          <w:bottom w:w="28" w:type="dxa"/>
          <w:right w:w="28" w:type="dxa"/>
        </w:tblCellMar>
      </w:tblPr>
      <w:tblGrid>
        <w:gridCol w:w="4876"/>
        <w:gridCol w:w="146"/>
        <w:gridCol w:w="241"/>
        <w:gridCol w:w="856"/>
        <w:gridCol w:w="146"/>
        <w:gridCol w:w="146"/>
        <w:gridCol w:w="362"/>
        <w:gridCol w:w="1288"/>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Recovery of future customer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26,336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sans-serif" w:hAnsi="sans-serif"/>
          <w:color w:val="000000"/>
          <w:sz w:val="20"/>
        </w:rPr>
        <w:t>Recovery of future customer compensation represents expected recoveries of compensation to be paid to customers for event cancellations or other service issues related to previously recorded sales transactions. Recovery of future customer compensation costs increased by $3.7</w:t>
      </w:r>
      <w:r>
        <w:rPr>
          <w:rFonts w:ascii="Times New Roman" w:hAnsi="Times New Roman"/>
          <w:color w:val="000000"/>
          <w:sz w:val="20"/>
        </w:rPr>
        <w:t xml:space="preserve"> </w:t>
      </w:r>
      <w:r>
        <w:rPr>
          <w:rFonts w:ascii="sans-serif" w:hAnsi="sans-serif"/>
          <w:color w:val="000000"/>
          <w:sz w:val="20"/>
        </w:rPr>
        <w:t>million between June 30, 2026 and December 31, 2025, primarily due to an increase in estimated future event cancellations. A related provision for expected compensation to customers is recorded in Accrued expenses and other current liabilities in the Condensed Consolidated Balance Sheets.</w:t>
      </w:r>
    </w:p>
    <w:p>
      <w:pPr>
        <w:pStyle w:val="TextBody"/>
        <w:bidi w:val="0"/>
        <w:spacing w:before="0" w:after="120"/>
        <w:jc w:val="both"/>
        <w:rPr>
          <w:rFonts w:ascii="Times New Roman" w:hAnsi="Times New Roman"/>
          <w:sz w:val="20"/>
        </w:rPr>
      </w:pPr>
      <w:r>
        <w:rPr>
          <w:rFonts w:ascii="sans-serif" w:hAnsi="sans-serif"/>
          <w:color w:val="000000"/>
          <w:sz w:val="20"/>
        </w:rPr>
        <w:t>Other current assets increased by $10.7</w:t>
      </w:r>
      <w:r>
        <w:rPr>
          <w:rFonts w:ascii="Times New Roman" w:hAnsi="Times New Roman"/>
          <w:color w:val="000000"/>
          <w:sz w:val="20"/>
        </w:rPr>
        <w:t xml:space="preserve"> </w:t>
      </w:r>
      <w:r>
        <w:rPr>
          <w:rFonts w:ascii="sans-serif" w:hAnsi="sans-serif"/>
          <w:color w:val="000000"/>
          <w:sz w:val="20"/>
        </w:rPr>
        <w:t>million between June 30, 2026 and December 31, 2025, primarily due to the deferral of costs directly attributable to certain contemplated debt transactions.</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7. Goodwill – Net and Intangible Assets – Net</w:t>
      </w:r>
    </w:p>
    <w:p>
      <w:pPr>
        <w:pStyle w:val="TextBody"/>
        <w:bidi w:val="0"/>
        <w:spacing w:before="0" w:after="120"/>
        <w:jc w:val="both"/>
        <w:rPr>
          <w:rFonts w:ascii="sans-serif" w:hAnsi="sans-serif"/>
          <w:b/>
          <w:color w:val="000000"/>
          <w:sz w:val="20"/>
        </w:rPr>
      </w:pPr>
      <w:r>
        <w:rPr>
          <w:rFonts w:ascii="sans-serif" w:hAnsi="sans-serif"/>
          <w:b/>
          <w:color w:val="000000"/>
          <w:sz w:val="20"/>
        </w:rPr>
        <w:t>Goodwill – Net</w:t>
      </w:r>
    </w:p>
    <w:p>
      <w:pPr>
        <w:pStyle w:val="TextBody"/>
        <w:bidi w:val="0"/>
        <w:spacing w:before="0" w:after="120"/>
        <w:jc w:val="both"/>
        <w:rPr>
          <w:rFonts w:ascii="Times New Roman" w:hAnsi="Times New Roman"/>
          <w:sz w:val="20"/>
        </w:rPr>
      </w:pPr>
      <w:r>
        <w:rPr>
          <w:rFonts w:ascii="sans-serif" w:hAnsi="sans-serif"/>
          <w:color w:val="000000"/>
          <w:sz w:val="20"/>
        </w:rPr>
        <w:t>Goodwill, which derives from our business combinations, is recorded net of accumulated impairment charges and foreign currency translation adjustments. Since our goodwill relates entirely to our Marketplace segment, there is only one reporting unit (the “</w:t>
      </w:r>
      <w:r>
        <w:rPr>
          <w:rFonts w:ascii="sans-serif" w:hAnsi="sans-serif"/>
          <w:color w:val="000000"/>
          <w:sz w:val="20"/>
          <w:u w:val="single"/>
        </w:rPr>
        <w:t>Marketplace Reporting Unit</w:t>
      </w:r>
      <w:r>
        <w:rPr>
          <w:rFonts w:ascii="Times New Roman" w:hAnsi="Times New Roman"/>
          <w:color w:val="000000"/>
          <w:sz w:val="20"/>
        </w:rPr>
        <w:t>”</w:t>
      </w:r>
      <w:r>
        <w:rPr>
          <w:rFonts w:ascii="sans-serif" w:hAnsi="sans-serif"/>
          <w:color w:val="000000"/>
          <w:sz w:val="20"/>
        </w:rPr>
        <w:t>) that is relevant for the purpose of performing impairment assessments.</w:t>
      </w:r>
    </w:p>
    <w:p>
      <w:pPr>
        <w:pStyle w:val="TextBody"/>
        <w:bidi w:val="0"/>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Goodwill is not subject to amortization and is reviewed for impairment annually, or more frequently if events or changes in circumstances indicate an impairment may have occurred. If we determine that it is more likely than not that the fair value of our goodwill is less than its carrying value, we then perform a quantitative assessment. Based upon the results of that assessment, if the carrying value of our goodwill exceeds its fair value, (i) the recorded goodwill will be written down and (ii) a non-cash impairment expense will be recorded in the Consolidated Statements of Operations.</w:t>
      </w:r>
    </w:p>
    <w:p>
      <w:pPr>
        <w:pStyle w:val="TextBody"/>
        <w:bidi w:val="0"/>
        <w:spacing w:before="0" w:after="120"/>
        <w:jc w:val="both"/>
        <w:rPr>
          <w:rFonts w:ascii="Times New Roman" w:hAnsi="Times New Roman"/>
          <w:sz w:val="20"/>
        </w:rPr>
      </w:pPr>
      <w:r>
        <w:rPr>
          <w:rFonts w:ascii="sans-serif" w:hAnsi="sans-serif"/>
          <w:color w:val="000000"/>
          <w:sz w:val="20"/>
        </w:rPr>
        <w:t>As discussed in our 2025 Form 10-K, during the year ended December 31, 2025, we determined that the estimated fair value of the Marketplace Reporting Unit was lower than its carrying value. Consequently, during the year ended December 31, 2025, we recognized a non-cash impairment expense of $660.7</w:t>
      </w:r>
      <w:r>
        <w:rPr>
          <w:rFonts w:ascii="Times New Roman" w:hAnsi="Times New Roman"/>
          <w:color w:val="000000"/>
          <w:sz w:val="20"/>
        </w:rPr>
        <w:t xml:space="preserve"> </w:t>
      </w:r>
      <w:r>
        <w:rPr>
          <w:rFonts w:ascii="sans-serif" w:hAnsi="sans-serif"/>
          <w:color w:val="000000"/>
          <w:sz w:val="20"/>
        </w:rPr>
        <w:t>million related to our goodwill, $297.4</w:t>
      </w:r>
      <w:r>
        <w:rPr>
          <w:rFonts w:ascii="Times New Roman" w:hAnsi="Times New Roman"/>
          <w:color w:val="000000"/>
          <w:sz w:val="20"/>
        </w:rPr>
        <w:t xml:space="preserve"> </w:t>
      </w:r>
      <w:r>
        <w:rPr>
          <w:rFonts w:ascii="sans-serif" w:hAnsi="sans-serif"/>
          <w:color w:val="000000"/>
          <w:sz w:val="20"/>
        </w:rPr>
        <w:t>million of which was recognized as of June 30, 2025 and $363.3</w:t>
      </w:r>
      <w:r>
        <w:rPr>
          <w:rFonts w:ascii="Times New Roman" w:hAnsi="Times New Roman"/>
          <w:color w:val="000000"/>
          <w:sz w:val="20"/>
        </w:rPr>
        <w:t xml:space="preserve"> </w:t>
      </w:r>
      <w:r>
        <w:rPr>
          <w:rFonts w:ascii="sans-serif" w:hAnsi="sans-serif"/>
          <w:color w:val="000000"/>
          <w:sz w:val="20"/>
        </w:rPr>
        <w:t>million of which was recognized as of October 31, 2025. At December 31, 2025, accumulated impairment charges related to our goodwill were $1,037.8</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0" w:after="120"/>
        <w:jc w:val="both"/>
        <w:rPr>
          <w:rFonts w:ascii="sans-serif" w:hAnsi="sans-serif"/>
          <w:color w:val="000000"/>
          <w:sz w:val="20"/>
        </w:rPr>
      </w:pPr>
      <w:r>
        <w:rPr>
          <w:rFonts w:ascii="sans-serif" w:hAnsi="sans-serif"/>
          <w:color w:val="000000"/>
          <w:sz w:val="20"/>
        </w:rPr>
        <w:t>The following table summarizes the changes in the carrying amount of goodwill during the six months ended June 30, 2026 (in thousands):</w:t>
      </w:r>
    </w:p>
    <w:tbl>
      <w:tblPr>
        <w:tblW w:w="6945" w:type="dxa"/>
        <w:jc w:val="left"/>
        <w:tblInd w:w="0" w:type="dxa"/>
        <w:tblLayout w:type="fixed"/>
        <w:tblCellMar>
          <w:top w:w="28" w:type="dxa"/>
          <w:left w:w="28" w:type="dxa"/>
          <w:bottom w:w="28" w:type="dxa"/>
          <w:right w:w="28" w:type="dxa"/>
        </w:tblCellMar>
      </w:tblPr>
      <w:tblGrid>
        <w:gridCol w:w="5131"/>
        <w:gridCol w:w="146"/>
        <w:gridCol w:w="241"/>
        <w:gridCol w:w="1201"/>
        <w:gridCol w:w="226"/>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Gross goodwill 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1,321,686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(1,037,771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Goodwill – net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283,915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Goodwill – net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283,468</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During the six months ended June 30, 2026, there were no changes in the accumulated impairment charges related to our goodwill.</w:t>
      </w:r>
    </w:p>
    <w:p>
      <w:pPr>
        <w:pStyle w:val="TextBody"/>
        <w:bidi w:val="0"/>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b/>
          <w:color w:val="000000"/>
          <w:sz w:val="20"/>
        </w:rPr>
      </w:pPr>
      <w:r>
        <w:rPr>
          <w:rFonts w:ascii="sans-serif" w:hAnsi="sans-serif"/>
          <w:b/>
          <w:color w:val="000000"/>
          <w:sz w:val="20"/>
        </w:rPr>
        <w:t>Intangible Assets – Net</w:t>
      </w:r>
    </w:p>
    <w:p>
      <w:pPr>
        <w:pStyle w:val="TextBody"/>
        <w:bidi w:val="0"/>
        <w:spacing w:before="0" w:after="120"/>
        <w:jc w:val="both"/>
        <w:rPr>
          <w:rFonts w:ascii="sans-serif" w:hAnsi="sans-serif"/>
          <w:color w:val="000000"/>
          <w:sz w:val="20"/>
        </w:rPr>
      </w:pPr>
      <w:r>
        <w:rPr>
          <w:rFonts w:ascii="sans-serif" w:hAnsi="sans-serif"/>
          <w:color w:val="000000"/>
          <w:sz w:val="20"/>
        </w:rPr>
        <w:t>The following table summarizes the carrying amount of our intangible assets at June 30, 2026 and December 31, 2025 (in thousands):</w:t>
      </w:r>
    </w:p>
    <w:tbl>
      <w:tblPr>
        <w:tblW w:w="8967" w:type="dxa"/>
        <w:jc w:val="left"/>
        <w:tblInd w:w="0" w:type="dxa"/>
        <w:tblLayout w:type="fixed"/>
        <w:tblCellMar>
          <w:top w:w="28" w:type="dxa"/>
          <w:left w:w="28" w:type="dxa"/>
          <w:bottom w:w="28" w:type="dxa"/>
          <w:right w:w="28" w:type="dxa"/>
        </w:tblCellMar>
      </w:tblPr>
      <w:tblGrid>
        <w:gridCol w:w="5081"/>
        <w:gridCol w:w="146"/>
        <w:gridCol w:w="241"/>
        <w:gridCol w:w="1081"/>
        <w:gridCol w:w="196"/>
        <w:gridCol w:w="146"/>
        <w:gridCol w:w="300"/>
        <w:gridCol w:w="1350"/>
        <w:gridCol w:w="426"/>
      </w:tblGrid>
      <w:tr>
        <w:trPr/>
        <w:tc>
          <w:tcPr>
            <w:tcW w:w="5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Supplier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57,123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57,123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34,620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34,620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Acquired 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29,290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Capitalized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71,201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63,835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Capitalized development costs – 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Acquired Domain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17,348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Seat images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20"/>
              </w:rPr>
            </w:pPr>
            <w:r>
              <w:rPr>
                <w:rFonts w:ascii="sans-serif" w:hAnsi="sans-serif"/>
                <w:b/>
                <w:color w:val="000000"/>
                <w:sz w:val="20"/>
              </w:rPr>
              <w:t>Total gross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212,831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207,477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Supplier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(29,266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(24,603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Acquired 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(18,109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Capitalized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(48,362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(41,098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Acquired Domain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Seat images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20"/>
              </w:rPr>
            </w:pPr>
            <w:r>
              <w:rPr>
                <w:rFonts w:ascii="sans-serif" w:hAnsi="sans-serif"/>
                <w:b/>
                <w:color w:val="000000"/>
                <w:sz w:val="20"/>
              </w:rPr>
              <w:t>Total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(136,675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(114,015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110,538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110,538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(62,352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(62,352</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Intangible assets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124,168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141,528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b/>
          <w:i/>
          <w:color w:val="000000"/>
          <w:sz w:val="20"/>
        </w:rPr>
      </w:pPr>
      <w:r>
        <w:rPr>
          <w:rFonts w:ascii="sans-serif" w:hAnsi="sans-serif"/>
          <w:b/>
          <w:i/>
          <w:color w:val="000000"/>
          <w:sz w:val="20"/>
        </w:rPr>
        <w:t>Definite-Lived Intangible Assets</w:t>
      </w:r>
    </w:p>
    <w:p>
      <w:pPr>
        <w:pStyle w:val="TextBody"/>
        <w:bidi w:val="0"/>
        <w:spacing w:before="0" w:after="120"/>
        <w:jc w:val="both"/>
        <w:rPr>
          <w:rFonts w:ascii="Times New Roman" w:hAnsi="Times New Roman"/>
          <w:sz w:val="20"/>
        </w:rPr>
      </w:pPr>
      <w:r>
        <w:rPr>
          <w:rFonts w:ascii="sans-serif" w:hAnsi="sans-serif"/>
          <w:color w:val="000000"/>
          <w:sz w:val="20"/>
        </w:rPr>
        <w:t>Definite-lived intangible assets, which primarily derive from acquisitions and internal strategic investments, are recorded net of accumulated amortization and foreign currency translation adjustments.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In 2024, we acquired a domain name that we had previously licensed (the “</w:t>
      </w:r>
      <w:r>
        <w:rPr>
          <w:rFonts w:ascii="sans-serif" w:hAnsi="sans-serif"/>
          <w:color w:val="000000"/>
          <w:sz w:val="20"/>
          <w:u w:val="single"/>
        </w:rPr>
        <w:t>Acquired Domain Name</w:t>
      </w:r>
      <w:r>
        <w:rPr>
          <w:rFonts w:ascii="Times New Roman" w:hAnsi="Times New Roman"/>
          <w:color w:val="000000"/>
          <w:sz w:val="20"/>
        </w:rPr>
        <w:t>”</w:t>
      </w:r>
      <w:r>
        <w:rPr>
          <w:rFonts w:ascii="sans-serif" w:hAnsi="sans-serif"/>
          <w:color w:val="000000"/>
          <w:sz w:val="20"/>
        </w:rPr>
        <w:t>). In exchange for the Acquired Domain Name, we are required to disburse monthly interest-free cash payments totaling $31.4</w:t>
      </w:r>
      <w:r>
        <w:rPr>
          <w:rFonts w:ascii="Times New Roman" w:hAnsi="Times New Roman"/>
          <w:color w:val="000000"/>
          <w:sz w:val="20"/>
        </w:rPr>
        <w:t xml:space="preserve"> </w:t>
      </w:r>
      <w:r>
        <w:rPr>
          <w:rFonts w:ascii="sans-serif" w:hAnsi="sans-serif"/>
          <w:color w:val="000000"/>
          <w:sz w:val="20"/>
        </w:rPr>
        <w:t>million through June 2040 (the “</w:t>
      </w:r>
      <w:r>
        <w:rPr>
          <w:rFonts w:ascii="sans-serif" w:hAnsi="sans-serif"/>
          <w:color w:val="000000"/>
          <w:sz w:val="20"/>
          <w:u w:val="single"/>
        </w:rPr>
        <w:t>Acquired Domain Name Obligation</w:t>
      </w:r>
      <w:r>
        <w:rPr>
          <w:rFonts w:ascii="Times New Roman" w:hAnsi="Times New Roman"/>
          <w:color w:val="000000"/>
          <w:sz w:val="20"/>
        </w:rPr>
        <w:t>”</w:t>
      </w:r>
      <w:r>
        <w:rPr>
          <w:rFonts w:ascii="sans-serif" w:hAnsi="sans-serif"/>
          <w:color w:val="000000"/>
          <w:sz w:val="20"/>
        </w:rPr>
        <w:t>).</w:t>
      </w:r>
    </w:p>
    <w:p>
      <w:pPr>
        <w:pStyle w:val="TextBody"/>
        <w:bidi w:val="0"/>
        <w:spacing w:before="0" w:after="120"/>
        <w:jc w:val="both"/>
        <w:rPr>
          <w:rFonts w:ascii="Times New Roman" w:hAnsi="Times New Roman"/>
          <w:sz w:val="20"/>
        </w:rPr>
      </w:pPr>
      <w:r>
        <w:rPr>
          <w:rFonts w:ascii="sans-serif" w:hAnsi="sans-serif"/>
          <w:color w:val="000000"/>
          <w:sz w:val="20"/>
        </w:rPr>
        <w:t xml:space="preserve">We account for the Acquired Domain Name as a definite-lived intangible asset under ASC Topic 350, </w:t>
      </w:r>
      <w:r>
        <w:rPr>
          <w:rFonts w:ascii="sans-serif" w:hAnsi="sans-serif"/>
          <w:i/>
          <w:color w:val="000000"/>
          <w:sz w:val="20"/>
        </w:rPr>
        <w:t>Intangibles—Goodwill and Other</w:t>
      </w:r>
      <w:r>
        <w:rPr>
          <w:rFonts w:ascii="sans-serif" w:hAnsi="sans-serif"/>
          <w:color w:val="000000"/>
          <w:sz w:val="20"/>
        </w:rPr>
        <w:t>. The purchase price of the Acquired Domain Name was $17.3</w:t>
      </w:r>
      <w:r>
        <w:rPr>
          <w:rFonts w:ascii="Times New Roman" w:hAnsi="Times New Roman"/>
          <w:color w:val="000000"/>
          <w:sz w:val="20"/>
        </w:rPr>
        <w:t xml:space="preserve"> </w:t>
      </w:r>
      <w:r>
        <w:rPr>
          <w:rFonts w:ascii="sans-serif" w:hAnsi="sans-serif"/>
          <w:color w:val="000000"/>
          <w:sz w:val="20"/>
        </w:rPr>
        <w:t>million, which will be amortized over a total period of 15.6</w:t>
      </w:r>
      <w:r>
        <w:rPr>
          <w:rFonts w:ascii="Times New Roman" w:hAnsi="Times New Roman"/>
          <w:color w:val="000000"/>
          <w:sz w:val="20"/>
        </w:rPr>
        <w:t xml:space="preserve"> </w:t>
      </w:r>
      <w:r>
        <w:rPr>
          <w:rFonts w:ascii="sans-serif" w:hAnsi="sans-serif"/>
          <w:color w:val="000000"/>
          <w:sz w:val="20"/>
        </w:rPr>
        <w:t>years (the “</w:t>
      </w:r>
      <w:r>
        <w:rPr>
          <w:rFonts w:ascii="sans-serif" w:hAnsi="sans-serif"/>
          <w:color w:val="000000"/>
          <w:sz w:val="20"/>
          <w:u w:val="single"/>
        </w:rPr>
        <w:t>Acquired Domain Name Term</w:t>
      </w:r>
      <w:r>
        <w:rPr>
          <w:rFonts w:ascii="Times New Roman" w:hAnsi="Times New Roman"/>
          <w:color w:val="000000"/>
          <w:sz w:val="20"/>
        </w:rPr>
        <w:t>”</w:t>
      </w:r>
      <w:r>
        <w:rPr>
          <w:rFonts w:ascii="sans-serif" w:hAnsi="sans-serif"/>
          <w:color w:val="000000"/>
          <w:sz w:val="20"/>
        </w:rPr>
        <w:t>). As of June 30, 2026 and December 31, 2025, the Acquired Domain Name had a carrying value of $15.5</w:t>
      </w:r>
      <w:r>
        <w:rPr>
          <w:rFonts w:ascii="Times New Roman" w:hAnsi="Times New Roman"/>
          <w:color w:val="000000"/>
          <w:sz w:val="20"/>
        </w:rPr>
        <w:t xml:space="preserve"> </w:t>
      </w:r>
      <w:r>
        <w:rPr>
          <w:rFonts w:ascii="sans-serif" w:hAnsi="sans-serif"/>
          <w:color w:val="000000"/>
          <w:sz w:val="20"/>
        </w:rPr>
        <w:t>million and $16.1</w:t>
      </w:r>
      <w:r>
        <w:rPr>
          <w:rFonts w:ascii="Times New Roman" w:hAnsi="Times New Roman"/>
          <w:color w:val="000000"/>
          <w:sz w:val="20"/>
        </w:rPr>
        <w:t xml:space="preserve"> </w:t>
      </w:r>
      <w:r>
        <w:rPr>
          <w:rFonts w:ascii="sans-serif" w:hAnsi="sans-serif"/>
          <w:color w:val="000000"/>
          <w:sz w:val="20"/>
        </w:rPr>
        <w:t>million, respectively, which is recorded in Intangible assets – net in the Condensed Consolidated Balance Sheets.</w:t>
      </w:r>
    </w:p>
    <w:p>
      <w:pPr>
        <w:pStyle w:val="TextBody"/>
        <w:bidi w:val="0"/>
        <w:spacing w:before="0" w:after="120"/>
        <w:jc w:val="both"/>
        <w:rPr>
          <w:rFonts w:ascii="Times New Roman" w:hAnsi="Times New Roman"/>
          <w:sz w:val="20"/>
        </w:rPr>
      </w:pPr>
      <w:r>
        <w:rPr>
          <w:rFonts w:ascii="sans-serif" w:hAnsi="sans-serif"/>
          <w:color w:val="000000"/>
          <w:sz w:val="20"/>
        </w:rPr>
        <w:t>We account for the Acquired Domain Name Obligation as a liability, for which interest will accrue over the Acquired Domain Name Term at an effective interest rate of 8.6% per annum. As of June 30, 2026 and December 31, 2025, the Acquired Domain Name Obligation had a carrying value of $16.3</w:t>
      </w:r>
      <w:r>
        <w:rPr>
          <w:rFonts w:ascii="Times New Roman" w:hAnsi="Times New Roman"/>
          <w:color w:val="000000"/>
          <w:sz w:val="20"/>
        </w:rPr>
        <w:t xml:space="preserve"> </w:t>
      </w:r>
      <w:r>
        <w:rPr>
          <w:rFonts w:ascii="sans-serif" w:hAnsi="sans-serif"/>
          <w:color w:val="000000"/>
          <w:sz w:val="20"/>
        </w:rPr>
        <w:t>million and $16.6</w:t>
      </w:r>
      <w:r>
        <w:rPr>
          <w:rFonts w:ascii="Times New Roman" w:hAnsi="Times New Roman"/>
          <w:color w:val="000000"/>
          <w:sz w:val="20"/>
        </w:rPr>
        <w:t xml:space="preserve"> </w:t>
      </w:r>
      <w:r>
        <w:rPr>
          <w:rFonts w:ascii="sans-serif" w:hAnsi="sans-serif"/>
          <w:color w:val="000000"/>
          <w:sz w:val="20"/>
        </w:rPr>
        <w:t>million, respectively, of which $0.6</w:t>
      </w:r>
      <w:r>
        <w:rPr>
          <w:rFonts w:ascii="Times New Roman" w:hAnsi="Times New Roman"/>
          <w:color w:val="000000"/>
          <w:sz w:val="20"/>
        </w:rPr>
        <w:t xml:space="preserve"> </w:t>
      </w:r>
      <w:r>
        <w:rPr>
          <w:rFonts w:ascii="sans-serif" w:hAnsi="sans-serif"/>
          <w:color w:val="000000"/>
          <w:sz w:val="20"/>
        </w:rPr>
        <w:t>million is recorded in Accrued expenses and other current liabilities in the Condensed Consolidated Balance Sheets and the remainder is recorded in Other liabilities in the Condensed Consolidated Balance Sheets. During the three and six months ended June 30, 2026, we recognized</w:t>
      </w:r>
      <w:r>
        <w:rPr>
          <w:rFonts w:ascii="Times New Roman" w:hAnsi="Times New Roman"/>
          <w:color w:val="000000"/>
          <w:sz w:val="20"/>
        </w:rPr>
        <w:t xml:space="preserve"> </w:t>
      </w:r>
      <w:r>
        <w:rPr>
          <w:rFonts w:ascii="sans-serif" w:hAnsi="sans-serif"/>
          <w:color w:val="000000"/>
          <w:sz w:val="20"/>
        </w:rPr>
        <w:t>an expense of $0.3</w:t>
      </w:r>
      <w:r>
        <w:rPr>
          <w:rFonts w:ascii="Times New Roman" w:hAnsi="Times New Roman"/>
          <w:color w:val="000000"/>
          <w:sz w:val="20"/>
        </w:rPr>
        <w:t xml:space="preserve"> </w:t>
      </w:r>
      <w:r>
        <w:rPr>
          <w:rFonts w:ascii="sans-serif" w:hAnsi="sans-serif"/>
          <w:color w:val="000000"/>
          <w:sz w:val="20"/>
        </w:rPr>
        <w:t>million and $0.7</w:t>
      </w:r>
      <w:r>
        <w:rPr>
          <w:rFonts w:ascii="Times New Roman" w:hAnsi="Times New Roman"/>
          <w:color w:val="000000"/>
          <w:sz w:val="20"/>
        </w:rPr>
        <w:t xml:space="preserve"> </w:t>
      </w:r>
      <w:r>
        <w:rPr>
          <w:rFonts w:ascii="sans-serif" w:hAnsi="sans-serif"/>
          <w:color w:val="000000"/>
          <w:sz w:val="20"/>
        </w:rPr>
        <w:t>million, respectively, for interest incurred in relation to the Acquired Domain Name Obligation. During the three and six months ended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Times New Roman" w:hAnsi="Times New Roman"/>
          <w:sz w:val="20"/>
        </w:rPr>
      </w:pPr>
      <w:r>
        <w:rPr>
          <w:rFonts w:ascii="sans-serif" w:hAnsi="sans-serif"/>
          <w:color w:val="000000"/>
          <w:sz w:val="20"/>
        </w:rPr>
        <w:t>June 30, 2025, we recognized an expense of $0.4</w:t>
      </w:r>
      <w:r>
        <w:rPr>
          <w:rFonts w:ascii="Times New Roman" w:hAnsi="Times New Roman"/>
          <w:color w:val="000000"/>
          <w:sz w:val="20"/>
        </w:rPr>
        <w:t xml:space="preserve"> </w:t>
      </w:r>
      <w:r>
        <w:rPr>
          <w:rFonts w:ascii="sans-serif" w:hAnsi="sans-serif"/>
          <w:color w:val="000000"/>
          <w:sz w:val="20"/>
        </w:rPr>
        <w:t>million and $0.8</w:t>
      </w:r>
      <w:r>
        <w:rPr>
          <w:rFonts w:ascii="Times New Roman" w:hAnsi="Times New Roman"/>
          <w:color w:val="000000"/>
          <w:sz w:val="20"/>
        </w:rPr>
        <w:t xml:space="preserve"> </w:t>
      </w:r>
      <w:r>
        <w:rPr>
          <w:rFonts w:ascii="sans-serif" w:hAnsi="sans-serif"/>
          <w:color w:val="000000"/>
          <w:sz w:val="20"/>
        </w:rPr>
        <w:t>million, respectively, for interest incurred in relation to the Acquired Domain Name Obligation. Interest incurred in relation to the Acquired Domain Name Obligation is recorded in Interest expense – net in the Condensed Consolidated Statements of Operations.</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we recognized an expense of $11.7</w:t>
      </w:r>
      <w:r>
        <w:rPr>
          <w:rFonts w:ascii="Times New Roman" w:hAnsi="Times New Roman"/>
          <w:color w:val="000000"/>
          <w:sz w:val="20"/>
        </w:rPr>
        <w:t xml:space="preserve"> </w:t>
      </w:r>
      <w:r>
        <w:rPr>
          <w:rFonts w:ascii="sans-serif" w:hAnsi="sans-serif"/>
          <w:color w:val="000000"/>
          <w:sz w:val="20"/>
        </w:rPr>
        <w:t>million and $23.3</w:t>
      </w:r>
      <w:r>
        <w:rPr>
          <w:rFonts w:ascii="Times New Roman" w:hAnsi="Times New Roman"/>
          <w:color w:val="000000"/>
          <w:sz w:val="20"/>
        </w:rPr>
        <w:t xml:space="preserve"> </w:t>
      </w:r>
      <w:r>
        <w:rPr>
          <w:rFonts w:ascii="sans-serif" w:hAnsi="sans-serif"/>
          <w:color w:val="000000"/>
          <w:sz w:val="20"/>
        </w:rPr>
        <w:t>million, respectively, for amortization related to our definite-lived intangible assets. During the three and six months ended June 30, 2025, we recognized an expense of $11.7</w:t>
      </w:r>
      <w:r>
        <w:rPr>
          <w:rFonts w:ascii="Times New Roman" w:hAnsi="Times New Roman"/>
          <w:color w:val="000000"/>
          <w:sz w:val="20"/>
        </w:rPr>
        <w:t xml:space="preserve"> </w:t>
      </w:r>
      <w:r>
        <w:rPr>
          <w:rFonts w:ascii="sans-serif" w:hAnsi="sans-serif"/>
          <w:color w:val="000000"/>
          <w:sz w:val="20"/>
        </w:rPr>
        <w:t>million and $22.7</w:t>
      </w:r>
      <w:r>
        <w:rPr>
          <w:rFonts w:ascii="Times New Roman" w:hAnsi="Times New Roman"/>
          <w:color w:val="000000"/>
          <w:sz w:val="20"/>
        </w:rPr>
        <w:t xml:space="preserve"> </w:t>
      </w:r>
      <w:r>
        <w:rPr>
          <w:rFonts w:ascii="sans-serif" w:hAnsi="sans-serif"/>
          <w:color w:val="000000"/>
          <w:sz w:val="20"/>
        </w:rPr>
        <w:t>million, respectively, for amortization related to our definite-lived intangible assets. Amortization expenses related to our definite-lived intangible assets are recorded in Depreciation and amortization expenses in the Condensed Consolidated Statements of Operations.</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we recognized an expense of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$0.1</w:t>
      </w:r>
      <w:r>
        <w:rPr>
          <w:rFonts w:ascii="Times New Roman" w:hAnsi="Times New Roman"/>
          <w:color w:val="000000"/>
          <w:sz w:val="20"/>
        </w:rPr>
        <w:t xml:space="preserve"> </w:t>
      </w:r>
      <w:r>
        <w:rPr>
          <w:rFonts w:ascii="sans-serif" w:hAnsi="sans-serif"/>
          <w:color w:val="000000"/>
          <w:sz w:val="20"/>
        </w:rPr>
        <w:t>million, respectively, for losses related to disposals of our definite-lived intangible assets. During the three and six months ended June 30, 2025, we recognized an expense of $0.1</w:t>
      </w:r>
      <w:r>
        <w:rPr>
          <w:rFonts w:ascii="Times New Roman" w:hAnsi="Times New Roman"/>
          <w:color w:val="000000"/>
          <w:sz w:val="20"/>
        </w:rPr>
        <w:t xml:space="preserve"> </w:t>
      </w:r>
      <w:r>
        <w:rPr>
          <w:rFonts w:ascii="sans-serif" w:hAnsi="sans-serif"/>
          <w:color w:val="000000"/>
          <w:sz w:val="20"/>
        </w:rPr>
        <w:t>million for losses related to disposals of our definite-lived intangible assets. Losses on asset disposals are recorded in General and administrative expenses in the Condensed Consolidated Statements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Indefinite-Lived Intangible Assets</w:t>
      </w:r>
    </w:p>
    <w:p>
      <w:pPr>
        <w:pStyle w:val="TextBody"/>
        <w:bidi w:val="0"/>
        <w:spacing w:before="0" w:after="120"/>
        <w:jc w:val="both"/>
        <w:rPr>
          <w:rFonts w:ascii="sans-serif" w:hAnsi="sans-serif"/>
          <w:color w:val="000000"/>
          <w:sz w:val="20"/>
        </w:rPr>
      </w:pPr>
      <w:r>
        <w:rPr>
          <w:rFonts w:ascii="sans-serif" w:hAnsi="sans-serif"/>
          <w:color w:val="000000"/>
          <w:sz w:val="20"/>
        </w:rPr>
        <w:t>Similar to goodwill, our indefinite-lived intangible assets are not subject to amortization and are reviewed for impairment annually, or more frequently if events or changes in circumstances indicate that the carrying value may not be recoverable. If we determine that it is more likely than not that the fair value of our indefinite-lived intangible assets is less than their carrying value, we then perform a quantitative assessment. Based upon the results of that assessment, if the carrying value of our indefinite-lived intangible assets exceeds their fair value, a non-cash impairment expense will be recorded in the Consolidated Statements of Operations.</w:t>
      </w:r>
    </w:p>
    <w:p>
      <w:pPr>
        <w:pStyle w:val="TextBody"/>
        <w:bidi w:val="0"/>
        <w:spacing w:before="0" w:after="120"/>
        <w:jc w:val="both"/>
        <w:rPr>
          <w:rFonts w:ascii="Times New Roman" w:hAnsi="Times New Roman"/>
          <w:sz w:val="20"/>
        </w:rPr>
      </w:pPr>
      <w:r>
        <w:rPr>
          <w:rFonts w:ascii="sans-serif" w:hAnsi="sans-serif"/>
          <w:color w:val="000000"/>
          <w:sz w:val="20"/>
        </w:rPr>
        <w:t>As discussed in our 2025 Form 10-K, during the year ended December 31, 2025, we determined that the estimated fair value of certain indefinite-lived trademarks was lower than their carrying value. Consequently, during the year ended December 31, 2025, we recognized a non-cash impairment expense of $62.3</w:t>
      </w:r>
      <w:r>
        <w:rPr>
          <w:rFonts w:ascii="Times New Roman" w:hAnsi="Times New Roman"/>
          <w:color w:val="000000"/>
          <w:sz w:val="20"/>
        </w:rPr>
        <w:t xml:space="preserve"> </w:t>
      </w:r>
      <w:r>
        <w:rPr>
          <w:rFonts w:ascii="sans-serif" w:hAnsi="sans-serif"/>
          <w:color w:val="000000"/>
          <w:sz w:val="20"/>
        </w:rPr>
        <w:t>million related to certain indefinite-lived trademarks, $23.0</w:t>
      </w:r>
      <w:r>
        <w:rPr>
          <w:rFonts w:ascii="Times New Roman" w:hAnsi="Times New Roman"/>
          <w:color w:val="000000"/>
          <w:sz w:val="20"/>
        </w:rPr>
        <w:t xml:space="preserve"> </w:t>
      </w:r>
      <w:r>
        <w:rPr>
          <w:rFonts w:ascii="sans-serif" w:hAnsi="sans-serif"/>
          <w:color w:val="000000"/>
          <w:sz w:val="20"/>
        </w:rPr>
        <w:t>million of which was recognized as of June 30, 2025 and $39.3</w:t>
      </w:r>
      <w:r>
        <w:rPr>
          <w:rFonts w:ascii="Times New Roman" w:hAnsi="Times New Roman"/>
          <w:color w:val="000000"/>
          <w:sz w:val="20"/>
        </w:rPr>
        <w:t xml:space="preserve"> </w:t>
      </w:r>
      <w:r>
        <w:rPr>
          <w:rFonts w:ascii="sans-serif" w:hAnsi="sans-serif"/>
          <w:color w:val="000000"/>
          <w:sz w:val="20"/>
        </w:rPr>
        <w:t>million of which was recognized as of October 31, 2025. At December 31, 2025, accumulated impairment charges related to our indefinite-lived intangible assets were $141.0</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0" w:after="120"/>
        <w:jc w:val="both"/>
        <w:rPr>
          <w:rFonts w:ascii="Times New Roman" w:hAnsi="Times New Roman"/>
          <w:sz w:val="20"/>
        </w:rPr>
      </w:pPr>
      <w:r>
        <w:rPr>
          <w:rFonts w:ascii="sans-serif" w:hAnsi="sans-serif"/>
          <w:color w:val="000000"/>
          <w:sz w:val="20"/>
        </w:rPr>
        <w:t>During the six months ended June 30, 2026, there were no</w:t>
      </w:r>
      <w:r>
        <w:rPr>
          <w:rFonts w:ascii="Times New Roman" w:hAnsi="Times New Roman"/>
          <w:color w:val="000000"/>
          <w:sz w:val="20"/>
        </w:rPr>
        <w:t xml:space="preserve"> </w:t>
      </w:r>
      <w:r>
        <w:rPr>
          <w:rFonts w:ascii="sans-serif" w:hAnsi="sans-serif"/>
          <w:color w:val="000000"/>
          <w:sz w:val="20"/>
        </w:rPr>
        <w:t>changes in the accumulated impairment charges related to our indefinite-lived intangible assets.</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8. Investments and Fair Value measurements</w:t>
      </w:r>
    </w:p>
    <w:p>
      <w:pPr>
        <w:pStyle w:val="TextBody"/>
        <w:bidi w:val="0"/>
        <w:spacing w:before="0" w:after="120"/>
        <w:jc w:val="both"/>
        <w:rPr>
          <w:rFonts w:ascii="sans-serif" w:hAnsi="sans-serif"/>
          <w:b/>
          <w:color w:val="000000"/>
          <w:sz w:val="20"/>
        </w:rPr>
      </w:pPr>
      <w:r>
        <w:rPr>
          <w:rFonts w:ascii="sans-serif" w:hAnsi="sans-serif"/>
          <w:b/>
          <w:color w:val="000000"/>
          <w:sz w:val="20"/>
        </w:rPr>
        <w:t>Investments</w:t>
      </w:r>
    </w:p>
    <w:p>
      <w:pPr>
        <w:pStyle w:val="TextBody"/>
        <w:bidi w:val="0"/>
        <w:spacing w:before="0" w:after="120"/>
        <w:jc w:val="both"/>
        <w:rPr>
          <w:rFonts w:ascii="Times New Roman" w:hAnsi="Times New Roman"/>
          <w:sz w:val="20"/>
        </w:rPr>
      </w:pPr>
      <w:r>
        <w:rPr>
          <w:rFonts w:ascii="sans-serif" w:hAnsi="sans-serif"/>
          <w:color w:val="000000"/>
          <w:sz w:val="20"/>
        </w:rPr>
        <w:t>In 2023, we invested $6.0</w:t>
      </w:r>
      <w:r>
        <w:rPr>
          <w:rFonts w:ascii="Times New Roman" w:hAnsi="Times New Roman"/>
          <w:color w:val="000000"/>
          <w:sz w:val="20"/>
        </w:rPr>
        <w:t xml:space="preserve"> </w:t>
      </w:r>
      <w:r>
        <w:rPr>
          <w:rFonts w:ascii="sans-serif" w:hAnsi="sans-serif"/>
          <w:color w:val="000000"/>
          <w:sz w:val="20"/>
        </w:rPr>
        <w:t>million in a privately held company in the form of a convertible promissory note (the “</w:t>
      </w:r>
      <w:r>
        <w:rPr>
          <w:rFonts w:ascii="sans-serif" w:hAnsi="sans-serif"/>
          <w:color w:val="000000"/>
          <w:sz w:val="20"/>
          <w:u w:val="single"/>
        </w:rPr>
        <w:t>Note</w:t>
      </w:r>
      <w:r>
        <w:rPr>
          <w:rFonts w:ascii="Times New Roman" w:hAnsi="Times New Roman"/>
          <w:color w:val="000000"/>
          <w:sz w:val="20"/>
        </w:rPr>
        <w:t>”</w:t>
      </w:r>
      <w:r>
        <w:rPr>
          <w:rFonts w:ascii="sans-serif" w:hAnsi="sans-serif"/>
          <w:color w:val="000000"/>
          <w:sz w:val="20"/>
        </w:rPr>
        <w:t>) and a warrant to purchase up to 1,874,933</w:t>
      </w:r>
      <w:r>
        <w:rPr>
          <w:rFonts w:ascii="Times New Roman" w:hAnsi="Times New Roman"/>
          <w:color w:val="000000"/>
          <w:sz w:val="20"/>
        </w:rPr>
        <w:t xml:space="preserve"> </w:t>
      </w:r>
      <w:r>
        <w:rPr>
          <w:rFonts w:ascii="sans-serif" w:hAnsi="sans-serif"/>
          <w:color w:val="000000"/>
          <w:sz w:val="20"/>
        </w:rPr>
        <w:t>shares of the company</w:t>
      </w:r>
      <w:r>
        <w:rPr>
          <w:rFonts w:ascii="Times New Roman" w:hAnsi="Times New Roman"/>
          <w:color w:val="000000"/>
          <w:sz w:val="20"/>
        </w:rPr>
        <w:t>’</w:t>
      </w:r>
      <w:r>
        <w:rPr>
          <w:rFonts w:ascii="sans-serif" w:hAnsi="sans-serif"/>
          <w:color w:val="000000"/>
          <w:sz w:val="20"/>
        </w:rPr>
        <w:t>s stock (the “</w:t>
      </w:r>
      <w:r>
        <w:rPr>
          <w:rFonts w:ascii="sans-serif" w:hAnsi="sans-serif"/>
          <w:color w:val="000000"/>
          <w:sz w:val="20"/>
          <w:u w:val="single"/>
        </w:rPr>
        <w:t>Warrant</w:t>
      </w:r>
      <w:r>
        <w:rPr>
          <w:rFonts w:ascii="Times New Roman" w:hAnsi="Times New Roman"/>
          <w:color w:val="000000"/>
          <w:sz w:val="20"/>
        </w:rPr>
        <w:t>”</w:t>
      </w:r>
      <w:r>
        <w:rPr>
          <w:rFonts w:ascii="sans-serif" w:hAnsi="sans-serif"/>
          <w:color w:val="000000"/>
          <w:sz w:val="20"/>
        </w:rPr>
        <w:t>). Interest on the Note accrues at 8.0% per annum, and outstanding principal and accrued interest on the Note is due and payable at the earlier of July 3, 2030 or a change in control of the company. The Warrant is exercisable until the date that is three years after the Note is repaid, subject to certain accelerating events.</w:t>
      </w:r>
    </w:p>
    <w:p>
      <w:pPr>
        <w:pStyle w:val="TextBody"/>
        <w:bidi w:val="0"/>
        <w:spacing w:before="0" w:after="120"/>
        <w:jc w:val="both"/>
        <w:rPr>
          <w:rFonts w:ascii="Times New Roman" w:hAnsi="Times New Roman"/>
          <w:sz w:val="20"/>
        </w:rPr>
      </w:pPr>
      <w:r>
        <w:rPr>
          <w:rFonts w:ascii="sans-serif" w:hAnsi="sans-serif"/>
          <w:color w:val="000000"/>
          <w:sz w:val="20"/>
        </w:rPr>
        <w:t>We account for the Note in accordance with ASC Topic 320,</w:t>
      </w:r>
      <w:r>
        <w:rPr>
          <w:rFonts w:ascii="Times New Roman" w:hAnsi="Times New Roman"/>
          <w:color w:val="000000"/>
          <w:sz w:val="20"/>
        </w:rPr>
        <w:t xml:space="preserve"> </w:t>
      </w:r>
      <w:r>
        <w:rPr>
          <w:rFonts w:ascii="sans-serif" w:hAnsi="sans-serif"/>
          <w:i/>
          <w:color w:val="000000"/>
          <w:sz w:val="20"/>
        </w:rPr>
        <w:t>Investments - Debt and Equity Securities</w:t>
      </w:r>
      <w:r>
        <w:rPr>
          <w:rFonts w:ascii="sans-serif" w:hAnsi="sans-serif"/>
          <w:color w:val="000000"/>
          <w:sz w:val="20"/>
        </w:rPr>
        <w:t>, pursuant to which the Note is classified as an available-for-sale security and recognized at fair value. During the three and six months ended June 30, 2026, the Note had an unrealized loss of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an unrealized gain of less than $0.1</w:t>
      </w:r>
      <w:r>
        <w:rPr>
          <w:rFonts w:ascii="Times New Roman" w:hAnsi="Times New Roman"/>
          <w:color w:val="000000"/>
          <w:sz w:val="20"/>
        </w:rPr>
        <w:t xml:space="preserve"> </w:t>
      </w:r>
      <w:r>
        <w:rPr>
          <w:rFonts w:ascii="sans-serif" w:hAnsi="sans-serif"/>
          <w:color w:val="000000"/>
          <w:sz w:val="20"/>
        </w:rPr>
        <w:t>million, respectively. During the three and six months ended June 30, 2025, the Note had an unrealized gain of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an unrealized loss of less than $0.1</w:t>
      </w:r>
      <w:r>
        <w:rPr>
          <w:rFonts w:ascii="Times New Roman" w:hAnsi="Times New Roman"/>
          <w:color w:val="000000"/>
          <w:sz w:val="20"/>
        </w:rPr>
        <w:t xml:space="preserve"> </w:t>
      </w:r>
      <w:r>
        <w:rPr>
          <w:rFonts w:ascii="sans-serif" w:hAnsi="sans-serif"/>
          <w:color w:val="000000"/>
          <w:sz w:val="20"/>
        </w:rPr>
        <w:t>million, respectively. Unrealized gains and losses related to differences between the fair value of the Note and the carrying value of the Note are recorded as a separate component of Other comprehensive income in the Condensed Consolidated Statements of Comprehensive Loss on a recurring basis until realized. The Note’s amortized cost was $4.5</w:t>
      </w:r>
      <w:r>
        <w:rPr>
          <w:rFonts w:ascii="Times New Roman" w:hAnsi="Times New Roman"/>
          <w:color w:val="000000"/>
          <w:sz w:val="20"/>
        </w:rPr>
        <w:t xml:space="preserve"> </w:t>
      </w:r>
      <w:r>
        <w:rPr>
          <w:rFonts w:ascii="sans-serif" w:hAnsi="sans-serif"/>
          <w:color w:val="000000"/>
          <w:sz w:val="20"/>
        </w:rPr>
        <w:t>million and $4.0</w:t>
      </w:r>
      <w:r>
        <w:rPr>
          <w:rFonts w:ascii="Times New Roman" w:hAnsi="Times New Roman"/>
          <w:color w:val="000000"/>
          <w:sz w:val="20"/>
        </w:rPr>
        <w:t xml:space="preserve"> </w:t>
      </w:r>
      <w:r>
        <w:rPr>
          <w:rFonts w:ascii="sans-serif" w:hAnsi="sans-serif"/>
          <w:color w:val="000000"/>
          <w:sz w:val="20"/>
        </w:rPr>
        <w:t>million at June 30, 2026 and December 31, 2025, respectively. We did not recognize any credit losses related to the Note during the three and six months ended June 30, 2026 and 2025.</w:t>
      </w:r>
    </w:p>
    <w:p>
      <w:pPr>
        <w:pStyle w:val="TextBody"/>
        <w:bidi w:val="0"/>
        <w:spacing w:before="0" w:after="120"/>
        <w:jc w:val="both"/>
        <w:rPr>
          <w:rFonts w:ascii="Times New Roman" w:hAnsi="Times New Roman"/>
          <w:sz w:val="20"/>
        </w:rPr>
      </w:pPr>
      <w:r>
        <w:rPr>
          <w:rFonts w:ascii="sans-serif" w:hAnsi="sans-serif"/>
          <w:color w:val="000000"/>
          <w:sz w:val="20"/>
        </w:rPr>
        <w:t xml:space="preserve">We account for the Warrant in accordance with ASC Topic 815, </w:t>
      </w:r>
      <w:r>
        <w:rPr>
          <w:rFonts w:ascii="sans-serif" w:hAnsi="sans-serif"/>
          <w:i/>
          <w:color w:val="000000"/>
          <w:sz w:val="20"/>
        </w:rPr>
        <w:t>Derivatives and Hedging</w:t>
      </w:r>
      <w:r>
        <w:rPr>
          <w:rFonts w:ascii="sans-serif" w:hAnsi="sans-serif"/>
          <w:color w:val="000000"/>
          <w:sz w:val="20"/>
        </w:rPr>
        <w:t>, pursuant to which the Warrant is classified as a derivative instrument and recognized at fair value. During the three and six months ended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Times New Roman" w:hAnsi="Times New Roman"/>
          <w:sz w:val="20"/>
        </w:rPr>
      </w:pPr>
      <w:r>
        <w:rPr>
          <w:rFonts w:ascii="sans-serif" w:hAnsi="sans-serif"/>
          <w:color w:val="000000"/>
          <w:sz w:val="20"/>
        </w:rPr>
        <w:t>June 30, 2026, the fair value of the Warrant decreased by $0.1</w:t>
      </w:r>
      <w:r>
        <w:rPr>
          <w:rFonts w:ascii="Times New Roman" w:hAnsi="Times New Roman"/>
          <w:color w:val="000000"/>
          <w:sz w:val="20"/>
        </w:rPr>
        <w:t xml:space="preserve"> </w:t>
      </w:r>
      <w:r>
        <w:rPr>
          <w:rFonts w:ascii="sans-serif" w:hAnsi="sans-serif"/>
          <w:color w:val="000000"/>
          <w:sz w:val="20"/>
        </w:rPr>
        <w:t>million and $0.3</w:t>
      </w:r>
      <w:r>
        <w:rPr>
          <w:rFonts w:ascii="Times New Roman" w:hAnsi="Times New Roman"/>
          <w:color w:val="000000"/>
          <w:sz w:val="20"/>
        </w:rPr>
        <w:t xml:space="preserve"> </w:t>
      </w:r>
      <w:r>
        <w:rPr>
          <w:rFonts w:ascii="sans-serif" w:hAnsi="sans-serif"/>
          <w:color w:val="000000"/>
          <w:sz w:val="20"/>
        </w:rPr>
        <w:t>million, respectively, for which we recognized a loss in both periods. During the three and six months ended June 30, 2025, the fair value of the Warrant decreased by $0.2</w:t>
      </w:r>
      <w:r>
        <w:rPr>
          <w:rFonts w:ascii="Times New Roman" w:hAnsi="Times New Roman"/>
          <w:color w:val="000000"/>
          <w:sz w:val="20"/>
        </w:rPr>
        <w:t xml:space="preserve"> </w:t>
      </w:r>
      <w:r>
        <w:rPr>
          <w:rFonts w:ascii="sans-serif" w:hAnsi="sans-serif"/>
          <w:color w:val="000000"/>
          <w:sz w:val="20"/>
        </w:rPr>
        <w:t>million and $0.6</w:t>
      </w:r>
      <w:r>
        <w:rPr>
          <w:rFonts w:ascii="Times New Roman" w:hAnsi="Times New Roman"/>
          <w:color w:val="000000"/>
          <w:sz w:val="20"/>
        </w:rPr>
        <w:t xml:space="preserve"> </w:t>
      </w:r>
      <w:r>
        <w:rPr>
          <w:rFonts w:ascii="sans-serif" w:hAnsi="sans-serif"/>
          <w:color w:val="000000"/>
          <w:sz w:val="20"/>
        </w:rPr>
        <w:t>million, respectively, for which we recognized a loss in both periods. Unrealized losses related to changes in the fair value of the Warrant are recorded in Other expense (income) – net in the Condensed Consolidated Statements of Operations on a recurring basis until realized. The presentation of the Warrant, including whether it should be classified as an asset or a liability, is evaluated at the end of each reporting period.</w:t>
      </w:r>
    </w:p>
    <w:p>
      <w:pPr>
        <w:pStyle w:val="TextBody"/>
        <w:bidi w:val="0"/>
        <w:spacing w:before="0" w:after="120"/>
        <w:jc w:val="both"/>
        <w:rPr>
          <w:rFonts w:ascii="sans-serif" w:hAnsi="sans-serif"/>
          <w:b/>
          <w:color w:val="000000"/>
          <w:sz w:val="20"/>
        </w:rPr>
      </w:pPr>
      <w:r>
        <w:rPr>
          <w:rFonts w:ascii="sans-serif" w:hAnsi="sans-serif"/>
          <w:b/>
          <w:color w:val="000000"/>
          <w:sz w:val="20"/>
        </w:rPr>
        <w:t>Fair Value Measurements</w:t>
      </w:r>
    </w:p>
    <w:p>
      <w:pPr>
        <w:pStyle w:val="TextBody"/>
        <w:bidi w:val="0"/>
        <w:spacing w:before="0" w:after="120"/>
        <w:jc w:val="both"/>
        <w:rPr>
          <w:rFonts w:ascii="Times New Roman" w:hAnsi="Times New Roman"/>
          <w:sz w:val="20"/>
        </w:rPr>
      </w:pPr>
      <w:r>
        <w:rPr>
          <w:rFonts w:ascii="sans-serif" w:hAnsi="sans-serif"/>
          <w:color w:val="000000"/>
          <w:sz w:val="20"/>
        </w:rPr>
        <w:t xml:space="preserve">We measure certain assets and liabilities at fair value in accordance with ASC Topic 820, </w:t>
      </w:r>
      <w:r>
        <w:rPr>
          <w:rFonts w:ascii="sans-serif" w:hAnsi="sans-serif"/>
          <w:i/>
          <w:color w:val="000000"/>
          <w:sz w:val="20"/>
        </w:rPr>
        <w:t>Fair Value Measurements</w:t>
      </w:r>
      <w:r>
        <w:rPr>
          <w:rFonts w:ascii="Times New Roman" w:hAnsi="Times New Roman"/>
          <w:color w:val="000000"/>
          <w:sz w:val="20"/>
        </w:rPr>
        <w:t xml:space="preserve"> </w:t>
      </w:r>
      <w:r>
        <w:rPr>
          <w:rFonts w:ascii="sans-serif" w:hAnsi="sans-serif"/>
          <w:color w:val="000000"/>
          <w:sz w:val="20"/>
        </w:rPr>
        <w:t>(“</w:t>
      </w:r>
      <w:r>
        <w:rPr>
          <w:rFonts w:ascii="sans-serif" w:hAnsi="sans-serif"/>
          <w:color w:val="000000"/>
          <w:sz w:val="20"/>
          <w:u w:val="single"/>
        </w:rPr>
        <w:t>ASC 820</w:t>
      </w:r>
      <w:r>
        <w:rPr>
          <w:rFonts w:ascii="Times New Roman" w:hAnsi="Times New Roman"/>
          <w:color w:val="000000"/>
          <w:sz w:val="20"/>
        </w:rPr>
        <w:t>”</w:t>
      </w:r>
      <w:r>
        <w:rPr>
          <w:rFonts w:ascii="sans-serif" w:hAnsi="sans-serif"/>
          <w:color w:val="000000"/>
          <w:sz w:val="20"/>
        </w:rPr>
        <w:t>), which defines fair value as the price that would be received to sell an asset or paid to transfer a liability in an orderly transaction between market participants at the measurement date, establishes a framework for measuring fair value in U.S. GAAP, and expands disclosures about fair value measurements. To increase consistency and comparability in fair value measurements, ASC 820 establishes a fair value hierarchy that prioritizes the inputs to valuation techniques used to measure fair value into three levels as follows: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i/>
          <w:color w:val="000000"/>
          <w:sz w:val="20"/>
        </w:rPr>
        <w:t>Level 1</w:t>
      </w:r>
      <w:r>
        <w:rPr>
          <w:color w:val="000000"/>
        </w:rPr>
        <w:t xml:space="preserve"> — </w:t>
      </w:r>
      <w:r>
        <w:rPr>
          <w:rFonts w:ascii="sans-serif" w:hAnsi="sans-serif"/>
          <w:color w:val="000000"/>
          <w:sz w:val="20"/>
        </w:rPr>
        <w:t>Measurements that reflect quoted prices (unadjusted) for identical assets or liabilities in active markets.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i/>
          <w:color w:val="000000"/>
          <w:sz w:val="20"/>
        </w:rPr>
        <w:t>Level 2</w:t>
      </w:r>
      <w:r>
        <w:rPr>
          <w:color w:val="000000"/>
        </w:rPr>
        <w:t xml:space="preserve"> — </w:t>
      </w:r>
      <w:r>
        <w:rPr>
          <w:rFonts w:ascii="sans-serif" w:hAnsi="sans-serif"/>
          <w:color w:val="000000"/>
          <w:sz w:val="20"/>
        </w:rPr>
        <w:t>Measurements that include other inputs that are directly or indirectly observable in the marketplace.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b/>
          <w:i/>
          <w:color w:val="000000"/>
          <w:sz w:val="20"/>
        </w:rPr>
        <w:t>Level 3</w:t>
      </w:r>
      <w:r>
        <w:rPr>
          <w:color w:val="000000"/>
        </w:rPr>
        <w:t xml:space="preserve"> — </w:t>
      </w:r>
      <w:r>
        <w:rPr>
          <w:rFonts w:ascii="sans-serif" w:hAnsi="sans-serif"/>
          <w:color w:val="000000"/>
          <w:sz w:val="20"/>
        </w:rPr>
        <w:t>Measurements derived from valuation techniques in which one or more significant inputs or significant value drivers are unobservable. These fair value measurements require significant judgment.</w:t>
      </w:r>
    </w:p>
    <w:p>
      <w:pPr>
        <w:pStyle w:val="TextBody"/>
        <w:bidi w:val="0"/>
        <w:spacing w:before="0" w:after="120"/>
        <w:jc w:val="both"/>
        <w:rPr>
          <w:rFonts w:ascii="sans-serif" w:hAnsi="sans-serif"/>
          <w:color w:val="000000"/>
          <w:sz w:val="20"/>
        </w:rPr>
      </w:pPr>
      <w:r>
        <w:rPr>
          <w:rFonts w:ascii="sans-serif" w:hAnsi="sans-serif"/>
          <w:color w:val="000000"/>
          <w:sz w:val="20"/>
        </w:rPr>
        <w:t>The following tables present the recurring fair value measurements of our financial assets by hierarchy level at June 30, 2026 and December 31, 2025 (in thousands):</w:t>
      </w:r>
    </w:p>
    <w:tbl>
      <w:tblPr>
        <w:tblW w:w="6543" w:type="dxa"/>
        <w:jc w:val="left"/>
        <w:tblInd w:w="0" w:type="dxa"/>
        <w:tblLayout w:type="fixed"/>
        <w:tblCellMar>
          <w:top w:w="28" w:type="dxa"/>
          <w:left w:w="28" w:type="dxa"/>
          <w:bottom w:w="28" w:type="dxa"/>
          <w:right w:w="28" w:type="dxa"/>
        </w:tblCellMar>
      </w:tblPr>
      <w:tblGrid>
        <w:gridCol w:w="1636"/>
        <w:gridCol w:w="146"/>
        <w:gridCol w:w="363"/>
        <w:gridCol w:w="522"/>
        <w:gridCol w:w="146"/>
        <w:gridCol w:w="146"/>
        <w:gridCol w:w="363"/>
        <w:gridCol w:w="522"/>
        <w:gridCol w:w="146"/>
        <w:gridCol w:w="146"/>
        <w:gridCol w:w="241"/>
        <w:gridCol w:w="721"/>
        <w:gridCol w:w="146"/>
        <w:gridCol w:w="146"/>
        <w:gridCol w:w="241"/>
        <w:gridCol w:w="72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Fair Value Measurements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188" w:type="dxa"/>
        <w:jc w:val="left"/>
        <w:tblInd w:w="0" w:type="dxa"/>
        <w:tblLayout w:type="fixed"/>
        <w:tblCellMar>
          <w:top w:w="28" w:type="dxa"/>
          <w:left w:w="28" w:type="dxa"/>
          <w:bottom w:w="28" w:type="dxa"/>
          <w:right w:w="28" w:type="dxa"/>
        </w:tblCellMar>
      </w:tblPr>
      <w:tblGrid>
        <w:gridCol w:w="2281"/>
        <w:gridCol w:w="146"/>
        <w:gridCol w:w="363"/>
        <w:gridCol w:w="522"/>
        <w:gridCol w:w="146"/>
        <w:gridCol w:w="146"/>
        <w:gridCol w:w="363"/>
        <w:gridCol w:w="522"/>
        <w:gridCol w:w="146"/>
        <w:gridCol w:w="146"/>
        <w:gridCol w:w="241"/>
        <w:gridCol w:w="721"/>
        <w:gridCol w:w="146"/>
        <w:gridCol w:w="146"/>
        <w:gridCol w:w="241"/>
        <w:gridCol w:w="72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Fair Value Measurements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The fair value of the Note is determined using the income approach, which consists entirely of Level 3 inputs. The estimated fair value of the Warrant is determined using the Black-Scholes option pricing model, which requires us to make assumptions and judgments about the variables used in the calculation related to the expected term, the expected volatility, the risk-free rate of interest, and the expected dividend yield. Because of the inherent uncertainty of these valuations, the estimated fair values of the Note and the Warrant may differ significantly from the fair values that would have been used had a ready market for the investments existed, the effects of which could be material.</w:t>
      </w:r>
    </w:p>
    <w:p>
      <w:pPr>
        <w:pStyle w:val="TextBody"/>
        <w:bidi w:val="0"/>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quantitative information about the significant unobservable inputs applied to the recurring Level 3 fair value measurements of our financial assets at June 30, 2026 and December 31, 2025:</w:t>
      </w:r>
    </w:p>
    <w:tbl>
      <w:tblPr>
        <w:tblW w:w="7642" w:type="dxa"/>
        <w:jc w:val="left"/>
        <w:tblInd w:w="0" w:type="dxa"/>
        <w:tblLayout w:type="fixed"/>
        <w:tblCellMar>
          <w:top w:w="28" w:type="dxa"/>
          <w:left w:w="28" w:type="dxa"/>
          <w:bottom w:w="28" w:type="dxa"/>
          <w:right w:w="28" w:type="dxa"/>
        </w:tblCellMar>
      </w:tblPr>
      <w:tblGrid>
        <w:gridCol w:w="901"/>
        <w:gridCol w:w="146"/>
        <w:gridCol w:w="3601"/>
        <w:gridCol w:w="146"/>
        <w:gridCol w:w="1006"/>
        <w:gridCol w:w="146"/>
        <w:gridCol w:w="169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Significant 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4.5</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Implied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21.7%</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4.5</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62.0%</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3.7%</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0.0%</w:t>
            </w:r>
          </w:p>
        </w:tc>
      </w:tr>
    </w:tbl>
    <w:p>
      <w:pPr>
        <w:pStyle w:val="TextBody"/>
        <w:bidi w:val="0"/>
        <w:spacing w:before="120" w:after="120"/>
        <w:jc w:val="both"/>
        <w:rPr>
          <w:rFonts w:ascii="sans-serif" w:hAnsi="sans-serif"/>
          <w:color w:val="000000"/>
          <w:sz w:val="20"/>
        </w:rPr>
      </w:pPr>
      <w:r>
        <w:rPr>
          <w:rFonts w:ascii="sans-serif" w:hAnsi="sans-serif"/>
          <w:color w:val="000000"/>
          <w:sz w:val="20"/>
        </w:rPr>
        <w:t>The following table summarizes the changes in the carrying amounts of the Note and the Warrant (both of which are measured at fair value using Level 3 significant unobservable inputs) during the six months ended June 30, 2026 (in thousands):</w:t>
      </w:r>
    </w:p>
    <w:tbl>
      <w:tblPr>
        <w:tblW w:w="7098" w:type="dxa"/>
        <w:jc w:val="left"/>
        <w:tblInd w:w="0" w:type="dxa"/>
        <w:tblLayout w:type="fixed"/>
        <w:tblCellMar>
          <w:top w:w="28" w:type="dxa"/>
          <w:left w:w="28" w:type="dxa"/>
          <w:bottom w:w="28" w:type="dxa"/>
          <w:right w:w="28" w:type="dxa"/>
        </w:tblCellMar>
      </w:tblPr>
      <w:tblGrid>
        <w:gridCol w:w="4316"/>
        <w:gridCol w:w="146"/>
        <w:gridCol w:w="241"/>
        <w:gridCol w:w="721"/>
        <w:gridCol w:w="146"/>
        <w:gridCol w:w="146"/>
        <w:gridCol w:w="248"/>
        <w:gridCol w:w="743"/>
        <w:gridCol w:w="391"/>
      </w:tblGrid>
      <w:tr>
        <w:trPr/>
        <w:tc>
          <w:tcPr>
            <w:tcW w:w="4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Warrant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Accretion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Recorded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Recorded in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9. Accrued Expenses and Other Current Liabilities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the major components of accrued expenses and other current liabilities at June 30, 2026 and December 31, 2025 (in thousands):</w:t>
      </w:r>
    </w:p>
    <w:tbl>
      <w:tblPr>
        <w:tblW w:w="8687" w:type="dxa"/>
        <w:jc w:val="left"/>
        <w:tblInd w:w="0" w:type="dxa"/>
        <w:tblLayout w:type="fixed"/>
        <w:tblCellMar>
          <w:top w:w="28" w:type="dxa"/>
          <w:left w:w="28" w:type="dxa"/>
          <w:bottom w:w="28" w:type="dxa"/>
          <w:right w:w="28" w:type="dxa"/>
        </w:tblCellMar>
      </w:tblPr>
      <w:tblGrid>
        <w:gridCol w:w="5176"/>
        <w:gridCol w:w="146"/>
        <w:gridCol w:w="241"/>
        <w:gridCol w:w="991"/>
        <w:gridCol w:w="146"/>
        <w:gridCol w:w="146"/>
        <w:gridCol w:w="322"/>
        <w:gridCol w:w="1328"/>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customer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future customer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126,476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Accrued customer credits represent credits issued and outstanding for event cancellations or other service issues related to previously recorded sales transactions. The accrued amount is reduced by the amount of credits estimated to go unused, or breakage, provided that the credits are not subject to escheatment. We estimate breakage based on historical usage trends and available data on comparable programs, and we recognize breakage in proportion to the pattern of redemption for customer credits. Our breakage estimates could be impacted by future activity that differs from our estimates, the effects of which could be material.</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$3.0</w:t>
      </w:r>
      <w:r>
        <w:rPr>
          <w:rFonts w:ascii="Times New Roman" w:hAnsi="Times New Roman"/>
          <w:color w:val="000000"/>
          <w:sz w:val="20"/>
        </w:rPr>
        <w:t xml:space="preserve"> </w:t>
      </w:r>
      <w:r>
        <w:rPr>
          <w:rFonts w:ascii="sans-serif" w:hAnsi="sans-serif"/>
          <w:color w:val="000000"/>
          <w:sz w:val="20"/>
        </w:rPr>
        <w:t>million and $6.2</w:t>
      </w:r>
      <w:r>
        <w:rPr>
          <w:rFonts w:ascii="Times New Roman" w:hAnsi="Times New Roman"/>
          <w:color w:val="000000"/>
          <w:sz w:val="20"/>
        </w:rPr>
        <w:t xml:space="preserve"> </w:t>
      </w:r>
      <w:r>
        <w:rPr>
          <w:rFonts w:ascii="sans-serif" w:hAnsi="sans-serif"/>
          <w:color w:val="000000"/>
          <w:sz w:val="20"/>
        </w:rPr>
        <w:t>million of accrued customer credits were redeemed, respectively, and we recognized revenue from breakage of $0.1</w:t>
      </w:r>
      <w:r>
        <w:rPr>
          <w:rFonts w:ascii="Times New Roman" w:hAnsi="Times New Roman"/>
          <w:color w:val="000000"/>
          <w:sz w:val="20"/>
        </w:rPr>
        <w:t xml:space="preserve"> </w:t>
      </w:r>
      <w:r>
        <w:rPr>
          <w:rFonts w:ascii="sans-serif" w:hAnsi="sans-serif"/>
          <w:color w:val="000000"/>
          <w:sz w:val="20"/>
        </w:rPr>
        <w:t>million and $0.7</w:t>
      </w:r>
      <w:r>
        <w:rPr>
          <w:rFonts w:ascii="Times New Roman" w:hAnsi="Times New Roman"/>
          <w:color w:val="000000"/>
          <w:sz w:val="20"/>
        </w:rPr>
        <w:t xml:space="preserve"> </w:t>
      </w:r>
      <w:r>
        <w:rPr>
          <w:rFonts w:ascii="sans-serif" w:hAnsi="sans-serif"/>
          <w:color w:val="000000"/>
          <w:sz w:val="20"/>
        </w:rPr>
        <w:t>million, respectively. During the three and six months ended June 30, 2025, $1.7</w:t>
      </w:r>
      <w:r>
        <w:rPr>
          <w:rFonts w:ascii="Times New Roman" w:hAnsi="Times New Roman"/>
          <w:color w:val="000000"/>
          <w:sz w:val="20"/>
        </w:rPr>
        <w:t xml:space="preserve"> </w:t>
      </w:r>
      <w:r>
        <w:rPr>
          <w:rFonts w:ascii="sans-serif" w:hAnsi="sans-serif"/>
          <w:color w:val="000000"/>
          <w:sz w:val="20"/>
        </w:rPr>
        <w:t>million and $3.2</w:t>
      </w:r>
      <w:r>
        <w:rPr>
          <w:rFonts w:ascii="Times New Roman" w:hAnsi="Times New Roman"/>
          <w:color w:val="000000"/>
          <w:sz w:val="20"/>
        </w:rPr>
        <w:t xml:space="preserve"> </w:t>
      </w:r>
      <w:r>
        <w:rPr>
          <w:rFonts w:ascii="sans-serif" w:hAnsi="sans-serif"/>
          <w:color w:val="000000"/>
          <w:sz w:val="20"/>
        </w:rPr>
        <w:t>million of accrued customer credits were redeemed, respectively, and we recognized revenue from breakage of $1.0</w:t>
      </w:r>
      <w:r>
        <w:rPr>
          <w:rFonts w:ascii="Times New Roman" w:hAnsi="Times New Roman"/>
          <w:color w:val="000000"/>
          <w:sz w:val="20"/>
        </w:rPr>
        <w:t xml:space="preserve"> </w:t>
      </w:r>
      <w:r>
        <w:rPr>
          <w:rFonts w:ascii="sans-serif" w:hAnsi="sans-serif"/>
          <w:color w:val="000000"/>
          <w:sz w:val="20"/>
        </w:rPr>
        <w:t>million and $2.6</w:t>
      </w:r>
      <w:r>
        <w:rPr>
          <w:rFonts w:ascii="Times New Roman" w:hAnsi="Times New Roman"/>
          <w:color w:val="000000"/>
          <w:sz w:val="20"/>
        </w:rPr>
        <w:t xml:space="preserve"> </w:t>
      </w:r>
      <w:r>
        <w:rPr>
          <w:rFonts w:ascii="sans-serif" w:hAnsi="sans-serif"/>
          <w:color w:val="000000"/>
          <w:sz w:val="20"/>
        </w:rPr>
        <w:t>million, respectively. Breakage amounts are recorded net of reductions in associated accounts receivable balances.</w:t>
      </w:r>
    </w:p>
    <w:p>
      <w:pPr>
        <w:pStyle w:val="TextBody"/>
        <w:bidi w:val="0"/>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Accrued future customer compensation represents an estimate of the amount of customer compensation due from future event cancellation charges. These provisions, which are based on historic experience, revenue volumes for future events, and our estimate of the likelihood of future event cancellations, are recognized as a component of Revenues in the Condensed Consolidated Statements of Operations. The expected recoveries of these obligations are recorded in Prepaid expenses and other current assets in the Condensed Consolidated Balance Sheets. Our estimated accrual could be impacted by future activity that differs from our estimates, the effects of which could be material.</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we recognized a net increase in revenue of $0.1</w:t>
      </w:r>
      <w:r>
        <w:rPr>
          <w:rFonts w:ascii="Times New Roman" w:hAnsi="Times New Roman"/>
          <w:color w:val="000000"/>
          <w:sz w:val="20"/>
        </w:rPr>
        <w:t xml:space="preserve"> </w:t>
      </w:r>
      <w:r>
        <w:rPr>
          <w:rFonts w:ascii="sans-serif" w:hAnsi="sans-serif"/>
          <w:color w:val="000000"/>
          <w:sz w:val="20"/>
        </w:rPr>
        <w:t>million and $0.2</w:t>
      </w:r>
      <w:r>
        <w:rPr>
          <w:rFonts w:ascii="Times New Roman" w:hAnsi="Times New Roman"/>
          <w:color w:val="000000"/>
          <w:sz w:val="20"/>
        </w:rPr>
        <w:t xml:space="preserve"> </w:t>
      </w:r>
      <w:r>
        <w:rPr>
          <w:rFonts w:ascii="sans-serif" w:hAnsi="sans-serif"/>
          <w:color w:val="000000"/>
          <w:sz w:val="20"/>
        </w:rPr>
        <w:t>million, respectively, from reversals of previously recorded revenue and changes to accrued future customer compensation related to event cancellations where our performance obligations were satisfied in prior periods. During the three and six months ended June 30, 2025, we recognized a net decrease in revenue of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a net increase in revenue of less than $0.1</w:t>
      </w:r>
      <w:r>
        <w:rPr>
          <w:rFonts w:ascii="Times New Roman" w:hAnsi="Times New Roman"/>
          <w:color w:val="000000"/>
          <w:sz w:val="20"/>
        </w:rPr>
        <w:t xml:space="preserve"> </w:t>
      </w:r>
      <w:r>
        <w:rPr>
          <w:rFonts w:ascii="sans-serif" w:hAnsi="sans-serif"/>
          <w:color w:val="000000"/>
          <w:sz w:val="20"/>
        </w:rPr>
        <w:t>million, respectively, from reversals of previously recorded revenue and changes to accrued future customer compensation related to event cancellations where our performance obligations were satisfied in prior periods.</w:t>
      </w:r>
    </w:p>
    <w:p>
      <w:pPr>
        <w:pStyle w:val="TextBody"/>
        <w:bidi w:val="0"/>
        <w:spacing w:before="0" w:after="120"/>
        <w:jc w:val="both"/>
        <w:rPr>
          <w:rFonts w:ascii="Times New Roman" w:hAnsi="Times New Roman"/>
          <w:sz w:val="20"/>
        </w:rPr>
      </w:pPr>
      <w:r>
        <w:rPr>
          <w:rFonts w:ascii="sans-serif" w:hAnsi="sans-serif"/>
          <w:color w:val="000000"/>
          <w:sz w:val="20"/>
        </w:rPr>
        <w:t>Accrued future customer compensation increased by $4.9</w:t>
      </w:r>
      <w:r>
        <w:rPr>
          <w:rFonts w:ascii="Times New Roman" w:hAnsi="Times New Roman"/>
          <w:color w:val="000000"/>
          <w:sz w:val="20"/>
        </w:rPr>
        <w:t xml:space="preserve"> </w:t>
      </w:r>
      <w:r>
        <w:rPr>
          <w:rFonts w:ascii="sans-serif" w:hAnsi="sans-serif"/>
          <w:color w:val="000000"/>
          <w:sz w:val="20"/>
        </w:rPr>
        <w:t>million between December 31, 2025 and June 30, 2026, primarily due to an increase</w:t>
      </w:r>
      <w:r>
        <w:rPr>
          <w:rFonts w:ascii="Times New Roman" w:hAnsi="Times New Roman"/>
          <w:color w:val="000000"/>
          <w:sz w:val="20"/>
        </w:rPr>
        <w:t xml:space="preserve"> </w:t>
      </w:r>
      <w:r>
        <w:rPr>
          <w:rFonts w:ascii="sans-serif" w:hAnsi="sans-serif"/>
          <w:color w:val="000000"/>
          <w:sz w:val="20"/>
        </w:rPr>
        <w:t>in estimated future event cancellations. A related provision for the expected recovery of compensation from customers is recorded in Prepaid expenses and other current assets in the Condensed Consolidated Balance Sheets.</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10. Long-Term Debt – Net</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the major components of long-term debt, net of unamortized debt issuance costs and current maturities, as of June 30, 2026 and December 31, 2025 (in thousands):</w:t>
      </w:r>
    </w:p>
    <w:tbl>
      <w:tblPr>
        <w:tblW w:w="7882" w:type="dxa"/>
        <w:jc w:val="left"/>
        <w:tblInd w:w="0" w:type="dxa"/>
        <w:tblLayout w:type="fixed"/>
        <w:tblCellMar>
          <w:top w:w="28" w:type="dxa"/>
          <w:left w:w="28" w:type="dxa"/>
          <w:bottom w:w="28" w:type="dxa"/>
          <w:right w:w="28" w:type="dxa"/>
        </w:tblCellMar>
      </w:tblPr>
      <w:tblGrid>
        <w:gridCol w:w="4201"/>
        <w:gridCol w:w="246"/>
        <w:gridCol w:w="241"/>
        <w:gridCol w:w="991"/>
        <w:gridCol w:w="181"/>
        <w:gridCol w:w="146"/>
        <w:gridCol w:w="322"/>
        <w:gridCol w:w="1328"/>
        <w:gridCol w:w="226"/>
      </w:tblGrid>
      <w:tr>
        <w:trPr/>
        <w:tc>
          <w:tcPr>
            <w:tcW w:w="4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2025 First Lien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388,112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390,077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Outstanding debt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388,112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390,077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unamortized debt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385,766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387,361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current maturities of 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Long-term debt –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381,836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383,431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b/>
          <w:color w:val="000000"/>
          <w:sz w:val="20"/>
        </w:rPr>
      </w:pPr>
      <w:r>
        <w:rPr>
          <w:rFonts w:ascii="sans-serif" w:hAnsi="sans-serif"/>
          <w:b/>
          <w:color w:val="000000"/>
          <w:sz w:val="20"/>
        </w:rPr>
        <w:t>2022 First Lien Loan &amp; 2022 Revolving Facility</w:t>
      </w:r>
    </w:p>
    <w:p>
      <w:pPr>
        <w:pStyle w:val="TextBody"/>
        <w:bidi w:val="0"/>
        <w:spacing w:before="0" w:after="120"/>
        <w:jc w:val="both"/>
        <w:rPr>
          <w:rFonts w:ascii="Times New Roman" w:hAnsi="Times New Roman"/>
          <w:sz w:val="20"/>
        </w:rPr>
      </w:pPr>
      <w:r>
        <w:rPr>
          <w:rFonts w:ascii="sans-serif" w:hAnsi="sans-serif"/>
          <w:color w:val="000000"/>
          <w:sz w:val="20"/>
        </w:rPr>
        <w:t>In 2022, we refinanced the outstanding balance of our former first lien debt facility with a</w:t>
      </w:r>
      <w:r>
        <w:rPr>
          <w:rFonts w:ascii="Times New Roman" w:hAnsi="Times New Roman"/>
          <w:color w:val="000000"/>
          <w:sz w:val="20"/>
        </w:rPr>
        <w:t xml:space="preserve"> </w:t>
      </w:r>
      <w:r>
        <w:rPr>
          <w:rFonts w:ascii="sans-serif" w:hAnsi="sans-serif"/>
          <w:color w:val="000000"/>
          <w:sz w:val="20"/>
        </w:rPr>
        <w:t>$275.0</w:t>
      </w:r>
      <w:r>
        <w:rPr>
          <w:rFonts w:ascii="Times New Roman" w:hAnsi="Times New Roman"/>
          <w:color w:val="000000"/>
          <w:sz w:val="20"/>
        </w:rPr>
        <w:t xml:space="preserve"> </w:t>
      </w:r>
      <w:r>
        <w:rPr>
          <w:rFonts w:ascii="sans-serif" w:hAnsi="sans-serif"/>
          <w:color w:val="000000"/>
          <w:sz w:val="20"/>
        </w:rPr>
        <w:t>million term loan with a maturity date of February 3, 2029 (the “</w:t>
      </w:r>
      <w:r>
        <w:rPr>
          <w:rFonts w:ascii="sans-serif" w:hAnsi="sans-serif"/>
          <w:color w:val="000000"/>
          <w:sz w:val="20"/>
          <w:u w:val="single"/>
        </w:rPr>
        <w:t>2022 First Lien Loan</w:t>
      </w:r>
      <w:r>
        <w:rPr>
          <w:rFonts w:ascii="Times New Roman" w:hAnsi="Times New Roman"/>
          <w:color w:val="000000"/>
          <w:sz w:val="20"/>
        </w:rPr>
        <w:t>”</w:t>
      </w:r>
      <w:r>
        <w:rPr>
          <w:rFonts w:ascii="sans-serif" w:hAnsi="sans-serif"/>
          <w:color w:val="000000"/>
          <w:sz w:val="20"/>
        </w:rPr>
        <w:t>) and a $100.0</w:t>
      </w:r>
      <w:r>
        <w:rPr>
          <w:rFonts w:ascii="Times New Roman" w:hAnsi="Times New Roman"/>
          <w:color w:val="000000"/>
          <w:sz w:val="20"/>
        </w:rPr>
        <w:t xml:space="preserve"> </w:t>
      </w:r>
      <w:r>
        <w:rPr>
          <w:rFonts w:ascii="sans-serif" w:hAnsi="sans-serif"/>
          <w:color w:val="000000"/>
          <w:sz w:val="20"/>
        </w:rPr>
        <w:t>million revolving credit facility with a maturity date of February 3, 2027 (the “</w:t>
      </w:r>
      <w:r>
        <w:rPr>
          <w:rFonts w:ascii="sans-serif" w:hAnsi="sans-serif"/>
          <w:color w:val="000000"/>
          <w:sz w:val="20"/>
          <w:u w:val="single"/>
        </w:rPr>
        <w:t>2022 Revolving Facility</w:t>
      </w:r>
      <w:r>
        <w:rPr>
          <w:rFonts w:ascii="Times New Roman" w:hAnsi="Times New Roman"/>
          <w:color w:val="000000"/>
          <w:sz w:val="20"/>
        </w:rPr>
        <w:t>”</w:t>
      </w:r>
      <w:r>
        <w:rPr>
          <w:rFonts w:ascii="sans-serif" w:hAnsi="sans-serif"/>
          <w:color w:val="000000"/>
          <w:sz w:val="20"/>
        </w:rPr>
        <w:t>).</w:t>
      </w:r>
    </w:p>
    <w:p>
      <w:pPr>
        <w:pStyle w:val="TextBody"/>
        <w:bidi w:val="0"/>
        <w:spacing w:before="0" w:after="120"/>
        <w:jc w:val="both"/>
        <w:rPr>
          <w:rFonts w:ascii="sans-serif" w:hAnsi="sans-serif"/>
          <w:b/>
          <w:color w:val="000000"/>
          <w:sz w:val="20"/>
        </w:rPr>
      </w:pPr>
      <w:r>
        <w:rPr>
          <w:rFonts w:ascii="sans-serif" w:hAnsi="sans-serif"/>
          <w:b/>
          <w:color w:val="000000"/>
          <w:sz w:val="20"/>
        </w:rPr>
        <w:t>2024 First Lien Loan</w:t>
      </w:r>
    </w:p>
    <w:p>
      <w:pPr>
        <w:pStyle w:val="TextBody"/>
        <w:bidi w:val="0"/>
        <w:spacing w:before="0" w:after="120"/>
        <w:jc w:val="both"/>
        <w:rPr>
          <w:rFonts w:ascii="Times New Roman" w:hAnsi="Times New Roman"/>
          <w:sz w:val="20"/>
        </w:rPr>
      </w:pPr>
      <w:r>
        <w:rPr>
          <w:rFonts w:ascii="sans-serif" w:hAnsi="sans-serif"/>
          <w:color w:val="000000"/>
          <w:sz w:val="20"/>
        </w:rPr>
        <w:t>In 2024, we refinanced the outstanding balance of the 2022 First Lien Loan with a $395.0</w:t>
      </w:r>
      <w:r>
        <w:rPr>
          <w:rFonts w:ascii="Times New Roman" w:hAnsi="Times New Roman"/>
          <w:color w:val="000000"/>
          <w:sz w:val="20"/>
        </w:rPr>
        <w:t xml:space="preserve"> </w:t>
      </w:r>
      <w:r>
        <w:rPr>
          <w:rFonts w:ascii="sans-serif" w:hAnsi="sans-serif"/>
          <w:color w:val="000000"/>
          <w:sz w:val="20"/>
        </w:rPr>
        <w:t>million term loan with a maturity date of February 3, 2029 (the “</w:t>
      </w:r>
      <w:r>
        <w:rPr>
          <w:rFonts w:ascii="sans-serif" w:hAnsi="sans-serif"/>
          <w:color w:val="000000"/>
          <w:sz w:val="20"/>
          <w:u w:val="single"/>
        </w:rPr>
        <w:t>2024 First Lien Loan</w:t>
      </w:r>
      <w:r>
        <w:rPr>
          <w:rFonts w:ascii="Times New Roman" w:hAnsi="Times New Roman"/>
          <w:color w:val="000000"/>
          <w:sz w:val="20"/>
        </w:rPr>
        <w:t>”</w:t>
      </w:r>
      <w:r>
        <w:rPr>
          <w:rFonts w:ascii="sans-serif" w:hAnsi="sans-serif"/>
          <w:color w:val="000000"/>
          <w:sz w:val="20"/>
        </w:rPr>
        <w:t>). The 2022 Revolving Facility was not impacted by the refinancing.</w:t>
      </w:r>
    </w:p>
    <w:p>
      <w:pPr>
        <w:pStyle w:val="TextBody"/>
        <w:bidi w:val="0"/>
        <w:spacing w:before="0" w:after="120"/>
        <w:jc w:val="both"/>
        <w:rPr>
          <w:rFonts w:ascii="Times New Roman" w:hAnsi="Times New Roman"/>
          <w:sz w:val="20"/>
        </w:rPr>
      </w:pPr>
      <w:r>
        <w:rPr>
          <w:rFonts w:ascii="sans-serif" w:hAnsi="sans-serif"/>
          <w:color w:val="000000"/>
          <w:sz w:val="20"/>
        </w:rPr>
        <w:t>The 2024 First Lien Loan carried an interest rate equal to the secured overnight financing rate (“</w:t>
      </w:r>
      <w:r>
        <w:rPr>
          <w:rFonts w:ascii="sans-serif" w:hAnsi="sans-serif"/>
          <w:color w:val="000000"/>
          <w:sz w:val="20"/>
          <w:u w:val="single"/>
        </w:rPr>
        <w:t>SOFR</w:t>
      </w:r>
      <w:r>
        <w:rPr>
          <w:rFonts w:ascii="Times New Roman" w:hAnsi="Times New Roman"/>
          <w:color w:val="000000"/>
          <w:sz w:val="20"/>
        </w:rPr>
        <w:t>”</w:t>
      </w:r>
      <w:r>
        <w:rPr>
          <w:rFonts w:ascii="sans-serif" w:hAnsi="sans-serif"/>
          <w:color w:val="000000"/>
          <w:sz w:val="20"/>
        </w:rPr>
        <w:t>) (subject to a 0.5% floor) plus a margin of 3.00%. Other than with respect to the interest rate, the 2024 First Lien Loan had the same material terms (including with respect to maturity, prepayment, security, covenants, and events of default) as the 2025 First Lien Term Loan (as defined in the “2025 First Lien Loan” section below).</w:t>
      </w:r>
    </w:p>
    <w:p>
      <w:pPr>
        <w:pStyle w:val="TextBody"/>
        <w:bidi w:val="0"/>
        <w:spacing w:before="0" w:after="120"/>
        <w:jc w:val="both"/>
        <w:rPr>
          <w:rFonts w:ascii="sans-serif" w:hAnsi="sans-serif"/>
          <w:b/>
          <w:color w:val="000000"/>
          <w:sz w:val="20"/>
        </w:rPr>
      </w:pPr>
      <w:r>
        <w:rPr>
          <w:rFonts w:ascii="sans-serif" w:hAnsi="sans-serif"/>
          <w:b/>
          <w:color w:val="000000"/>
          <w:sz w:val="20"/>
        </w:rPr>
        <w:t>2025 First Lien Loan</w:t>
      </w:r>
    </w:p>
    <w:p>
      <w:pPr>
        <w:pStyle w:val="TextBody"/>
        <w:bidi w:val="0"/>
        <w:spacing w:before="0" w:after="120"/>
        <w:jc w:val="both"/>
        <w:rPr>
          <w:rFonts w:ascii="Times New Roman" w:hAnsi="Times New Roman"/>
          <w:sz w:val="20"/>
        </w:rPr>
      </w:pPr>
      <w:r>
        <w:rPr>
          <w:rFonts w:ascii="sans-serif" w:hAnsi="sans-serif"/>
          <w:color w:val="000000"/>
          <w:sz w:val="20"/>
        </w:rPr>
        <w:t>On February 5, 2025, we refinanced the outstanding balance of the 2024 First Lien Loan with a $393.0</w:t>
      </w:r>
      <w:r>
        <w:rPr>
          <w:rFonts w:ascii="Times New Roman" w:hAnsi="Times New Roman"/>
          <w:color w:val="000000"/>
          <w:sz w:val="20"/>
        </w:rPr>
        <w:t xml:space="preserve"> </w:t>
      </w:r>
      <w:r>
        <w:rPr>
          <w:rFonts w:ascii="sans-serif" w:hAnsi="sans-serif"/>
          <w:color w:val="000000"/>
          <w:sz w:val="20"/>
        </w:rPr>
        <w:t>million term loan with a maturity date of</w:t>
      </w:r>
      <w:r>
        <w:rPr>
          <w:rFonts w:ascii="Times New Roman" w:hAnsi="Times New Roman"/>
          <w:color w:val="000000"/>
          <w:sz w:val="20"/>
        </w:rPr>
        <w:t xml:space="preserve"> </w:t>
      </w:r>
      <w:r>
        <w:rPr>
          <w:rFonts w:ascii="sans-serif" w:hAnsi="sans-serif"/>
          <w:color w:val="000000"/>
          <w:sz w:val="20"/>
        </w:rPr>
        <w:t>February 3, 2029</w:t>
      </w:r>
      <w:r>
        <w:rPr>
          <w:rFonts w:ascii="Times New Roman" w:hAnsi="Times New Roman"/>
          <w:color w:val="000000"/>
          <w:sz w:val="20"/>
        </w:rPr>
        <w:t xml:space="preserve"> </w:t>
      </w:r>
      <w:r>
        <w:rPr>
          <w:rFonts w:ascii="sans-serif" w:hAnsi="sans-serif"/>
          <w:color w:val="000000"/>
          <w:sz w:val="20"/>
        </w:rPr>
        <w:t>(the “</w:t>
      </w:r>
      <w:r>
        <w:rPr>
          <w:rFonts w:ascii="sans-serif" w:hAnsi="sans-serif"/>
          <w:color w:val="000000"/>
          <w:sz w:val="20"/>
          <w:u w:val="single"/>
        </w:rPr>
        <w:t>2025 First Lien Loan</w:t>
      </w:r>
      <w:r>
        <w:rPr>
          <w:rFonts w:ascii="Times New Roman" w:hAnsi="Times New Roman"/>
          <w:color w:val="000000"/>
          <w:sz w:val="20"/>
        </w:rPr>
        <w:t>”</w:t>
      </w:r>
      <w:r>
        <w:rPr>
          <w:rFonts w:ascii="sans-serif" w:hAnsi="sans-serif"/>
          <w:color w:val="000000"/>
          <w:sz w:val="20"/>
        </w:rPr>
        <w:t>). The 2022 Revolving Facility was not impacted by the refinancing.</w:t>
      </w:r>
    </w:p>
    <w:p>
      <w:pPr>
        <w:pStyle w:val="TextBody"/>
        <w:bidi w:val="0"/>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Times New Roman" w:hAnsi="Times New Roman"/>
          <w:sz w:val="20"/>
        </w:rPr>
      </w:pPr>
      <w:r>
        <w:rPr>
          <w:rFonts w:ascii="sans-serif" w:hAnsi="sans-serif"/>
          <w:color w:val="000000"/>
          <w:sz w:val="20"/>
        </w:rPr>
        <w:t>The terms of the 2025 First Lien Loan specify a SOFR-based floating interest rate and contain a springing financial covenant that requires compliance with a first lien net leverage ratio when borrowings under the 2022 Revolving Facility exceed certain levels. All obligations under the 2025 First Lien Loan are unconditionally guaranteed by Hoya Intermediate and, subject to certain exceptions provided for therein, substantially all of Hoya Intermediate’s direct and indirect wholly owned domestic subsidiaries. All obligations under the 2025 First Lien Loan are secured, subject to certain permitted liens and other exceptions, by first-priority perfected security interests in substantially all of our and such guarantors’</w:t>
      </w:r>
      <w:r>
        <w:rPr>
          <w:rFonts w:ascii="Times New Roman" w:hAnsi="Times New Roman"/>
          <w:color w:val="000000"/>
          <w:sz w:val="20"/>
        </w:rPr>
        <w:t xml:space="preserve"> </w:t>
      </w:r>
      <w:r>
        <w:rPr>
          <w:rFonts w:ascii="sans-serif" w:hAnsi="sans-serif"/>
          <w:color w:val="000000"/>
          <w:sz w:val="20"/>
        </w:rPr>
        <w:t>assets. The 2025 First Lien Loan requires quarterly principal payments of $1.0</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0" w:after="120"/>
        <w:jc w:val="both"/>
        <w:rPr>
          <w:rFonts w:ascii="Times New Roman" w:hAnsi="Times New Roman"/>
          <w:sz w:val="20"/>
        </w:rPr>
      </w:pPr>
      <w:r>
        <w:rPr>
          <w:rFonts w:ascii="sans-serif" w:hAnsi="sans-serif"/>
          <w:color w:val="000000"/>
          <w:sz w:val="20"/>
        </w:rPr>
        <w:t>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effective interest rate on the 2025 First Lien Loan was 6.1%</w:t>
      </w:r>
      <w:r>
        <w:rPr>
          <w:rFonts w:ascii="Times New Roman" w:hAnsi="Times New Roman"/>
          <w:color w:val="000000"/>
          <w:sz w:val="20"/>
        </w:rPr>
        <w:t xml:space="preserve"> </w:t>
      </w:r>
      <w:r>
        <w:rPr>
          <w:rFonts w:ascii="sans-serif" w:hAnsi="sans-serif"/>
          <w:color w:val="000000"/>
          <w:sz w:val="20"/>
        </w:rPr>
        <w:t>per annum and 6.3%</w:t>
      </w:r>
      <w:r>
        <w:rPr>
          <w:rFonts w:ascii="Times New Roman" w:hAnsi="Times New Roman"/>
          <w:color w:val="000000"/>
          <w:sz w:val="20"/>
        </w:rPr>
        <w:t xml:space="preserve"> </w:t>
      </w:r>
      <w:r>
        <w:rPr>
          <w:rFonts w:ascii="sans-serif" w:hAnsi="sans-serif"/>
          <w:color w:val="000000"/>
          <w:sz w:val="20"/>
        </w:rPr>
        <w:t>per annum at June 30, 2026 and December 31, 2025, respectively.</w:t>
      </w:r>
    </w:p>
    <w:p>
      <w:pPr>
        <w:pStyle w:val="TextBody"/>
        <w:bidi w:val="0"/>
        <w:spacing w:before="0" w:after="120"/>
        <w:jc w:val="both"/>
        <w:rPr>
          <w:rFonts w:ascii="Times New Roman" w:hAnsi="Times New Roman"/>
          <w:sz w:val="20"/>
        </w:rPr>
      </w:pPr>
      <w:r>
        <w:rPr>
          <w:rFonts w:ascii="sans-serif" w:hAnsi="sans-serif"/>
          <w:color w:val="000000"/>
          <w:sz w:val="20"/>
        </w:rPr>
        <w:t>The 2025 First Lien Loan is held by third-party financial institutions and is carried at the outstanding principal balance, less debt issuance costs and any unamortized discount or premium. At June 30, 2026, the estimated fair value and carrying value of the 2025 First Lien Loan were $164.9</w:t>
      </w:r>
      <w:r>
        <w:rPr>
          <w:rFonts w:ascii="Times New Roman" w:hAnsi="Times New Roman"/>
          <w:color w:val="000000"/>
          <w:sz w:val="20"/>
        </w:rPr>
        <w:t xml:space="preserve"> </w:t>
      </w:r>
      <w:r>
        <w:rPr>
          <w:rFonts w:ascii="sans-serif" w:hAnsi="sans-serif"/>
          <w:color w:val="000000"/>
          <w:sz w:val="20"/>
        </w:rPr>
        <w:t>million and $385.8</w:t>
      </w:r>
      <w:r>
        <w:rPr>
          <w:rFonts w:ascii="Times New Roman" w:hAnsi="Times New Roman"/>
          <w:color w:val="000000"/>
          <w:sz w:val="20"/>
        </w:rPr>
        <w:t xml:space="preserve"> </w:t>
      </w:r>
      <w:r>
        <w:rPr>
          <w:rFonts w:ascii="sans-serif" w:hAnsi="sans-serif"/>
          <w:color w:val="000000"/>
          <w:sz w:val="20"/>
        </w:rPr>
        <w:t xml:space="preserve">million, respectively. If measured at fair value, the 2025 First Lien Loan would be classified as Level 2 within the fair value hierarchy because its fair value would be estimated using quoted market prices that are directly observable in the marketplace. See Note 8, </w:t>
      </w:r>
      <w:r>
        <w:rPr>
          <w:rFonts w:ascii="sans-serif" w:hAnsi="sans-serif"/>
          <w:i/>
          <w:color w:val="000000"/>
          <w:sz w:val="20"/>
        </w:rPr>
        <w:t>Investments and Fair Value Measurements</w:t>
      </w:r>
      <w:r>
        <w:rPr>
          <w:rFonts w:ascii="sans-serif" w:hAnsi="sans-serif"/>
          <w:color w:val="000000"/>
          <w:sz w:val="20"/>
        </w:rPr>
        <w:t>, for more information regarding our approach and accounting treatment of recurring and nonrecurring fair value measurements.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We are subject to certain reporting and compliance-related covenants to remain in good standing under the 2025 First Lien Loan. These covenants, among other things, limit our ability to incur additional indebtedness and, in certain circumstances, to enter into transactions with affiliates, create liens, merge or consolidate, and make certain payments. Non-compliance with these covenants and a failure to remedy any such non-compliance could result in the acceleration of the loans or foreclosure on the collateral. As of June 30, 2026 and December 31, 2025, we were in compliance with all debt covenants related to the 2025 First Lien Loan and had no</w:t>
      </w:r>
      <w:r>
        <w:rPr>
          <w:rFonts w:ascii="Times New Roman" w:hAnsi="Times New Roman"/>
          <w:color w:val="000000"/>
          <w:sz w:val="20"/>
        </w:rPr>
        <w:t xml:space="preserve"> </w:t>
      </w:r>
      <w:r>
        <w:rPr>
          <w:rFonts w:ascii="sans-serif" w:hAnsi="sans-serif"/>
          <w:color w:val="000000"/>
          <w:sz w:val="20"/>
        </w:rPr>
        <w:t>outstanding borrowings under the 2022 Revolving Facility.</w:t>
      </w:r>
    </w:p>
    <w:p>
      <w:pPr>
        <w:pStyle w:val="TextBody"/>
        <w:bidi w:val="0"/>
        <w:spacing w:before="0" w:after="120"/>
        <w:jc w:val="both"/>
        <w:rPr>
          <w:rFonts w:ascii="Times New Roman" w:hAnsi="Times New Roman"/>
          <w:sz w:val="20"/>
        </w:rPr>
      </w:pPr>
      <w:r>
        <w:rPr>
          <w:rFonts w:ascii="sans-serif" w:hAnsi="sans-serif"/>
          <w:color w:val="000000"/>
          <w:sz w:val="20"/>
        </w:rPr>
        <w:t xml:space="preserve">In accordance with ASC Topic 470, </w:t>
      </w:r>
      <w:r>
        <w:rPr>
          <w:rFonts w:ascii="sans-serif" w:hAnsi="sans-serif"/>
          <w:i/>
          <w:color w:val="000000"/>
          <w:sz w:val="20"/>
        </w:rPr>
        <w:t xml:space="preserve">Debt </w:t>
      </w:r>
      <w:r>
        <w:rPr>
          <w:rFonts w:ascii="sans-serif" w:hAnsi="sans-serif"/>
          <w:color w:val="000000"/>
          <w:sz w:val="20"/>
        </w:rPr>
        <w:t>(“</w:t>
      </w:r>
      <w:r>
        <w:rPr>
          <w:rFonts w:ascii="sans-serif" w:hAnsi="sans-serif"/>
          <w:color w:val="000000"/>
          <w:sz w:val="20"/>
          <w:u w:val="single"/>
        </w:rPr>
        <w:t>ASC 470</w:t>
      </w:r>
      <w:r>
        <w:rPr>
          <w:rFonts w:ascii="Times New Roman" w:hAnsi="Times New Roman"/>
          <w:color w:val="000000"/>
          <w:sz w:val="20"/>
        </w:rPr>
        <w:t>”</w:t>
      </w:r>
      <w:r>
        <w:rPr>
          <w:rFonts w:ascii="sans-serif" w:hAnsi="sans-serif"/>
          <w:color w:val="000000"/>
          <w:sz w:val="20"/>
        </w:rPr>
        <w:t>), we analyzed our outstanding balances with each lender both immediately before and immediately after refinancing the 2024 First Lien Loan with the 2025 First Lien Loan and determined that the refinancing is partly accounted for as a debt modification (the “</w:t>
      </w:r>
      <w:r>
        <w:rPr>
          <w:rFonts w:ascii="sans-serif" w:hAnsi="sans-serif"/>
          <w:color w:val="000000"/>
          <w:sz w:val="20"/>
          <w:u w:val="single"/>
        </w:rPr>
        <w:t>First Lien Loan Modification</w:t>
      </w:r>
      <w:r>
        <w:rPr>
          <w:rFonts w:ascii="Times New Roman" w:hAnsi="Times New Roman"/>
          <w:color w:val="000000"/>
          <w:sz w:val="20"/>
        </w:rPr>
        <w:t>”</w:t>
      </w:r>
      <w:r>
        <w:rPr>
          <w:rFonts w:ascii="sans-serif" w:hAnsi="sans-serif"/>
          <w:color w:val="000000"/>
          <w:sz w:val="20"/>
        </w:rPr>
        <w:t>), partly accounted for as a debt extinguishment (the “</w:t>
      </w:r>
      <w:r>
        <w:rPr>
          <w:rFonts w:ascii="sans-serif" w:hAnsi="sans-serif"/>
          <w:color w:val="000000"/>
          <w:sz w:val="20"/>
          <w:u w:val="single"/>
        </w:rPr>
        <w:t>First Lien Loan Extinguishment</w:t>
      </w:r>
      <w:r>
        <w:rPr>
          <w:rFonts w:ascii="Times New Roman" w:hAnsi="Times New Roman"/>
          <w:color w:val="000000"/>
          <w:sz w:val="20"/>
        </w:rPr>
        <w:t>”</w:t>
      </w:r>
      <w:r>
        <w:rPr>
          <w:rFonts w:ascii="sans-serif" w:hAnsi="sans-serif"/>
          <w:color w:val="000000"/>
          <w:sz w:val="20"/>
        </w:rPr>
        <w:t>), and partly accounted for as an issuance of new debt (the “</w:t>
      </w:r>
      <w:r>
        <w:rPr>
          <w:rFonts w:ascii="sans-serif" w:hAnsi="sans-serif"/>
          <w:color w:val="000000"/>
          <w:sz w:val="20"/>
          <w:u w:val="single"/>
        </w:rPr>
        <w:t>First Lien Loan Issuance</w:t>
      </w:r>
      <w:r>
        <w:rPr>
          <w:rFonts w:ascii="Times New Roman" w:hAnsi="Times New Roman"/>
          <w:color w:val="000000"/>
          <w:sz w:val="20"/>
        </w:rPr>
        <w:t>”</w:t>
      </w:r>
      <w:r>
        <w:rPr>
          <w:rFonts w:ascii="sans-serif" w:hAnsi="sans-serif"/>
          <w:color w:val="000000"/>
          <w:sz w:val="20"/>
        </w:rPr>
        <w:t>).</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2025, we (i) recognized an expense of zero</w:t>
      </w:r>
      <w:r>
        <w:rPr>
          <w:rFonts w:ascii="Times New Roman" w:hAnsi="Times New Roman"/>
          <w:color w:val="000000"/>
          <w:sz w:val="20"/>
        </w:rPr>
        <w:t xml:space="preserve"> </w:t>
      </w:r>
      <w:r>
        <w:rPr>
          <w:rFonts w:ascii="sans-serif" w:hAnsi="sans-serif"/>
          <w:color w:val="000000"/>
          <w:sz w:val="20"/>
        </w:rPr>
        <w:t>and $0.6</w:t>
      </w:r>
      <w:r>
        <w:rPr>
          <w:rFonts w:ascii="Times New Roman" w:hAnsi="Times New Roman"/>
          <w:color w:val="000000"/>
          <w:sz w:val="20"/>
        </w:rPr>
        <w:t xml:space="preserve"> </w:t>
      </w:r>
      <w:r>
        <w:rPr>
          <w:rFonts w:ascii="sans-serif" w:hAnsi="sans-serif"/>
          <w:color w:val="000000"/>
          <w:sz w:val="20"/>
        </w:rPr>
        <w:t>million, respectively, for third-party fees incurred in relation to the First Lien Loan Modification, which is recorded in Other expense (income) – net in the Condensed Consolidated Statements of Operations; (ii) recognized an expense of zero</w:t>
      </w:r>
      <w:r>
        <w:rPr>
          <w:rFonts w:ascii="Times New Roman" w:hAnsi="Times New Roman"/>
          <w:color w:val="000000"/>
          <w:sz w:val="20"/>
        </w:rPr>
        <w:t xml:space="preserve"> </w:t>
      </w:r>
      <w:r>
        <w:rPr>
          <w:rFonts w:ascii="sans-serif" w:hAnsi="sans-serif"/>
          <w:color w:val="000000"/>
          <w:sz w:val="20"/>
        </w:rPr>
        <w:t>and $0.8</w:t>
      </w:r>
      <w:r>
        <w:rPr>
          <w:rFonts w:ascii="Times New Roman" w:hAnsi="Times New Roman"/>
          <w:color w:val="000000"/>
          <w:sz w:val="20"/>
        </w:rPr>
        <w:t xml:space="preserve"> </w:t>
      </w:r>
      <w:r>
        <w:rPr>
          <w:rFonts w:ascii="sans-serif" w:hAnsi="sans-serif"/>
          <w:color w:val="000000"/>
          <w:sz w:val="20"/>
        </w:rPr>
        <w:t>million, respectively, for losses incurred in relation to the First Lien Loan Extinguishment, which is recorded in Loss on extinguishment of debt in the Condensed Consolidated Statements of Operations; and (iii) capitalized zero</w:t>
      </w:r>
      <w:r>
        <w:rPr>
          <w:rFonts w:ascii="Times New Roman" w:hAnsi="Times New Roman"/>
          <w:color w:val="000000"/>
          <w:sz w:val="20"/>
        </w:rPr>
        <w:t xml:space="preserve"> </w:t>
      </w:r>
      <w:r>
        <w:rPr>
          <w:rFonts w:ascii="sans-serif" w:hAnsi="sans-serif"/>
          <w:color w:val="000000"/>
          <w:sz w:val="20"/>
        </w:rPr>
        <w:t>and $0.2</w:t>
      </w:r>
      <w:r>
        <w:rPr>
          <w:rFonts w:ascii="Times New Roman" w:hAnsi="Times New Roman"/>
          <w:color w:val="000000"/>
          <w:sz w:val="20"/>
        </w:rPr>
        <w:t xml:space="preserve"> </w:t>
      </w:r>
      <w:r>
        <w:rPr>
          <w:rFonts w:ascii="sans-serif" w:hAnsi="sans-serif"/>
          <w:color w:val="000000"/>
          <w:sz w:val="20"/>
        </w:rPr>
        <w:t>million, respectively, of third-party fees incurred in relation to the First Lien Loan Issuance, which is recorded in Long-term debt – net in the Condensed Consolidated Balance Sheets.</w:t>
      </w:r>
    </w:p>
    <w:p>
      <w:pPr>
        <w:pStyle w:val="TextBody"/>
        <w:bidi w:val="0"/>
        <w:spacing w:before="0" w:after="120"/>
        <w:jc w:val="both"/>
        <w:rPr>
          <w:rFonts w:ascii="sans-serif" w:hAnsi="sans-serif"/>
          <w:b/>
          <w:color w:val="000000"/>
          <w:sz w:val="20"/>
        </w:rPr>
      </w:pPr>
      <w:r>
        <w:rPr>
          <w:rFonts w:ascii="sans-serif" w:hAnsi="sans-serif"/>
          <w:b/>
          <w:color w:val="000000"/>
          <w:sz w:val="20"/>
        </w:rPr>
        <w:t>LC Sublimit Increase</w:t>
      </w:r>
    </w:p>
    <w:p>
      <w:pPr>
        <w:pStyle w:val="TextBody"/>
        <w:bidi w:val="0"/>
        <w:spacing w:before="0" w:after="120"/>
        <w:jc w:val="both"/>
        <w:rPr>
          <w:rFonts w:ascii="Times New Roman" w:hAnsi="Times New Roman"/>
          <w:sz w:val="20"/>
        </w:rPr>
      </w:pPr>
      <w:r>
        <w:rPr>
          <w:rFonts w:ascii="sans-serif" w:hAnsi="sans-serif"/>
          <w:color w:val="000000"/>
          <w:sz w:val="20"/>
        </w:rPr>
        <w:t>On June 23, 2026, the letter of credit sublimit under the 2022 Revolving Facility was increased from $10.0</w:t>
      </w:r>
      <w:r>
        <w:rPr>
          <w:rFonts w:ascii="Times New Roman" w:hAnsi="Times New Roman"/>
          <w:color w:val="000000"/>
          <w:sz w:val="20"/>
        </w:rPr>
        <w:t xml:space="preserve"> </w:t>
      </w:r>
      <w:r>
        <w:rPr>
          <w:rFonts w:ascii="sans-serif" w:hAnsi="sans-serif"/>
          <w:color w:val="000000"/>
          <w:sz w:val="20"/>
        </w:rPr>
        <w:t>million to $25.0</w:t>
      </w:r>
      <w:r>
        <w:rPr>
          <w:rFonts w:ascii="Times New Roman" w:hAnsi="Times New Roman"/>
          <w:color w:val="000000"/>
          <w:sz w:val="20"/>
        </w:rPr>
        <w:t xml:space="preserve"> </w:t>
      </w:r>
      <w:r>
        <w:rPr>
          <w:rFonts w:ascii="sans-serif" w:hAnsi="sans-serif"/>
          <w:color w:val="000000"/>
          <w:sz w:val="20"/>
        </w:rPr>
        <w:t>million (the “</w:t>
      </w:r>
      <w:r>
        <w:rPr>
          <w:rFonts w:ascii="sans-serif" w:hAnsi="sans-serif"/>
          <w:color w:val="000000"/>
          <w:sz w:val="20"/>
          <w:u w:val="single"/>
        </w:rPr>
        <w:t>LC Sublimit Increase</w:t>
      </w:r>
      <w:r>
        <w:rPr>
          <w:rFonts w:ascii="Times New Roman" w:hAnsi="Times New Roman"/>
          <w:color w:val="000000"/>
          <w:sz w:val="20"/>
        </w:rPr>
        <w:t>”</w:t>
      </w:r>
      <w:r>
        <w:rPr>
          <w:rFonts w:ascii="sans-serif" w:hAnsi="sans-serif"/>
          <w:color w:val="000000"/>
          <w:sz w:val="20"/>
        </w:rPr>
        <w:t>). In accordance with ASC 470, we analyzed our maximum borrowing capacity immediately before and after the LC Sublimit Increase and determined that the borrowing capacity did not decrease as a result of the LC Sublimit Increase. As of June 30, 2026, we capitalized $0.8</w:t>
      </w:r>
      <w:r>
        <w:rPr>
          <w:rFonts w:ascii="Times New Roman" w:hAnsi="Times New Roman"/>
          <w:color w:val="000000"/>
          <w:sz w:val="20"/>
        </w:rPr>
        <w:t xml:space="preserve"> </w:t>
      </w:r>
      <w:r>
        <w:rPr>
          <w:rFonts w:ascii="sans-serif" w:hAnsi="sans-serif"/>
          <w:color w:val="000000"/>
          <w:sz w:val="20"/>
        </w:rPr>
        <w:t>million of third-party fees incurred in relation to the LC Sublimit Increase, which is recorded in Other assets in the Condensed Consolidated Balance Sheets. As of June 30, 2026, availability under the 2022 Revolving Facility was reduced by $22.0</w:t>
      </w:r>
      <w:r>
        <w:rPr>
          <w:rFonts w:ascii="Times New Roman" w:hAnsi="Times New Roman"/>
          <w:color w:val="000000"/>
          <w:sz w:val="20"/>
        </w:rPr>
        <w:t xml:space="preserve"> </w:t>
      </w:r>
      <w:r>
        <w:rPr>
          <w:rFonts w:ascii="sans-serif" w:hAnsi="sans-serif"/>
          <w:color w:val="000000"/>
          <w:sz w:val="20"/>
        </w:rPr>
        <w:t>million due to outstanding letters of credit.</w:t>
      </w:r>
    </w:p>
    <w:p>
      <w:pPr>
        <w:pStyle w:val="TextBody"/>
        <w:bidi w:val="0"/>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11. Financial Instruments</w:t>
      </w:r>
    </w:p>
    <w:p>
      <w:pPr>
        <w:pStyle w:val="TextBody"/>
        <w:bidi w:val="0"/>
        <w:spacing w:before="0" w:after="120"/>
        <w:jc w:val="both"/>
        <w:rPr>
          <w:rFonts w:ascii="Times New Roman" w:hAnsi="Times New Roman"/>
          <w:sz w:val="20"/>
        </w:rPr>
      </w:pPr>
      <w:r>
        <w:rPr>
          <w:rFonts w:ascii="sans-serif" w:hAnsi="sans-serif"/>
          <w:color w:val="000000"/>
          <w:sz w:val="20"/>
        </w:rPr>
        <w:t xml:space="preserve">In connection with the Reverse Stock Split, proportionate equitable adjustments were made to the number of shares issuable upon exercise of the Public Warrants, Private Warrants, Exercise Warrants, Mirror Warrants, and Intermediate Warrants (each as defined below), as well as to the exercise and redemption prices thereof, as applicable. All share, per share, unit, and per unit amounts set forth below reflect these adjustments. See Note 1, </w:t>
      </w:r>
      <w:r>
        <w:rPr>
          <w:rFonts w:ascii="sans-serif" w:hAnsi="sans-serif"/>
          <w:i/>
          <w:color w:val="000000"/>
          <w:sz w:val="20"/>
        </w:rPr>
        <w:t>Background and Basis of Presentation</w:t>
      </w:r>
      <w:r>
        <w:rPr>
          <w:rFonts w:ascii="sans-serif" w:hAnsi="sans-serif"/>
          <w:color w:val="000000"/>
          <w:sz w:val="20"/>
        </w:rPr>
        <w: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Public Warrants</w:t>
      </w:r>
    </w:p>
    <w:p>
      <w:pPr>
        <w:pStyle w:val="TextBody"/>
        <w:bidi w:val="0"/>
        <w:spacing w:before="0" w:after="120"/>
        <w:jc w:val="both"/>
        <w:rPr>
          <w:rFonts w:ascii="Times New Roman" w:hAnsi="Times New Roman"/>
          <w:sz w:val="20"/>
        </w:rPr>
      </w:pPr>
      <w:r>
        <w:rPr>
          <w:rFonts w:ascii="sans-serif" w:hAnsi="sans-serif"/>
          <w:color w:val="000000"/>
          <w:sz w:val="20"/>
        </w:rPr>
        <w:t>We issued certain warrants that entitle the holders thereof (including Horizon Sponsor, LLC (“</w:t>
      </w:r>
      <w:r>
        <w:rPr>
          <w:rFonts w:ascii="sans-serif" w:hAnsi="sans-serif"/>
          <w:color w:val="000000"/>
          <w:sz w:val="20"/>
          <w:u w:val="single"/>
        </w:rPr>
        <w:t>Horizon Sponsor</w:t>
      </w:r>
      <w:r>
        <w:rPr>
          <w:rFonts w:ascii="Times New Roman" w:hAnsi="Times New Roman"/>
          <w:color w:val="000000"/>
          <w:sz w:val="20"/>
        </w:rPr>
        <w:t>”</w:t>
      </w:r>
      <w:r>
        <w:rPr>
          <w:rFonts w:ascii="sans-serif" w:hAnsi="sans-serif"/>
          <w:color w:val="000000"/>
          <w:sz w:val="20"/>
        </w:rPr>
        <w:t>)) to purchase shares of Class A common stock at an exercise price of $230.00</w:t>
      </w:r>
      <w:r>
        <w:rPr>
          <w:rFonts w:ascii="Times New Roman" w:hAnsi="Times New Roman"/>
          <w:color w:val="000000"/>
          <w:sz w:val="20"/>
        </w:rPr>
        <w:t xml:space="preserve"> </w:t>
      </w:r>
      <w:r>
        <w:rPr>
          <w:rFonts w:ascii="sans-serif" w:hAnsi="sans-serif"/>
          <w:color w:val="000000"/>
          <w:sz w:val="20"/>
        </w:rPr>
        <w:t xml:space="preserve">per share (the </w:t>
      </w:r>
      <w:r>
        <w:rPr>
          <w:rFonts w:ascii="Times New Roman" w:hAnsi="Times New Roman"/>
          <w:color w:val="000000"/>
          <w:sz w:val="20"/>
        </w:rPr>
        <w:t>“</w:t>
      </w:r>
      <w:r>
        <w:rPr>
          <w:rFonts w:ascii="sans-serif" w:hAnsi="sans-serif"/>
          <w:color w:val="000000"/>
          <w:sz w:val="20"/>
          <w:u w:val="single"/>
        </w:rPr>
        <w:t>Public Warrants</w:t>
      </w:r>
      <w:r>
        <w:rPr>
          <w:rFonts w:ascii="Times New Roman" w:hAnsi="Times New Roman"/>
          <w:color w:val="000000"/>
          <w:sz w:val="20"/>
        </w:rPr>
        <w:t>”</w:t>
      </w:r>
      <w:r>
        <w:rPr>
          <w:rFonts w:ascii="sans-serif" w:hAnsi="sans-serif"/>
          <w:color w:val="000000"/>
          <w:sz w:val="20"/>
        </w:rPr>
        <w:t>). The Public Warrants are traded on the Nasdaq Global Select Market under the symbol “SEATW.”</w:t>
      </w:r>
    </w:p>
    <w:p>
      <w:pPr>
        <w:pStyle w:val="TextBody"/>
        <w:bidi w:val="0"/>
        <w:spacing w:before="0" w:after="120"/>
        <w:jc w:val="both"/>
        <w:rPr>
          <w:rFonts w:ascii="sans-serif" w:hAnsi="sans-serif"/>
          <w:color w:val="000000"/>
          <w:sz w:val="20"/>
        </w:rPr>
      </w:pPr>
      <w:r>
        <w:rPr>
          <w:rFonts w:ascii="sans-serif" w:hAnsi="sans-serif"/>
          <w:color w:val="000000"/>
          <w:sz w:val="20"/>
        </w:rPr>
        <w:t>We may, in our sole discretion, reduce the exercise price of the Public Warrants to induce early exercise, provided that we provide at least five days’ advance notice. The exercise price and number of shares issuable upon exercise of the Public Warrants may also be adjusted in certain circumstances, including in the event of a share dividend, recapitalization, reorganization, merger, or consolidation. In no event are we required to net cash settle the Public Warrants.</w:t>
      </w:r>
    </w:p>
    <w:p>
      <w:pPr>
        <w:pStyle w:val="TextBody"/>
        <w:bidi w:val="0"/>
        <w:spacing w:before="0" w:after="120"/>
        <w:jc w:val="both"/>
        <w:rPr>
          <w:rFonts w:ascii="Times New Roman" w:hAnsi="Times New Roman"/>
          <w:sz w:val="20"/>
        </w:rPr>
      </w:pPr>
      <w:r>
        <w:rPr>
          <w:rFonts w:ascii="sans-serif" w:hAnsi="sans-serif"/>
          <w:color w:val="000000"/>
          <w:sz w:val="20"/>
        </w:rPr>
        <w:t>The Public Warrants expire at the earliest of the date that is five years</w:t>
      </w:r>
      <w:r>
        <w:rPr>
          <w:rFonts w:ascii="Times New Roman" w:hAnsi="Times New Roman"/>
          <w:color w:val="000000"/>
          <w:sz w:val="20"/>
        </w:rPr>
        <w:t xml:space="preserve"> </w:t>
      </w:r>
      <w:r>
        <w:rPr>
          <w:rFonts w:ascii="sans-serif" w:hAnsi="sans-serif"/>
          <w:color w:val="000000"/>
          <w:sz w:val="20"/>
        </w:rPr>
        <w:t>following the 2021 transaction pursuant to which Horizon Acquisition Corporation merged with and into VSI (the “</w:t>
      </w:r>
      <w:r>
        <w:rPr>
          <w:rFonts w:ascii="sans-serif" w:hAnsi="sans-serif"/>
          <w:color w:val="000000"/>
          <w:sz w:val="20"/>
          <w:u w:val="single"/>
        </w:rPr>
        <w:t>Merger Transaction</w:t>
      </w:r>
      <w:r>
        <w:rPr>
          <w:rFonts w:ascii="Times New Roman" w:hAnsi="Times New Roman"/>
          <w:color w:val="000000"/>
          <w:sz w:val="20"/>
        </w:rPr>
        <w:t>”</w:t>
      </w:r>
      <w:r>
        <w:rPr>
          <w:rFonts w:ascii="sans-serif" w:hAnsi="sans-serif"/>
          <w:color w:val="000000"/>
          <w:sz w:val="20"/>
        </w:rPr>
        <w:t>), the date of our liquidation, or the date of our optional redemption thereof, provided that the value of our Class A common stock exceeds $360.00</w:t>
      </w:r>
      <w:r>
        <w:rPr>
          <w:rFonts w:ascii="Times New Roman" w:hAnsi="Times New Roman"/>
          <w:color w:val="000000"/>
          <w:sz w:val="20"/>
        </w:rPr>
        <w:t xml:space="preserve"> </w:t>
      </w:r>
      <w:r>
        <w:rPr>
          <w:rFonts w:ascii="sans-serif" w:hAnsi="sans-serif"/>
          <w:color w:val="000000"/>
          <w:sz w:val="20"/>
        </w:rPr>
        <w:t>per share. There is an effective registration statement and prospectus relating to the shares issuable upon exercise of the Public Warrants.</w:t>
      </w:r>
    </w:p>
    <w:p>
      <w:pPr>
        <w:pStyle w:val="TextBody"/>
        <w:bidi w:val="0"/>
        <w:spacing w:before="0" w:after="120"/>
        <w:jc w:val="both"/>
        <w:rPr>
          <w:rFonts w:ascii="Times New Roman" w:hAnsi="Times New Roman"/>
          <w:sz w:val="20"/>
        </w:rPr>
      </w:pPr>
      <w:r>
        <w:rPr>
          <w:rFonts w:ascii="sans-serif" w:hAnsi="sans-serif"/>
          <w:color w:val="000000"/>
          <w:sz w:val="20"/>
        </w:rPr>
        <w:t>Under certain circumstances, we may elect to redeem the Public Warrants at a redemption price of $0.20</w:t>
      </w:r>
      <w:r>
        <w:rPr>
          <w:rFonts w:ascii="Times New Roman" w:hAnsi="Times New Roman"/>
          <w:color w:val="000000"/>
          <w:sz w:val="20"/>
        </w:rPr>
        <w:t xml:space="preserve"> </w:t>
      </w:r>
      <w:r>
        <w:rPr>
          <w:rFonts w:ascii="sans-serif" w:hAnsi="sans-serif"/>
          <w:color w:val="000000"/>
          <w:sz w:val="20"/>
        </w:rPr>
        <w:t>per Public Warrant at any time during the term of the Public Warrants in which the trading price of our Class A common stock has been at least $360.00</w:t>
      </w:r>
      <w:r>
        <w:rPr>
          <w:rFonts w:ascii="Times New Roman" w:hAnsi="Times New Roman"/>
          <w:color w:val="000000"/>
          <w:sz w:val="20"/>
        </w:rPr>
        <w:t xml:space="preserve"> </w:t>
      </w:r>
      <w:r>
        <w:rPr>
          <w:rFonts w:ascii="sans-serif" w:hAnsi="sans-serif"/>
          <w:color w:val="000000"/>
          <w:sz w:val="20"/>
        </w:rPr>
        <w:t>per share for 20</w:t>
      </w:r>
      <w:r>
        <w:rPr>
          <w:rFonts w:ascii="Times New Roman" w:hAnsi="Times New Roman"/>
          <w:color w:val="000000"/>
          <w:sz w:val="20"/>
        </w:rPr>
        <w:t xml:space="preserve"> </w:t>
      </w:r>
      <w:r>
        <w:rPr>
          <w:rFonts w:ascii="sans-serif" w:hAnsi="sans-serif"/>
          <w:color w:val="000000"/>
          <w:sz w:val="20"/>
        </w:rPr>
        <w:t>trading days within a 30</w:t>
      </w:r>
      <w:r>
        <w:rPr>
          <w:rFonts w:ascii="Times New Roman" w:hAnsi="Times New Roman"/>
          <w:color w:val="000000"/>
          <w:sz w:val="20"/>
        </w:rPr>
        <w:t xml:space="preserve"> </w:t>
      </w:r>
      <w:r>
        <w:rPr>
          <w:rFonts w:ascii="sans-serif" w:hAnsi="sans-serif"/>
          <w:color w:val="000000"/>
          <w:sz w:val="20"/>
        </w:rPr>
        <w:t>trading-day period. If we elect to redeem the 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there were Public Warrants to purchase 338,342</w:t>
      </w:r>
      <w:r>
        <w:rPr>
          <w:rFonts w:ascii="Times New Roman" w:hAnsi="Times New Roman"/>
          <w:color w:val="000000"/>
          <w:sz w:val="20"/>
        </w:rPr>
        <w:t xml:space="preserve"> </w:t>
      </w:r>
      <w:r>
        <w:rPr>
          <w:rFonts w:ascii="sans-serif" w:hAnsi="sans-serif"/>
          <w:color w:val="000000"/>
          <w:sz w:val="20"/>
        </w:rPr>
        <w:t>shares of Class A common stock outstanding.</w:t>
      </w:r>
    </w:p>
    <w:p>
      <w:pPr>
        <w:pStyle w:val="TextBody"/>
        <w:bidi w:val="0"/>
        <w:spacing w:before="0" w:after="120"/>
        <w:jc w:val="both"/>
        <w:rPr>
          <w:rFonts w:ascii="sans-serif" w:hAnsi="sans-serif"/>
          <w:b/>
          <w:color w:val="000000"/>
          <w:sz w:val="20"/>
        </w:rPr>
      </w:pPr>
      <w:r>
        <w:rPr>
          <w:rFonts w:ascii="sans-serif" w:hAnsi="sans-serif"/>
          <w:b/>
          <w:color w:val="000000"/>
          <w:sz w:val="20"/>
        </w:rPr>
        <w:t>Private Warrants</w:t>
      </w:r>
    </w:p>
    <w:p>
      <w:pPr>
        <w:pStyle w:val="TextBody"/>
        <w:bidi w:val="0"/>
        <w:spacing w:before="0" w:after="120"/>
        <w:jc w:val="both"/>
        <w:rPr>
          <w:rFonts w:ascii="Times New Roman" w:hAnsi="Times New Roman"/>
          <w:sz w:val="20"/>
        </w:rPr>
      </w:pPr>
      <w:r>
        <w:rPr>
          <w:rFonts w:ascii="sans-serif" w:hAnsi="sans-serif"/>
          <w:color w:val="000000"/>
          <w:sz w:val="20"/>
        </w:rPr>
        <w:t>We issued certain warrants that entitle Horizon Sponsor to purchase shares of Class A common stock at an exercise price of $230.00</w:t>
      </w:r>
      <w:r>
        <w:rPr>
          <w:rFonts w:ascii="Times New Roman" w:hAnsi="Times New Roman"/>
          <w:color w:val="000000"/>
          <w:sz w:val="20"/>
        </w:rPr>
        <w:t xml:space="preserve"> </w:t>
      </w:r>
      <w:r>
        <w:rPr>
          <w:rFonts w:ascii="sans-serif" w:hAnsi="sans-serif"/>
          <w:color w:val="000000"/>
          <w:sz w:val="20"/>
        </w:rPr>
        <w:t>per share (the “</w:t>
      </w:r>
      <w:r>
        <w:rPr>
          <w:rFonts w:ascii="sans-serif" w:hAnsi="sans-serif"/>
          <w:color w:val="000000"/>
          <w:sz w:val="20"/>
          <w:u w:val="single"/>
        </w:rPr>
        <w:t>Private Warrants</w:t>
      </w:r>
      <w:r>
        <w:rPr>
          <w:rFonts w:ascii="Times New Roman" w:hAnsi="Times New Roman"/>
          <w:color w:val="000000"/>
          <w:sz w:val="20"/>
        </w:rPr>
        <w:t>”</w:t>
      </w:r>
      <w:r>
        <w:rPr>
          <w:rFonts w:ascii="sans-serif" w:hAnsi="sans-serif"/>
          <w:color w:val="000000"/>
          <w:sz w:val="20"/>
        </w:rPr>
        <w:t>). The Private Warrants have similar terms to the Public Warrants, but are not redeemable by us.</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there were Private Warrants to purchase 325,989</w:t>
      </w:r>
      <w:r>
        <w:rPr>
          <w:rFonts w:ascii="Times New Roman" w:hAnsi="Times New Roman"/>
          <w:color w:val="000000"/>
          <w:sz w:val="20"/>
        </w:rPr>
        <w:t xml:space="preserve"> </w:t>
      </w:r>
      <w:r>
        <w:rPr>
          <w:rFonts w:ascii="sans-serif" w:hAnsi="sans-serif"/>
          <w:color w:val="000000"/>
          <w:sz w:val="20"/>
        </w:rPr>
        <w:t>shares of Class A common stock outstanding.</w:t>
      </w:r>
    </w:p>
    <w:p>
      <w:pPr>
        <w:pStyle w:val="TextBody"/>
        <w:bidi w:val="0"/>
        <w:spacing w:before="0" w:after="120"/>
        <w:jc w:val="both"/>
        <w:rPr>
          <w:rFonts w:ascii="sans-serif" w:hAnsi="sans-serif"/>
          <w:b/>
          <w:color w:val="000000"/>
          <w:sz w:val="20"/>
        </w:rPr>
      </w:pPr>
      <w:r>
        <w:rPr>
          <w:rFonts w:ascii="sans-serif" w:hAnsi="sans-serif"/>
          <w:b/>
          <w:color w:val="000000"/>
          <w:sz w:val="20"/>
        </w:rPr>
        <w:t>Exercise Warrants</w:t>
      </w:r>
    </w:p>
    <w:p>
      <w:pPr>
        <w:pStyle w:val="TextBody"/>
        <w:bidi w:val="0"/>
        <w:spacing w:before="0" w:after="120"/>
        <w:jc w:val="both"/>
        <w:rPr>
          <w:rFonts w:ascii="Times New Roman" w:hAnsi="Times New Roman"/>
          <w:sz w:val="20"/>
        </w:rPr>
      </w:pPr>
      <w:r>
        <w:rPr>
          <w:rFonts w:ascii="sans-serif" w:hAnsi="sans-serif"/>
          <w:color w:val="000000"/>
          <w:sz w:val="20"/>
        </w:rPr>
        <w:t>We issued certain warrants that entitle Horizon Sponsor to purchase shares of Class A common stock at exercise prices of $200.00</w:t>
      </w:r>
      <w:r>
        <w:rPr>
          <w:rFonts w:ascii="Times New Roman" w:hAnsi="Times New Roman"/>
          <w:color w:val="000000"/>
          <w:sz w:val="20"/>
        </w:rPr>
        <w:t xml:space="preserve"> </w:t>
      </w:r>
      <w:r>
        <w:rPr>
          <w:rFonts w:ascii="sans-serif" w:hAnsi="sans-serif"/>
          <w:color w:val="000000"/>
          <w:sz w:val="20"/>
        </w:rPr>
        <w:t>and $300.00</w:t>
      </w:r>
      <w:r>
        <w:rPr>
          <w:rFonts w:ascii="Times New Roman" w:hAnsi="Times New Roman"/>
          <w:color w:val="000000"/>
          <w:sz w:val="20"/>
        </w:rPr>
        <w:t xml:space="preserve"> </w:t>
      </w:r>
      <w:r>
        <w:rPr>
          <w:rFonts w:ascii="sans-serif" w:hAnsi="sans-serif"/>
          <w:color w:val="000000"/>
          <w:sz w:val="20"/>
        </w:rPr>
        <w:t>per share (the “</w:t>
      </w:r>
      <w:r>
        <w:rPr>
          <w:rFonts w:ascii="sans-serif" w:hAnsi="sans-serif"/>
          <w:color w:val="000000"/>
          <w:sz w:val="20"/>
          <w:u w:val="single"/>
        </w:rPr>
        <w:t>Exercise Warrants</w:t>
      </w:r>
      <w:r>
        <w:rPr>
          <w:rFonts w:ascii="Times New Roman" w:hAnsi="Times New Roman"/>
          <w:color w:val="000000"/>
          <w:sz w:val="20"/>
        </w:rPr>
        <w:t>”</w:t>
      </w:r>
      <w:r>
        <w:rPr>
          <w:rFonts w:ascii="sans-serif" w:hAnsi="sans-serif"/>
          <w:color w:val="000000"/>
          <w:sz w:val="20"/>
        </w:rPr>
        <w:t>). The Exercise Warrants have similar terms to the Public Warrants, but have different exercise prices, an initial term of 10 years, are not redeemable by us, and are fully transferable.</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there were Exercise Warrants to purchase 1,700,000</w:t>
      </w:r>
      <w:r>
        <w:rPr>
          <w:rFonts w:ascii="Times New Roman" w:hAnsi="Times New Roman"/>
          <w:color w:val="000000"/>
          <w:sz w:val="20"/>
        </w:rPr>
        <w:t xml:space="preserve"> </w:t>
      </w:r>
      <w:r>
        <w:rPr>
          <w:rFonts w:ascii="sans-serif" w:hAnsi="sans-serif"/>
          <w:color w:val="000000"/>
          <w:sz w:val="20"/>
        </w:rPr>
        <w:t>shares of Class A common stock outstanding (850,000</w:t>
      </w:r>
      <w:r>
        <w:rPr>
          <w:rFonts w:ascii="Times New Roman" w:hAnsi="Times New Roman"/>
          <w:color w:val="000000"/>
          <w:sz w:val="20"/>
        </w:rPr>
        <w:t xml:space="preserve"> </w:t>
      </w:r>
      <w:r>
        <w:rPr>
          <w:rFonts w:ascii="sans-serif" w:hAnsi="sans-serif"/>
          <w:color w:val="000000"/>
          <w:sz w:val="20"/>
        </w:rPr>
        <w:t>at an exercise price of $200.00</w:t>
      </w:r>
      <w:r>
        <w:rPr>
          <w:rFonts w:ascii="Times New Roman" w:hAnsi="Times New Roman"/>
          <w:color w:val="000000"/>
          <w:sz w:val="20"/>
        </w:rPr>
        <w:t xml:space="preserve"> </w:t>
      </w:r>
      <w:r>
        <w:rPr>
          <w:rFonts w:ascii="sans-serif" w:hAnsi="sans-serif"/>
          <w:color w:val="000000"/>
          <w:sz w:val="20"/>
        </w:rPr>
        <w:t>per share and 850,000</w:t>
      </w:r>
      <w:r>
        <w:rPr>
          <w:rFonts w:ascii="Times New Roman" w:hAnsi="Times New Roman"/>
          <w:color w:val="000000"/>
          <w:sz w:val="20"/>
        </w:rPr>
        <w:t xml:space="preserve"> </w:t>
      </w:r>
      <w:r>
        <w:rPr>
          <w:rFonts w:ascii="sans-serif" w:hAnsi="sans-serif"/>
          <w:color w:val="000000"/>
          <w:sz w:val="20"/>
        </w:rPr>
        <w:t>at an exercise price of $300.00</w:t>
      </w:r>
      <w:r>
        <w:rPr>
          <w:rFonts w:ascii="Times New Roman" w:hAnsi="Times New Roman"/>
          <w:color w:val="000000"/>
          <w:sz w:val="20"/>
        </w:rPr>
        <w:t xml:space="preserve"> </w:t>
      </w:r>
      <w:r>
        <w:rPr>
          <w:rFonts w:ascii="sans-serif" w:hAnsi="sans-serif"/>
          <w:color w:val="000000"/>
          <w:sz w:val="20"/>
        </w:rPr>
        <w:t>per share).</w:t>
      </w:r>
    </w:p>
    <w:p>
      <w:pPr>
        <w:pStyle w:val="TextBody"/>
        <w:bidi w:val="0"/>
        <w:spacing w:before="0" w:after="120"/>
        <w:jc w:val="both"/>
        <w:rPr>
          <w:rFonts w:ascii="sans-serif" w:hAnsi="sans-serif"/>
          <w:b/>
          <w:color w:val="000000"/>
          <w:sz w:val="20"/>
        </w:rPr>
      </w:pPr>
      <w:r>
        <w:rPr>
          <w:rFonts w:ascii="sans-serif" w:hAnsi="sans-serif"/>
          <w:b/>
          <w:color w:val="000000"/>
          <w:sz w:val="20"/>
        </w:rPr>
        <w:t>Mirror Warrants</w:t>
      </w:r>
    </w:p>
    <w:p>
      <w:pPr>
        <w:pStyle w:val="TextBody"/>
        <w:bidi w:val="0"/>
        <w:spacing w:before="0" w:after="120"/>
        <w:jc w:val="both"/>
        <w:rPr>
          <w:rFonts w:ascii="Times New Roman" w:hAnsi="Times New Roman"/>
          <w:sz w:val="20"/>
        </w:rPr>
      </w:pPr>
      <w:r>
        <w:rPr>
          <w:rFonts w:ascii="sans-serif" w:hAnsi="sans-serif"/>
          <w:color w:val="000000"/>
          <w:sz w:val="20"/>
        </w:rPr>
        <w:t>Hoya Intermediate issued certain warrants that entitled us to purchase Intermediate Units at exercise prices of $200.00, $300.00, and $230.00</w:t>
      </w:r>
      <w:r>
        <w:rPr>
          <w:rFonts w:ascii="Times New Roman" w:hAnsi="Times New Roman"/>
          <w:color w:val="000000"/>
          <w:sz w:val="20"/>
        </w:rPr>
        <w:t xml:space="preserve"> </w:t>
      </w:r>
      <w:r>
        <w:rPr>
          <w:rFonts w:ascii="sans-serif" w:hAnsi="sans-serif"/>
          <w:color w:val="000000"/>
          <w:sz w:val="20"/>
        </w:rPr>
        <w:t>per unit (the “</w:t>
      </w:r>
      <w:r>
        <w:rPr>
          <w:rFonts w:ascii="sans-serif" w:hAnsi="sans-serif"/>
          <w:color w:val="000000"/>
          <w:sz w:val="20"/>
          <w:u w:val="single"/>
        </w:rPr>
        <w:t>Mirror Warrants</w:t>
      </w:r>
      <w:r>
        <w:rPr>
          <w:rFonts w:ascii="Times New Roman" w:hAnsi="Times New Roman"/>
          <w:color w:val="000000"/>
          <w:sz w:val="20"/>
        </w:rPr>
        <w:t>”</w:t>
      </w:r>
      <w:r>
        <w:rPr>
          <w:rFonts w:ascii="sans-serif" w:hAnsi="sans-serif"/>
          <w:color w:val="000000"/>
          <w:sz w:val="20"/>
        </w:rPr>
        <w:t>). The Mirror Warrants had nearly identical terms to</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the Public Warrants, Private Warrants, and Exercise Warrants. If a Public Warrant, Private Warrant, or Exercise Warrant were exercised or tendered, an equivalent number of Mirror Warrants would be exercised or tendered.</w:t>
      </w:r>
    </w:p>
    <w:p>
      <w:pPr>
        <w:pStyle w:val="TextBody"/>
        <w:bidi w:val="0"/>
        <w:spacing w:before="0" w:after="120"/>
        <w:jc w:val="both"/>
        <w:rPr>
          <w:rFonts w:ascii="Times New Roman" w:hAnsi="Times New Roman"/>
          <w:sz w:val="20"/>
        </w:rPr>
      </w:pPr>
      <w:r>
        <w:rPr>
          <w:rFonts w:ascii="sans-serif" w:hAnsi="sans-serif"/>
          <w:color w:val="000000"/>
          <w:sz w:val="20"/>
        </w:rPr>
        <w:t>On October 31, 2025, the Mirror Warrants were terminated in connection with the Corporate Simplification. As a result, as of June 30, 2026 and December 31, 2025, there were zero</w:t>
      </w:r>
      <w:r>
        <w:rPr>
          <w:rFonts w:ascii="Times New Roman" w:hAnsi="Times New Roman"/>
          <w:color w:val="000000"/>
          <w:sz w:val="20"/>
        </w:rPr>
        <w:t xml:space="preserve"> </w:t>
      </w:r>
      <w:r>
        <w:rPr>
          <w:rFonts w:ascii="sans-serif" w:hAnsi="sans-serif"/>
          <w:color w:val="000000"/>
          <w:sz w:val="20"/>
        </w:rPr>
        <w:t xml:space="preserve">Mirror Warrants outstanding. See Note 1, </w:t>
      </w:r>
      <w:r>
        <w:rPr>
          <w:rFonts w:ascii="sans-serif" w:hAnsi="sans-serif"/>
          <w:i/>
          <w:color w:val="000000"/>
          <w:sz w:val="20"/>
        </w:rPr>
        <w:t>Background and Basis of Presentation</w:t>
      </w:r>
      <w:r>
        <w:rPr>
          <w:rFonts w:ascii="sans-serif" w:hAnsi="sans-serif"/>
          <w:color w:val="000000"/>
          <w:sz w:val="20"/>
        </w:rPr>
        <w: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Intermediate Warrants</w:t>
      </w:r>
    </w:p>
    <w:p>
      <w:pPr>
        <w:pStyle w:val="TextBody"/>
        <w:bidi w:val="0"/>
        <w:spacing w:before="0" w:after="120"/>
        <w:jc w:val="both"/>
        <w:rPr>
          <w:rFonts w:ascii="Times New Roman" w:hAnsi="Times New Roman"/>
          <w:sz w:val="20"/>
        </w:rPr>
      </w:pPr>
      <w:r>
        <w:rPr>
          <w:rFonts w:ascii="sans-serif" w:hAnsi="sans-serif"/>
          <w:color w:val="000000"/>
          <w:sz w:val="20"/>
        </w:rPr>
        <w:t>In connection with the Merger Transaction, Hoya Intermediate issued certain warrants that entitled Hoya Topco to purchase Intermediate Units at exercise prices of $200.00</w:t>
      </w:r>
      <w:r>
        <w:rPr>
          <w:rFonts w:ascii="Times New Roman" w:hAnsi="Times New Roman"/>
          <w:color w:val="000000"/>
          <w:sz w:val="20"/>
        </w:rPr>
        <w:t xml:space="preserve"> </w:t>
      </w:r>
      <w:r>
        <w:rPr>
          <w:rFonts w:ascii="sans-serif" w:hAnsi="sans-serif"/>
          <w:color w:val="000000"/>
          <w:sz w:val="20"/>
        </w:rPr>
        <w:t>and $300.00</w:t>
      </w:r>
      <w:r>
        <w:rPr>
          <w:rFonts w:ascii="Times New Roman" w:hAnsi="Times New Roman"/>
          <w:color w:val="000000"/>
          <w:sz w:val="20"/>
        </w:rPr>
        <w:t xml:space="preserve"> </w:t>
      </w:r>
      <w:r>
        <w:rPr>
          <w:rFonts w:ascii="sans-serif" w:hAnsi="sans-serif"/>
          <w:color w:val="000000"/>
          <w:sz w:val="20"/>
        </w:rPr>
        <w:t>per unit (the “</w:t>
      </w:r>
      <w:r>
        <w:rPr>
          <w:rFonts w:ascii="sans-serif" w:hAnsi="sans-serif"/>
          <w:color w:val="000000"/>
          <w:sz w:val="20"/>
          <w:u w:val="single"/>
        </w:rPr>
        <w:t>Intermediate Warrants</w:t>
      </w:r>
      <w:r>
        <w:rPr>
          <w:rFonts w:ascii="Times New Roman" w:hAnsi="Times New Roman"/>
          <w:color w:val="000000"/>
          <w:sz w:val="20"/>
        </w:rPr>
        <w:t>”</w:t>
      </w:r>
      <w:r>
        <w:rPr>
          <w:rFonts w:ascii="sans-serif" w:hAnsi="sans-serif"/>
          <w:color w:val="000000"/>
          <w:sz w:val="20"/>
        </w:rPr>
        <w:t>).</w:t>
      </w:r>
    </w:p>
    <w:p>
      <w:pPr>
        <w:pStyle w:val="TextBody"/>
        <w:bidi w:val="0"/>
        <w:spacing w:before="0" w:after="120"/>
        <w:jc w:val="both"/>
        <w:rPr>
          <w:rFonts w:ascii="Times New Roman" w:hAnsi="Times New Roman"/>
          <w:sz w:val="20"/>
        </w:rPr>
      </w:pPr>
      <w:r>
        <w:rPr>
          <w:rFonts w:ascii="sans-serif" w:hAnsi="sans-serif"/>
          <w:color w:val="000000"/>
          <w:sz w:val="20"/>
        </w:rPr>
        <w:t>Because the Intermediate Warrants allowed for cash redemption at the discretion of the holder, they met the criteria to be classified as liability instruments and were recorded in Other liabilities in the Condensed Consolidated Balance Sheets. Upon consummation of the Merger Transaction, the fair value of the Intermediate Warrants was determined using the Black-Scholes model and estimated at $18.8</w:t>
      </w:r>
      <w:r>
        <w:rPr>
          <w:rFonts w:ascii="Times New Roman" w:hAnsi="Times New Roman"/>
          <w:color w:val="000000"/>
          <w:sz w:val="20"/>
        </w:rPr>
        <w:t xml:space="preserve"> </w:t>
      </w:r>
      <w:r>
        <w:rPr>
          <w:rFonts w:ascii="sans-serif" w:hAnsi="sans-serif"/>
          <w:color w:val="000000"/>
          <w:sz w:val="20"/>
        </w:rPr>
        <w:t>million, for which we recorded a warrant liability.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2025, the fair value of the Intermediate Warrants decreased by $1.7</w:t>
      </w:r>
      <w:r>
        <w:rPr>
          <w:rFonts w:ascii="Times New Roman" w:hAnsi="Times New Roman"/>
          <w:color w:val="000000"/>
          <w:sz w:val="20"/>
        </w:rPr>
        <w:t xml:space="preserve"> </w:t>
      </w:r>
      <w:r>
        <w:rPr>
          <w:rFonts w:ascii="sans-serif" w:hAnsi="sans-serif"/>
          <w:color w:val="000000"/>
          <w:sz w:val="20"/>
        </w:rPr>
        <w:t>million and $4.8</w:t>
      </w:r>
      <w:r>
        <w:rPr>
          <w:rFonts w:ascii="Times New Roman" w:hAnsi="Times New Roman"/>
          <w:color w:val="000000"/>
          <w:sz w:val="20"/>
        </w:rPr>
        <w:t xml:space="preserve"> </w:t>
      </w:r>
      <w:r>
        <w:rPr>
          <w:rFonts w:ascii="sans-serif" w:hAnsi="sans-serif"/>
          <w:color w:val="000000"/>
          <w:sz w:val="20"/>
        </w:rPr>
        <w:t>million, respectively, for which we recognized a gain in both periods. Gains related to changes in the fair value of the Intermediate Warrants are recorded in Other expense (income) – net in the Condensed Consolidated Statements of Operations.</w:t>
      </w:r>
    </w:p>
    <w:p>
      <w:pPr>
        <w:pStyle w:val="TextBody"/>
        <w:bidi w:val="0"/>
        <w:spacing w:before="0" w:after="120"/>
        <w:jc w:val="both"/>
        <w:rPr>
          <w:rFonts w:ascii="Times New Roman" w:hAnsi="Times New Roman"/>
          <w:sz w:val="20"/>
        </w:rPr>
      </w:pPr>
      <w:r>
        <w:rPr>
          <w:rFonts w:ascii="sans-serif" w:hAnsi="sans-serif"/>
          <w:color w:val="000000"/>
          <w:sz w:val="20"/>
        </w:rPr>
        <w:t>On October 31, 2025, the Intermediate Warrants were replaced by the Amended Intermediate Warrants (as defined in the “Amended Intermediate Warrants” section below) in connection with the Corporate Simplification. As a result, as of June 30, 2026 and December 31, 2025, there were zero</w:t>
      </w:r>
      <w:r>
        <w:rPr>
          <w:rFonts w:ascii="Times New Roman" w:hAnsi="Times New Roman"/>
          <w:color w:val="000000"/>
          <w:sz w:val="20"/>
        </w:rPr>
        <w:t xml:space="preserve"> </w:t>
      </w:r>
      <w:r>
        <w:rPr>
          <w:rFonts w:ascii="sans-serif" w:hAnsi="sans-serif"/>
          <w:color w:val="000000"/>
          <w:sz w:val="20"/>
        </w:rPr>
        <w:t xml:space="preserve">Intermediate Warrants outstanding. See Note 1, </w:t>
      </w:r>
      <w:r>
        <w:rPr>
          <w:rFonts w:ascii="sans-serif" w:hAnsi="sans-serif"/>
          <w:i/>
          <w:color w:val="000000"/>
          <w:sz w:val="20"/>
        </w:rPr>
        <w:t>Background and Basis of Presentation</w:t>
      </w:r>
      <w:r>
        <w:rPr>
          <w:rFonts w:ascii="sans-serif" w:hAnsi="sans-serif"/>
          <w:color w:val="000000"/>
          <w:sz w:val="20"/>
        </w:rPr>
        <w: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Amended Intermediate Warrants</w:t>
      </w:r>
    </w:p>
    <w:p>
      <w:pPr>
        <w:pStyle w:val="TextBody"/>
        <w:bidi w:val="0"/>
        <w:spacing w:before="0" w:after="120"/>
        <w:jc w:val="both"/>
        <w:rPr>
          <w:rFonts w:ascii="Times New Roman" w:hAnsi="Times New Roman"/>
          <w:sz w:val="20"/>
        </w:rPr>
      </w:pPr>
      <w:r>
        <w:rPr>
          <w:rFonts w:ascii="sans-serif" w:hAnsi="sans-serif"/>
          <w:color w:val="000000"/>
          <w:sz w:val="20"/>
        </w:rPr>
        <w:t>In connection with the Corporate Simplification, the Intermediate Warrants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(as amended, the “</w:t>
      </w:r>
      <w:r>
        <w:rPr>
          <w:rFonts w:ascii="sans-serif" w:hAnsi="sans-serif"/>
          <w:color w:val="000000"/>
          <w:sz w:val="20"/>
          <w:u w:val="single"/>
        </w:rPr>
        <w:t>Amended Intermediate Warrants</w:t>
      </w:r>
      <w:r>
        <w:rPr>
          <w:rFonts w:ascii="Times New Roman" w:hAnsi="Times New Roman"/>
          <w:color w:val="000000"/>
          <w:sz w:val="20"/>
        </w:rPr>
        <w:t>”</w:t>
      </w:r>
      <w:r>
        <w:rPr>
          <w:rFonts w:ascii="sans-serif" w:hAnsi="sans-serif"/>
          <w:color w:val="000000"/>
          <w:sz w:val="20"/>
        </w:rPr>
        <w:t>). As a result, the Amended Intermediate Warrants now have substantially similar terms to the Private Warrants.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Because the Amended Intermediate Warrants no longer allow for cash redemption at the discretion of the holder, they meet the criteria to be classified as equity instruments and, accordingly, were reclassified from Other liabilities to Additional paid-in capital in the Consolidated Balance Sheets as of December 31, 2025. Immediately before the reclassification, the fair value of the Intermediate Warrants was $0.3</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0" w:after="120"/>
        <w:jc w:val="both"/>
        <w:rPr>
          <w:rFonts w:ascii="Times New Roman" w:hAnsi="Times New Roman"/>
          <w:sz w:val="20"/>
        </w:rPr>
      </w:pPr>
      <w:r>
        <w:rPr>
          <w:rFonts w:ascii="sans-serif" w:hAnsi="sans-serif"/>
          <w:color w:val="000000"/>
          <w:sz w:val="20"/>
        </w:rPr>
        <w:t>The significant unobservable inputs applied to the final fair value measurement of the Intermediate Warrants as of October 31, 2025 (the date on which the Intermediate Warrants were reclassified from liability instruments to equity instruments) consisted of: (i) an expected term of 6.0</w:t>
      </w:r>
      <w:r>
        <w:rPr>
          <w:rFonts w:ascii="Times New Roman" w:hAnsi="Times New Roman"/>
          <w:color w:val="000000"/>
          <w:sz w:val="20"/>
        </w:rPr>
        <w:t xml:space="preserve"> </w:t>
      </w:r>
      <w:r>
        <w:rPr>
          <w:rFonts w:ascii="sans-serif" w:hAnsi="sans-serif"/>
          <w:color w:val="000000"/>
          <w:sz w:val="20"/>
        </w:rPr>
        <w:t>years; (ii) an expected volatility of 71.0%; (iii) a risk-free rate of 3.8%; and (iv) an expected dividend yield of 0.0%.</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there were Amended Intermediate Warrants to purchase 200,000</w:t>
      </w:r>
      <w:r>
        <w:rPr>
          <w:rFonts w:ascii="Times New Roman" w:hAnsi="Times New Roman"/>
          <w:color w:val="000000"/>
          <w:sz w:val="20"/>
        </w:rPr>
        <w:t xml:space="preserve"> </w:t>
      </w:r>
      <w:r>
        <w:rPr>
          <w:rFonts w:ascii="sans-serif" w:hAnsi="sans-serif"/>
          <w:color w:val="000000"/>
          <w:sz w:val="20"/>
        </w:rPr>
        <w:t>shares of Class A common stock outstanding (100,000</w:t>
      </w:r>
      <w:r>
        <w:rPr>
          <w:rFonts w:ascii="Times New Roman" w:hAnsi="Times New Roman"/>
          <w:color w:val="000000"/>
          <w:sz w:val="20"/>
        </w:rPr>
        <w:t xml:space="preserve"> </w:t>
      </w:r>
      <w:r>
        <w:rPr>
          <w:rFonts w:ascii="sans-serif" w:hAnsi="sans-serif"/>
          <w:color w:val="000000"/>
          <w:sz w:val="20"/>
        </w:rPr>
        <w:t>at an exercise price of $200.00</w:t>
      </w:r>
      <w:r>
        <w:rPr>
          <w:rFonts w:ascii="Times New Roman" w:hAnsi="Times New Roman"/>
          <w:color w:val="000000"/>
          <w:sz w:val="20"/>
        </w:rPr>
        <w:t xml:space="preserve"> </w:t>
      </w:r>
      <w:r>
        <w:rPr>
          <w:rFonts w:ascii="sans-serif" w:hAnsi="sans-serif"/>
          <w:color w:val="000000"/>
          <w:sz w:val="20"/>
        </w:rPr>
        <w:t>per share and 100,000</w:t>
      </w:r>
      <w:r>
        <w:rPr>
          <w:rFonts w:ascii="Times New Roman" w:hAnsi="Times New Roman"/>
          <w:color w:val="000000"/>
          <w:sz w:val="20"/>
        </w:rPr>
        <w:t xml:space="preserve"> </w:t>
      </w:r>
      <w:r>
        <w:rPr>
          <w:rFonts w:ascii="sans-serif" w:hAnsi="sans-serif"/>
          <w:color w:val="000000"/>
          <w:sz w:val="20"/>
        </w:rPr>
        <w:t>at an exercise price of $300.00</w:t>
      </w:r>
      <w:r>
        <w:rPr>
          <w:rFonts w:ascii="Times New Roman" w:hAnsi="Times New Roman"/>
          <w:color w:val="000000"/>
          <w:sz w:val="20"/>
        </w:rPr>
        <w:t xml:space="preserve"> </w:t>
      </w:r>
      <w:r>
        <w:rPr>
          <w:rFonts w:ascii="sans-serif" w:hAnsi="sans-serif"/>
          <w:color w:val="000000"/>
          <w:sz w:val="20"/>
        </w:rPr>
        <w:t>per share).</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12. Equity</w:t>
      </w:r>
    </w:p>
    <w:p>
      <w:pPr>
        <w:pStyle w:val="TextBody"/>
        <w:bidi w:val="0"/>
        <w:spacing w:before="0" w:after="120"/>
        <w:jc w:val="both"/>
        <w:rPr>
          <w:rFonts w:ascii="sans-serif" w:hAnsi="sans-serif"/>
          <w:b/>
          <w:color w:val="000000"/>
          <w:sz w:val="20"/>
        </w:rPr>
      </w:pPr>
      <w:r>
        <w:rPr>
          <w:rFonts w:ascii="sans-serif" w:hAnsi="sans-serif"/>
          <w:b/>
          <w:color w:val="000000"/>
          <w:sz w:val="20"/>
        </w:rPr>
        <w:t>Corporate Simplification</w:t>
      </w:r>
    </w:p>
    <w:p>
      <w:pPr>
        <w:pStyle w:val="TextBody"/>
        <w:bidi w:val="0"/>
        <w:spacing w:before="0" w:after="120"/>
        <w:jc w:val="both"/>
        <w:rPr>
          <w:rFonts w:ascii="Times New Roman" w:hAnsi="Times New Roman"/>
          <w:sz w:val="20"/>
        </w:rPr>
      </w:pPr>
      <w:r>
        <w:rPr>
          <w:rFonts w:ascii="sans-serif" w:hAnsi="sans-serif"/>
          <w:color w:val="000000"/>
          <w:sz w:val="20"/>
        </w:rPr>
        <w:t>Prior to the Corporate Simplification, VSI held a 63.1% interest in Hoya Intermediate and Hoya Topco held the remaining 36.9%, in addition to holding 100% of our Class B common stock. As a result, Hoya Topco’s interest in Hoya Intermediate represented a redeemable noncontrolling interest in VSI. At its discretion, Hoya Topco had the right to exchange its Intermediate Units for shares of Class A common stock on a one-to-one basis or for cash proceeds of equal value at the time of redemption. As the redeemable noncontrolling interests were redeemable upon the occurrence of an event not solely within our control, we classified them as temporary equity. Our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redeemable noncontrolling interests were initially measured at Hoya Topco’s share in the net assets of Hoya Intermediate upon consummation of the Merger Transaction. Subsequent remeasurements of our redeemable noncontrolling interests (which were based on the fair value of our Class A common stock) were recorded as a deemed dividend each reporting period, which reduced Retained earnings, if any, or Additional paid-in capital in the Consolidated Balance Sheets.</w:t>
      </w:r>
    </w:p>
    <w:p>
      <w:pPr>
        <w:pStyle w:val="TextBody"/>
        <w:bidi w:val="0"/>
        <w:spacing w:before="0" w:after="120"/>
        <w:jc w:val="both"/>
        <w:rPr>
          <w:rFonts w:ascii="Times New Roman" w:hAnsi="Times New Roman"/>
          <w:sz w:val="20"/>
        </w:rPr>
      </w:pPr>
      <w:r>
        <w:rPr>
          <w:rFonts w:ascii="sans-serif" w:hAnsi="sans-serif"/>
          <w:color w:val="000000"/>
          <w:sz w:val="20"/>
        </w:rPr>
        <w:t xml:space="preserve">For periods through the consummation of the Corporate Simplification, net loss attributable to redeemable noncontrolling interests is calculated by multiplying Hoya Intermediate’s net loss incurred in the period by Hoya Topco’s weighted average percentage allocation of Intermediate Units during the period. See Note 16, </w:t>
      </w:r>
      <w:r>
        <w:rPr>
          <w:rFonts w:ascii="sans-serif" w:hAnsi="sans-serif"/>
          <w:i/>
          <w:color w:val="000000"/>
          <w:sz w:val="20"/>
        </w:rPr>
        <w:t>Earnings per Share</w:t>
      </w:r>
      <w:r>
        <w:rPr>
          <w:rFonts w:ascii="sans-serif" w:hAnsi="sans-serif"/>
          <w:color w:val="000000"/>
          <w:sz w:val="20"/>
        </w:rPr>
        <w:t>, for computation of net loss attributable to redeemable noncontrolling interests.</w:t>
      </w:r>
    </w:p>
    <w:p>
      <w:pPr>
        <w:pStyle w:val="TextBody"/>
        <w:bidi w:val="0"/>
        <w:spacing w:before="0" w:after="120"/>
        <w:jc w:val="both"/>
        <w:rPr>
          <w:rFonts w:ascii="Times New Roman" w:hAnsi="Times New Roman"/>
          <w:sz w:val="20"/>
        </w:rPr>
      </w:pPr>
      <w:r>
        <w:rPr>
          <w:rFonts w:ascii="sans-serif" w:hAnsi="sans-serif"/>
          <w:color w:val="000000"/>
          <w:sz w:val="20"/>
        </w:rPr>
        <w:t xml:space="preserve">In connection with the Corporate Simplification, all of the Intermediate Units previously held by Hoya Topco (and corresponding shares of Class B common stock) were exchanged for an equal number of shares of Class A common stock. As a result, our redeemable noncontrolling interests were extinguished, Hoya Intermediate is now a wholly owned subsidiary of VSI, and the net loss attributable to Hoya Topco’s redeemable noncontrolling interests presented throughout this Report only pertains to the three and six months ended June 30, 2025. See Note 1, </w:t>
      </w:r>
      <w:r>
        <w:rPr>
          <w:rFonts w:ascii="sans-serif" w:hAnsi="sans-serif"/>
          <w:i/>
          <w:color w:val="000000"/>
          <w:sz w:val="20"/>
        </w:rPr>
        <w:t>Background and Basis of Presentation</w:t>
      </w:r>
      <w:r>
        <w:rPr>
          <w:rFonts w:ascii="sans-serif" w:hAnsi="sans-serif"/>
          <w:color w:val="000000"/>
          <w:sz w:val="20"/>
        </w:rPr>
        <w:t>,</w:t>
      </w:r>
      <w:r>
        <w:rPr>
          <w:rFonts w:ascii="Times New Roman" w:hAnsi="Times New Roman"/>
          <w:color w:val="000000"/>
          <w:sz w:val="20"/>
        </w:rPr>
        <w:t xml:space="preserve"> </w:t>
      </w:r>
      <w:r>
        <w:rPr>
          <w:rFonts w:ascii="sans-serif" w:hAnsi="sans-serif"/>
          <w:color w:val="000000"/>
          <w:sz w:val="20"/>
        </w:rPr>
        <w:t>for more information.</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0"/>
        </w:rPr>
      </w:pPr>
      <w:r>
        <w:rPr>
          <w:rFonts w:ascii="sans-serif" w:hAnsi="sans-serif"/>
          <w:b/>
          <w:color w:val="000000"/>
          <w:sz w:val="20"/>
        </w:rPr>
        <w:t>Share Repurchase Program</w:t>
      </w:r>
    </w:p>
    <w:p>
      <w:pPr>
        <w:pStyle w:val="TextBody"/>
        <w:bidi w:val="0"/>
        <w:spacing w:before="0" w:after="120"/>
        <w:jc w:val="both"/>
        <w:rPr>
          <w:rFonts w:ascii="Times New Roman" w:hAnsi="Times New Roman"/>
          <w:sz w:val="20"/>
        </w:rPr>
      </w:pPr>
      <w:r>
        <w:rPr>
          <w:rFonts w:ascii="sans-serif" w:hAnsi="sans-serif"/>
          <w:color w:val="000000"/>
          <w:sz w:val="20"/>
        </w:rPr>
        <w:t>In February 2024, our Board of Directors (our “</w:t>
      </w:r>
      <w:r>
        <w:rPr>
          <w:rFonts w:ascii="sans-serif" w:hAnsi="sans-serif"/>
          <w:color w:val="000000"/>
          <w:sz w:val="20"/>
          <w:u w:val="single"/>
        </w:rPr>
        <w:t>Board</w:t>
      </w:r>
      <w:r>
        <w:rPr>
          <w:rFonts w:ascii="Times New Roman" w:hAnsi="Times New Roman"/>
          <w:color w:val="000000"/>
          <w:sz w:val="20"/>
        </w:rPr>
        <w:t>”</w:t>
      </w:r>
      <w:r>
        <w:rPr>
          <w:rFonts w:ascii="sans-serif" w:hAnsi="sans-serif"/>
          <w:color w:val="000000"/>
          <w:sz w:val="20"/>
        </w:rPr>
        <w:t>) authorized a share repurchase program for up to $100.0</w:t>
      </w:r>
      <w:r>
        <w:rPr>
          <w:rFonts w:ascii="Times New Roman" w:hAnsi="Times New Roman"/>
          <w:color w:val="000000"/>
          <w:sz w:val="20"/>
        </w:rPr>
        <w:t xml:space="preserve"> </w:t>
      </w:r>
      <w:r>
        <w:rPr>
          <w:rFonts w:ascii="sans-serif" w:hAnsi="sans-serif"/>
          <w:color w:val="000000"/>
          <w:sz w:val="20"/>
        </w:rPr>
        <w:t>million of Class A common stock (the “</w:t>
      </w:r>
      <w:r>
        <w:rPr>
          <w:rFonts w:ascii="sans-serif" w:hAnsi="sans-serif"/>
          <w:color w:val="000000"/>
          <w:sz w:val="20"/>
          <w:u w:val="single"/>
        </w:rPr>
        <w:t>Share Repurchase Program</w:t>
      </w:r>
      <w:r>
        <w:rPr>
          <w:rFonts w:ascii="Times New Roman" w:hAnsi="Times New Roman"/>
          <w:color w:val="000000"/>
          <w:sz w:val="20"/>
        </w:rPr>
        <w:t>”</w:t>
      </w:r>
      <w:r>
        <w:rPr>
          <w:rFonts w:ascii="sans-serif" w:hAnsi="sans-serif"/>
          <w:color w:val="000000"/>
          <w:sz w:val="20"/>
        </w:rPr>
        <w:t>). The Share Repurchase Program was publicly announced in March 2024, does not have a fixed expiration date, and does not obligate us to purchase any minimum number of shares.</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2025, we repurchased 0.2</w:t>
      </w:r>
      <w:r>
        <w:rPr>
          <w:rFonts w:ascii="Times New Roman" w:hAnsi="Times New Roman"/>
          <w:color w:val="000000"/>
          <w:sz w:val="20"/>
        </w:rPr>
        <w:t xml:space="preserve"> </w:t>
      </w:r>
      <w:r>
        <w:rPr>
          <w:rFonts w:ascii="sans-serif" w:hAnsi="sans-serif"/>
          <w:color w:val="000000"/>
          <w:sz w:val="20"/>
        </w:rPr>
        <w:t>million and 0.3</w:t>
      </w:r>
      <w:r>
        <w:rPr>
          <w:rFonts w:ascii="Times New Roman" w:hAnsi="Times New Roman"/>
          <w:color w:val="000000"/>
          <w:sz w:val="20"/>
        </w:rPr>
        <w:t xml:space="preserve"> </w:t>
      </w:r>
      <w:r>
        <w:rPr>
          <w:rFonts w:ascii="sans-serif" w:hAnsi="sans-serif"/>
          <w:color w:val="000000"/>
          <w:sz w:val="20"/>
        </w:rPr>
        <w:t>million shares of Class A common stock, respectively, under the Share Repurchase Program, for which we paid $9.1</w:t>
      </w:r>
      <w:r>
        <w:rPr>
          <w:rFonts w:ascii="Times New Roman" w:hAnsi="Times New Roman"/>
          <w:color w:val="000000"/>
          <w:sz w:val="20"/>
        </w:rPr>
        <w:t xml:space="preserve"> </w:t>
      </w:r>
      <w:r>
        <w:rPr>
          <w:rFonts w:ascii="sans-serif" w:hAnsi="sans-serif"/>
          <w:color w:val="000000"/>
          <w:sz w:val="20"/>
        </w:rPr>
        <w:t>million and $15.7</w:t>
      </w:r>
      <w:r>
        <w:rPr>
          <w:rFonts w:ascii="Times New Roman" w:hAnsi="Times New Roman"/>
          <w:color w:val="000000"/>
          <w:sz w:val="20"/>
        </w:rPr>
        <w:t xml:space="preserve"> </w:t>
      </w:r>
      <w:r>
        <w:rPr>
          <w:rFonts w:ascii="sans-serif" w:hAnsi="sans-serif"/>
          <w:color w:val="000000"/>
          <w:sz w:val="20"/>
        </w:rPr>
        <w:t>million, respectively, and incurred commissions and excise taxes of $0.1</w:t>
      </w:r>
      <w:r>
        <w:rPr>
          <w:rFonts w:ascii="Times New Roman" w:hAnsi="Times New Roman"/>
          <w:color w:val="000000"/>
          <w:sz w:val="20"/>
        </w:rPr>
        <w:t xml:space="preserve"> </w:t>
      </w:r>
      <w:r>
        <w:rPr>
          <w:rFonts w:ascii="sans-serif" w:hAnsi="sans-serif"/>
          <w:color w:val="000000"/>
          <w:sz w:val="20"/>
        </w:rPr>
        <w:t>million. As of December 31, 2025, we recognized a liability of $0.1</w:t>
      </w:r>
      <w:r>
        <w:rPr>
          <w:rFonts w:ascii="Times New Roman" w:hAnsi="Times New Roman"/>
          <w:color w:val="000000"/>
          <w:sz w:val="20"/>
        </w:rPr>
        <w:t xml:space="preserve"> </w:t>
      </w:r>
      <w:r>
        <w:rPr>
          <w:rFonts w:ascii="sans-serif" w:hAnsi="sans-serif"/>
          <w:color w:val="000000"/>
          <w:sz w:val="20"/>
        </w:rPr>
        <w:t>million for unpaid excise taxes related to repurchases of Class A common stock, which is recorded in Accrued expenses and other current liabilities in the Condensed Consolidated Balance Sheets. We did not repurchase any shares of Class A common stock under the Share Repurchase Program during the three and six months ended June 30, 2026, nor did we recognize a liability for unpaid excise taxes related to repurchases of Class A common stock as of June 30, 2026.</w:t>
      </w:r>
    </w:p>
    <w:p>
      <w:pPr>
        <w:pStyle w:val="TextBody"/>
        <w:bidi w:val="0"/>
        <w:spacing w:before="0" w:after="120"/>
        <w:jc w:val="both"/>
        <w:rPr>
          <w:rFonts w:ascii="Times New Roman" w:hAnsi="Times New Roman"/>
          <w:sz w:val="20"/>
        </w:rPr>
      </w:pPr>
      <w:r>
        <w:rPr>
          <w:rFonts w:ascii="sans-serif" w:hAnsi="sans-serif"/>
          <w:color w:val="000000"/>
          <w:sz w:val="20"/>
        </w:rPr>
        <w:t>Cumulatively as of June 30, 2026, we repurchased 0.6</w:t>
      </w:r>
      <w:r>
        <w:rPr>
          <w:rFonts w:ascii="Times New Roman" w:hAnsi="Times New Roman"/>
          <w:color w:val="000000"/>
          <w:sz w:val="20"/>
        </w:rPr>
        <w:t xml:space="preserve"> </w:t>
      </w:r>
      <w:r>
        <w:rPr>
          <w:rFonts w:ascii="sans-serif" w:hAnsi="sans-serif"/>
          <w:color w:val="000000"/>
          <w:sz w:val="20"/>
        </w:rPr>
        <w:t>million shares of Class A common stock under the Share Repurchase Program, for which we paid $40.9</w:t>
      </w:r>
      <w:r>
        <w:rPr>
          <w:rFonts w:ascii="Times New Roman" w:hAnsi="Times New Roman"/>
          <w:color w:val="000000"/>
          <w:sz w:val="20"/>
        </w:rPr>
        <w:t xml:space="preserve"> </w:t>
      </w:r>
      <w:r>
        <w:rPr>
          <w:rFonts w:ascii="sans-serif" w:hAnsi="sans-serif"/>
          <w:color w:val="000000"/>
          <w:sz w:val="20"/>
        </w:rPr>
        <w:t>million and incurred commissions and excise taxes of $0.4</w:t>
      </w:r>
      <w:r>
        <w:rPr>
          <w:rFonts w:ascii="Times New Roman" w:hAnsi="Times New Roman"/>
          <w:color w:val="000000"/>
          <w:sz w:val="20"/>
        </w:rPr>
        <w:t xml:space="preserve"> </w:t>
      </w:r>
      <w:r>
        <w:rPr>
          <w:rFonts w:ascii="sans-serif" w:hAnsi="sans-serif"/>
          <w:color w:val="000000"/>
          <w:sz w:val="20"/>
        </w:rPr>
        <w:t>million. As of June 30, 2026, $59.1</w:t>
      </w:r>
      <w:r>
        <w:rPr>
          <w:rFonts w:ascii="Times New Roman" w:hAnsi="Times New Roman"/>
          <w:color w:val="000000"/>
          <w:sz w:val="20"/>
        </w:rPr>
        <w:t xml:space="preserve"> </w:t>
      </w:r>
      <w:r>
        <w:rPr>
          <w:rFonts w:ascii="sans-serif" w:hAnsi="sans-serif"/>
          <w:color w:val="000000"/>
          <w:sz w:val="20"/>
        </w:rPr>
        <w:t>million remained available for future repurchases under the Share Repurchase Program.</w:t>
      </w:r>
    </w:p>
    <w:p>
      <w:pPr>
        <w:pStyle w:val="TextBody"/>
        <w:bidi w:val="0"/>
        <w:spacing w:before="0" w:after="120"/>
        <w:jc w:val="both"/>
        <w:rPr>
          <w:rFonts w:ascii="sans-serif" w:hAnsi="sans-serif"/>
          <w:color w:val="000000"/>
          <w:sz w:val="20"/>
        </w:rPr>
      </w:pPr>
      <w:r>
        <w:rPr>
          <w:rFonts w:ascii="sans-serif" w:hAnsi="sans-serif"/>
          <w:color w:val="000000"/>
          <w:sz w:val="20"/>
        </w:rPr>
        <w:t>All of the above share repurchases were accounted for as equity transactions and are recorded in Treasury stock in the Condensed Consolidated Balance Sheets.</w:t>
      </w:r>
    </w:p>
    <w:p>
      <w:pPr>
        <w:pStyle w:val="TextBody"/>
        <w:bidi w:val="0"/>
        <w:spacing w:before="0" w:after="120"/>
        <w:jc w:val="both"/>
        <w:rPr>
          <w:rFonts w:ascii="sans-serif" w:hAnsi="sans-serif"/>
          <w:b/>
          <w:color w:val="000000"/>
          <w:sz w:val="20"/>
        </w:rPr>
      </w:pPr>
      <w:r>
        <w:rPr>
          <w:rFonts w:ascii="sans-serif" w:hAnsi="sans-serif"/>
          <w:b/>
          <w:color w:val="000000"/>
          <w:sz w:val="20"/>
        </w:rPr>
        <w:t>Accumulated Other Comprehensive Income</w:t>
      </w:r>
    </w:p>
    <w:p>
      <w:pPr>
        <w:pStyle w:val="TextBody"/>
        <w:bidi w:val="0"/>
        <w:spacing w:before="0" w:after="120"/>
        <w:jc w:val="both"/>
        <w:rPr>
          <w:rFonts w:ascii="sans-serif" w:hAnsi="sans-serif"/>
          <w:color w:val="000000"/>
          <w:sz w:val="20"/>
        </w:rPr>
      </w:pPr>
      <w:r>
        <w:rPr>
          <w:rFonts w:ascii="sans-serif" w:hAnsi="sans-serif"/>
          <w:color w:val="000000"/>
          <w:sz w:val="20"/>
        </w:rPr>
        <w:t>The following table summarizes the changes in each major component of Accumulated other comprehensive income during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2169"/>
        <w:gridCol w:w="146"/>
        <w:gridCol w:w="676"/>
        <w:gridCol w:w="1437"/>
        <w:gridCol w:w="146"/>
        <w:gridCol w:w="146"/>
        <w:gridCol w:w="800"/>
        <w:gridCol w:w="1700"/>
        <w:gridCol w:w="196"/>
        <w:gridCol w:w="146"/>
        <w:gridCol w:w="785"/>
        <w:gridCol w:w="1665"/>
        <w:gridCol w:w="193"/>
      </w:tblGrid>
      <w:tr>
        <w:trPr/>
        <w:tc>
          <w:tcPr>
            <w:tcW w:w="2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 Unrealized Gain on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 Foreign Currency Translation Adjustment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 Other Comprehensive Income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Recorded in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13. Commitments and Contingencies</w:t>
      </w:r>
    </w:p>
    <w:p>
      <w:pPr>
        <w:pStyle w:val="TextBody"/>
        <w:bidi w:val="0"/>
        <w:spacing w:before="0" w:after="120"/>
        <w:jc w:val="both"/>
        <w:rPr>
          <w:rFonts w:ascii="sans-serif" w:hAnsi="sans-serif"/>
          <w:b/>
          <w:color w:val="000000"/>
          <w:sz w:val="20"/>
        </w:rPr>
      </w:pPr>
      <w:r>
        <w:rPr>
          <w:rFonts w:ascii="sans-serif" w:hAnsi="sans-serif"/>
          <w:b/>
          <w:color w:val="000000"/>
          <w:sz w:val="20"/>
        </w:rPr>
        <w:t>Litigation</w:t>
      </w:r>
    </w:p>
    <w:p>
      <w:pPr>
        <w:pStyle w:val="TextBody"/>
        <w:bidi w:val="0"/>
        <w:spacing w:before="0" w:after="120"/>
        <w:jc w:val="both"/>
        <w:rPr>
          <w:rFonts w:ascii="sans-serif" w:hAnsi="sans-serif"/>
          <w:color w:val="000000"/>
          <w:sz w:val="20"/>
        </w:rPr>
      </w:pPr>
      <w:r>
        <w:rPr>
          <w:rFonts w:ascii="sans-serif" w:hAnsi="sans-serif"/>
          <w:color w:val="000000"/>
          <w:sz w:val="20"/>
        </w:rPr>
        <w:t>From time to time, we are involved in various claims and legal actions arising in the ordinary course of business, none of which, in management’s opinion, could have a material effect on our business, financial position, or results of operations other than those matters discussed below.</w:t>
      </w:r>
    </w:p>
    <w:p>
      <w:pPr>
        <w:pStyle w:val="TextBody"/>
        <w:bidi w:val="0"/>
        <w:spacing w:before="0" w:after="120"/>
        <w:jc w:val="both"/>
        <w:rPr>
          <w:rFonts w:ascii="Times New Roman" w:hAnsi="Times New Roman"/>
          <w:sz w:val="20"/>
        </w:rPr>
      </w:pPr>
      <w:r>
        <w:rPr>
          <w:rFonts w:ascii="sans-serif" w:hAnsi="sans-serif"/>
          <w:color w:val="000000"/>
          <w:sz w:val="20"/>
        </w:rPr>
        <w:t>We were a co-defendant in a class action lawsuit in Canada alleging a failure to disclose service fees prior to checkout. A final order approving the settlement of this lawsuit was entered by the court in 2020. In 2022, certain class members were issued coupons and other class members were notified that they were eligible to submit a claim for a coupon. As of June 30, 2026 and December 31, 2025, a liability of $0.9</w:t>
      </w:r>
      <w:r>
        <w:rPr>
          <w:rFonts w:ascii="Times New Roman" w:hAnsi="Times New Roman"/>
          <w:color w:val="000000"/>
          <w:sz w:val="20"/>
        </w:rPr>
        <w:t xml:space="preserve"> </w:t>
      </w:r>
      <w:r>
        <w:rPr>
          <w:rFonts w:ascii="sans-serif" w:hAnsi="sans-serif"/>
          <w:color w:val="000000"/>
          <w:sz w:val="20"/>
        </w:rPr>
        <w:t>million was recorded in Accrued expenses and other current liabilities in the Condensed Consolidated Balance Sheets related to expected claim submissions and credit redemptions as of the measurement date.</w:t>
      </w:r>
    </w:p>
    <w:p>
      <w:pPr>
        <w:pStyle w:val="TextBody"/>
        <w:bidi w:val="0"/>
        <w:spacing w:before="0" w:after="120"/>
        <w:jc w:val="both"/>
        <w:rPr>
          <w:rFonts w:ascii="Times New Roman" w:hAnsi="Times New Roman"/>
          <w:sz w:val="20"/>
        </w:rPr>
      </w:pPr>
      <w:r>
        <w:rPr>
          <w:rFonts w:ascii="sans-serif" w:hAnsi="sans-serif"/>
          <w:color w:val="000000"/>
          <w:sz w:val="20"/>
        </w:rPr>
        <w:t>We were a defendant in a lawsuit related to an alleged violation of the Illinois Biometric Information Privacy Act. A final order approving the settlement of this lawsuit was entered by the court on January 29, 2025,</w:t>
      </w:r>
      <w:r>
        <w:rPr>
          <w:rFonts w:ascii="Times New Roman" w:hAnsi="Times New Roman"/>
          <w:color w:val="000000"/>
          <w:sz w:val="20"/>
        </w:rPr>
        <w:t xml:space="preserve"> </w:t>
      </w:r>
      <w:r>
        <w:rPr>
          <w:rFonts w:ascii="sans-serif" w:hAnsi="sans-serif"/>
          <w:color w:val="000000"/>
          <w:sz w:val="20"/>
        </w:rPr>
        <w:t>pursuant to which $0.3</w:t>
      </w:r>
      <w:r>
        <w:rPr>
          <w:rFonts w:ascii="Times New Roman" w:hAnsi="Times New Roman"/>
          <w:color w:val="000000"/>
          <w:sz w:val="20"/>
        </w:rPr>
        <w:t xml:space="preserve"> </w:t>
      </w:r>
      <w:r>
        <w:rPr>
          <w:rFonts w:ascii="sans-serif" w:hAnsi="sans-serif"/>
          <w:color w:val="000000"/>
          <w:sz w:val="20"/>
        </w:rPr>
        <w:t>million was paid to cover approved claims and legal and administrative fees. This amount, which was covered in full by insurance, was paid on March 28, 2025. As of June 30, 2026 and December 31, 2025, we had no</w:t>
      </w:r>
      <w:r>
        <w:rPr>
          <w:rFonts w:ascii="Times New Roman" w:hAnsi="Times New Roman"/>
          <w:color w:val="000000"/>
          <w:sz w:val="20"/>
        </w:rPr>
        <w:t xml:space="preserve"> </w:t>
      </w:r>
      <w:r>
        <w:rPr>
          <w:rFonts w:ascii="sans-serif" w:hAnsi="sans-serif"/>
          <w:color w:val="000000"/>
          <w:sz w:val="20"/>
        </w:rPr>
        <w:t>accrued liability related to this matter.</w:t>
      </w:r>
      <w:r>
        <w:rPr>
          <w:rFonts w:ascii="Times New Roman" w:hAnsi="Times New Roman"/>
          <w:color w:val="000000"/>
          <w:sz w:val="20"/>
        </w:rPr>
        <w:t xml:space="preserve"> </w:t>
      </w:r>
    </w:p>
    <w:p>
      <w:pPr>
        <w:pStyle w:val="TextBody"/>
        <w:bidi w:val="0"/>
        <w:spacing w:before="0" w:after="120"/>
        <w:jc w:val="both"/>
        <w:rPr>
          <w:rFonts w:ascii="sans-serif" w:hAnsi="sans-serif"/>
          <w:b/>
          <w:color w:val="000000"/>
          <w:sz w:val="20"/>
        </w:rPr>
      </w:pPr>
      <w:r>
        <w:rPr>
          <w:rFonts w:ascii="sans-serif" w:hAnsi="sans-serif"/>
          <w:b/>
          <w:color w:val="000000"/>
          <w:sz w:val="20"/>
        </w:rPr>
        <w:t>Indirect Taxes</w:t>
      </w:r>
    </w:p>
    <w:p>
      <w:pPr>
        <w:pStyle w:val="TextBody"/>
        <w:bidi w:val="0"/>
        <w:spacing w:before="0" w:after="120"/>
        <w:jc w:val="both"/>
        <w:rPr>
          <w:rFonts w:ascii="Times New Roman" w:hAnsi="Times New Roman"/>
          <w:sz w:val="20"/>
        </w:rPr>
      </w:pPr>
      <w:r>
        <w:rPr>
          <w:rFonts w:ascii="sans-serif" w:hAnsi="sans-serif"/>
          <w:color w:val="000000"/>
          <w:sz w:val="20"/>
        </w:rPr>
        <w:t xml:space="preserve">In 2018, the U.S. Supreme Court issued its decision in </w:t>
      </w:r>
      <w:r>
        <w:rPr>
          <w:rFonts w:ascii="sans-serif" w:hAnsi="sans-serif"/>
          <w:i/>
          <w:color w:val="000000"/>
          <w:sz w:val="20"/>
        </w:rPr>
        <w:t>South Dakota v. Wayfair Inc.</w:t>
      </w:r>
      <w:r>
        <w:rPr>
          <w:rFonts w:ascii="sans-serif" w:hAnsi="sans-serif"/>
          <w:color w:val="000000"/>
          <w:sz w:val="20"/>
        </w:rPr>
        <w:t>,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 It is reasonably possible that state or local governments will continue to adopt or interpret laws such that we will be required to calculate, collect, and remit taxes on sales in their jurisdictions. A successful assertion by one or more jurisdictions could result in material tax liabilities, including uncollected taxes on past sales, as well as penalties and interest. Based on our analysis of certain state and local regulations, specifically related to marketplace facilitators and event ticket sales, we have recorded liabilities in all jurisdictions where we believe a risk of loss is probable and reasonably estimable. We will continuously monitor state and local regulations and will implement required collection and remittance procedures if and when we are subject thereto.</w:t>
      </w:r>
    </w:p>
    <w:p>
      <w:pPr>
        <w:pStyle w:val="TextBody"/>
        <w:bidi w:val="0"/>
        <w:spacing w:before="0" w:after="120"/>
        <w:jc w:val="both"/>
        <w:rPr>
          <w:rFonts w:ascii="sans-serif" w:hAnsi="sans-serif"/>
          <w:color w:val="000000"/>
          <w:sz w:val="20"/>
        </w:rPr>
      </w:pPr>
      <w:r>
        <w:rPr>
          <w:rFonts w:ascii="sans-serif" w:hAnsi="sans-serif"/>
          <w:color w:val="000000"/>
          <w:sz w:val="20"/>
        </w:rPr>
        <w:t>To the extent we have sales for international events, we may be required to register with various foreign jurisdictions and to collect and remit indirect taxes. It is reasonably possible that foreign jurisdictions may continue to adopt or interpret laws that impact the amount we are required to collect and remit. A successful assertion by one or more such jurisdictions could result in material tax liabilities, including uncollected taxes on past sales, as well as penalties and interest. Based on our analysis of certain foreign indirect tax regulations, specifically related to marketplace facilitators and event ticket sales, we have recorded liabilities in all jurisdictions where we believe a risk of loss is probable and reasonably estimable. We will continuously monitor foreign regulations and will implement required collection and remittance procedures if and when we are subject thereto.</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we recognized a liability of $3.5</w:t>
      </w:r>
      <w:r>
        <w:rPr>
          <w:rFonts w:ascii="Times New Roman" w:hAnsi="Times New Roman"/>
          <w:color w:val="000000"/>
          <w:sz w:val="20"/>
        </w:rPr>
        <w:t xml:space="preserve"> </w:t>
      </w:r>
      <w:r>
        <w:rPr>
          <w:rFonts w:ascii="sans-serif" w:hAnsi="sans-serif"/>
          <w:color w:val="000000"/>
          <w:sz w:val="20"/>
        </w:rPr>
        <w:t>million and $3.4</w:t>
      </w:r>
      <w:r>
        <w:rPr>
          <w:rFonts w:ascii="Times New Roman" w:hAnsi="Times New Roman"/>
          <w:color w:val="000000"/>
          <w:sz w:val="20"/>
        </w:rPr>
        <w:t xml:space="preserve"> </w:t>
      </w:r>
      <w:r>
        <w:rPr>
          <w:rFonts w:ascii="sans-serif" w:hAnsi="sans-serif"/>
          <w:color w:val="000000"/>
          <w:sz w:val="20"/>
        </w:rPr>
        <w:t>million, respectively, related to uncollected indirect taxes (including sales taxes). This uncollected indirect tax liability, which is recorded in Accrued expenses and other current liabilities in the Condensed Consolidated Balance Sheets, increases when accruals are made in jurisdictions where we believed it was probable we should remit payment to U.S. and foreign governmental tax authorities before all required amounts are collected from the customer and decreases when we receive abatements and/or recognize other reductions to the balance.</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we recognized a net expense of $0.2</w:t>
      </w:r>
      <w:r>
        <w:rPr>
          <w:rFonts w:ascii="Times New Roman" w:hAnsi="Times New Roman"/>
          <w:color w:val="000000"/>
          <w:sz w:val="20"/>
        </w:rPr>
        <w:t xml:space="preserve"> </w:t>
      </w:r>
      <w:r>
        <w:rPr>
          <w:rFonts w:ascii="sans-serif" w:hAnsi="sans-serif"/>
          <w:color w:val="000000"/>
          <w:sz w:val="20"/>
        </w:rPr>
        <w:t>million and $0.4</w:t>
      </w:r>
      <w:r>
        <w:rPr>
          <w:rFonts w:ascii="Times New Roman" w:hAnsi="Times New Roman"/>
          <w:color w:val="000000"/>
          <w:sz w:val="20"/>
        </w:rPr>
        <w:t xml:space="preserve"> </w:t>
      </w:r>
      <w:r>
        <w:rPr>
          <w:rFonts w:ascii="sans-serif" w:hAnsi="sans-serif"/>
          <w:color w:val="000000"/>
          <w:sz w:val="20"/>
        </w:rPr>
        <w:t>million, respectively, related to the liability for uncollected indirect taxes (including sales taxes). During the three and six months ended June 30, 2025, we recognized a net expense of $0.4</w:t>
      </w:r>
      <w:r>
        <w:rPr>
          <w:rFonts w:ascii="Times New Roman" w:hAnsi="Times New Roman"/>
          <w:color w:val="000000"/>
          <w:sz w:val="20"/>
        </w:rPr>
        <w:t xml:space="preserve"> </w:t>
      </w:r>
      <w:r>
        <w:rPr>
          <w:rFonts w:ascii="sans-serif" w:hAnsi="sans-serif"/>
          <w:color w:val="000000"/>
          <w:sz w:val="20"/>
        </w:rPr>
        <w:t>million and a net benefit of $1.4</w:t>
      </w:r>
      <w:r>
        <w:rPr>
          <w:rFonts w:ascii="Times New Roman" w:hAnsi="Times New Roman"/>
          <w:color w:val="000000"/>
          <w:sz w:val="20"/>
        </w:rPr>
        <w:t xml:space="preserve"> </w:t>
      </w:r>
      <w:r>
        <w:rPr>
          <w:rFonts w:ascii="sans-serif" w:hAnsi="sans-serif"/>
          <w:color w:val="000000"/>
          <w:sz w:val="20"/>
        </w:rPr>
        <w:t>million, respectively, related to the liability for uncollected indirect taxes (including sales taxes). The net expense/benefit related to the liability for uncollected indirect taxes (including sales taxes) is recorded in General and administrative expenses in the Condensed Consolidated Statements of Operations.</w:t>
      </w:r>
    </w:p>
    <w:p>
      <w:pPr>
        <w:pStyle w:val="TextBody"/>
        <w:bidi w:val="0"/>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b/>
          <w:color w:val="000000"/>
          <w:sz w:val="20"/>
        </w:rPr>
      </w:pPr>
      <w:r>
        <w:rPr>
          <w:rFonts w:ascii="sans-serif" w:hAnsi="sans-serif"/>
          <w:b/>
          <w:color w:val="000000"/>
          <w:sz w:val="20"/>
        </w:rPr>
        <w:t>Sponsorship Loan</w:t>
      </w:r>
    </w:p>
    <w:p>
      <w:pPr>
        <w:pStyle w:val="TextBody"/>
        <w:bidi w:val="0"/>
        <w:spacing w:before="0" w:after="120"/>
        <w:jc w:val="both"/>
        <w:rPr>
          <w:rFonts w:ascii="Times New Roman" w:hAnsi="Times New Roman"/>
          <w:sz w:val="20"/>
        </w:rPr>
      </w:pPr>
      <w:r>
        <w:rPr>
          <w:rFonts w:ascii="sans-serif" w:hAnsi="sans-serif"/>
          <w:color w:val="000000"/>
          <w:sz w:val="20"/>
        </w:rPr>
        <w:t>In 2024, we and a privately held company entered into a sponsorship and custom content partnership agreement providing us with various marketing services in exchange for our issuance of an interest-free loan payable in installments that could total a maximum of $5.0</w:t>
      </w:r>
      <w:r>
        <w:rPr>
          <w:rFonts w:ascii="Times New Roman" w:hAnsi="Times New Roman"/>
          <w:color w:val="000000"/>
          <w:sz w:val="20"/>
        </w:rPr>
        <w:t xml:space="preserve"> </w:t>
      </w:r>
      <w:r>
        <w:rPr>
          <w:rFonts w:ascii="sans-serif" w:hAnsi="sans-serif"/>
          <w:color w:val="000000"/>
          <w:sz w:val="20"/>
        </w:rPr>
        <w:t>million (the “</w:t>
      </w:r>
      <w:r>
        <w:rPr>
          <w:rFonts w:ascii="sans-serif" w:hAnsi="sans-serif"/>
          <w:color w:val="000000"/>
          <w:sz w:val="20"/>
          <w:u w:val="single"/>
        </w:rPr>
        <w:t>Sponsorship Loan</w:t>
      </w:r>
      <w:r>
        <w:rPr>
          <w:rFonts w:ascii="Times New Roman" w:hAnsi="Times New Roman"/>
          <w:color w:val="000000"/>
          <w:sz w:val="20"/>
        </w:rPr>
        <w:t>”</w:t>
      </w:r>
      <w:r>
        <w:rPr>
          <w:rFonts w:ascii="sans-serif" w:hAnsi="sans-serif"/>
          <w:color w:val="000000"/>
          <w:sz w:val="20"/>
        </w:rPr>
        <w:t xml:space="preserve">). We account for the Sponsorship Loan as a note receivable in accordance with ASC Topic 310, </w:t>
      </w:r>
      <w:r>
        <w:rPr>
          <w:rFonts w:ascii="sans-serif" w:hAnsi="sans-serif"/>
          <w:i/>
          <w:color w:val="000000"/>
          <w:sz w:val="20"/>
        </w:rPr>
        <w:t>Receivables</w:t>
      </w:r>
      <w:r>
        <w:rPr>
          <w:rFonts w:ascii="sans-serif" w:hAnsi="sans-serif"/>
          <w:color w:val="000000"/>
          <w:sz w:val="20"/>
        </w:rPr>
        <w:t>. In 2024, we disbursed $2.0</w:t>
      </w:r>
      <w:r>
        <w:rPr>
          <w:rFonts w:ascii="Times New Roman" w:hAnsi="Times New Roman"/>
          <w:color w:val="000000"/>
          <w:sz w:val="20"/>
        </w:rPr>
        <w:t xml:space="preserve"> </w:t>
      </w:r>
      <w:r>
        <w:rPr>
          <w:rFonts w:ascii="sans-serif" w:hAnsi="sans-serif"/>
          <w:color w:val="000000"/>
          <w:sz w:val="20"/>
        </w:rPr>
        <w:t>million of the Sponsorship Loan. While there is no stated maturity date for the Sponsorship Loan, we are entitled to a portion of advertising revenue received by the counterparty until it is repaid in full.</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2025, we recognized zero and less than $0.1</w:t>
      </w:r>
      <w:r>
        <w:rPr>
          <w:rFonts w:ascii="Times New Roman" w:hAnsi="Times New Roman"/>
          <w:color w:val="000000"/>
          <w:sz w:val="20"/>
        </w:rPr>
        <w:t xml:space="preserve"> </w:t>
      </w:r>
      <w:r>
        <w:rPr>
          <w:rFonts w:ascii="sans-serif" w:hAnsi="sans-serif"/>
          <w:color w:val="000000"/>
          <w:sz w:val="20"/>
        </w:rPr>
        <w:t>million of imputed interest income, respectively, for the Sponsorship Loan, which is recorded in Interest expense – net in the Condensed Consolidated Statements of Operations.</w:t>
      </w:r>
    </w:p>
    <w:p>
      <w:pPr>
        <w:pStyle w:val="TextBody"/>
        <w:bidi w:val="0"/>
        <w:spacing w:before="0" w:after="120"/>
        <w:jc w:val="both"/>
        <w:rPr>
          <w:rFonts w:ascii="Times New Roman" w:hAnsi="Times New Roman"/>
          <w:sz w:val="20"/>
        </w:rPr>
      </w:pPr>
      <w:r>
        <w:rPr>
          <w:rFonts w:ascii="sans-serif" w:hAnsi="sans-serif"/>
          <w:color w:val="000000"/>
          <w:sz w:val="20"/>
        </w:rPr>
        <w:t xml:space="preserve">On June 30, 2025, we recorded a full write-off on the outstanding balance of the Sponsorship Loan as a result of the counterparty filing for bankruptcy. The Sponsorship Loan’s carrying amount was written down to zero, reflecting the expectation of no recoverable amount under ASC Topic 326, </w:t>
      </w:r>
      <w:r>
        <w:rPr>
          <w:rFonts w:ascii="sans-serif" w:hAnsi="sans-serif"/>
          <w:i/>
          <w:color w:val="000000"/>
          <w:sz w:val="20"/>
        </w:rPr>
        <w:t>Measurement of Credit Losses on Financial Instruments</w:t>
      </w:r>
      <w:r>
        <w:rPr>
          <w:rFonts w:ascii="sans-serif" w:hAnsi="sans-serif"/>
          <w:color w:val="000000"/>
          <w:sz w:val="20"/>
        </w:rPr>
        <w:t>. During the three and six months ended June 30, 2025, we recognized a loss of $2.0</w:t>
      </w:r>
      <w:r>
        <w:rPr>
          <w:rFonts w:ascii="Times New Roman" w:hAnsi="Times New Roman"/>
          <w:color w:val="000000"/>
          <w:sz w:val="20"/>
        </w:rPr>
        <w:t xml:space="preserve"> </w:t>
      </w:r>
      <w:r>
        <w:rPr>
          <w:rFonts w:ascii="sans-serif" w:hAnsi="sans-serif"/>
          <w:color w:val="000000"/>
          <w:sz w:val="20"/>
        </w:rPr>
        <w:t>million in connection with the write-off of the Sponsorship Loan, which is recorded in Other expense (income) – net</w:t>
      </w:r>
      <w:r>
        <w:rPr>
          <w:rFonts w:ascii="Times New Roman" w:hAnsi="Times New Roman"/>
          <w:color w:val="000000"/>
          <w:sz w:val="20"/>
        </w:rPr>
        <w:t xml:space="preserve"> </w:t>
      </w:r>
      <w:r>
        <w:rPr>
          <w:rFonts w:ascii="sans-serif" w:hAnsi="sans-serif"/>
          <w:color w:val="000000"/>
          <w:sz w:val="20"/>
        </w:rPr>
        <w:t>in the Condensed Consolidated Statements of Operations.</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14. Income Taxes</w:t>
      </w:r>
    </w:p>
    <w:p>
      <w:pPr>
        <w:pStyle w:val="TextBody"/>
        <w:bidi w:val="0"/>
        <w:spacing w:before="0" w:after="120"/>
        <w:jc w:val="both"/>
        <w:rPr>
          <w:rFonts w:ascii="sans-serif" w:hAnsi="sans-serif"/>
          <w:b/>
          <w:color w:val="000000"/>
          <w:sz w:val="20"/>
        </w:rPr>
      </w:pPr>
      <w:r>
        <w:rPr>
          <w:rFonts w:ascii="sans-serif" w:hAnsi="sans-serif"/>
          <w:b/>
          <w:color w:val="000000"/>
          <w:sz w:val="20"/>
        </w:rPr>
        <w:t>Income Tax Expense (Benefit)</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we recognized an income tax expense of $0.9</w:t>
      </w:r>
      <w:r>
        <w:rPr>
          <w:rFonts w:ascii="Times New Roman" w:hAnsi="Times New Roman"/>
          <w:color w:val="000000"/>
          <w:sz w:val="20"/>
        </w:rPr>
        <w:t xml:space="preserve"> </w:t>
      </w:r>
      <w:r>
        <w:rPr>
          <w:rFonts w:ascii="sans-serif" w:hAnsi="sans-serif"/>
          <w:color w:val="000000"/>
          <w:sz w:val="20"/>
        </w:rPr>
        <w:t>million and an income tax benefit of $0.3</w:t>
      </w:r>
      <w:r>
        <w:rPr>
          <w:rFonts w:ascii="Times New Roman" w:hAnsi="Times New Roman"/>
          <w:color w:val="000000"/>
          <w:sz w:val="20"/>
        </w:rPr>
        <w:t xml:space="preserve"> </w:t>
      </w:r>
      <w:r>
        <w:rPr>
          <w:rFonts w:ascii="sans-serif" w:hAnsi="sans-serif"/>
          <w:color w:val="000000"/>
          <w:sz w:val="20"/>
        </w:rPr>
        <w:t>million, respectively, which are recorded in Income tax expense (benefit) in the Condensed Consolidated Statements of Operations. Our effective income tax rate differed from the 21% U.S. federal statutory income tax rate primarily due to losses for which no tax benefit was recognized and the impact of foreign operations, including differences in statutory income tax rates and an increase in the valuation allowance.</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2025, we recognized an income tax expense of $76.1</w:t>
      </w:r>
      <w:r>
        <w:rPr>
          <w:rFonts w:ascii="Times New Roman" w:hAnsi="Times New Roman"/>
          <w:color w:val="000000"/>
          <w:sz w:val="20"/>
        </w:rPr>
        <w:t xml:space="preserve"> </w:t>
      </w:r>
      <w:r>
        <w:rPr>
          <w:rFonts w:ascii="sans-serif" w:hAnsi="sans-serif"/>
          <w:color w:val="000000"/>
          <w:sz w:val="20"/>
        </w:rPr>
        <w:t>million and $79.3</w:t>
      </w:r>
      <w:r>
        <w:rPr>
          <w:rFonts w:ascii="Times New Roman" w:hAnsi="Times New Roman"/>
          <w:color w:val="000000"/>
          <w:sz w:val="20"/>
        </w:rPr>
        <w:t xml:space="preserve"> </w:t>
      </w:r>
      <w:r>
        <w:rPr>
          <w:rFonts w:ascii="sans-serif" w:hAnsi="sans-serif"/>
          <w:color w:val="000000"/>
          <w:sz w:val="20"/>
        </w:rPr>
        <w:t>million, respectively, which is recorded in Income tax expense (benefit) in the</w:t>
      </w:r>
      <w:r>
        <w:rPr>
          <w:rFonts w:ascii="Times New Roman" w:hAnsi="Times New Roman"/>
          <w:color w:val="000000"/>
          <w:sz w:val="20"/>
        </w:rPr>
        <w:t xml:space="preserve"> </w:t>
      </w:r>
      <w:r>
        <w:rPr>
          <w:rFonts w:ascii="sans-serif" w:hAnsi="sans-serif"/>
          <w:color w:val="000000"/>
          <w:sz w:val="20"/>
        </w:rPr>
        <w:t>Condensed Consolidated Statements of Operations. Our effective income tax rate differed from the 21% U.S. federal statutory income tax rate primarily due to an increase in the valuation allowance, a reduction in the TRA liability, and impairment charges in foreign jurisdictions.</w:t>
      </w:r>
    </w:p>
    <w:p>
      <w:pPr>
        <w:pStyle w:val="TextBody"/>
        <w:bidi w:val="0"/>
        <w:spacing w:before="0" w:after="120"/>
        <w:jc w:val="both"/>
        <w:rPr>
          <w:rFonts w:ascii="Times New Roman" w:hAnsi="Times New Roman"/>
          <w:sz w:val="20"/>
        </w:rPr>
      </w:pPr>
      <w:r>
        <w:rPr>
          <w:rFonts w:ascii="sans-serif" w:hAnsi="sans-serif"/>
          <w:color w:val="000000"/>
          <w:sz w:val="20"/>
        </w:rPr>
        <w:t>Income tax expense decreased by $75.2</w:t>
      </w:r>
      <w:r>
        <w:rPr>
          <w:rFonts w:ascii="Times New Roman" w:hAnsi="Times New Roman"/>
          <w:color w:val="000000"/>
          <w:sz w:val="20"/>
        </w:rPr>
        <w:t xml:space="preserve"> </w:t>
      </w:r>
      <w:r>
        <w:rPr>
          <w:rFonts w:ascii="sans-serif" w:hAnsi="sans-serif"/>
          <w:color w:val="000000"/>
          <w:sz w:val="20"/>
        </w:rPr>
        <w:t>million and income tax benefit increased by $79.6</w:t>
      </w:r>
      <w:r>
        <w:rPr>
          <w:rFonts w:ascii="Times New Roman" w:hAnsi="Times New Roman"/>
          <w:color w:val="000000"/>
          <w:sz w:val="20"/>
        </w:rPr>
        <w:t xml:space="preserve"> </w:t>
      </w:r>
      <w:r>
        <w:rPr>
          <w:rFonts w:ascii="sans-serif" w:hAnsi="sans-serif"/>
          <w:color w:val="000000"/>
          <w:sz w:val="20"/>
        </w:rPr>
        <w:t>million during the three and six months ended June 30, 2026, respectively, compared to the three and six months ended June 30, 2025, primarily due to the recognition of a valuation allowance during the three and six months ended June 30, 2025.</w:t>
      </w:r>
    </w:p>
    <w:p>
      <w:pPr>
        <w:pStyle w:val="TextBody"/>
        <w:bidi w:val="0"/>
        <w:spacing w:before="0" w:after="120"/>
        <w:jc w:val="both"/>
        <w:rPr>
          <w:rFonts w:ascii="sans-serif" w:hAnsi="sans-serif"/>
          <w:b/>
          <w:color w:val="000000"/>
          <w:sz w:val="20"/>
        </w:rPr>
      </w:pPr>
      <w:r>
        <w:rPr>
          <w:rFonts w:ascii="sans-serif" w:hAnsi="sans-serif"/>
          <w:b/>
          <w:color w:val="000000"/>
          <w:sz w:val="20"/>
        </w:rPr>
        <w:t>Deferred Tax Assets – Net</w:t>
      </w:r>
    </w:p>
    <w:p>
      <w:pPr>
        <w:pStyle w:val="TextBody"/>
        <w:bidi w:val="0"/>
        <w:spacing w:before="0" w:after="120"/>
        <w:jc w:val="both"/>
        <w:rPr>
          <w:rFonts w:ascii="sans-serif" w:hAnsi="sans-serif"/>
          <w:color w:val="000000"/>
          <w:sz w:val="20"/>
        </w:rPr>
      </w:pPr>
      <w:r>
        <w:rPr>
          <w:rFonts w:ascii="sans-serif" w:hAnsi="sans-serif"/>
          <w:color w:val="000000"/>
          <w:sz w:val="20"/>
        </w:rPr>
        <w:t>We regularly assess the need for a valuation allowance against our deferred tax assets. As of each reporting date we consider new evidence, both positive and negative, that could affect our view of the future realization of deferred tax assets. As of June 30, 2025, in part because during the three months ended June 30, 2025 we recorded a significant impairment of goodwill and certain indefinite-lived intangible assets, entered into a cumulative loss position, and had a negative trend in earnings in the U.S. federal tax jurisdiction, we determined that there is sufficient negative evidence to conclude that it is more likely than not that our deferred tax assets are not realizable. After considering all available positive and negative evidence, in 2026 we continue to maintain a valuation allowance against our U.S. deferred tax assets. We continue to monitor the need for a valuation allowance against our deferred tax assets at each reporting date.</w:t>
      </w:r>
    </w:p>
    <w:p>
      <w:pPr>
        <w:pStyle w:val="TextBody"/>
        <w:bidi w:val="0"/>
        <w:spacing w:before="0" w:after="120"/>
        <w:jc w:val="both"/>
        <w:rPr>
          <w:rFonts w:ascii="sans-serif" w:hAnsi="sans-serif"/>
          <w:b/>
          <w:color w:val="000000"/>
          <w:sz w:val="20"/>
        </w:rPr>
      </w:pPr>
      <w:r>
        <w:rPr>
          <w:rFonts w:ascii="sans-serif" w:hAnsi="sans-serif"/>
          <w:b/>
          <w:color w:val="000000"/>
          <w:sz w:val="20"/>
        </w:rPr>
        <w:t>Tax Receivable Agreement</w:t>
      </w:r>
    </w:p>
    <w:p>
      <w:pPr>
        <w:pStyle w:val="TextBody"/>
        <w:bidi w:val="0"/>
        <w:spacing w:before="0" w:after="120"/>
        <w:jc w:val="both"/>
        <w:rPr>
          <w:rFonts w:ascii="Times New Roman" w:hAnsi="Times New Roman"/>
          <w:sz w:val="20"/>
        </w:rPr>
      </w:pPr>
      <w:r>
        <w:rPr>
          <w:rFonts w:ascii="sans-serif" w:hAnsi="sans-serif"/>
          <w:color w:val="000000"/>
          <w:sz w:val="20"/>
        </w:rPr>
        <w:t>In connection with the Merger Transaction, we entered into the TRA with the existing Hoya Intermediate unitholders that provided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pStyle w:val="TextBody"/>
        <w:bidi w:val="0"/>
        <w:spacing w:before="0" w:after="120"/>
        <w:jc w:val="both"/>
        <w:rPr>
          <w:rFonts w:ascii="Times New Roman" w:hAnsi="Times New Roman"/>
          <w:sz w:val="20"/>
        </w:rPr>
      </w:pPr>
      <w:r>
        <w:rPr>
          <w:rFonts w:ascii="sans-serif" w:hAnsi="sans-serif"/>
          <w:color w:val="000000"/>
          <w:sz w:val="20"/>
        </w:rPr>
        <w:t>In connection with the Corporate Simplification, all rights and obligations under the TRA were terminated (other than certain terms thereof that expressly survived), including $5.8</w:t>
      </w:r>
      <w:r>
        <w:rPr>
          <w:rFonts w:ascii="Times New Roman" w:hAnsi="Times New Roman"/>
          <w:color w:val="000000"/>
          <w:sz w:val="20"/>
        </w:rPr>
        <w:t xml:space="preserve"> </w:t>
      </w:r>
      <w:r>
        <w:rPr>
          <w:rFonts w:ascii="sans-serif" w:hAnsi="sans-serif"/>
          <w:color w:val="000000"/>
          <w:sz w:val="20"/>
        </w:rPr>
        <w:t>million of cash payments that would have otherwise been due during the three months ended March 31, 2026, in exchange for the issuance of 403,022</w:t>
      </w:r>
      <w:r>
        <w:rPr>
          <w:rFonts w:ascii="Times New Roman" w:hAnsi="Times New Roman"/>
          <w:color w:val="000000"/>
          <w:sz w:val="20"/>
        </w:rPr>
        <w:t xml:space="preserve"> </w:t>
      </w:r>
      <w:r>
        <w:rPr>
          <w:rFonts w:ascii="sans-serif" w:hAnsi="sans-serif"/>
          <w:color w:val="000000"/>
          <w:sz w:val="20"/>
        </w:rPr>
        <w:t xml:space="preserve">shares of Class A common stock. As a result of the Corporate Simplification, we no longer have a TRA liability. See Note 1, </w:t>
      </w:r>
      <w:r>
        <w:rPr>
          <w:rFonts w:ascii="sans-serif" w:hAnsi="sans-serif"/>
          <w:i/>
          <w:color w:val="000000"/>
          <w:sz w:val="20"/>
        </w:rPr>
        <w:t>Background and Basis of Presentation</w:t>
      </w:r>
      <w:r>
        <w:rPr>
          <w:rFonts w:ascii="sans-serif" w:hAnsi="sans-serif"/>
          <w:color w:val="000000"/>
          <w:sz w:val="20"/>
        </w:rPr>
        <w: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One Big Beautiful Bill Act</w:t>
      </w:r>
    </w:p>
    <w:p>
      <w:pPr>
        <w:pStyle w:val="TextBody"/>
        <w:bidi w:val="0"/>
        <w:spacing w:before="0" w:after="120"/>
        <w:jc w:val="both"/>
        <w:rPr>
          <w:rFonts w:ascii="Times New Roman" w:hAnsi="Times New Roman"/>
          <w:sz w:val="20"/>
        </w:rPr>
      </w:pPr>
      <w:r>
        <w:rPr>
          <w:rFonts w:ascii="sans-serif" w:hAnsi="sans-serif"/>
          <w:color w:val="000000"/>
          <w:sz w:val="20"/>
        </w:rPr>
        <w:t>On July 4, 2025, a reconciliation bill commonly referred to as the One Big Beautiful Bill Act (the “</w:t>
      </w:r>
      <w:r>
        <w:rPr>
          <w:rFonts w:ascii="sans-serif" w:hAnsi="sans-serif"/>
          <w:color w:val="000000"/>
          <w:sz w:val="20"/>
          <w:u w:val="single"/>
        </w:rPr>
        <w:t>OBBB Act</w:t>
      </w:r>
      <w:r>
        <w:rPr>
          <w:rFonts w:ascii="Times New Roman" w:hAnsi="Times New Roman"/>
          <w:color w:val="000000"/>
          <w:sz w:val="20"/>
        </w:rPr>
        <w:t>”</w:t>
      </w:r>
      <w:r>
        <w:rPr>
          <w:rFonts w:ascii="sans-serif" w:hAnsi="sans-serif"/>
          <w:color w:val="000000"/>
          <w:sz w:val="20"/>
        </w:rPr>
        <w:t>) was signed into law, which included a broad range of tax reform provisions that may affect our financial results. The OBBB Act allows an elective deduction for domestic research and development, a reinstatement of elective 100% first-year bonus depreciation, and modifications to the calculation for excess business interest expense limitations under Section 163(j) of the Internal Revenue Code. Our analysis shows that the OBBB Act did not have a material impact on our condensed consolidated financial statements for the three and six months ended June 30, 2026 and is not expected to have a material impact on our consolidated financial statements for the year ending December 31, 2026. We will continue to monitor regulatory guidance and interpretations as they are issued.</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15. Equity-Based Compensation</w:t>
      </w:r>
    </w:p>
    <w:p>
      <w:pPr>
        <w:pStyle w:val="TextBody"/>
        <w:bidi w:val="0"/>
        <w:spacing w:before="0" w:after="120"/>
        <w:jc w:val="both"/>
        <w:rPr>
          <w:rFonts w:ascii="sans-serif" w:hAnsi="sans-serif"/>
          <w:b/>
          <w:color w:val="000000"/>
          <w:sz w:val="20"/>
        </w:rPr>
      </w:pPr>
      <w:r>
        <w:rPr>
          <w:rFonts w:ascii="sans-serif" w:hAnsi="sans-serif"/>
          <w:b/>
          <w:color w:val="000000"/>
          <w:sz w:val="20"/>
        </w:rPr>
        <w:t>Incentive Award Plan</w:t>
      </w:r>
    </w:p>
    <w:p>
      <w:pPr>
        <w:pStyle w:val="TextBody"/>
        <w:bidi w:val="0"/>
        <w:spacing w:before="0" w:after="120"/>
        <w:jc w:val="both"/>
        <w:rPr>
          <w:rFonts w:ascii="Times New Roman" w:hAnsi="Times New Roman"/>
          <w:sz w:val="20"/>
        </w:rPr>
      </w:pPr>
      <w:r>
        <w:rPr>
          <w:rFonts w:ascii="sans-serif" w:hAnsi="sans-serif"/>
          <w:color w:val="000000"/>
          <w:sz w:val="20"/>
        </w:rPr>
        <w:t>Our 2021 Incentive Award Plan (as amended, the “</w:t>
      </w:r>
      <w:r>
        <w:rPr>
          <w:rFonts w:ascii="sans-serif" w:hAnsi="sans-serif"/>
          <w:color w:val="000000"/>
          <w:sz w:val="20"/>
          <w:u w:val="single"/>
        </w:rPr>
        <w:t>Incentive Award Plan</w:t>
      </w:r>
      <w:r>
        <w:rPr>
          <w:rFonts w:ascii="Times New Roman" w:hAnsi="Times New Roman"/>
          <w:color w:val="000000"/>
          <w:sz w:val="20"/>
        </w:rPr>
        <w:t>”</w:t>
      </w:r>
      <w:r>
        <w:rPr>
          <w:rFonts w:ascii="sans-serif" w:hAnsi="sans-serif"/>
          <w:color w:val="000000"/>
          <w:sz w:val="20"/>
        </w:rPr>
        <w:t>) was approved and adopted in order to facilitate the grant of equity incentive awards to our employees, directors, and consultants. The Incentive Award Plan became effective in 2021 upon consummation of the Merger Transaction, and the First Amendment to the Incentive Award Plan became effective in 2024.</w:t>
      </w:r>
    </w:p>
    <w:p>
      <w:pPr>
        <w:pStyle w:val="TextBody"/>
        <w:bidi w:val="0"/>
        <w:spacing w:before="0" w:after="120"/>
        <w:jc w:val="both"/>
        <w:rPr>
          <w:rFonts w:ascii="Times New Roman" w:hAnsi="Times New Roman"/>
          <w:sz w:val="20"/>
        </w:rPr>
      </w:pPr>
      <w:r>
        <w:rPr>
          <w:rFonts w:ascii="sans-serif" w:hAnsi="sans-serif"/>
          <w:color w:val="000000"/>
          <w:sz w:val="20"/>
        </w:rPr>
        <w:t>In connection with the Reverse Stock Split, proportionate equitable adjustments were made to the number of shares of Class A common stock issuable under the Incentive Award Plan, as well as to the number of shares of Class A common stock underlying outstanding restricted stock units (“</w:t>
      </w:r>
      <w:r>
        <w:rPr>
          <w:rFonts w:ascii="sans-serif" w:hAnsi="sans-serif"/>
          <w:color w:val="000000"/>
          <w:sz w:val="20"/>
          <w:u w:val="single"/>
        </w:rPr>
        <w:t>RSUs</w:t>
      </w:r>
      <w:r>
        <w:rPr>
          <w:rFonts w:ascii="Times New Roman" w:hAnsi="Times New Roman"/>
          <w:color w:val="000000"/>
          <w:sz w:val="20"/>
        </w:rPr>
        <w:t>”</w:t>
      </w:r>
      <w:r>
        <w:rPr>
          <w:rFonts w:ascii="sans-serif" w:hAnsi="sans-serif"/>
          <w:color w:val="000000"/>
          <w:sz w:val="20"/>
        </w:rPr>
        <w:t xml:space="preserve">) and stock options (and the exercise prices thereof). All share and per share amounts set forth reflect these adjustments. See Note 1, </w:t>
      </w:r>
      <w:r>
        <w:rPr>
          <w:rFonts w:ascii="sans-serif" w:hAnsi="sans-serif"/>
          <w:i/>
          <w:color w:val="000000"/>
          <w:sz w:val="20"/>
        </w:rPr>
        <w:t>Background and Basis of Presentation</w:t>
      </w:r>
      <w:r>
        <w:rPr>
          <w:rFonts w:ascii="sans-serif" w:hAnsi="sans-serif"/>
          <w:color w:val="000000"/>
          <w:sz w:val="20"/>
        </w:rPr>
        <w: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Employee Stock Purchase Plan</w:t>
      </w:r>
    </w:p>
    <w:p>
      <w:pPr>
        <w:pStyle w:val="TextBody"/>
        <w:bidi w:val="0"/>
        <w:spacing w:before="0" w:after="120"/>
        <w:jc w:val="both"/>
        <w:rPr>
          <w:rFonts w:ascii="Times New Roman" w:hAnsi="Times New Roman"/>
          <w:sz w:val="20"/>
        </w:rPr>
      </w:pPr>
      <w:r>
        <w:rPr>
          <w:rFonts w:ascii="sans-serif" w:hAnsi="sans-serif"/>
          <w:color w:val="000000"/>
          <w:sz w:val="20"/>
        </w:rPr>
        <w:t>Our 2021 Employee Stock Purchase Plan (the “</w:t>
      </w:r>
      <w:r>
        <w:rPr>
          <w:rFonts w:ascii="sans-serif" w:hAnsi="sans-serif"/>
          <w:color w:val="000000"/>
          <w:sz w:val="20"/>
          <w:u w:val="single"/>
        </w:rPr>
        <w:t>ESPP</w:t>
      </w:r>
      <w:r>
        <w:rPr>
          <w:rFonts w:ascii="Times New Roman" w:hAnsi="Times New Roman"/>
          <w:color w:val="000000"/>
          <w:sz w:val="20"/>
        </w:rPr>
        <w:t>”</w:t>
      </w:r>
      <w:r>
        <w:rPr>
          <w:rFonts w:ascii="sans-serif" w:hAnsi="sans-serif"/>
          <w:color w:val="000000"/>
          <w:sz w:val="20"/>
        </w:rPr>
        <w:t>) was approved and adopted in order to provide our employees with an opportunity to purchase shares of our Class A common stock at a discounted price through payroll deductions during specified six-month offering periods. The ESPP became effective in 2021 upon consummation of the Merger Transaction. The price of shares purchased under the ESPP is equal to 85% of the fair market value of the common stock on the first or last day of the offering period, whichever is lower. The first offering period under the ESPP commenced on May 18, 2026 and will end on November 17, 2026. The fair value of the discount provided to our employees as part of the ESPP is measured using a Black-Scholes model and is recognized as equity-based compensation as described below over the relevant offering period.</w:t>
      </w:r>
    </w:p>
    <w:p>
      <w:pPr>
        <w:pStyle w:val="TextBody"/>
        <w:bidi w:val="0"/>
        <w:spacing w:before="0" w:after="120"/>
        <w:jc w:val="both"/>
        <w:rPr>
          <w:rFonts w:ascii="sans-serif" w:hAnsi="sans-serif"/>
          <w:b/>
          <w:color w:val="000000"/>
          <w:sz w:val="20"/>
        </w:rPr>
      </w:pPr>
      <w:r>
        <w:rPr>
          <w:rFonts w:ascii="sans-serif" w:hAnsi="sans-serif"/>
          <w:b/>
          <w:color w:val="000000"/>
          <w:sz w:val="20"/>
        </w:rPr>
        <w:t>Restricted Stock Units</w:t>
      </w:r>
    </w:p>
    <w:p>
      <w:pPr>
        <w:pStyle w:val="TextBody"/>
        <w:bidi w:val="0"/>
        <w:spacing w:before="0" w:after="120"/>
        <w:jc w:val="both"/>
        <w:rPr>
          <w:rFonts w:ascii="sans-serif" w:hAnsi="sans-serif"/>
          <w:color w:val="000000"/>
          <w:sz w:val="20"/>
        </w:rPr>
      </w:pPr>
      <w:r>
        <w:rPr>
          <w:rFonts w:ascii="sans-serif" w:hAnsi="sans-serif"/>
          <w:color w:val="000000"/>
          <w:sz w:val="20"/>
        </w:rPr>
        <w:t>RSUs are awards that are denominated in a hypothetical equivalent number of shares of Class A common stock. The value of each RSU is equal to the fair value of our Class A common stock on the grant date. Each RSU converts into shares of Class A common stock upon vesting.</w:t>
      </w:r>
    </w:p>
    <w:p>
      <w:pPr>
        <w:pStyle w:val="TextBody"/>
        <w:bidi w:val="0"/>
        <w:spacing w:before="0" w:after="120"/>
        <w:jc w:val="both"/>
        <w:rPr>
          <w:rFonts w:ascii="Times New Roman" w:hAnsi="Times New Roman"/>
          <w:sz w:val="20"/>
        </w:rPr>
      </w:pPr>
      <w:r>
        <w:rPr>
          <w:rFonts w:ascii="sans-serif" w:hAnsi="sans-serif"/>
          <w:color w:val="000000"/>
          <w:sz w:val="20"/>
        </w:rPr>
        <w:t>During the six months ended June 30, 2026 and 2025, we granted to certain employees 0.4</w:t>
      </w:r>
      <w:r>
        <w:rPr>
          <w:rFonts w:ascii="Times New Roman" w:hAnsi="Times New Roman"/>
          <w:color w:val="000000"/>
          <w:sz w:val="20"/>
        </w:rPr>
        <w:t xml:space="preserve"> </w:t>
      </w:r>
      <w:r>
        <w:rPr>
          <w:rFonts w:ascii="sans-serif" w:hAnsi="sans-serif"/>
          <w:color w:val="000000"/>
          <w:sz w:val="20"/>
        </w:rPr>
        <w:t>million and 0.6</w:t>
      </w:r>
      <w:r>
        <w:rPr>
          <w:rFonts w:ascii="Times New Roman" w:hAnsi="Times New Roman"/>
          <w:color w:val="000000"/>
          <w:sz w:val="20"/>
        </w:rPr>
        <w:t xml:space="preserve"> </w:t>
      </w:r>
      <w:r>
        <w:rPr>
          <w:rFonts w:ascii="sans-serif" w:hAnsi="sans-serif"/>
          <w:color w:val="000000"/>
          <w:sz w:val="20"/>
        </w:rPr>
        <w:t>million RSUs, respectively, at a weighted average grant date fair value of $6.16</w:t>
      </w:r>
      <w:r>
        <w:rPr>
          <w:rFonts w:ascii="Times New Roman" w:hAnsi="Times New Roman"/>
          <w:color w:val="000000"/>
          <w:sz w:val="20"/>
        </w:rPr>
        <w:t xml:space="preserve"> </w:t>
      </w:r>
      <w:r>
        <w:rPr>
          <w:rFonts w:ascii="sans-serif" w:hAnsi="sans-serif"/>
          <w:color w:val="000000"/>
          <w:sz w:val="20"/>
        </w:rPr>
        <w:t>per RSU and $55.80</w:t>
      </w:r>
      <w:r>
        <w:rPr>
          <w:rFonts w:ascii="Times New Roman" w:hAnsi="Times New Roman"/>
          <w:color w:val="000000"/>
          <w:sz w:val="20"/>
        </w:rPr>
        <w:t xml:space="preserve"> </w:t>
      </w:r>
      <w:r>
        <w:rPr>
          <w:rFonts w:ascii="sans-serif" w:hAnsi="sans-serif"/>
          <w:color w:val="000000"/>
          <w:sz w:val="20"/>
        </w:rPr>
        <w:t>per RSU, respectively. RSUs granted to employees during the six months ended June 30, 2026 vest over two years on a quarterly basis, subject to the employee’s continued employment through the applicable vesting date. RSUs granted to employees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during the six months ended June 30, 2025 vest over three years, with one-third vesting on the first anniversary of the grant date and the remaining portion vesting on a quarterly basis thereafter, subject to the employee’s continued employment through the applicable vesting date.</w:t>
      </w:r>
    </w:p>
    <w:p>
      <w:pPr>
        <w:pStyle w:val="TextBody"/>
        <w:bidi w:val="0"/>
        <w:spacing w:before="0" w:after="120"/>
        <w:jc w:val="both"/>
        <w:rPr>
          <w:rFonts w:ascii="Times New Roman" w:hAnsi="Times New Roman"/>
          <w:sz w:val="20"/>
        </w:rPr>
      </w:pPr>
      <w:r>
        <w:rPr>
          <w:rFonts w:ascii="sans-serif" w:hAnsi="sans-serif"/>
          <w:color w:val="000000"/>
          <w:sz w:val="20"/>
        </w:rPr>
        <w:t>During the six months ended June 30, 2026 and 2025, we granted to certain directors 0.3</w:t>
      </w:r>
      <w:r>
        <w:rPr>
          <w:rFonts w:ascii="Times New Roman" w:hAnsi="Times New Roman"/>
          <w:color w:val="000000"/>
          <w:sz w:val="20"/>
        </w:rPr>
        <w:t xml:space="preserve"> </w:t>
      </w:r>
      <w:r>
        <w:rPr>
          <w:rFonts w:ascii="sans-serif" w:hAnsi="sans-serif"/>
          <w:color w:val="000000"/>
          <w:sz w:val="20"/>
        </w:rPr>
        <w:t>million and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RSUs, respectively, at a weighted average grant date fair value of $7.30</w:t>
      </w:r>
      <w:r>
        <w:rPr>
          <w:rFonts w:ascii="Times New Roman" w:hAnsi="Times New Roman"/>
          <w:color w:val="000000"/>
          <w:sz w:val="20"/>
        </w:rPr>
        <w:t xml:space="preserve"> </w:t>
      </w:r>
      <w:r>
        <w:rPr>
          <w:rFonts w:ascii="sans-serif" w:hAnsi="sans-serif"/>
          <w:color w:val="000000"/>
          <w:sz w:val="20"/>
        </w:rPr>
        <w:t>per RSU and $30.40</w:t>
      </w:r>
      <w:r>
        <w:rPr>
          <w:rFonts w:ascii="Times New Roman" w:hAnsi="Times New Roman"/>
          <w:color w:val="000000"/>
          <w:sz w:val="20"/>
        </w:rPr>
        <w:t xml:space="preserve"> </w:t>
      </w:r>
      <w:r>
        <w:rPr>
          <w:rFonts w:ascii="sans-serif" w:hAnsi="sans-serif"/>
          <w:color w:val="000000"/>
          <w:sz w:val="20"/>
        </w:rPr>
        <w:t>per RSU, respectively. RSUs granted to directors fully vest on the earlier of (i) one day prior to the date of our first annual meeting of stockholders following the grant date and (ii) the one-year anniversary of the grant date, subject to the director’s continued service on our Board.</w:t>
      </w:r>
    </w:p>
    <w:p>
      <w:pPr>
        <w:pStyle w:val="TextBody"/>
        <w:bidi w:val="0"/>
        <w:spacing w:before="0" w:after="120"/>
        <w:jc w:val="both"/>
        <w:rPr>
          <w:rFonts w:ascii="Times New Roman" w:hAnsi="Times New Roman"/>
          <w:sz w:val="20"/>
        </w:rPr>
      </w:pPr>
      <w:r>
        <w:rPr>
          <w:rFonts w:ascii="sans-serif" w:hAnsi="sans-serif"/>
          <w:color w:val="000000"/>
          <w:sz w:val="20"/>
        </w:rPr>
        <w:t>During the six months ended June 30, 2026 and 2025, we granted to certain consultants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RSUs, respectively, at a weighted average grant date fair value of $5.90</w:t>
      </w:r>
      <w:r>
        <w:rPr>
          <w:rFonts w:ascii="Times New Roman" w:hAnsi="Times New Roman"/>
          <w:color w:val="000000"/>
          <w:sz w:val="20"/>
        </w:rPr>
        <w:t xml:space="preserve"> </w:t>
      </w:r>
      <w:r>
        <w:rPr>
          <w:rFonts w:ascii="sans-serif" w:hAnsi="sans-serif"/>
          <w:color w:val="000000"/>
          <w:sz w:val="20"/>
        </w:rPr>
        <w:t>per RSU and $56.20</w:t>
      </w:r>
      <w:r>
        <w:rPr>
          <w:rFonts w:ascii="Times New Roman" w:hAnsi="Times New Roman"/>
          <w:color w:val="000000"/>
          <w:sz w:val="20"/>
        </w:rPr>
        <w:t xml:space="preserve"> </w:t>
      </w:r>
      <w:r>
        <w:rPr>
          <w:rFonts w:ascii="sans-serif" w:hAnsi="sans-serif"/>
          <w:color w:val="000000"/>
          <w:sz w:val="20"/>
        </w:rPr>
        <w:t>per RSU, respectively. RSUs granted to consultants either fully vest on the first anniversary of the grant date or in equal annual installments over three years, in each case subject to the consultant’s continued service through the applicable vesting date.</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0.4</w:t>
      </w:r>
      <w:r>
        <w:rPr>
          <w:rFonts w:ascii="Times New Roman" w:hAnsi="Times New Roman"/>
          <w:color w:val="000000"/>
          <w:sz w:val="20"/>
        </w:rPr>
        <w:t xml:space="preserve"> </w:t>
      </w:r>
      <w:r>
        <w:rPr>
          <w:rFonts w:ascii="sans-serif" w:hAnsi="sans-serif"/>
          <w:color w:val="000000"/>
          <w:sz w:val="20"/>
        </w:rPr>
        <w:t>million forfeited RSUs, previously held by certain former executives prior to their departure, were subject to reissuance and immediate vesting in the event of a Change in Control (as defined in the Incentive Award Plan) occurring within 12</w:t>
      </w:r>
      <w:r>
        <w:rPr>
          <w:rFonts w:ascii="Times New Roman" w:hAnsi="Times New Roman"/>
          <w:color w:val="000000"/>
          <w:sz w:val="20"/>
        </w:rPr>
        <w:t xml:space="preserve"> </w:t>
      </w:r>
      <w:r>
        <w:rPr>
          <w:rFonts w:ascii="sans-serif" w:hAnsi="sans-serif"/>
          <w:color w:val="000000"/>
          <w:sz w:val="20"/>
        </w:rPr>
        <w:t>months of their respective separation dates.</w:t>
      </w:r>
    </w:p>
    <w:p>
      <w:pPr>
        <w:pStyle w:val="TextBody"/>
        <w:bidi w:val="0"/>
        <w:spacing w:before="0" w:after="120"/>
        <w:jc w:val="both"/>
        <w:rPr>
          <w:rFonts w:ascii="sans-serif" w:hAnsi="sans-serif"/>
          <w:color w:val="000000"/>
          <w:sz w:val="20"/>
        </w:rPr>
      </w:pPr>
      <w:r>
        <w:rPr>
          <w:rFonts w:ascii="sans-serif" w:hAnsi="sans-serif"/>
          <w:color w:val="000000"/>
          <w:sz w:val="20"/>
        </w:rPr>
        <w:t>The following tables summarize the total activity for RSUs during the six months ended June 30, 2026 and 2025 (in thousands, except per RSU data):</w:t>
      </w:r>
    </w:p>
    <w:tbl>
      <w:tblPr>
        <w:tblW w:w="10205" w:type="dxa"/>
        <w:jc w:val="left"/>
        <w:tblInd w:w="0" w:type="dxa"/>
        <w:tblLayout w:type="fixed"/>
        <w:tblCellMar>
          <w:top w:w="28" w:type="dxa"/>
          <w:left w:w="28" w:type="dxa"/>
          <w:bottom w:w="28" w:type="dxa"/>
          <w:right w:w="28" w:type="dxa"/>
        </w:tblCellMar>
      </w:tblPr>
      <w:tblGrid>
        <w:gridCol w:w="3483"/>
        <w:gridCol w:w="146"/>
        <w:gridCol w:w="146"/>
        <w:gridCol w:w="721"/>
        <w:gridCol w:w="181"/>
        <w:gridCol w:w="146"/>
        <w:gridCol w:w="1296"/>
        <w:gridCol w:w="3893"/>
        <w:gridCol w:w="193"/>
      </w:tblGrid>
      <w:tr>
        <w:trPr/>
        <w:tc>
          <w:tcPr>
            <w:tcW w:w="3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RSUs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 Average Grant Date Fair Value Per RSU</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8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22.81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1,690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14.75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83"/>
        <w:gridCol w:w="146"/>
        <w:gridCol w:w="146"/>
        <w:gridCol w:w="721"/>
        <w:gridCol w:w="181"/>
        <w:gridCol w:w="146"/>
        <w:gridCol w:w="1136"/>
        <w:gridCol w:w="4053"/>
        <w:gridCol w:w="193"/>
      </w:tblGrid>
      <w:tr>
        <w:trPr/>
        <w:tc>
          <w:tcPr>
            <w:tcW w:w="3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RSUs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 Average Grant Date Fair Value Per RSU</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0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112.24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78.60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114.40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Unvested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73.20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b/>
          <w:color w:val="000000"/>
          <w:sz w:val="20"/>
        </w:rPr>
      </w:pPr>
      <w:r>
        <w:rPr>
          <w:rFonts w:ascii="sans-serif" w:hAnsi="sans-serif"/>
          <w:b/>
          <w:color w:val="000000"/>
          <w:sz w:val="20"/>
        </w:rPr>
        <w:t>Stock Options</w:t>
      </w:r>
    </w:p>
    <w:p>
      <w:pPr>
        <w:pStyle w:val="TextBody"/>
        <w:bidi w:val="0"/>
        <w:spacing w:before="0" w:after="120"/>
        <w:jc w:val="both"/>
        <w:rPr>
          <w:rFonts w:ascii="sans-serif" w:hAnsi="sans-serif"/>
          <w:color w:val="000000"/>
          <w:sz w:val="20"/>
        </w:rPr>
      </w:pPr>
      <w:r>
        <w:rPr>
          <w:rFonts w:ascii="sans-serif" w:hAnsi="sans-serif"/>
          <w:color w:val="000000"/>
          <w:sz w:val="20"/>
        </w:rPr>
        <w:t>Stock options provide for the purchase of shares of Class A common stock in the future at an exercise price set on the grant (or modification) date. Our stock option awards vest over three years, with one-third vesting on the first anniversary of the grant date and the remaining options vesting on a quarterly basis thereafter.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p>
    <w:p>
      <w:pPr>
        <w:pStyle w:val="TextBody"/>
        <w:bidi w:val="0"/>
        <w:spacing w:before="0" w:after="120"/>
        <w:jc w:val="both"/>
        <w:rPr>
          <w:rFonts w:ascii="Times New Roman" w:hAnsi="Times New Roman"/>
          <w:sz w:val="20"/>
        </w:rPr>
      </w:pPr>
      <w:r>
        <w:rPr>
          <w:rFonts w:ascii="sans-serif" w:hAnsi="sans-serif"/>
          <w:color w:val="000000"/>
          <w:sz w:val="20"/>
        </w:rPr>
        <w:t>As of June 30, 2026 and December 31, 2025, less than 0.1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forfeited stock options, previously held by certain former executives prior to their departure, were subject to reissuance and immediate vesting in the event of a Change in Control (as defined in the Incentive Award Plan) occurring within 12</w:t>
      </w:r>
      <w:r>
        <w:rPr>
          <w:rFonts w:ascii="Times New Roman" w:hAnsi="Times New Roman"/>
          <w:color w:val="000000"/>
          <w:sz w:val="20"/>
        </w:rPr>
        <w:t xml:space="preserve"> </w:t>
      </w:r>
      <w:r>
        <w:rPr>
          <w:rFonts w:ascii="sans-serif" w:hAnsi="sans-serif"/>
          <w:color w:val="000000"/>
          <w:sz w:val="20"/>
        </w:rPr>
        <w:t>months of their respective separation dates.</w:t>
      </w:r>
    </w:p>
    <w:p>
      <w:pPr>
        <w:pStyle w:val="TextBody"/>
        <w:bidi w:val="0"/>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The following tables summarize the total activity for stock options during the six months ended June 30, 2026 and 2025 (in thousands, except price per stock option data):</w:t>
      </w:r>
    </w:p>
    <w:tbl>
      <w:tblPr>
        <w:tblW w:w="10205" w:type="dxa"/>
        <w:jc w:val="left"/>
        <w:tblInd w:w="0" w:type="dxa"/>
        <w:tblLayout w:type="fixed"/>
        <w:tblCellMar>
          <w:top w:w="28" w:type="dxa"/>
          <w:left w:w="28" w:type="dxa"/>
          <w:bottom w:w="28" w:type="dxa"/>
          <w:right w:w="28" w:type="dxa"/>
        </w:tblCellMar>
      </w:tblPr>
      <w:tblGrid>
        <w:gridCol w:w="2080"/>
        <w:gridCol w:w="146"/>
        <w:gridCol w:w="240"/>
        <w:gridCol w:w="843"/>
        <w:gridCol w:w="181"/>
        <w:gridCol w:w="146"/>
        <w:gridCol w:w="448"/>
        <w:gridCol w:w="1599"/>
        <w:gridCol w:w="146"/>
        <w:gridCol w:w="146"/>
        <w:gridCol w:w="2314"/>
        <w:gridCol w:w="146"/>
        <w:gridCol w:w="646"/>
        <w:gridCol w:w="929"/>
        <w:gridCol w:w="195"/>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Stock 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 Average Exercise Price Per Stock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0"/>
        <w:gridCol w:w="146"/>
        <w:gridCol w:w="240"/>
        <w:gridCol w:w="843"/>
        <w:gridCol w:w="181"/>
        <w:gridCol w:w="146"/>
        <w:gridCol w:w="448"/>
        <w:gridCol w:w="1599"/>
        <w:gridCol w:w="146"/>
        <w:gridCol w:w="146"/>
        <w:gridCol w:w="2314"/>
        <w:gridCol w:w="146"/>
        <w:gridCol w:w="646"/>
        <w:gridCol w:w="929"/>
        <w:gridCol w:w="195"/>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Stock 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 Average Exercise Price Per Stock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Vested and exercisable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sans-serif" w:hAnsi="sans-serif"/>
          <w:color w:val="000000"/>
          <w:sz w:val="20"/>
        </w:rPr>
        <w:t>The weighted average grant date fair value for stock options outstanding during the six months ended June 30, 2026 and 2025</w:t>
      </w:r>
      <w:r>
        <w:rPr>
          <w:rFonts w:ascii="Times New Roman" w:hAnsi="Times New Roman"/>
          <w:color w:val="000000"/>
          <w:sz w:val="20"/>
        </w:rPr>
        <w:t xml:space="preserve"> </w:t>
      </w:r>
      <w:r>
        <w:rPr>
          <w:rFonts w:ascii="sans-serif" w:hAnsi="sans-serif"/>
          <w:color w:val="000000"/>
          <w:sz w:val="20"/>
        </w:rPr>
        <w:t>was $68.89</w:t>
      </w:r>
      <w:r>
        <w:rPr>
          <w:rFonts w:ascii="Times New Roman" w:hAnsi="Times New Roman"/>
          <w:color w:val="000000"/>
          <w:sz w:val="20"/>
        </w:rPr>
        <w:t xml:space="preserve"> </w:t>
      </w:r>
      <w:r>
        <w:rPr>
          <w:rFonts w:ascii="sans-serif" w:hAnsi="sans-serif"/>
          <w:color w:val="000000"/>
          <w:sz w:val="20"/>
        </w:rPr>
        <w:t>and $68.77, respectively. The weighted average grant date fair value for stock options forfeited during the six months ended June 30, 2026 and 2025</w:t>
      </w:r>
      <w:r>
        <w:rPr>
          <w:rFonts w:ascii="Times New Roman" w:hAnsi="Times New Roman"/>
          <w:color w:val="000000"/>
          <w:sz w:val="20"/>
        </w:rPr>
        <w:t xml:space="preserve"> </w:t>
      </w:r>
      <w:r>
        <w:rPr>
          <w:rFonts w:ascii="sans-serif" w:hAnsi="sans-serif"/>
          <w:color w:val="000000"/>
          <w:sz w:val="20"/>
        </w:rPr>
        <w:t>was $65.98</w:t>
      </w:r>
      <w:r>
        <w:rPr>
          <w:rFonts w:ascii="Times New Roman" w:hAnsi="Times New Roman"/>
          <w:color w:val="000000"/>
          <w:sz w:val="20"/>
        </w:rPr>
        <w:t xml:space="preserve"> </w:t>
      </w:r>
      <w:r>
        <w:rPr>
          <w:rFonts w:ascii="sans-serif" w:hAnsi="sans-serif"/>
          <w:color w:val="000000"/>
          <w:sz w:val="20"/>
        </w:rPr>
        <w:t>and $66.67, respectively. The weighted average grant date fair value for stock options vested during the six months ended June 30, 2026 and 2025</w:t>
      </w:r>
      <w:r>
        <w:rPr>
          <w:rFonts w:ascii="Times New Roman" w:hAnsi="Times New Roman"/>
          <w:color w:val="000000"/>
          <w:sz w:val="20"/>
        </w:rPr>
        <w:t xml:space="preserve"> </w:t>
      </w:r>
      <w:r>
        <w:rPr>
          <w:rFonts w:ascii="sans-serif" w:hAnsi="sans-serif"/>
          <w:color w:val="000000"/>
          <w:sz w:val="20"/>
        </w:rPr>
        <w:t>was $68.89</w:t>
      </w:r>
      <w:r>
        <w:rPr>
          <w:rFonts w:ascii="Times New Roman" w:hAnsi="Times New Roman"/>
          <w:color w:val="000000"/>
          <w:sz w:val="20"/>
        </w:rPr>
        <w:t xml:space="preserve"> </w:t>
      </w:r>
      <w:r>
        <w:rPr>
          <w:rFonts w:ascii="sans-serif" w:hAnsi="sans-serif"/>
          <w:color w:val="000000"/>
          <w:sz w:val="20"/>
        </w:rPr>
        <w:t>and $70.16, respectively. No</w:t>
      </w:r>
      <w:r>
        <w:rPr>
          <w:rFonts w:ascii="Times New Roman" w:hAnsi="Times New Roman"/>
          <w:color w:val="000000"/>
          <w:sz w:val="20"/>
        </w:rPr>
        <w:t xml:space="preserve"> </w:t>
      </w:r>
      <w:r>
        <w:rPr>
          <w:rFonts w:ascii="sans-serif" w:hAnsi="sans-serif"/>
          <w:color w:val="000000"/>
          <w:sz w:val="20"/>
        </w:rPr>
        <w:t>stock options were granted, exercised, expired, or cancelled during the six months ended June 30, 2026 and 2025.</w:t>
      </w:r>
    </w:p>
    <w:p>
      <w:pPr>
        <w:pStyle w:val="TextBody"/>
        <w:bidi w:val="0"/>
        <w:spacing w:before="0" w:after="120"/>
        <w:jc w:val="both"/>
        <w:rPr>
          <w:rFonts w:ascii="sans-serif" w:hAnsi="sans-serif"/>
          <w:b/>
          <w:color w:val="000000"/>
          <w:sz w:val="20"/>
        </w:rPr>
      </w:pPr>
      <w:r>
        <w:rPr>
          <w:rFonts w:ascii="sans-serif" w:hAnsi="sans-serif"/>
          <w:b/>
          <w:color w:val="000000"/>
          <w:sz w:val="20"/>
        </w:rPr>
        <w:t>Equity-Based Compensation Expense</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equity-based compensation expense related to RSUs was $4.6</w:t>
      </w:r>
      <w:r>
        <w:rPr>
          <w:rFonts w:ascii="Times New Roman" w:hAnsi="Times New Roman"/>
          <w:color w:val="000000"/>
          <w:sz w:val="20"/>
        </w:rPr>
        <w:t xml:space="preserve"> </w:t>
      </w:r>
      <w:r>
        <w:rPr>
          <w:rFonts w:ascii="sans-serif" w:hAnsi="sans-serif"/>
          <w:color w:val="000000"/>
          <w:sz w:val="20"/>
        </w:rPr>
        <w:t>million and $8.8</w:t>
      </w:r>
      <w:r>
        <w:rPr>
          <w:rFonts w:ascii="Times New Roman" w:hAnsi="Times New Roman"/>
          <w:color w:val="000000"/>
          <w:sz w:val="20"/>
        </w:rPr>
        <w:t xml:space="preserve"> </w:t>
      </w:r>
      <w:r>
        <w:rPr>
          <w:rFonts w:ascii="sans-serif" w:hAnsi="sans-serif"/>
          <w:color w:val="000000"/>
          <w:sz w:val="20"/>
        </w:rPr>
        <w:t>million, respectively, compared to $10.4</w:t>
      </w:r>
      <w:r>
        <w:rPr>
          <w:rFonts w:ascii="Times New Roman" w:hAnsi="Times New Roman"/>
          <w:color w:val="000000"/>
          <w:sz w:val="20"/>
        </w:rPr>
        <w:t xml:space="preserve"> </w:t>
      </w:r>
      <w:r>
        <w:rPr>
          <w:rFonts w:ascii="sans-serif" w:hAnsi="sans-serif"/>
          <w:color w:val="000000"/>
          <w:sz w:val="20"/>
        </w:rPr>
        <w:t>million and $19.2</w:t>
      </w:r>
      <w:r>
        <w:rPr>
          <w:rFonts w:ascii="Times New Roman" w:hAnsi="Times New Roman"/>
          <w:color w:val="000000"/>
          <w:sz w:val="20"/>
        </w:rPr>
        <w:t xml:space="preserve"> </w:t>
      </w:r>
      <w:r>
        <w:rPr>
          <w:rFonts w:ascii="sans-serif" w:hAnsi="sans-serif"/>
          <w:color w:val="000000"/>
          <w:sz w:val="20"/>
        </w:rPr>
        <w:t>million during the three and six months ended June 30, 2025, respectively. Unrecognized equity-based compensation expense related to unvested RSUs as of June 30, 2026 was $23.3</w:t>
      </w:r>
      <w:r>
        <w:rPr>
          <w:rFonts w:ascii="Times New Roman" w:hAnsi="Times New Roman"/>
          <w:color w:val="000000"/>
          <w:sz w:val="20"/>
        </w:rPr>
        <w:t xml:space="preserve"> </w:t>
      </w:r>
      <w:r>
        <w:rPr>
          <w:rFonts w:ascii="sans-serif" w:hAnsi="sans-serif"/>
          <w:color w:val="000000"/>
          <w:sz w:val="20"/>
        </w:rPr>
        <w:t>million, which is expected to be recognized over a weighted average period of less than one year.</w:t>
      </w:r>
    </w:p>
    <w:p>
      <w:pPr>
        <w:pStyle w:val="TextBody"/>
        <w:bidi w:val="0"/>
        <w:spacing w:before="0" w:after="120"/>
        <w:jc w:val="both"/>
        <w:rPr>
          <w:rFonts w:ascii="Times New Roman" w:hAnsi="Times New Roman"/>
          <w:sz w:val="20"/>
        </w:rPr>
      </w:pPr>
      <w:r>
        <w:rPr>
          <w:rFonts w:ascii="sans-serif" w:hAnsi="sans-serif"/>
          <w:color w:val="000000"/>
          <w:sz w:val="20"/>
        </w:rPr>
        <w:t>During the three and six months ended June 30, 2026, equity-based compensation expense related to stock options was $0.1</w:t>
      </w:r>
      <w:r>
        <w:rPr>
          <w:rFonts w:ascii="Times New Roman" w:hAnsi="Times New Roman"/>
          <w:color w:val="000000"/>
          <w:sz w:val="20"/>
        </w:rPr>
        <w:t xml:space="preserve"> </w:t>
      </w:r>
      <w:r>
        <w:rPr>
          <w:rFonts w:ascii="sans-serif" w:hAnsi="sans-serif"/>
          <w:color w:val="000000"/>
          <w:sz w:val="20"/>
        </w:rPr>
        <w:t>million and $0.4</w:t>
      </w:r>
      <w:r>
        <w:rPr>
          <w:rFonts w:ascii="Times New Roman" w:hAnsi="Times New Roman"/>
          <w:color w:val="000000"/>
          <w:sz w:val="20"/>
        </w:rPr>
        <w:t xml:space="preserve"> </w:t>
      </w:r>
      <w:r>
        <w:rPr>
          <w:rFonts w:ascii="sans-serif" w:hAnsi="sans-serif"/>
          <w:color w:val="000000"/>
          <w:sz w:val="20"/>
        </w:rPr>
        <w:t>million, respectively, compared to $1.5</w:t>
      </w:r>
      <w:r>
        <w:rPr>
          <w:rFonts w:ascii="Times New Roman" w:hAnsi="Times New Roman"/>
          <w:color w:val="000000"/>
          <w:sz w:val="20"/>
        </w:rPr>
        <w:t xml:space="preserve"> </w:t>
      </w:r>
      <w:r>
        <w:rPr>
          <w:rFonts w:ascii="sans-serif" w:hAnsi="sans-serif"/>
          <w:color w:val="000000"/>
          <w:sz w:val="20"/>
        </w:rPr>
        <w:t>million and $3.7</w:t>
      </w:r>
      <w:r>
        <w:rPr>
          <w:rFonts w:ascii="Times New Roman" w:hAnsi="Times New Roman"/>
          <w:color w:val="000000"/>
          <w:sz w:val="20"/>
        </w:rPr>
        <w:t xml:space="preserve"> </w:t>
      </w:r>
      <w:r>
        <w:rPr>
          <w:rFonts w:ascii="sans-serif" w:hAnsi="sans-serif"/>
          <w:color w:val="000000"/>
          <w:sz w:val="20"/>
        </w:rPr>
        <w:t>million during the three and six months ended June 30, 2025, respectively. There was no</w:t>
      </w:r>
      <w:r>
        <w:rPr>
          <w:rFonts w:ascii="Times New Roman" w:hAnsi="Times New Roman"/>
          <w:color w:val="000000"/>
          <w:sz w:val="20"/>
        </w:rPr>
        <w:t xml:space="preserve"> </w:t>
      </w:r>
      <w:r>
        <w:rPr>
          <w:rFonts w:ascii="sans-serif" w:hAnsi="sans-serif"/>
          <w:color w:val="000000"/>
          <w:sz w:val="20"/>
        </w:rPr>
        <w:t>unrecognized equity-based compensation expense related to unvested stock options as of June 30, 2026.</w:t>
      </w:r>
    </w:p>
    <w:p>
      <w:pPr>
        <w:pStyle w:val="TextBody"/>
        <w:bidi w:val="0"/>
        <w:spacing w:before="0" w:after="120"/>
        <w:jc w:val="both"/>
        <w:rPr>
          <w:rFonts w:ascii="Times New Roman" w:hAnsi="Times New Roman"/>
          <w:sz w:val="20"/>
        </w:rPr>
      </w:pPr>
      <w:r>
        <w:rPr>
          <w:rFonts w:ascii="sans-serif" w:hAnsi="sans-serif"/>
          <w:color w:val="000000"/>
          <w:sz w:val="20"/>
        </w:rPr>
        <w:t>During both the three and six months ended June 30, 2026, equity-based compensation expense related to the ESPP was less than $0.1</w:t>
      </w:r>
      <w:r>
        <w:rPr>
          <w:rFonts w:ascii="Times New Roman" w:hAnsi="Times New Roman"/>
          <w:color w:val="000000"/>
          <w:sz w:val="20"/>
        </w:rPr>
        <w:t xml:space="preserve"> </w:t>
      </w:r>
      <w:r>
        <w:rPr>
          <w:rFonts w:ascii="sans-serif" w:hAnsi="sans-serif"/>
          <w:color w:val="000000"/>
          <w:sz w:val="20"/>
        </w:rPr>
        <w:t>million. Unrecognized equity-based compensation expense related to the ESPP as of June 30, 2026 was less than $0.1</w:t>
      </w:r>
      <w:r>
        <w:rPr>
          <w:rFonts w:ascii="Times New Roman" w:hAnsi="Times New Roman"/>
          <w:color w:val="000000"/>
          <w:sz w:val="20"/>
        </w:rPr>
        <w:t xml:space="preserve"> </w:t>
      </w:r>
      <w:r>
        <w:rPr>
          <w:rFonts w:ascii="sans-serif" w:hAnsi="sans-serif"/>
          <w:color w:val="000000"/>
          <w:sz w:val="20"/>
        </w:rPr>
        <w:t>million, which is expected to be recognized over a weighted average period of less than one year. There was no</w:t>
      </w:r>
      <w:r>
        <w:rPr>
          <w:rFonts w:ascii="Times New Roman" w:hAnsi="Times New Roman"/>
          <w:color w:val="000000"/>
          <w:sz w:val="20"/>
        </w:rPr>
        <w:t xml:space="preserve"> </w:t>
      </w:r>
      <w:r>
        <w:rPr>
          <w:rFonts w:ascii="sans-serif" w:hAnsi="sans-serif"/>
          <w:color w:val="000000"/>
          <w:sz w:val="20"/>
        </w:rPr>
        <w:t>equity-based compensation expense related to the ESPP during the three and six months ended June 30, 2025.</w:t>
      </w:r>
    </w:p>
    <w:p>
      <w:pPr>
        <w:pStyle w:val="TextBody"/>
        <w:bidi w:val="0"/>
        <w:spacing w:before="0" w:after="120"/>
        <w:jc w:val="both"/>
        <w:rPr>
          <w:rFonts w:ascii="Times New Roman" w:hAnsi="Times New Roman"/>
          <w:sz w:val="20"/>
        </w:rPr>
      </w:pPr>
      <w:r>
        <w:rPr>
          <w:rFonts w:ascii="sans-serif" w:hAnsi="sans-serif"/>
          <w:color w:val="000000"/>
          <w:sz w:val="20"/>
        </w:rPr>
        <w:t>Equity-based compensation expense for the three and six months ended June 30, 2026</w:t>
      </w:r>
      <w:r>
        <w:rPr>
          <w:rFonts w:ascii="Times New Roman" w:hAnsi="Times New Roman"/>
          <w:color w:val="000000"/>
          <w:sz w:val="20"/>
        </w:rPr>
        <w:t xml:space="preserve"> </w:t>
      </w:r>
      <w:r>
        <w:rPr>
          <w:rFonts w:ascii="sans-serif" w:hAnsi="sans-serif"/>
          <w:color w:val="000000"/>
          <w:sz w:val="20"/>
        </w:rPr>
        <w:t>excludes capitalized development costs of $0.1</w:t>
      </w:r>
      <w:r>
        <w:rPr>
          <w:rFonts w:ascii="Times New Roman" w:hAnsi="Times New Roman"/>
          <w:color w:val="000000"/>
          <w:sz w:val="20"/>
        </w:rPr>
        <w:t xml:space="preserve"> </w:t>
      </w:r>
      <w:r>
        <w:rPr>
          <w:rFonts w:ascii="sans-serif" w:hAnsi="sans-serif"/>
          <w:color w:val="000000"/>
          <w:sz w:val="20"/>
        </w:rPr>
        <w:t>million and $0.2</w:t>
      </w:r>
      <w:r>
        <w:rPr>
          <w:rFonts w:ascii="Times New Roman" w:hAnsi="Times New Roman"/>
          <w:color w:val="000000"/>
          <w:sz w:val="20"/>
        </w:rPr>
        <w:t xml:space="preserve"> </w:t>
      </w:r>
      <w:r>
        <w:rPr>
          <w:rFonts w:ascii="sans-serif" w:hAnsi="sans-serif"/>
          <w:color w:val="000000"/>
          <w:sz w:val="20"/>
        </w:rPr>
        <w:t>million, respectively. Equity-based compensation expense for the three and six months ended June 30, 2025 excludes capitalized development costs of $0.2</w:t>
      </w:r>
      <w:r>
        <w:rPr>
          <w:rFonts w:ascii="Times New Roman" w:hAnsi="Times New Roman"/>
          <w:color w:val="000000"/>
          <w:sz w:val="20"/>
        </w:rPr>
        <w:t xml:space="preserve"> </w:t>
      </w:r>
      <w:r>
        <w:rPr>
          <w:rFonts w:ascii="sans-serif" w:hAnsi="sans-serif"/>
          <w:color w:val="000000"/>
          <w:sz w:val="20"/>
        </w:rPr>
        <w:t>million and $0.4</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16. Earnings per Share</w:t>
      </w:r>
    </w:p>
    <w:p>
      <w:pPr>
        <w:pStyle w:val="TextBody"/>
        <w:bidi w:val="0"/>
        <w:spacing w:before="0" w:after="120"/>
        <w:jc w:val="both"/>
        <w:rPr>
          <w:rFonts w:ascii="Times New Roman" w:hAnsi="Times New Roman"/>
          <w:sz w:val="20"/>
        </w:rPr>
      </w:pPr>
      <w:r>
        <w:rPr>
          <w:rFonts w:ascii="sans-serif" w:hAnsi="sans-serif"/>
          <w:color w:val="000000"/>
          <w:sz w:val="20"/>
        </w:rPr>
        <w:t xml:space="preserve">We calculate basic and diluted net loss per share of Class A common stock in accordance with ASC Topic 260, </w:t>
      </w:r>
      <w:r>
        <w:rPr>
          <w:rFonts w:ascii="sans-serif" w:hAnsi="sans-serif"/>
          <w:i/>
          <w:color w:val="000000"/>
          <w:sz w:val="20"/>
        </w:rPr>
        <w:t>Earnings per Share</w:t>
      </w:r>
      <w:r>
        <w:rPr>
          <w:rFonts w:ascii="sans-serif" w:hAnsi="sans-serif"/>
          <w:color w:val="000000"/>
          <w:sz w:val="20"/>
        </w:rPr>
        <w:t>. Because our Class B common stock does not have economic rights in VSI, it is not considered a participating security for basic and diluted net loss per share, and we do not present basic and diluted net loss per share of Class B common stock. However, holders of Class B common stock are allocated income (loss) from Hoya Intermediate (our operating entity) according to their weighted average percentage ownership of Intermediate Units during each quarter.</w:t>
      </w:r>
    </w:p>
    <w:p>
      <w:pPr>
        <w:pStyle w:val="TextBody"/>
        <w:bidi w:val="0"/>
        <w:spacing w:before="0" w:after="120"/>
        <w:jc w:val="both"/>
        <w:rPr>
          <w:rFonts w:ascii="Times New Roman" w:hAnsi="Times New Roman"/>
          <w:sz w:val="20"/>
        </w:rPr>
      </w:pPr>
      <w:r>
        <w:rPr>
          <w:rFonts w:ascii="sans-serif" w:hAnsi="sans-serif"/>
          <w:color w:val="000000"/>
          <w:sz w:val="20"/>
        </w:rPr>
        <w:t xml:space="preserve">Net loss attributable to redeemable noncontrolling interests for a period is calculated by multiplying Hoya Intermediate’s net loss in the period by Hoya Topco’s weighted average percentage ownership of Intermediate Units during the period. See Note 12, </w:t>
      </w:r>
      <w:r>
        <w:rPr>
          <w:rFonts w:ascii="sans-serif" w:hAnsi="sans-serif"/>
          <w:i/>
          <w:color w:val="000000"/>
          <w:sz w:val="20"/>
        </w:rPr>
        <w:t xml:space="preserve">Equity, </w:t>
      </w:r>
      <w:r>
        <w:rPr>
          <w:rFonts w:ascii="sans-serif" w:hAnsi="sans-serif"/>
          <w:color w:val="000000"/>
          <w:sz w:val="20"/>
        </w:rPr>
        <w:t>for more information regarding Hoya Topco’s right to exchange its Intermediate Units.</w:t>
      </w:r>
    </w:p>
    <w:p>
      <w:pPr>
        <w:pStyle w:val="TextBody"/>
        <w:bidi w:val="0"/>
        <w:spacing w:before="0" w:after="120"/>
        <w:jc w:val="both"/>
        <w:rPr>
          <w:rFonts w:ascii="Times New Roman" w:hAnsi="Times New Roman"/>
          <w:sz w:val="20"/>
        </w:rPr>
      </w:pPr>
      <w:r>
        <w:rPr>
          <w:rFonts w:ascii="sans-serif" w:hAnsi="sans-serif"/>
          <w:color w:val="000000"/>
          <w:sz w:val="20"/>
        </w:rPr>
        <w:t xml:space="preserve">In connection with the Corporate Simplification, all of the Intermediate Units previously held by Hoya Topco (and corresponding shares of Class B common stock) were exchanged for an equal number of shares of Class A common stock on October 31, 2025. As a result, our redeemable noncontrolling interests were extinguished and Hoya Intermediate is now a wholly owned subsidiary of VSI. See Note 1, </w:t>
      </w:r>
      <w:r>
        <w:rPr>
          <w:rFonts w:ascii="sans-serif" w:hAnsi="sans-serif"/>
          <w:i/>
          <w:color w:val="000000"/>
          <w:sz w:val="20"/>
        </w:rPr>
        <w:t>Background and Basis of Presentation</w:t>
      </w:r>
      <w:r>
        <w:rPr>
          <w:rFonts w:ascii="sans-serif" w:hAnsi="sans-serif"/>
          <w:color w:val="000000"/>
          <w:sz w:val="20"/>
        </w:rPr>
        <w:t>,</w:t>
      </w:r>
      <w:r>
        <w:rPr>
          <w:rFonts w:ascii="Times New Roman" w:hAnsi="Times New Roman"/>
          <w:color w:val="000000"/>
          <w:sz w:val="20"/>
        </w:rPr>
        <w:t xml:space="preserve"> </w:t>
      </w:r>
      <w:r>
        <w:rPr>
          <w:rFonts w:ascii="sans-serif" w:hAnsi="sans-serif"/>
          <w:color w:val="000000"/>
          <w:sz w:val="20"/>
        </w:rPr>
        <w:t>for more information. During the three and six months ended June 30, 2025, Hoya Topco’s weighted average ownership of Intermediate Units was 36.9%, Hoya Intermediate’s net loss was $335.4</w:t>
      </w:r>
      <w:r>
        <w:rPr>
          <w:rFonts w:ascii="Times New Roman" w:hAnsi="Times New Roman"/>
          <w:color w:val="000000"/>
          <w:sz w:val="20"/>
        </w:rPr>
        <w:t xml:space="preserve"> </w:t>
      </w:r>
      <w:r>
        <w:rPr>
          <w:rFonts w:ascii="sans-serif" w:hAnsi="sans-serif"/>
          <w:color w:val="000000"/>
          <w:sz w:val="20"/>
        </w:rPr>
        <w:t>million and $346.0</w:t>
      </w:r>
      <w:r>
        <w:rPr>
          <w:rFonts w:ascii="Times New Roman" w:hAnsi="Times New Roman"/>
          <w:color w:val="000000"/>
          <w:sz w:val="20"/>
        </w:rPr>
        <w:t xml:space="preserve"> </w:t>
      </w:r>
      <w:r>
        <w:rPr>
          <w:rFonts w:ascii="sans-serif" w:hAnsi="sans-serif"/>
          <w:color w:val="000000"/>
          <w:sz w:val="20"/>
        </w:rPr>
        <w:t>million, respectively, and the net loss attributable to Hoya Topco’s redeemable noncontrolling interests was $123.7</w:t>
      </w:r>
      <w:r>
        <w:rPr>
          <w:rFonts w:ascii="Times New Roman" w:hAnsi="Times New Roman"/>
          <w:color w:val="000000"/>
          <w:sz w:val="20"/>
        </w:rPr>
        <w:t xml:space="preserve"> </w:t>
      </w:r>
      <w:r>
        <w:rPr>
          <w:rFonts w:ascii="sans-serif" w:hAnsi="sans-serif"/>
          <w:color w:val="000000"/>
          <w:sz w:val="20"/>
        </w:rPr>
        <w:t>million and $127.5</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0" w:after="120"/>
        <w:jc w:val="both"/>
        <w:rPr>
          <w:rFonts w:ascii="sans-serif" w:hAnsi="sans-serif"/>
          <w:color w:val="000000"/>
          <w:sz w:val="20"/>
        </w:rPr>
      </w:pPr>
      <w:r>
        <w:rPr>
          <w:rFonts w:ascii="sans-serif" w:hAnsi="sans-serif"/>
          <w:color w:val="000000"/>
          <w:sz w:val="20"/>
        </w:rPr>
        <w:t>Net loss attributable to Class A common stockholders–basic is calculated by subtracting the portion of Hoya Intermediate’s net loss attributable to redeemable noncontrolling interests from our total net loss, which includes our net loss for activities outside of our investment in Hoya Intermediate, including income tax expense (benefit) for VSI’s portion of income (loss), as well as the full results of Hoya Intermediate on a consolidated basis.</w:t>
      </w:r>
    </w:p>
    <w:p>
      <w:pPr>
        <w:pStyle w:val="TextBody"/>
        <w:bidi w:val="0"/>
        <w:spacing w:before="0" w:after="120"/>
        <w:jc w:val="both"/>
        <w:rPr>
          <w:rFonts w:ascii="Times New Roman" w:hAnsi="Times New Roman"/>
          <w:sz w:val="20"/>
        </w:rPr>
      </w:pPr>
      <w:r>
        <w:rPr>
          <w:rFonts w:ascii="sans-serif" w:hAnsi="sans-serif"/>
          <w:color w:val="000000"/>
          <w:sz w:val="20"/>
        </w:rPr>
        <w:t xml:space="preserve">Net loss per Class A common stock–diluted is based on the average number of shares of Class A common stock used for the basic earnings per share calculation, adjusted for the weighted average number of Class A common share equivalents outstanding for the period determined using the treasury stock and if-converted methods, as applicable. All share and per share amounts included in the calculation of basic and diluted net loss per share of Class A common stock have been adjusted to reflect the Reverse Stock Split. See Note 1, </w:t>
      </w:r>
      <w:r>
        <w:rPr>
          <w:rFonts w:ascii="sans-serif" w:hAnsi="sans-serif"/>
          <w:i/>
          <w:color w:val="000000"/>
          <w:sz w:val="20"/>
        </w:rPr>
        <w:t>Background and Basis of Presentation</w:t>
      </w:r>
      <w:r>
        <w:rPr>
          <w:rFonts w:ascii="sans-serif" w:hAnsi="sans-serif"/>
          <w:color w:val="000000"/>
          <w:sz w:val="20"/>
        </w:rPr>
        <w:t>, for more information.</w:t>
      </w:r>
    </w:p>
    <w:p>
      <w:pPr>
        <w:pStyle w:val="TextBody"/>
        <w:bidi w:val="0"/>
        <w:spacing w:before="0" w:after="120"/>
        <w:jc w:val="both"/>
        <w:rPr>
          <w:rFonts w:ascii="sans-serif" w:hAnsi="sans-serif"/>
          <w:color w:val="000000"/>
          <w:sz w:val="20"/>
        </w:rPr>
      </w:pPr>
      <w:r>
        <w:rPr>
          <w:rFonts w:ascii="sans-serif" w:hAnsi="sans-serif"/>
          <w:color w:val="000000"/>
          <w:sz w:val="20"/>
        </w:rPr>
        <w:t>Net loss attributable to Class A common stockholders–diluted is adjusted for: (i) our share of Hoya Intermediate’s consolidated net loss after giving effect to Intermediate Units that convert into potential shares of Class A common stock, to the extent they are dilutive; and (ii) the impact of changes in the fair value of the Intermediate Warrants, to the extent they are dilutive.</w:t>
      </w:r>
    </w:p>
    <w:p>
      <w:pPr>
        <w:pStyle w:val="TextBody"/>
        <w:bidi w:val="0"/>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the computation of basic and diluted net loss per share of Class A common stock for the three and six months ended June 30, 2026 and 2025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52"/>
        <w:gridCol w:w="146"/>
        <w:gridCol w:w="226"/>
        <w:gridCol w:w="1038"/>
        <w:gridCol w:w="181"/>
        <w:gridCol w:w="146"/>
        <w:gridCol w:w="226"/>
        <w:gridCol w:w="1038"/>
        <w:gridCol w:w="181"/>
        <w:gridCol w:w="146"/>
        <w:gridCol w:w="226"/>
        <w:gridCol w:w="1036"/>
        <w:gridCol w:w="181"/>
        <w:gridCol w:w="146"/>
        <w:gridCol w:w="226"/>
        <w:gridCol w:w="1036"/>
        <w:gridCol w:w="274"/>
      </w:tblGrid>
      <w:tr>
        <w:trPr/>
        <w:tc>
          <w:tcPr>
            <w:tcW w:w="3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Numerator—basic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(263,327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(273,115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Less: 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127,498</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Class A common stockholders—basic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(139,675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(145,617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Denominator—basic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Weighted average Class A common stock outstanding—basic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11,049,238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6,526,899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10,933,116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6,585,629</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 per Class A common stock—basic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(21.40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(22.11</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Numerator—diluted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Class A common stockholders—basic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(139,675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(145,617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Weighted average 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(123,583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(127,499</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Class A common stockholders—diluted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(263,526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(273,116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Denominator—diluted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Weighted average Class A common stock outstanding—basic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11,049,238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6,526,899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10,933,116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6,585,629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Weighted average 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9,983</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3,811,250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3,811,250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Weighted average Class A common stock outstanding—diluted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11,049,238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10,348,132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10,933,116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10,406,862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 per Class A common stock—diluted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(26.24</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Potential shares of Class A common stock are excluded from the computation of diluted net loss per share of Class A common stock if their effect would have been anti-dilutive for the three and six months ended June 30, 2026 and 2025 or if the issuance of shares is contingent upon events that did not occur by the end of the three and six months ended June 30, 2026 and 2025.</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the number of shares of common stock issuable under securities that were excluded from the computation of diluted net loss per share of Class A common stock for the three and six months ended June 30, 2026 and 2025 and could potentially dilute earnings per share in the future:</w:t>
      </w:r>
    </w:p>
    <w:tbl>
      <w:tblPr>
        <w:tblW w:w="8996" w:type="dxa"/>
        <w:jc w:val="left"/>
        <w:tblInd w:w="0" w:type="dxa"/>
        <w:tblLayout w:type="fixed"/>
        <w:tblCellMar>
          <w:top w:w="28" w:type="dxa"/>
          <w:left w:w="28" w:type="dxa"/>
          <w:bottom w:w="28" w:type="dxa"/>
          <w:right w:w="28" w:type="dxa"/>
        </w:tblCellMar>
      </w:tblPr>
      <w:tblGrid>
        <w:gridCol w:w="2881"/>
        <w:gridCol w:w="146"/>
        <w:gridCol w:w="171"/>
        <w:gridCol w:w="1090"/>
        <w:gridCol w:w="171"/>
        <w:gridCol w:w="171"/>
        <w:gridCol w:w="171"/>
        <w:gridCol w:w="1090"/>
        <w:gridCol w:w="146"/>
        <w:gridCol w:w="146"/>
        <w:gridCol w:w="156"/>
        <w:gridCol w:w="999"/>
        <w:gridCol w:w="156"/>
        <w:gridCol w:w="156"/>
        <w:gridCol w:w="156"/>
        <w:gridCol w:w="999"/>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407,244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1,069,747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407,244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388,181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375,603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388,181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375,603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338,342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338,342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325,989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325,989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325,989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Exercise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1,700,000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1,700,000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Intermediate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Amended Intermediate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200,000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200,000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sans-serif" w:hAnsi="sans-serif"/>
          <w:b/>
          <w:smallCaps/>
          <w:color w:val="000000"/>
          <w:sz w:val="20"/>
        </w:rPr>
      </w:pPr>
      <w:r>
        <w:rPr>
          <w:rFonts w:ascii="sans-serif" w:hAnsi="sans-serif"/>
          <w:b/>
          <w:smallCaps/>
          <w:color w:val="000000"/>
          <w:sz w:val="20"/>
        </w:rPr>
        <w:t>17. Subsequent Events</w:t>
      </w:r>
    </w:p>
    <w:p>
      <w:pPr>
        <w:pStyle w:val="TextBody"/>
        <w:bidi w:val="0"/>
        <w:spacing w:before="0" w:after="120"/>
        <w:jc w:val="both"/>
        <w:rPr>
          <w:rFonts w:ascii="Times New Roman" w:hAnsi="Times New Roman"/>
          <w:sz w:val="20"/>
        </w:rPr>
      </w:pPr>
      <w:r>
        <w:rPr>
          <w:rFonts w:ascii="sans-serif" w:hAnsi="sans-serif"/>
          <w:color w:val="000000"/>
          <w:sz w:val="20"/>
        </w:rPr>
        <w:t>On</w:t>
      </w:r>
      <w:r>
        <w:rPr>
          <w:rFonts w:ascii="Times New Roman" w:hAnsi="Times New Roman"/>
          <w:smallCaps/>
          <w:color w:val="000000"/>
          <w:sz w:val="20"/>
        </w:rPr>
        <w:t xml:space="preserve"> </w:t>
      </w:r>
      <w:r>
        <w:rPr>
          <w:rFonts w:ascii="sans-serif" w:hAnsi="sans-serif"/>
          <w:color w:val="000000"/>
          <w:sz w:val="20"/>
        </w:rPr>
        <w:t>August 3, 2026, we terminated the 2022 Revolving Facility in full and entered into a new $75.0</w:t>
      </w:r>
      <w:r>
        <w:rPr>
          <w:rFonts w:ascii="Times New Roman" w:hAnsi="Times New Roman"/>
          <w:color w:val="000000"/>
          <w:sz w:val="20"/>
        </w:rPr>
        <w:t xml:space="preserve"> </w:t>
      </w:r>
      <w:r>
        <w:rPr>
          <w:rFonts w:ascii="sans-serif" w:hAnsi="sans-serif"/>
          <w:color w:val="000000"/>
          <w:sz w:val="20"/>
        </w:rPr>
        <w:t>million revolving credit facility (the “</w:t>
      </w:r>
      <w:r>
        <w:rPr>
          <w:rFonts w:ascii="sans-serif" w:hAnsi="sans-serif"/>
          <w:color w:val="000000"/>
          <w:sz w:val="20"/>
          <w:u w:val="single"/>
        </w:rPr>
        <w:t>2026 Revolving Facility</w:t>
      </w:r>
      <w:r>
        <w:rPr>
          <w:rFonts w:ascii="Times New Roman" w:hAnsi="Times New Roman"/>
          <w:color w:val="000000"/>
          <w:sz w:val="20"/>
        </w:rPr>
        <w:t>”</w:t>
      </w:r>
      <w:r>
        <w:rPr>
          <w:rFonts w:ascii="sans-serif" w:hAnsi="sans-serif"/>
          <w:color w:val="000000"/>
          <w:sz w:val="20"/>
        </w:rPr>
        <w:t>) with a maturity date of August 3, 2029</w:t>
      </w:r>
      <w:r>
        <w:rPr>
          <w:rFonts w:ascii="Times New Roman" w:hAnsi="Times New Roman"/>
          <w:color w:val="000000"/>
          <w:sz w:val="20"/>
        </w:rPr>
        <w:t xml:space="preserve"> </w:t>
      </w:r>
      <w:r>
        <w:rPr>
          <w:rFonts w:ascii="sans-serif" w:hAnsi="sans-serif"/>
          <w:color w:val="000000"/>
          <w:sz w:val="20"/>
        </w:rPr>
        <w:t>(or, if earlier, the date that is 91 days prior to the maturity date then in effect for certain indebtedness in an individual outstanding amount in excess of $20.0</w:t>
      </w:r>
      <w:r>
        <w:rPr>
          <w:rFonts w:ascii="Times New Roman" w:hAnsi="Times New Roman"/>
          <w:color w:val="000000"/>
          <w:sz w:val="20"/>
        </w:rPr>
        <w:t xml:space="preserve"> </w:t>
      </w:r>
      <w:r>
        <w:rPr>
          <w:rFonts w:ascii="sans-serif" w:hAnsi="sans-serif"/>
          <w:color w:val="000000"/>
          <w:sz w:val="20"/>
        </w:rPr>
        <w:t>million). Vegas.com, LLC, a wholly owned subsidiary of VSI (“</w:t>
      </w:r>
      <w:r>
        <w:rPr>
          <w:rFonts w:ascii="sans-serif" w:hAnsi="sans-serif"/>
          <w:color w:val="000000"/>
          <w:sz w:val="20"/>
          <w:u w:val="single"/>
        </w:rPr>
        <w:t>VDC</w:t>
      </w:r>
      <w:r>
        <w:rPr>
          <w:rFonts w:ascii="Times New Roman" w:hAnsi="Times New Roman"/>
          <w:color w:val="000000"/>
          <w:sz w:val="20"/>
        </w:rPr>
        <w:t>”</w:t>
      </w:r>
      <w:r>
        <w:rPr>
          <w:rFonts w:ascii="sans-serif" w:hAnsi="sans-serif"/>
          <w:color w:val="000000"/>
          <w:sz w:val="20"/>
        </w:rPr>
        <w:t>), is the borrower under the 2026 Revolving Facility.</w:t>
      </w:r>
    </w:p>
    <w:p>
      <w:pPr>
        <w:pStyle w:val="TextBody"/>
        <w:bidi w:val="0"/>
        <w:spacing w:before="0" w:after="120"/>
        <w:jc w:val="both"/>
        <w:rPr>
          <w:rFonts w:ascii="Times New Roman" w:hAnsi="Times New Roman"/>
          <w:sz w:val="20"/>
        </w:rPr>
      </w:pPr>
      <w:r>
        <w:rPr>
          <w:rFonts w:ascii="sans-serif" w:hAnsi="sans-serif"/>
          <w:color w:val="000000"/>
          <w:sz w:val="20"/>
        </w:rPr>
        <w:t>Borrowings in U.S. dollars under the 2026 Revolving Facility bear interest at a rate of, at our option, (i) Term SOFR (as defined in the 2026 Revolving Facility) plus a margin of 3.75% per annum or (ii) an alternate base rate plus a margin of 2.75% per annum. In addition, a commitment fee accrues on the daily average unused amount of the revolving commitments under the 2026 Revolving Facility at a rate of 0.425% per annum and is payable quarterly in arrears. The 2026 Revolving Facility contains a springing financial covenant that requires compliance with a first lien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aps/>
          <w:color w:val="000000"/>
          <w:sz w:val="20"/>
        </w:rPr>
      </w:pPr>
      <w:r>
        <w:rPr>
          <w:rFonts w:ascii="sans-serif" w:hAnsi="sans-serif"/>
          <w:b/>
          <w:caps/>
          <w:color w:val="000000"/>
          <w:sz w:val="20"/>
        </w:rPr>
        <w:t>Vivid Seats INC.</w:t>
      </w:r>
    </w:p>
    <w:p>
      <w:pPr>
        <w:pStyle w:val="TextBody"/>
        <w:bidi w:val="0"/>
        <w:jc w:val="center"/>
        <w:rPr>
          <w:rFonts w:ascii="sans-serif" w:hAnsi="sans-serif"/>
          <w:b/>
          <w:caps/>
          <w:color w:val="000000"/>
          <w:sz w:val="20"/>
        </w:rPr>
      </w:pPr>
      <w:r>
        <w:rPr>
          <w:rFonts w:ascii="sans-serif" w:hAnsi="sans-serif"/>
          <w:b/>
          <w:caps/>
          <w:color w:val="000000"/>
          <w:sz w:val="20"/>
        </w:rPr>
        <w:t>NOTES to the CONDENSED Consolidated Financial Statements</w:t>
      </w:r>
    </w:p>
    <w:p>
      <w:pPr>
        <w:pStyle w:val="TextBody"/>
        <w:bidi w:val="0"/>
        <w:spacing w:before="0" w:after="120"/>
        <w:jc w:val="center"/>
        <w:rPr>
          <w:rFonts w:ascii="sans-serif" w:hAnsi="sans-serif"/>
          <w:b/>
          <w:caps/>
          <w:color w:val="000000"/>
          <w:sz w:val="20"/>
        </w:rPr>
      </w:pPr>
      <w:r>
        <w:rPr>
          <w:rFonts w:ascii="sans-serif" w:hAnsi="sans-serif"/>
          <w:b/>
          <w:caps/>
          <w:color w:val="000000"/>
          <w:sz w:val="20"/>
        </w:rPr>
        <w:t>(UNAUDITED)</w:t>
      </w:r>
    </w:p>
    <w:p>
      <w:pPr>
        <w:pStyle w:val="TextBody"/>
        <w:bidi w:val="0"/>
        <w:spacing w:before="120" w:after="120"/>
        <w:jc w:val="both"/>
        <w:rPr>
          <w:rFonts w:ascii="Times New Roman" w:hAnsi="Times New Roman"/>
          <w:sz w:val="20"/>
        </w:rPr>
      </w:pPr>
      <w:r>
        <w:rPr>
          <w:rFonts w:ascii="sans-serif" w:hAnsi="sans-serif"/>
          <w:color w:val="000000"/>
          <w:sz w:val="20"/>
        </w:rPr>
        <w:t>leverage ratio as of the end of any fiscal quarter when borrowings thereunder exceed a certain level. All obligations under the 2026 Revolving Facility are (i) unconditionally guaranteed by VDC-MGG Holdings, LLC, the sole member of VDC, and, subject to certain exceptions, all direct and indirect wholly owned subsidiaries thereof (collectively, the “</w:t>
      </w:r>
      <w:r>
        <w:rPr>
          <w:rFonts w:ascii="sans-serif" w:hAnsi="sans-serif"/>
          <w:color w:val="000000"/>
          <w:sz w:val="20"/>
          <w:u w:val="single"/>
        </w:rPr>
        <w:t>VDC Guarantors</w:t>
      </w:r>
      <w:r>
        <w:rPr>
          <w:rFonts w:ascii="Times New Roman" w:hAnsi="Times New Roman"/>
          <w:color w:val="000000"/>
          <w:sz w:val="20"/>
        </w:rPr>
        <w:t>”</w:t>
      </w:r>
      <w:r>
        <w:rPr>
          <w:rFonts w:ascii="sans-serif" w:hAnsi="sans-serif"/>
          <w:color w:val="000000"/>
          <w:sz w:val="20"/>
        </w:rPr>
        <w:t>) and (ii) guaranteed, up to $60.0</w:t>
      </w:r>
      <w:r>
        <w:rPr>
          <w:rFonts w:ascii="Times New Roman" w:hAnsi="Times New Roman"/>
          <w:color w:val="000000"/>
          <w:sz w:val="20"/>
        </w:rPr>
        <w:t xml:space="preserve"> </w:t>
      </w:r>
      <w:r>
        <w:rPr>
          <w:rFonts w:ascii="sans-serif" w:hAnsi="sans-serif"/>
          <w:color w:val="000000"/>
          <w:sz w:val="20"/>
        </w:rPr>
        <w:t>million in the aggregate, by certain other subsidiaries of VSI. All obligations under the 2026 Revolving Facility are secured, subject to certain permitted liens and other exceptions, by first-priority perfected security interests in (i) substantially all assets of VDC and the VDC Guarantors and (ii) the equity interests of Wavedash Co., Ltd., a wholly owned subsidiary of VSI.</w:t>
      </w:r>
    </w:p>
    <w:p>
      <w:pPr>
        <w:pStyle w:val="TextBody"/>
        <w:bidi w:val="0"/>
        <w:spacing w:before="0" w:after="120"/>
        <w:jc w:val="both"/>
        <w:rPr>
          <w:rFonts w:ascii="Times New Roman" w:hAnsi="Times New Roman"/>
          <w:sz w:val="20"/>
        </w:rPr>
      </w:pPr>
      <w:r>
        <w:rPr>
          <w:rFonts w:ascii="sans-serif" w:hAnsi="sans-serif"/>
          <w:color w:val="000000"/>
          <w:sz w:val="20"/>
        </w:rPr>
        <w:t>VDC is subject to certain reporting and compliance-related covenants under the 2026 Revolving Facility. These covenants, among other things, limit VDC’s ability to incur additional indebtedness, make investments, dispose of assets, enter into transactions with affiliates, create liens, merge or consolidate, and make certain payments (in each case, subject to customary exceptions). Non-compliance with these covenants and a failure to remedy any such non-compliance could result in the acceleration of the outstanding borrowings or foreclosure on the collateral.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sans-serif" w:hAnsi="sans-serif"/>
          <w:color w:val="000000"/>
          <w:sz w:val="20"/>
        </w:rPr>
        <w:t>Availability under the 2026 Revolving Facility is reduced by any outstanding letters of credit</w:t>
      </w:r>
      <w:r>
        <w:rPr>
          <w:rFonts w:ascii="sans-serif" w:hAnsi="sans-serif"/>
          <w:smallCaps/>
          <w:color w:val="000000"/>
          <w:sz w:val="20"/>
        </w:rPr>
        <w:t>.</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sans-serif" w:hAnsi="sans-serif"/>
          <w:b/>
          <w:color w:val="000000"/>
          <w:sz w:val="20"/>
        </w:rPr>
      </w:pPr>
      <w:bookmarkStart w:id="11" w:name="part_i_item_2_mda"/>
      <w:bookmarkEnd w:id="11"/>
      <w:r>
        <w:rPr>
          <w:rFonts w:ascii="sans-serif" w:hAnsi="sans-serif"/>
          <w:b/>
          <w:color w:val="000000"/>
          <w:sz w:val="20"/>
        </w:rPr>
        <w:t>Item 2. Management’s Discussion and Analysis of Financial Condition and Results of Operations</w:t>
      </w:r>
    </w:p>
    <w:p>
      <w:pPr>
        <w:pStyle w:val="TextBody"/>
        <w:bidi w:val="0"/>
        <w:spacing w:before="0" w:after="120"/>
        <w:jc w:val="both"/>
        <w:rPr>
          <w:rFonts w:ascii="sans-serif" w:hAnsi="sans-serif"/>
          <w:i/>
          <w:color w:val="000000"/>
          <w:sz w:val="20"/>
        </w:rPr>
      </w:pPr>
      <w:r>
        <w:rPr>
          <w:rFonts w:ascii="sans-serif" w:hAnsi="sans-serif"/>
          <w:i/>
          <w:color w:val="000000"/>
          <w:sz w:val="20"/>
        </w:rPr>
        <w:t>This discussion should be read together with our condensed consolidated financial statements and accompanying notes included elsewhere in this Report, as well as our audited consolidated financial statements and accompanying notes contained in our 2025 Form 10-K. This discussion contains forward-looking statements, which are subject to a number of risks and uncertainties, including those discussed in the “Risk Factors” and “Forward-Looking Statements” sections of this Report and our 2025 Form 10-K.</w:t>
      </w:r>
    </w:p>
    <w:p>
      <w:pPr>
        <w:pStyle w:val="TextBody"/>
        <w:bidi w:val="0"/>
        <w:spacing w:before="0" w:after="120"/>
        <w:jc w:val="both"/>
        <w:rPr>
          <w:rFonts w:ascii="sans-serif" w:hAnsi="sans-serif"/>
          <w:b/>
          <w:color w:val="000000"/>
          <w:sz w:val="20"/>
        </w:rPr>
      </w:pPr>
      <w:r>
        <w:rPr>
          <w:rFonts w:ascii="sans-serif" w:hAnsi="sans-serif"/>
          <w:b/>
          <w:color w:val="000000"/>
          <w:sz w:val="20"/>
        </w:rPr>
        <w:t>Overview</w:t>
      </w:r>
    </w:p>
    <w:p>
      <w:pPr>
        <w:pStyle w:val="TextBody"/>
        <w:bidi w:val="0"/>
        <w:spacing w:before="0" w:after="120"/>
        <w:jc w:val="both"/>
        <w:rPr>
          <w:rFonts w:ascii="Times New Roman" w:hAnsi="Times New Roman"/>
          <w:sz w:val="20"/>
        </w:rPr>
      </w:pPr>
      <w:r>
        <w:rPr>
          <w:rFonts w:ascii="sans-serif" w:hAnsi="sans-serif"/>
          <w:color w:val="000000"/>
          <w:sz w:val="20"/>
        </w:rPr>
        <w:t xml:space="preserve">We are an online ticket marketplace that utilizes our technology platform to connect fans of live events seamlessly with ticket sellers. We believe in the power of shared experiences to connect people with live events that deliver some of life’s most exciting moments, and our mission is to empower and enable fans to </w:t>
      </w:r>
      <w:r>
        <w:rPr>
          <w:rFonts w:ascii="sans-serif" w:hAnsi="sans-serif"/>
          <w:i/>
          <w:color w:val="000000"/>
          <w:sz w:val="20"/>
        </w:rPr>
        <w:t>Experience It Live</w:t>
      </w:r>
      <w:r>
        <w:rPr>
          <w:rFonts w:ascii="sans-serif" w:hAnsi="sans-serif"/>
          <w:color w:val="000000"/>
          <w:sz w:val="20"/>
        </w:rPr>
        <w:t>.</w:t>
      </w:r>
    </w:p>
    <w:p>
      <w:pPr>
        <w:pStyle w:val="TextBody"/>
        <w:bidi w:val="0"/>
        <w:spacing w:before="0" w:after="120"/>
        <w:jc w:val="both"/>
        <w:rPr>
          <w:rFonts w:ascii="sans-serif" w:hAnsi="sans-serif"/>
          <w:color w:val="000000"/>
          <w:sz w:val="20"/>
        </w:rPr>
      </w:pPr>
      <w:r>
        <w:rPr>
          <w:rFonts w:ascii="sans-serif" w:hAnsi="sans-serif"/>
          <w:color w:val="000000"/>
          <w:sz w:val="20"/>
        </w:rPr>
        <w:t>For ticket buyers, we represent a differentiated value proposition. In addition to our compelling and easy-to-use mobile app and website: our ‘Lowest Price Guarantee’ is designed to ensure that we provide the most competitively priced tickets among our competitors; our ‘100% Buyer Guarantee’ promotes safe and secure transactions; our Vivid Seats Rewards loyalty program allows enrolled buyers to earn reward credits to spend on future orders; and our in-app Game Center engages users with the opportunity to win free tickets or promotional discounts.</w:t>
      </w:r>
    </w:p>
    <w:p>
      <w:pPr>
        <w:pStyle w:val="TextBody"/>
        <w:bidi w:val="0"/>
        <w:spacing w:before="0" w:after="120"/>
        <w:jc w:val="both"/>
        <w:rPr>
          <w:rFonts w:ascii="sans-serif" w:hAnsi="sans-serif"/>
          <w:color w:val="000000"/>
          <w:sz w:val="20"/>
        </w:rPr>
      </w:pPr>
      <w:r>
        <w:rPr>
          <w:rFonts w:ascii="sans-serif" w:hAnsi="sans-serif"/>
          <w:color w:val="000000"/>
          <w:sz w:val="20"/>
        </w:rPr>
        <w:t>For ticket sellers, we offer a variety of products and services designed to help their businesses thrive. In particular, Skybox, our industry-leading enterprise resource planning tool, allows ticket sellers to seamlessly manage their operations. Built on years of transactional and engagement data, Skybox includes tools for inventory management, pricing, and order fulfillment across ticket marketplaces.</w:t>
      </w:r>
    </w:p>
    <w:p>
      <w:pPr>
        <w:pStyle w:val="TextBody"/>
        <w:bidi w:val="0"/>
        <w:spacing w:before="0" w:after="120"/>
        <w:jc w:val="both"/>
        <w:rPr>
          <w:rFonts w:ascii="sans-serif" w:hAnsi="sans-serif"/>
          <w:color w:val="000000"/>
          <w:sz w:val="20"/>
        </w:rPr>
      </w:pPr>
      <w:r>
        <w:rPr>
          <w:rFonts w:ascii="sans-serif" w:hAnsi="sans-serif"/>
          <w:color w:val="000000"/>
          <w:sz w:val="20"/>
        </w:rPr>
        <w:t>To generate brand recognition and drive traffic to our platform, we cultivate mutually beneficial partnerships with media partners, sports leagues, sports teams, and event venues, as well as other product, service, distribution, and supply partners.</w:t>
      </w:r>
    </w:p>
    <w:p>
      <w:pPr>
        <w:pStyle w:val="TextBody"/>
        <w:bidi w:val="0"/>
        <w:spacing w:before="0" w:after="120"/>
        <w:jc w:val="both"/>
        <w:rPr>
          <w:rFonts w:ascii="Times New Roman" w:hAnsi="Times New Roman"/>
          <w:sz w:val="20"/>
        </w:rPr>
      </w:pPr>
      <w:r>
        <w:rPr>
          <w:rFonts w:ascii="sans-serif" w:hAnsi="sans-serif"/>
          <w:color w:val="000000"/>
          <w:sz w:val="20"/>
        </w:rPr>
        <w:t>The following table summarizes our Marketplace Gross Order Value (“</w:t>
      </w:r>
      <w:r>
        <w:rPr>
          <w:rFonts w:ascii="sans-serif" w:hAnsi="sans-serif"/>
          <w:color w:val="000000"/>
          <w:sz w:val="20"/>
          <w:u w:val="single"/>
        </w:rPr>
        <w:t>Marketplace GOV</w:t>
      </w:r>
      <w:r>
        <w:rPr>
          <w:rFonts w:ascii="Times New Roman" w:hAnsi="Times New Roman"/>
          <w:color w:val="000000"/>
          <w:sz w:val="20"/>
        </w:rPr>
        <w:t>”</w:t>
      </w:r>
      <w:r>
        <w:rPr>
          <w:rFonts w:ascii="sans-serif" w:hAnsi="sans-serif"/>
          <w:color w:val="000000"/>
          <w:sz w:val="20"/>
        </w:rPr>
        <w:t>), revenues, net loss, and adjusted EBITDA for the three and six months ended June 30, 2026 and 2025 (in thousands):</w:t>
      </w:r>
    </w:p>
    <w:tbl>
      <w:tblPr>
        <w:tblW w:w="8990" w:type="dxa"/>
        <w:jc w:val="left"/>
        <w:tblInd w:w="0" w:type="dxa"/>
        <w:tblLayout w:type="fixed"/>
        <w:tblCellMar>
          <w:top w:w="28" w:type="dxa"/>
          <w:left w:w="28" w:type="dxa"/>
          <w:bottom w:w="28" w:type="dxa"/>
          <w:right w:w="28" w:type="dxa"/>
        </w:tblCellMar>
      </w:tblPr>
      <w:tblGrid>
        <w:gridCol w:w="1921"/>
        <w:gridCol w:w="146"/>
        <w:gridCol w:w="287"/>
        <w:gridCol w:w="1128"/>
        <w:gridCol w:w="230"/>
        <w:gridCol w:w="186"/>
        <w:gridCol w:w="287"/>
        <w:gridCol w:w="1224"/>
        <w:gridCol w:w="181"/>
        <w:gridCol w:w="146"/>
        <w:gridCol w:w="235"/>
        <w:gridCol w:w="1109"/>
        <w:gridCol w:w="188"/>
        <w:gridCol w:w="152"/>
        <w:gridCol w:w="235"/>
        <w:gridCol w:w="1109"/>
        <w:gridCol w:w="22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Marketplace 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659,359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685,488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1,271,725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1,505,847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129,861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143,566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255,644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307,589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(14,321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(28,952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12,592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22,078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sans-serif" w:hAnsi="sans-serif"/>
          <w:color w:val="000000"/>
          <w:sz w:val="20"/>
        </w:rPr>
        <w:t>* See the “Key Business Metrics &amp; Non-U.S. GAAP Financial Measure” section below for more information on Marketplace GOV and adjusted EBITDA, which is a financial measure not defined under accounting principles generally accepted in the United States of America (“</w:t>
      </w:r>
      <w:r>
        <w:rPr>
          <w:rFonts w:ascii="sans-serif" w:hAnsi="sans-serif"/>
          <w:color w:val="000000"/>
          <w:sz w:val="20"/>
          <w:u w:val="single"/>
        </w:rPr>
        <w:t>U.S. GAAP</w:t>
      </w:r>
      <w:r>
        <w:rPr>
          <w:rFonts w:ascii="Times New Roman" w:hAnsi="Times New Roman"/>
          <w:color w:val="000000"/>
          <w:sz w:val="20"/>
        </w:rPr>
        <w:t>”</w:t>
      </w:r>
      <w:r>
        <w:rPr>
          <w:rFonts w:ascii="sans-serif" w:hAnsi="sans-serif"/>
          <w:color w:val="000000"/>
          <w:sz w:val="20"/>
        </w:rPr>
        <w:t>).</w:t>
      </w:r>
    </w:p>
    <w:p>
      <w:pPr>
        <w:pStyle w:val="TextBody"/>
        <w:bidi w:val="0"/>
        <w:spacing w:before="0" w:after="120"/>
        <w:jc w:val="both"/>
        <w:rPr>
          <w:rFonts w:ascii="sans-serif" w:hAnsi="sans-serif"/>
          <w:b/>
          <w:color w:val="000000"/>
          <w:sz w:val="20"/>
        </w:rPr>
      </w:pPr>
      <w:r>
        <w:rPr>
          <w:rFonts w:ascii="sans-serif" w:hAnsi="sans-serif"/>
          <w:b/>
          <w:color w:val="000000"/>
          <w:sz w:val="20"/>
        </w:rPr>
        <w:t>Our Business Model</w:t>
      </w:r>
    </w:p>
    <w:p>
      <w:pPr>
        <w:pStyle w:val="TextBody"/>
        <w:bidi w:val="0"/>
        <w:spacing w:before="0" w:after="120"/>
        <w:jc w:val="both"/>
        <w:rPr>
          <w:rFonts w:ascii="sans-serif" w:hAnsi="sans-serif"/>
          <w:color w:val="000000"/>
          <w:sz w:val="20"/>
        </w:rPr>
      </w:pPr>
      <w:r>
        <w:rPr>
          <w:rFonts w:ascii="sans-serif" w:hAnsi="sans-serif"/>
          <w:color w:val="000000"/>
          <w:sz w:val="20"/>
        </w:rPr>
        <w:t>We operate our business in two segments: Marketplace and Resale.</w:t>
      </w:r>
    </w:p>
    <w:p>
      <w:pPr>
        <w:pStyle w:val="TextBody"/>
        <w:bidi w:val="0"/>
        <w:spacing w:before="0" w:after="120"/>
        <w:jc w:val="both"/>
        <w:rPr>
          <w:rFonts w:ascii="sans-serif" w:hAnsi="sans-serif"/>
          <w:b/>
          <w:i/>
          <w:color w:val="000000"/>
          <w:sz w:val="20"/>
        </w:rPr>
      </w:pPr>
      <w:r>
        <w:rPr>
          <w:rFonts w:ascii="sans-serif" w:hAnsi="sans-serif"/>
          <w:b/>
          <w:i/>
          <w:color w:val="000000"/>
          <w:sz w:val="20"/>
        </w:rPr>
        <w:t>Marketplace Segment</w:t>
      </w:r>
    </w:p>
    <w:p>
      <w:pPr>
        <w:pStyle w:val="TextBody"/>
        <w:bidi w:val="0"/>
        <w:spacing w:before="0" w:after="120"/>
        <w:jc w:val="both"/>
        <w:rPr>
          <w:rFonts w:ascii="sans-serif" w:hAnsi="sans-serif"/>
          <w:color w:val="000000"/>
          <w:sz w:val="20"/>
        </w:rPr>
      </w:pPr>
      <w:r>
        <w:rPr>
          <w:rFonts w:ascii="sans-serif" w:hAnsi="sans-serif"/>
          <w:color w:val="000000"/>
          <w:sz w:val="20"/>
        </w:rPr>
        <w:t>In our Marketplace segment, we primarily act as an intermediary between ticket buyers, sellers, and partners, for which we earn revenue from processing ticket sales for live events and facilitating the booking of hotel rooms and packages through our:</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i/>
          <w:color w:val="000000"/>
          <w:sz w:val="20"/>
        </w:rPr>
        <w:t>Owned Properties</w:t>
      </w:r>
      <w:r>
        <w:rPr>
          <w:rFonts w:ascii="sans-serif" w:hAnsi="sans-serif"/>
          <w:color w:val="000000"/>
          <w:sz w:val="20"/>
        </w:rPr>
        <w:t>, which consist of: the Vivid Seats mobile app and website; Vegas.com, an online ticket marketplace for shows, attractions, tours, flights, and hotels in Las Vegas, which we acquired in 2023; and Wavedash, an online ticket marketplace headquartered in Tokyo, Japan, which we acquired in 2023.</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i/>
          <w:color w:val="000000"/>
          <w:sz w:val="20"/>
        </w:rPr>
        <w:t>Private Label Offering</w:t>
      </w:r>
      <w:r>
        <w:rPr>
          <w:rFonts w:ascii="sans-serif" w:hAnsi="sans-serif"/>
          <w:color w:val="000000"/>
          <w:sz w:val="20"/>
        </w:rPr>
        <w:t>, which consists of numerous distribution partners.</w:t>
      </w:r>
    </w:p>
    <w:p>
      <w:pPr>
        <w:pStyle w:val="TextBody"/>
        <w:bidi w:val="0"/>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Using our online platform, we facilitate buyer payments, coordinate ticket deliveries, and provide customer service. We do not hold ticket inventory in our Marketplace segment.</w:t>
      </w:r>
    </w:p>
    <w:p>
      <w:pPr>
        <w:pStyle w:val="TextBody"/>
        <w:bidi w:val="0"/>
        <w:spacing w:before="0" w:after="120"/>
        <w:jc w:val="both"/>
        <w:rPr>
          <w:rFonts w:ascii="sans-serif" w:hAnsi="sans-serif"/>
          <w:color w:val="000000"/>
          <w:sz w:val="20"/>
        </w:rPr>
      </w:pPr>
      <w:r>
        <w:rPr>
          <w:rFonts w:ascii="sans-serif" w:hAnsi="sans-serif"/>
          <w:color w:val="000000"/>
          <w:sz w:val="20"/>
        </w:rPr>
        <w:t>The amount of Marketplace revenue earned in a given period is primarily represented by service and delivery fees charged to buyers. We also earn Marketplace revenue from referral fees charged to third-party providers of event insurance that we offer to buyers. Until it ceased operations on July 18, 2025, we also earned Marketplace revenue from Vivid Picks, a real-money daily fantasy sports mobile app, which represented the difference between cash entry fees collected and cash amounts paid out to users for winning picks, less customer promotions and incentives.</w:t>
      </w:r>
    </w:p>
    <w:p>
      <w:pPr>
        <w:pStyle w:val="TextBody"/>
        <w:bidi w:val="0"/>
        <w:spacing w:before="0" w:after="120"/>
        <w:jc w:val="both"/>
        <w:rPr>
          <w:rFonts w:ascii="sans-serif" w:hAnsi="sans-serif"/>
          <w:color w:val="000000"/>
          <w:sz w:val="20"/>
        </w:rPr>
      </w:pPr>
      <w:r>
        <w:rPr>
          <w:rFonts w:ascii="sans-serif" w:hAnsi="sans-serif"/>
          <w:color w:val="000000"/>
          <w:sz w:val="20"/>
        </w:rPr>
        <w:t>The main costs we incur in our Marketplace segment relate to developing and maintaining our platform, providing back-office support and customer service, facilitating payments and deposits, and shipping non-electronic tickets. We also incur substantial marketing costs, primarily related to online advertising.</w:t>
      </w:r>
    </w:p>
    <w:p>
      <w:pPr>
        <w:pStyle w:val="TextBody"/>
        <w:bidi w:val="0"/>
        <w:spacing w:before="0" w:after="120"/>
        <w:jc w:val="both"/>
        <w:rPr>
          <w:rFonts w:ascii="sans-serif" w:hAnsi="sans-serif"/>
          <w:color w:val="000000"/>
          <w:sz w:val="20"/>
        </w:rPr>
      </w:pPr>
      <w:r>
        <w:rPr>
          <w:rFonts w:ascii="sans-serif" w:hAnsi="sans-serif"/>
          <w:color w:val="000000"/>
          <w:sz w:val="20"/>
        </w:rPr>
        <w:t>The event tickets we sell through our Marketplace segment are diversified across and within three major event categories: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i/>
          <w:color w:val="231F20"/>
          <w:sz w:val="20"/>
        </w:rPr>
        <w:t xml:space="preserve">Concerts. </w:t>
      </w:r>
      <w:r>
        <w:rPr>
          <w:rFonts w:ascii="sans-serif" w:hAnsi="sans-serif"/>
          <w:color w:val="231F20"/>
          <w:sz w:val="20"/>
        </w:rPr>
        <w:t>Includes musical acts of all genres touring across venues of all sizes, as well as music festivals.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i/>
          <w:color w:val="231F20"/>
          <w:sz w:val="20"/>
        </w:rPr>
        <w:t xml:space="preserve">Sports. </w:t>
      </w:r>
      <w:r>
        <w:rPr>
          <w:rFonts w:ascii="sans-serif" w:hAnsi="sans-serif"/>
          <w:color w:val="231F20"/>
          <w:sz w:val="20"/>
        </w:rPr>
        <w:t>Includes the four major professional leagues (Major League Baseball, the National Basketball Association, the National Football League, and the National Hockey League), college sports, women</w:t>
      </w:r>
      <w:r>
        <w:rPr>
          <w:color w:val="000000"/>
        </w:rPr>
        <w:t>’</w:t>
      </w:r>
      <w:r>
        <w:rPr>
          <w:rFonts w:ascii="sans-serif" w:hAnsi="sans-serif"/>
          <w:color w:val="231F20"/>
          <w:sz w:val="20"/>
        </w:rPr>
        <w:t>s sports leagues (including the Women</w:t>
      </w:r>
      <w:r>
        <w:rPr>
          <w:color w:val="000000"/>
        </w:rPr>
        <w:t>’</w:t>
      </w:r>
      <w:r>
        <w:rPr>
          <w:rFonts w:ascii="sans-serif" w:hAnsi="sans-serif"/>
          <w:color w:val="231F20"/>
          <w:sz w:val="20"/>
        </w:rPr>
        <w:t>s National Basketball Association and the National Women</w:t>
      </w:r>
      <w:r>
        <w:rPr>
          <w:color w:val="000000"/>
        </w:rPr>
        <w:t>’</w:t>
      </w:r>
      <w:r>
        <w:rPr>
          <w:rFonts w:ascii="sans-serif" w:hAnsi="sans-serif"/>
          <w:color w:val="231F20"/>
          <w:sz w:val="20"/>
        </w:rPr>
        <w:t>s Soccer League), and a variety of other sports such as soccer, racing, and minor league baseball.</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i/>
          <w:color w:val="231F20"/>
          <w:sz w:val="20"/>
        </w:rPr>
        <w:t xml:space="preserve">Theater. </w:t>
      </w:r>
      <w:r>
        <w:rPr>
          <w:rFonts w:ascii="sans-serif" w:hAnsi="sans-serif"/>
          <w:color w:val="231F20"/>
          <w:sz w:val="20"/>
        </w:rPr>
        <w:t>Includes Broadway and off-Broadway plays and musicals, stage shows, comedy acts, speaker series, and other family entertainment events.</w:t>
      </w:r>
    </w:p>
    <w:p>
      <w:pPr>
        <w:pStyle w:val="TextBody"/>
        <w:bidi w:val="0"/>
        <w:spacing w:before="0" w:after="120"/>
        <w:jc w:val="both"/>
        <w:rPr>
          <w:rFonts w:ascii="sans-serif" w:hAnsi="sans-serif"/>
          <w:color w:val="000000"/>
          <w:sz w:val="20"/>
        </w:rPr>
      </w:pPr>
      <w:r>
        <w:rPr>
          <w:rFonts w:ascii="sans-serif" w:hAnsi="sans-serif"/>
          <w:color w:val="000000"/>
          <w:sz w:val="20"/>
        </w:rPr>
        <w:t>A diversified mix across and within these event categories broadens our opportunities, limits our exposure to any particular category, and reduces seasonal variation in order volumes.</w:t>
      </w:r>
    </w:p>
    <w:p>
      <w:pPr>
        <w:pStyle w:val="TextBody"/>
        <w:bidi w:val="0"/>
        <w:spacing w:before="0" w:after="120"/>
        <w:jc w:val="both"/>
        <w:rPr>
          <w:rFonts w:ascii="sans-serif" w:hAnsi="sans-serif"/>
          <w:b/>
          <w:i/>
          <w:color w:val="000000"/>
          <w:sz w:val="20"/>
        </w:rPr>
      </w:pPr>
      <w:r>
        <w:rPr>
          <w:rFonts w:ascii="sans-serif" w:hAnsi="sans-serif"/>
          <w:b/>
          <w:i/>
          <w:color w:val="000000"/>
          <w:sz w:val="20"/>
        </w:rPr>
        <w:t>Resale Segment</w:t>
      </w:r>
    </w:p>
    <w:p>
      <w:pPr>
        <w:pStyle w:val="TextBody"/>
        <w:bidi w:val="0"/>
        <w:spacing w:before="0" w:after="120"/>
        <w:jc w:val="both"/>
        <w:rPr>
          <w:rFonts w:ascii="sans-serif" w:hAnsi="sans-serif"/>
          <w:color w:val="000000"/>
          <w:sz w:val="20"/>
        </w:rPr>
      </w:pPr>
      <w:r>
        <w:rPr>
          <w:rFonts w:ascii="sans-serif" w:hAnsi="sans-serif"/>
          <w:color w:val="000000"/>
          <w:sz w:val="20"/>
        </w:rPr>
        <w:t>In our Resale segment, we primarily acquire tickets to resell on secondary ticketing marketplaces, including our own. Our Resale segment also provides internal research and development support for Skybox and supplements our ongoing efforts to deliver industry-leading seller software and tools.</w:t>
      </w:r>
    </w:p>
    <w:p>
      <w:pPr>
        <w:pStyle w:val="TextBody"/>
        <w:bidi w:val="0"/>
        <w:spacing w:before="0" w:after="120"/>
        <w:jc w:val="both"/>
        <w:rPr>
          <w:rFonts w:ascii="sans-serif" w:hAnsi="sans-serif"/>
          <w:b/>
          <w:color w:val="000000"/>
          <w:sz w:val="20"/>
        </w:rPr>
      </w:pPr>
      <w:r>
        <w:rPr>
          <w:rFonts w:ascii="sans-serif" w:hAnsi="sans-serif"/>
          <w:b/>
          <w:color w:val="000000"/>
          <w:sz w:val="20"/>
        </w:rPr>
        <w:t>Recent Developments</w:t>
      </w:r>
    </w:p>
    <w:p>
      <w:pPr>
        <w:pStyle w:val="TextBody"/>
        <w:bidi w:val="0"/>
        <w:spacing w:before="0" w:after="120"/>
        <w:jc w:val="both"/>
        <w:rPr>
          <w:rFonts w:ascii="sans-serif" w:hAnsi="sans-serif"/>
          <w:b/>
          <w:i/>
          <w:color w:val="000000"/>
          <w:sz w:val="20"/>
        </w:rPr>
      </w:pPr>
      <w:r>
        <w:rPr>
          <w:rFonts w:ascii="sans-serif" w:hAnsi="sans-serif"/>
          <w:b/>
          <w:i/>
          <w:color w:val="000000"/>
          <w:sz w:val="20"/>
        </w:rPr>
        <w:t>Corporate Simplification</w:t>
      </w:r>
    </w:p>
    <w:p>
      <w:pPr>
        <w:pStyle w:val="TextBody"/>
        <w:bidi w:val="0"/>
        <w:spacing w:before="0" w:after="120"/>
        <w:jc w:val="both"/>
        <w:rPr>
          <w:rFonts w:ascii="Times New Roman" w:hAnsi="Times New Roman"/>
          <w:sz w:val="20"/>
        </w:rPr>
      </w:pPr>
      <w:r>
        <w:rPr>
          <w:rFonts w:ascii="sans-serif" w:hAnsi="sans-serif"/>
          <w:color w:val="000000"/>
          <w:sz w:val="20"/>
        </w:rPr>
        <w:t>On October 19, 2025, we entered into a Corporate Simplification Agreement (the “</w:t>
      </w:r>
      <w:r>
        <w:rPr>
          <w:rFonts w:ascii="sans-serif" w:hAnsi="sans-serif"/>
          <w:color w:val="000000"/>
          <w:sz w:val="20"/>
          <w:u w:val="single"/>
        </w:rPr>
        <w:t>CSA</w:t>
      </w:r>
      <w:r>
        <w:rPr>
          <w:rFonts w:ascii="Times New Roman" w:hAnsi="Times New Roman"/>
          <w:color w:val="000000"/>
          <w:sz w:val="20"/>
        </w:rPr>
        <w:t>”</w:t>
      </w:r>
      <w:r>
        <w:rPr>
          <w:rFonts w:ascii="sans-serif" w:hAnsi="sans-serif"/>
          <w:color w:val="000000"/>
          <w:sz w:val="20"/>
        </w:rPr>
        <w:t>) with Hoya Intermediate and the TRA Parties named therein (including Hoya Topco, LLC (“</w:t>
      </w:r>
      <w:r>
        <w:rPr>
          <w:rFonts w:ascii="sans-serif" w:hAnsi="sans-serif"/>
          <w:color w:val="000000"/>
          <w:sz w:val="20"/>
          <w:u w:val="single"/>
        </w:rPr>
        <w:t>Hoya Topco</w:t>
      </w:r>
      <w:r>
        <w:rPr>
          <w:rFonts w:ascii="Times New Roman" w:hAnsi="Times New Roman"/>
          <w:color w:val="000000"/>
          <w:sz w:val="20"/>
        </w:rPr>
        <w:t>”</w:t>
      </w:r>
      <w:r>
        <w:rPr>
          <w:rFonts w:ascii="sans-serif" w:hAnsi="sans-serif"/>
          <w:color w:val="000000"/>
          <w:sz w:val="20"/>
        </w:rPr>
        <w:t>)).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sans-serif" w:hAnsi="sans-serif"/>
          <w:color w:val="000000"/>
          <w:sz w:val="20"/>
          <w:u w:val="single"/>
        </w:rPr>
        <w:t>Corporate Simplification</w:t>
      </w:r>
      <w:r>
        <w:rPr>
          <w:rFonts w:ascii="Times New Roman" w:hAnsi="Times New Roman"/>
          <w:color w:val="000000"/>
          <w:sz w:val="20"/>
        </w:rPr>
        <w:t>”</w:t>
      </w:r>
      <w:r>
        <w:rPr>
          <w:rFonts w:ascii="sans-serif" w:hAnsi="sans-serif"/>
          <w:color w:val="000000"/>
          <w:sz w:val="20"/>
        </w:rPr>
        <w:t>). In connection with the Corporate Simplification, among other things: (i) three Blocker Corporations (as defined in the CSA) merged with and into three of our wholly owned subsidiaries, respectively, such that the Blocker Corporations became our wholly owned subsidiaries; (ii) all 3,811,250 outstanding shares of Class B common stock (and corresponding common units of Hoya Intermediate (“</w:t>
      </w:r>
      <w:r>
        <w:rPr>
          <w:rFonts w:ascii="sans-serif" w:hAnsi="sans-serif"/>
          <w:color w:val="000000"/>
          <w:sz w:val="20"/>
          <w:u w:val="single"/>
        </w:rPr>
        <w:t>Intermediate Units</w:t>
      </w:r>
      <w:r>
        <w:rPr>
          <w:rFonts w:ascii="Times New Roman" w:hAnsi="Times New Roman"/>
          <w:color w:val="000000"/>
          <w:sz w:val="20"/>
        </w:rPr>
        <w:t>”</w:t>
      </w:r>
      <w:r>
        <w:rPr>
          <w:rFonts w:ascii="sans-serif" w:hAnsi="sans-serif"/>
          <w:color w:val="000000"/>
          <w:sz w:val="20"/>
        </w:rPr>
        <w:t>)) were exchanged for an equal number of shares of Class A common stock, following which we cancelled all outstanding shares, and instruments representing the right to purchase shares, of Class B common stock; (iii) the warrant agreements relating to the warrants issued to Hoya Topco in connection with the Merger Transaction (the “</w:t>
      </w:r>
      <w:r>
        <w:rPr>
          <w:rFonts w:ascii="sans-serif" w:hAnsi="sans-serif"/>
          <w:color w:val="000000"/>
          <w:sz w:val="20"/>
          <w:u w:val="single"/>
        </w:rPr>
        <w:t>Intermediate Warrants</w:t>
      </w:r>
      <w:r>
        <w:rPr>
          <w:rFonts w:ascii="Times New Roman" w:hAnsi="Times New Roman"/>
          <w:color w:val="000000"/>
          <w:sz w:val="20"/>
        </w:rPr>
        <w:t>”</w:t>
      </w:r>
      <w:r>
        <w:rPr>
          <w:rFonts w:ascii="sans-serif" w:hAnsi="sans-serif"/>
          <w:color w:val="000000"/>
          <w:sz w:val="20"/>
        </w:rPr>
        <w:t>)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(iv) all rights and obligations under the Tax Receivable Agreement (the “</w:t>
      </w:r>
      <w:r>
        <w:rPr>
          <w:rFonts w:ascii="sans-serif" w:hAnsi="sans-serif"/>
          <w:color w:val="000000"/>
          <w:sz w:val="20"/>
          <w:u w:val="single"/>
        </w:rPr>
        <w:t>TRA</w:t>
      </w:r>
      <w:r>
        <w:rPr>
          <w:rFonts w:ascii="Times New Roman" w:hAnsi="Times New Roman"/>
          <w:color w:val="000000"/>
          <w:sz w:val="20"/>
        </w:rPr>
        <w:t>”</w:t>
      </w:r>
      <w:r>
        <w:rPr>
          <w:rFonts w:ascii="sans-serif" w:hAnsi="sans-serif"/>
          <w:color w:val="000000"/>
          <w:sz w:val="20"/>
        </w:rPr>
        <w:t>) entered into with the existing Hoya Intermediate unitholders and Hoya Intermediate’s Limited Liability Company Agreement were terminated (in each case other than certain terms thereof that expressly survived); and (v) we issued an aggregate of 403,022 shares of Class A common stock to the TRA Parties.</w:t>
      </w:r>
    </w:p>
    <w:p>
      <w:pPr>
        <w:pStyle w:val="TextBody"/>
        <w:bidi w:val="0"/>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i/>
          <w:color w:val="000000"/>
          <w:sz w:val="20"/>
        </w:rPr>
      </w:pPr>
      <w:r>
        <w:rPr>
          <w:rFonts w:ascii="sans-serif" w:hAnsi="sans-serif"/>
          <w:b/>
          <w:i/>
          <w:color w:val="000000"/>
          <w:sz w:val="20"/>
        </w:rPr>
        <w:t>Current Environment &amp; Cost Reduction Program</w:t>
      </w:r>
    </w:p>
    <w:p>
      <w:pPr>
        <w:pStyle w:val="TextBody"/>
        <w:bidi w:val="0"/>
        <w:spacing w:before="0" w:after="120"/>
        <w:jc w:val="both"/>
        <w:rPr>
          <w:rFonts w:ascii="Times New Roman" w:hAnsi="Times New Roman"/>
          <w:sz w:val="20"/>
        </w:rPr>
      </w:pPr>
      <w:r>
        <w:rPr>
          <w:rFonts w:ascii="sans-serif" w:hAnsi="sans-serif"/>
          <w:color w:val="000000"/>
          <w:sz w:val="20"/>
        </w:rPr>
        <w:t>While we continue to view live events as an attractive long-term opportunity supported by durable supply and demand tailwinds, recent industry trends have been challenging and our Marketplace order volumes were under pressure during the year ended December 31, 2025. We attribute this to a combination of economic uncertainty affecting discretionary consumer spending and competitive intensity in performance marketing channels. In response to this evolving industry landscape, during the year ended December 31, 2025 we implemented a cost reduction program designed to right-size our business for the current environment and drive enhanced long-term efficiency.</w:t>
      </w:r>
      <w:r>
        <w:rPr>
          <w:rFonts w:ascii="Times New Roman" w:hAnsi="Times New Roman"/>
          <w:color w:val="000000"/>
          <w:sz w:val="20"/>
        </w:rPr>
        <w:t xml:space="preserve"> </w:t>
      </w:r>
    </w:p>
    <w:p>
      <w:pPr>
        <w:pStyle w:val="TextBody"/>
        <w:bidi w:val="0"/>
        <w:spacing w:before="0" w:after="120"/>
        <w:jc w:val="both"/>
        <w:rPr>
          <w:rFonts w:ascii="sans-serif" w:hAnsi="sans-serif"/>
          <w:color w:val="000000"/>
          <w:sz w:val="20"/>
        </w:rPr>
      </w:pPr>
      <w:r>
        <w:rPr>
          <w:rFonts w:ascii="sans-serif" w:hAnsi="sans-serif"/>
          <w:color w:val="000000"/>
          <w:sz w:val="20"/>
        </w:rPr>
        <w:t>During the three and six months ended June 30, 2026, we continued to incur compensation expenses related to severance-related payments made to terminated employees as a result of a reduction in employee headcount in connection with the cost reduction program and the departure of certain members of our leadership team.</w:t>
      </w:r>
    </w:p>
    <w:p>
      <w:pPr>
        <w:pStyle w:val="TextBody"/>
        <w:bidi w:val="0"/>
        <w:spacing w:before="0" w:after="120"/>
        <w:jc w:val="both"/>
        <w:rPr>
          <w:rFonts w:ascii="sans-serif" w:hAnsi="sans-serif"/>
          <w:b/>
          <w:color w:val="000000"/>
          <w:sz w:val="20"/>
        </w:rPr>
      </w:pPr>
      <w:r>
        <w:rPr>
          <w:rFonts w:ascii="sans-serif" w:hAnsi="sans-serif"/>
          <w:b/>
          <w:color w:val="000000"/>
          <w:sz w:val="20"/>
        </w:rPr>
        <w:t>Key Business Metrics &amp; Non-U.S. GAAP Financial Measure</w:t>
      </w:r>
    </w:p>
    <w:p>
      <w:pPr>
        <w:pStyle w:val="TextBody"/>
        <w:bidi w:val="0"/>
        <w:spacing w:before="0" w:after="120"/>
        <w:jc w:val="both"/>
        <w:rPr>
          <w:rFonts w:ascii="sans-serif" w:hAnsi="sans-serif"/>
          <w:color w:val="000000"/>
          <w:sz w:val="20"/>
        </w:rPr>
      </w:pPr>
      <w:r>
        <w:rPr>
          <w:rFonts w:ascii="sans-serif" w:hAnsi="sans-serif"/>
          <w:color w:val="000000"/>
          <w:sz w:val="20"/>
        </w:rPr>
        <w:t>We use the following key business metrics and non-U.S. GAAP financial measure to evaluate our performance, identify trends, formulate financial projections, and make strategic decisions. We believe this information is useful to investors and others in understanding and evaluating our results of operations in the same manner as management.</w:t>
      </w:r>
    </w:p>
    <w:p>
      <w:pPr>
        <w:pStyle w:val="TextBody"/>
        <w:bidi w:val="0"/>
        <w:spacing w:before="0" w:after="120"/>
        <w:jc w:val="both"/>
        <w:rPr>
          <w:rFonts w:ascii="sans-serif" w:hAnsi="sans-serif"/>
          <w:color w:val="000000"/>
          <w:sz w:val="20"/>
        </w:rPr>
      </w:pPr>
      <w:r>
        <w:rPr>
          <w:rFonts w:ascii="sans-serif" w:hAnsi="sans-serif"/>
          <w:color w:val="000000"/>
          <w:sz w:val="20"/>
        </w:rPr>
        <w:t>The following table summarizes our key business metrics and non-U.S. GAAP financial measure for the three and six months ended June 30, 2026 and 2025 (in thousands):</w:t>
      </w:r>
    </w:p>
    <w:tbl>
      <w:tblPr>
        <w:tblW w:w="9207" w:type="dxa"/>
        <w:jc w:val="left"/>
        <w:tblInd w:w="0" w:type="dxa"/>
        <w:tblLayout w:type="fixed"/>
        <w:tblCellMar>
          <w:top w:w="28" w:type="dxa"/>
          <w:left w:w="28" w:type="dxa"/>
          <w:bottom w:w="28" w:type="dxa"/>
          <w:right w:w="28" w:type="dxa"/>
        </w:tblCellMar>
      </w:tblPr>
      <w:tblGrid>
        <w:gridCol w:w="2206"/>
        <w:gridCol w:w="146"/>
        <w:gridCol w:w="300"/>
        <w:gridCol w:w="1178"/>
        <w:gridCol w:w="194"/>
        <w:gridCol w:w="194"/>
        <w:gridCol w:w="300"/>
        <w:gridCol w:w="1178"/>
        <w:gridCol w:w="146"/>
        <w:gridCol w:w="146"/>
        <w:gridCol w:w="238"/>
        <w:gridCol w:w="1123"/>
        <w:gridCol w:w="153"/>
        <w:gridCol w:w="153"/>
        <w:gridCol w:w="238"/>
        <w:gridCol w:w="1123"/>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Marketplace GOV</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659,359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1,271,725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1,505,847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Marketplace orders</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Resale orders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Adjusted EBITDA</w:t>
            </w:r>
            <w:r>
              <w:rPr>
                <w:rFonts w:ascii="sans-serif" w:hAnsi="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(1)</w:t>
      </w:r>
    </w:p>
    <w:p>
      <w:pPr>
        <w:pStyle w:val="TextBody"/>
        <w:bidi w:val="0"/>
        <w:spacing w:before="120" w:after="120"/>
        <w:jc w:val="both"/>
        <w:rPr>
          <w:rFonts w:ascii="sans-serif" w:hAnsi="sans-serif"/>
          <w:color w:val="000000"/>
          <w:sz w:val="20"/>
        </w:rPr>
      </w:pPr>
      <w:r>
        <w:rPr>
          <w:rFonts w:ascii="sans-serif" w:hAnsi="sans-serif"/>
          <w:color w:val="000000"/>
          <w:sz w:val="20"/>
        </w:rPr>
        <w:t>Marketplace GOV represents the total transactional amount of Marketplace orders processed on our online platform during a period, inclusive of fees, exclusive of taxes, and net of event cancellations. During the three and six months ended June 30, 2026, event cancellations negatively impacted Marketplace GOV by $16.4 million and $25.4 million, respectively, compared to $20.3 million and $35.8 million during the three and six months ended June 30, 2025, respectively.</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sans-serif" w:hAnsi="sans-serif"/>
          <w:color w:val="000000"/>
          <w:sz w:val="20"/>
        </w:rPr>
      </w:pPr>
      <w:r>
        <w:rPr>
          <w:rFonts w:ascii="sans-serif" w:hAnsi="sans-serif"/>
          <w:color w:val="000000"/>
          <w:sz w:val="20"/>
        </w:rPr>
        <w:t>Marketplace orders represent the total volume of Marketplace segment transactions processed on our online platform during a period, net of event cancellations. During the three and six months ended June 30, 2026, our Marketplace segment experienced 30,767 and 60,201 event cancellations, respectively, compared to 47,845 and 90,198 event cancellations during the three and six months ended June 30, 2025, respectively.</w:t>
      </w:r>
    </w:p>
    <w:p>
      <w:pPr>
        <w:pStyle w:val="TextBody"/>
        <w:bidi w:val="0"/>
        <w:spacing w:before="0" w:after="120"/>
        <w:jc w:val="both"/>
        <w:rPr>
          <w:rFonts w:ascii="sans-serif" w:hAnsi="sans-serif"/>
          <w:color w:val="000000"/>
          <w:sz w:val="20"/>
        </w:rPr>
      </w:pPr>
      <w:r>
        <w:rPr>
          <w:rFonts w:ascii="sans-serif" w:hAnsi="sans-serif"/>
          <w:color w:val="000000"/>
          <w:sz w:val="20"/>
        </w:rPr>
        <w:t>(3)</w:t>
      </w:r>
    </w:p>
    <w:p>
      <w:pPr>
        <w:pStyle w:val="TextBody"/>
        <w:bidi w:val="0"/>
        <w:spacing w:before="0" w:after="120"/>
        <w:jc w:val="both"/>
        <w:rPr>
          <w:rFonts w:ascii="sans-serif" w:hAnsi="sans-serif"/>
          <w:color w:val="000000"/>
          <w:sz w:val="20"/>
        </w:rPr>
      </w:pPr>
      <w:r>
        <w:rPr>
          <w:rFonts w:ascii="sans-serif" w:hAnsi="sans-serif"/>
          <w:color w:val="000000"/>
          <w:sz w:val="20"/>
        </w:rPr>
        <w:t>Resale orders represent the total volume of Resale segment transactions processed on a given platform (including our own) during a period, net of event cancellations. During the three and six months ended June 30, 2026, our Resale segment experienced 605 and 1,072 event cancellations, respectively, compared to 1,276 and 2,161 event cancellations during the three and six months ended June 30, 2025, respectively.</w:t>
      </w:r>
    </w:p>
    <w:p>
      <w:pPr>
        <w:pStyle w:val="TextBody"/>
        <w:bidi w:val="0"/>
        <w:spacing w:before="0" w:after="120"/>
        <w:jc w:val="both"/>
        <w:rPr>
          <w:rFonts w:ascii="sans-serif" w:hAnsi="sans-serif"/>
          <w:color w:val="000000"/>
          <w:sz w:val="20"/>
        </w:rPr>
      </w:pPr>
      <w:r>
        <w:rPr>
          <w:rFonts w:ascii="sans-serif" w:hAnsi="sans-serif"/>
          <w:color w:val="000000"/>
          <w:sz w:val="20"/>
        </w:rPr>
        <w:t>(4)</w:t>
      </w:r>
    </w:p>
    <w:p>
      <w:pPr>
        <w:pStyle w:val="TextBody"/>
        <w:bidi w:val="0"/>
        <w:spacing w:before="0" w:after="120"/>
        <w:jc w:val="both"/>
        <w:rPr>
          <w:rFonts w:ascii="sans-serif" w:hAnsi="sans-serif"/>
          <w:color w:val="000000"/>
          <w:sz w:val="20"/>
        </w:rPr>
      </w:pPr>
      <w:r>
        <w:rPr>
          <w:rFonts w:ascii="sans-serif" w:hAnsi="sans-serif"/>
          <w:color w:val="000000"/>
          <w:sz w:val="20"/>
        </w:rPr>
        <w:t>Adjusted EBITDA is a non-U.S. GAAP financial measure. See the “Adjusted EBITDA” section below for more information, including a reconciliation of adjusted EBITDA to net loss, the most directly comparable U.S. GAAP financial measure.</w:t>
      </w:r>
    </w:p>
    <w:p>
      <w:pPr>
        <w:pStyle w:val="TextBody"/>
        <w:bidi w:val="0"/>
        <w:spacing w:before="0" w:after="120"/>
        <w:jc w:val="both"/>
        <w:rPr>
          <w:rFonts w:ascii="sans-serif" w:hAnsi="sans-serif"/>
          <w:b/>
          <w:i/>
          <w:color w:val="000000"/>
          <w:sz w:val="20"/>
        </w:rPr>
      </w:pPr>
      <w:r>
        <w:rPr>
          <w:rFonts w:ascii="sans-serif" w:hAnsi="sans-serif"/>
          <w:b/>
          <w:i/>
          <w:color w:val="000000"/>
          <w:sz w:val="20"/>
        </w:rPr>
        <w:t>Marketplace GOV</w:t>
      </w:r>
    </w:p>
    <w:p>
      <w:pPr>
        <w:pStyle w:val="TextBody"/>
        <w:bidi w:val="0"/>
        <w:spacing w:before="0" w:after="120"/>
        <w:jc w:val="both"/>
        <w:rPr>
          <w:rFonts w:ascii="sans-serif" w:hAnsi="sans-serif"/>
          <w:color w:val="000000"/>
          <w:sz w:val="20"/>
        </w:rPr>
      </w:pPr>
      <w:r>
        <w:rPr>
          <w:rFonts w:ascii="sans-serif" w:hAnsi="sans-serif"/>
          <w:color w:val="000000"/>
          <w:sz w:val="20"/>
        </w:rPr>
        <w:t>Marketplace GOV is a key driver of Marketplace revenues. Marketplace GOV represents the total transactional amount of Marketplace orders processed on our online platform during a period, inclusive of fees, exclusive of taxes, and net of event cancellations. Marketplace GOV reflects our ability to attract and retain customers and provides insight into the overall health of the industry.</w:t>
      </w:r>
    </w:p>
    <w:p>
      <w:pPr>
        <w:pStyle w:val="TextBody"/>
        <w:bidi w:val="0"/>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Marketplace GOV can be impacted by seasonality. Historically, we have experienced slightly increased activity in the fourth quarter when all major sports leagues are in season, concert on-sales begin for the following year, and theater event orders increase during the holiday season. However, these fluctuations have recently become less predictable. Quarterly fluctuations in Marketplace GOV can result from,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Event supply;</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The popularity of and demand for certain artists, sports teams, tours, and events;</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The mix of concert venue types between stadiums, arenas, and amphitheaters;</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The length and team composition of sports playoff series and championship games; and</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Event cancellations.</w:t>
      </w:r>
    </w:p>
    <w:p>
      <w:pPr>
        <w:pStyle w:val="TextBody"/>
        <w:bidi w:val="0"/>
        <w:spacing w:before="0" w:after="120"/>
        <w:jc w:val="both"/>
        <w:rPr>
          <w:rFonts w:ascii="sans-serif" w:hAnsi="sans-serif"/>
          <w:color w:val="000000"/>
          <w:sz w:val="20"/>
        </w:rPr>
      </w:pPr>
      <w:r>
        <w:rPr>
          <w:rFonts w:ascii="sans-serif" w:hAnsi="sans-serif"/>
          <w:color w:val="000000"/>
          <w:sz w:val="20"/>
        </w:rPr>
        <w:t>Marketplace GOV decreased by $26.1 million, or 4%, during the three months ended June 30, 2026 compared to the three months ended June 30, 2025 and decreased by $234.1 million, or 16%, during the six months ended June 30, 2026 compared to the six months ended June 30, 2025. The decreases resulted primarily from a decrease in Marketplace orders partly offset by an increase in average order size for sports (which increase was primarily driven by the 2026 FIFA World Cup, whose unique North American hosting created an extraordinary demand environment not expected to recur in future periods, and is not necessarily indicative of the underlying run rate of our business).</w:t>
      </w:r>
    </w:p>
    <w:p>
      <w:pPr>
        <w:pStyle w:val="TextBody"/>
        <w:bidi w:val="0"/>
        <w:spacing w:before="0" w:after="120"/>
        <w:jc w:val="both"/>
        <w:rPr>
          <w:rFonts w:ascii="sans-serif" w:hAnsi="sans-serif"/>
          <w:b/>
          <w:i/>
          <w:color w:val="000000"/>
          <w:sz w:val="20"/>
        </w:rPr>
      </w:pPr>
      <w:r>
        <w:rPr>
          <w:rFonts w:ascii="sans-serif" w:hAnsi="sans-serif"/>
          <w:b/>
          <w:i/>
          <w:color w:val="000000"/>
          <w:sz w:val="20"/>
        </w:rPr>
        <w:t>Marketplace Orders</w:t>
      </w:r>
    </w:p>
    <w:p>
      <w:pPr>
        <w:pStyle w:val="TextBody"/>
        <w:bidi w:val="0"/>
        <w:spacing w:before="0" w:after="120"/>
        <w:jc w:val="both"/>
        <w:rPr>
          <w:rFonts w:ascii="sans-serif" w:hAnsi="sans-serif"/>
          <w:color w:val="000000"/>
          <w:sz w:val="20"/>
        </w:rPr>
      </w:pPr>
      <w:r>
        <w:rPr>
          <w:rFonts w:ascii="sans-serif" w:hAnsi="sans-serif"/>
          <w:color w:val="000000"/>
          <w:sz w:val="20"/>
        </w:rPr>
        <w:t>Marketplace orders represent the total volume of Marketplace segment transactions processed on our online platform during a period, net of event cancellations. A Marketplace order can include one or more tickets, hotel rooms, or parking passes. Marketplace orders allow us to monitor transaction volume and better identify trends within our Marketplace segment.</w:t>
      </w:r>
    </w:p>
    <w:p>
      <w:pPr>
        <w:pStyle w:val="TextBody"/>
        <w:bidi w:val="0"/>
        <w:spacing w:before="0" w:after="120"/>
        <w:jc w:val="both"/>
        <w:rPr>
          <w:rFonts w:ascii="sans-serif" w:hAnsi="sans-serif"/>
          <w:color w:val="000000"/>
          <w:sz w:val="20"/>
        </w:rPr>
      </w:pPr>
      <w:r>
        <w:rPr>
          <w:rFonts w:ascii="sans-serif" w:hAnsi="sans-serif"/>
          <w:color w:val="000000"/>
          <w:sz w:val="20"/>
        </w:rPr>
        <w:t>Marketplace orders decreased by 0.3 million, or 16%, during the three months ended June 30, 2026 compared to the three months ended June 30, 2025 and decreased by 0.9 million, or 21%, during the six months ended June 30, 2026 compared to the six months ended June 30, 2025. The decreases resulted primarily from lower activity in our Marketplace segment.</w:t>
      </w:r>
    </w:p>
    <w:p>
      <w:pPr>
        <w:pStyle w:val="TextBody"/>
        <w:bidi w:val="0"/>
        <w:spacing w:before="0" w:after="120"/>
        <w:jc w:val="both"/>
        <w:rPr>
          <w:rFonts w:ascii="sans-serif" w:hAnsi="sans-serif"/>
          <w:b/>
          <w:i/>
          <w:color w:val="000000"/>
          <w:sz w:val="20"/>
        </w:rPr>
      </w:pPr>
      <w:r>
        <w:rPr>
          <w:rFonts w:ascii="sans-serif" w:hAnsi="sans-serif"/>
          <w:b/>
          <w:i/>
          <w:color w:val="000000"/>
          <w:sz w:val="20"/>
        </w:rPr>
        <w:t>Resale Orders</w:t>
      </w:r>
    </w:p>
    <w:p>
      <w:pPr>
        <w:pStyle w:val="TextBody"/>
        <w:bidi w:val="0"/>
        <w:spacing w:before="0" w:after="120"/>
        <w:jc w:val="both"/>
        <w:rPr>
          <w:rFonts w:ascii="sans-serif" w:hAnsi="sans-serif"/>
          <w:color w:val="000000"/>
          <w:sz w:val="20"/>
        </w:rPr>
      </w:pPr>
      <w:r>
        <w:rPr>
          <w:rFonts w:ascii="sans-serif" w:hAnsi="sans-serif"/>
          <w:color w:val="000000"/>
          <w:sz w:val="20"/>
        </w:rPr>
        <w:t>Resale orders represent the total volume of Resale segment transactions processed on a given platform (including our own) during a period, net of event cancellations. A Resale order can include one or more tickets or parking passes. Resale orders allow us to monitor transaction volume and better identify trends within our Resale segment.</w:t>
      </w:r>
    </w:p>
    <w:p>
      <w:pPr>
        <w:pStyle w:val="TextBody"/>
        <w:bidi w:val="0"/>
        <w:spacing w:before="0" w:after="120"/>
        <w:jc w:val="both"/>
        <w:rPr>
          <w:rFonts w:ascii="sans-serif" w:hAnsi="sans-serif"/>
          <w:color w:val="000000"/>
          <w:sz w:val="20"/>
        </w:rPr>
      </w:pPr>
      <w:r>
        <w:rPr>
          <w:rFonts w:ascii="sans-serif" w:hAnsi="sans-serif"/>
          <w:color w:val="000000"/>
          <w:sz w:val="20"/>
        </w:rPr>
        <w:t>Resale orders decreased by less than 0.1 million, or 13%, during the three months ended June 30, 2026 compared to the three months ended June 30, 2025 and decreased by less than 0.1 million, or 18%, during the six months ended June 30, 2026 compared to the six months ended June 30, 2025. The decreases resulted primarily from lower activity in our Resale segment.</w:t>
      </w:r>
    </w:p>
    <w:p>
      <w:pPr>
        <w:pStyle w:val="TextBody"/>
        <w:bidi w:val="0"/>
        <w:spacing w:before="0" w:after="120"/>
        <w:jc w:val="both"/>
        <w:rPr>
          <w:rFonts w:ascii="sans-serif" w:hAnsi="sans-serif"/>
          <w:b/>
          <w:i/>
          <w:color w:val="000000"/>
          <w:sz w:val="20"/>
        </w:rPr>
      </w:pPr>
      <w:r>
        <w:rPr>
          <w:rFonts w:ascii="sans-serif" w:hAnsi="sans-serif"/>
          <w:b/>
          <w:i/>
          <w:color w:val="000000"/>
          <w:sz w:val="20"/>
        </w:rPr>
        <w:t>Adjusted EBITDA</w:t>
      </w:r>
    </w:p>
    <w:p>
      <w:pPr>
        <w:pStyle w:val="TextBody"/>
        <w:bidi w:val="0"/>
        <w:spacing w:before="0" w:after="120"/>
        <w:jc w:val="both"/>
        <w:rPr>
          <w:rFonts w:ascii="sans-serif" w:hAnsi="sans-serif"/>
          <w:color w:val="000000"/>
          <w:sz w:val="20"/>
        </w:rPr>
      </w:pPr>
      <w:r>
        <w:rPr>
          <w:rFonts w:ascii="sans-serif" w:hAnsi="sans-serif"/>
          <w:color w:val="000000"/>
          <w:sz w:val="20"/>
        </w:rPr>
        <w:t>Adjusted EBITDA is a non-U.S. GAAP financial measure that is used by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pStyle w:val="TextBody"/>
        <w:bidi w:val="0"/>
        <w:spacing w:before="0" w:after="120"/>
        <w:jc w:val="both"/>
        <w:rPr>
          <w:rFonts w:ascii="sans-serif" w:hAnsi="sans-serif"/>
          <w:color w:val="000000"/>
          <w:sz w:val="20"/>
        </w:rPr>
      </w:pPr>
      <w:r>
        <w:rPr>
          <w:rFonts w:ascii="sans-serif" w:hAnsi="sans-serif"/>
          <w:color w:val="000000"/>
          <w:sz w:val="20"/>
        </w:rPr>
        <w:t>We believe adjusted EBITDA is useful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pStyle w:val="TextBody"/>
        <w:bidi w:val="0"/>
        <w:spacing w:before="0" w:after="120"/>
        <w:jc w:val="both"/>
        <w:rPr>
          <w:rFonts w:ascii="Times New Roman" w:hAnsi="Times New Roman"/>
          <w:sz w:val="20"/>
        </w:rPr>
      </w:pPr>
      <w:r>
        <w:rPr>
          <w:rFonts w:ascii="sans-serif" w:hAnsi="sans-serif"/>
          <w:color w:val="000000"/>
          <w:sz w:val="20"/>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(benefit); interest expense – net; depreciation and amortization; sales tax liabilities; transaction costs; equity-based compensation; litigation,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settlements, and related costs; loss on asset disposals; change in fair value of derivative asset; foreign currency loss (gain) – net; severance compensation; change in fair value of the Intermediate Warrants; loss on extinguishment of debt; adjustment of liabilities under the TRA; and impairment charges. In addition, other companies may calculate adjusted EBITDA differently than we do, thereby limiting its usefulness as a comparative tool. We compensate for these limitations by providing specific information regarding the U.S. GAAP amounts that are excluded from our presentation of adjusted EBITDA.</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a reconciliation of adjusted EBITDA to net loss, the most directly comparable U.S. GAAP financial measure,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3386"/>
        <w:gridCol w:w="146"/>
        <w:gridCol w:w="259"/>
        <w:gridCol w:w="1020"/>
        <w:gridCol w:w="211"/>
        <w:gridCol w:w="157"/>
        <w:gridCol w:w="259"/>
        <w:gridCol w:w="1165"/>
        <w:gridCol w:w="196"/>
        <w:gridCol w:w="146"/>
        <w:gridCol w:w="247"/>
        <w:gridCol w:w="972"/>
        <w:gridCol w:w="201"/>
        <w:gridCol w:w="150"/>
        <w:gridCol w:w="247"/>
        <w:gridCol w:w="1111"/>
        <w:gridCol w:w="332"/>
      </w:tblGrid>
      <w:tr>
        <w:trPr/>
        <w:tc>
          <w:tcPr>
            <w:tcW w:w="3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(263,327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(28,952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(273,115</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76,165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79,320</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11,299</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24,626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23,966</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Sales tax liability</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(1,360</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Transaction costs</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7,881</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Equity-based compensation</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9,085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22,403</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Litigation, settlements, and related costs</w:t>
            </w:r>
            <w:r>
              <w:rPr>
                <w:rFonts w:ascii="sans-serif" w:hAnsi="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Loss on asset disposals</w:t>
            </w:r>
            <w:r>
              <w:rPr>
                <w:rFonts w:ascii="sans-serif" w:hAnsi="sans-serif"/>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Change in fair value of derivative asset</w:t>
            </w:r>
            <w:r>
              <w:rPr>
                <w:rFonts w:ascii="sans-serif" w:hAnsi="sans-serif"/>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Foreign currency loss (gain) – net</w:t>
            </w:r>
            <w:r>
              <w:rPr>
                <w:rFonts w:ascii="sans-serif" w:hAnsi="sans-serif"/>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(3,574</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Severance compensation</w:t>
            </w:r>
            <w:r>
              <w:rPr>
                <w:rFonts w:ascii="sans-serif" w:hAnsi="sans-serif"/>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Change in fair value of Intermediate Warrants</w:t>
            </w:r>
            <w:r>
              <w:rPr>
                <w:rFonts w:ascii="sans-serif" w:hAnsi="sans-serif"/>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(4,849</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Loss on extinguishment of debt</w:t>
            </w:r>
            <w:r>
              <w:rPr>
                <w:rFonts w:ascii="sans-serif" w:hAnsi="sans-serif"/>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Adjustment of liabilities under TRA</w:t>
            </w:r>
            <w:r>
              <w:rPr>
                <w:rFonts w:ascii="sans-serif" w:hAnsi="sans-serif"/>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(149,172</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20"/>
              </w:rPr>
              <w:t>Impairment charges</w:t>
            </w:r>
            <w:r>
              <w:rPr>
                <w:rFonts w:ascii="sans-serif" w:hAnsi="sans-serif"/>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320,449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320,449</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14,356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22,078</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36,077</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(1)</w:t>
      </w:r>
    </w:p>
    <w:p>
      <w:pPr>
        <w:pStyle w:val="TextBody"/>
        <w:bidi w:val="0"/>
        <w:spacing w:before="120" w:after="120"/>
        <w:jc w:val="both"/>
        <w:rPr>
          <w:rFonts w:ascii="sans-serif" w:hAnsi="sans-serif"/>
          <w:color w:val="000000"/>
          <w:sz w:val="20"/>
        </w:rPr>
      </w:pPr>
      <w:r>
        <w:rPr>
          <w:rFonts w:ascii="sans-serif" w:hAnsi="sans-serif"/>
          <w:color w:val="000000"/>
          <w:sz w:val="20"/>
        </w:rPr>
        <w:t>During the three and six months ended June 30, 2026 and 2025, we accrued for additional uncollected indirect tax liabilities in jurisdictions where we believed it was probable we should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sans-serif" w:hAnsi="sans-serif"/>
          <w:color w:val="000000"/>
          <w:sz w:val="20"/>
        </w:rPr>
      </w:pPr>
      <w:r>
        <w:rPr>
          <w:rFonts w:ascii="sans-serif" w:hAnsi="sans-serif"/>
          <w:color w:val="000000"/>
          <w:sz w:val="20"/>
        </w:rPr>
        <w:t>Consists of legal, accounting, tax, and other professional fees, integration costs, and other transaction-related expenses, none of which are considered indicative of our core operating performance. Costs in the three and six months ended June 30, 2026 primarily related to various strategic transactions and investments. Costs in three and six months ended June 30, 2025 primarily related to potential strategic transactions that were explored during the period, the February 2025 refinancing of the 2024 First Lien Loan (as defined herein), repurchases of Class A common stock, and various strategic transactions and investments.</w:t>
      </w:r>
    </w:p>
    <w:p>
      <w:pPr>
        <w:pStyle w:val="TextBody"/>
        <w:bidi w:val="0"/>
        <w:spacing w:before="0" w:after="120"/>
        <w:jc w:val="both"/>
        <w:rPr>
          <w:rFonts w:ascii="sans-serif" w:hAnsi="sans-serif"/>
          <w:color w:val="000000"/>
          <w:sz w:val="20"/>
        </w:rPr>
      </w:pPr>
      <w:r>
        <w:rPr>
          <w:rFonts w:ascii="sans-serif" w:hAnsi="sans-serif"/>
          <w:color w:val="000000"/>
          <w:sz w:val="20"/>
        </w:rPr>
        <w:t>(3)</w:t>
      </w:r>
    </w:p>
    <w:p>
      <w:pPr>
        <w:pStyle w:val="TextBody"/>
        <w:bidi w:val="0"/>
        <w:spacing w:before="0" w:after="120"/>
        <w:jc w:val="both"/>
        <w:rPr/>
      </w:pPr>
      <w:r>
        <w:rPr>
          <w:rFonts w:ascii="sans-serif" w:hAnsi="sans-serif"/>
          <w:color w:val="000000"/>
          <w:sz w:val="20"/>
        </w:rPr>
        <w:t>Relates to equity incentive awards granted to our employees, directors, and consultants pursuant to our 2021 Incentive Award Plan (as amended, the “</w:t>
      </w:r>
      <w:r>
        <w:rPr>
          <w:rFonts w:ascii="sans-serif" w:hAnsi="sans-serif"/>
          <w:color w:val="000000"/>
          <w:sz w:val="20"/>
          <w:u w:val="single"/>
        </w:rPr>
        <w:t>Incentive Award Plan</w:t>
      </w:r>
      <w:r>
        <w:rPr>
          <w:color w:val="000000"/>
        </w:rPr>
        <w:t>”</w:t>
      </w:r>
      <w:r>
        <w:rPr>
          <w:rFonts w:ascii="sans-serif" w:hAnsi="sans-serif"/>
          <w:color w:val="000000"/>
          <w:sz w:val="20"/>
        </w:rPr>
        <w:t>) and shares of Class A common stock purchased by our employees pursuant to our 2021 Employee Stock Purchase Plan, neither of which are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(4)</w:t>
      </w:r>
    </w:p>
    <w:p>
      <w:pPr>
        <w:pStyle w:val="TextBody"/>
        <w:bidi w:val="0"/>
        <w:spacing w:before="0" w:after="120"/>
        <w:jc w:val="both"/>
        <w:rPr>
          <w:rFonts w:ascii="sans-serif" w:hAnsi="sans-serif"/>
          <w:color w:val="000000"/>
          <w:sz w:val="20"/>
        </w:rPr>
      </w:pPr>
      <w:r>
        <w:rPr>
          <w:rFonts w:ascii="sans-serif" w:hAnsi="sans-serif"/>
          <w:color w:val="000000"/>
          <w:sz w:val="20"/>
        </w:rPr>
        <w:t>Relates to external legal costs, settlement costs, and insurance recoveries related to certain non-ordinary course legal and regulatory matters that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(5)</w:t>
      </w:r>
    </w:p>
    <w:p>
      <w:pPr>
        <w:pStyle w:val="TextBody"/>
        <w:bidi w:val="0"/>
        <w:spacing w:before="0" w:after="120"/>
        <w:jc w:val="both"/>
        <w:rPr>
          <w:rFonts w:ascii="sans-serif" w:hAnsi="sans-serif"/>
          <w:color w:val="000000"/>
          <w:sz w:val="20"/>
        </w:rPr>
      </w:pPr>
      <w:r>
        <w:rPr>
          <w:rFonts w:ascii="sans-serif" w:hAnsi="sans-serif"/>
          <w:color w:val="000000"/>
          <w:sz w:val="20"/>
        </w:rPr>
        <w:t>Relates to disposals of fixed assets, which are not considered indicative of our core operating performance.</w:t>
      </w:r>
    </w:p>
    <w:p>
      <w:pPr>
        <w:pStyle w:val="TextBody"/>
        <w:bidi w:val="0"/>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(6)</w:t>
      </w:r>
    </w:p>
    <w:p>
      <w:pPr>
        <w:pStyle w:val="TextBody"/>
        <w:bidi w:val="0"/>
        <w:spacing w:before="0" w:after="120"/>
        <w:jc w:val="both"/>
        <w:rPr>
          <w:rFonts w:ascii="sans-serif" w:hAnsi="sans-serif"/>
          <w:color w:val="000000"/>
          <w:sz w:val="20"/>
        </w:rPr>
      </w:pPr>
      <w:r>
        <w:rPr>
          <w:rFonts w:ascii="sans-serif" w:hAnsi="sans-serif"/>
          <w:color w:val="000000"/>
          <w:sz w:val="20"/>
        </w:rPr>
        <w:t>Relates to the revaluation of derivatives recorded at fair value, which revaluations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(7)</w:t>
      </w:r>
    </w:p>
    <w:p>
      <w:pPr>
        <w:pStyle w:val="TextBody"/>
        <w:bidi w:val="0"/>
        <w:spacing w:before="0" w:after="120"/>
        <w:jc w:val="both"/>
        <w:rPr>
          <w:rFonts w:ascii="sans-serif" w:hAnsi="sans-serif"/>
          <w:color w:val="000000"/>
          <w:sz w:val="20"/>
        </w:rPr>
      </w:pPr>
      <w:r>
        <w:rPr>
          <w:rFonts w:ascii="sans-serif" w:hAnsi="sans-serif"/>
          <w:color w:val="000000"/>
          <w:sz w:val="20"/>
        </w:rPr>
        <w:t>Relates to net realized and unrealized losses (gains) resulting from the impact of exchange rate changes on transactions denominated in non-functional currencies,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(8)</w:t>
      </w:r>
    </w:p>
    <w:p>
      <w:pPr>
        <w:pStyle w:val="TextBody"/>
        <w:bidi w:val="0"/>
        <w:spacing w:before="0" w:after="120"/>
        <w:jc w:val="both"/>
        <w:rPr>
          <w:rFonts w:ascii="sans-serif" w:hAnsi="sans-serif"/>
          <w:color w:val="000000"/>
          <w:sz w:val="20"/>
        </w:rPr>
      </w:pPr>
      <w:r>
        <w:rPr>
          <w:rFonts w:ascii="sans-serif" w:hAnsi="sans-serif"/>
          <w:color w:val="000000"/>
          <w:sz w:val="20"/>
        </w:rPr>
        <w:t>Relates to severance-related payments made to terminated employees as a result of a reduction in employee headcount and the departure of certain members of our leadership team,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(9)</w:t>
      </w:r>
    </w:p>
    <w:p>
      <w:pPr>
        <w:pStyle w:val="TextBody"/>
        <w:bidi w:val="0"/>
        <w:spacing w:before="0" w:after="120"/>
        <w:jc w:val="both"/>
        <w:rPr>
          <w:rFonts w:ascii="sans-serif" w:hAnsi="sans-serif"/>
          <w:color w:val="000000"/>
          <w:sz w:val="20"/>
        </w:rPr>
      </w:pPr>
      <w:r>
        <w:rPr>
          <w:rFonts w:ascii="sans-serif" w:hAnsi="sans-serif"/>
          <w:color w:val="000000"/>
          <w:sz w:val="20"/>
        </w:rPr>
        <w:t>Relates to the revaluation of the Intermediate Warrants, which revaluations are not considered indicative of our core operating performance (the Intermediate Warrants were amended in October 2025 as described in the “Management’s Discussion and Analysis of Financial Condition and Results of Operations–Recent Developments–Corporate Simplification” section of this Report).</w:t>
      </w:r>
    </w:p>
    <w:p>
      <w:pPr>
        <w:pStyle w:val="TextBody"/>
        <w:bidi w:val="0"/>
        <w:spacing w:before="0" w:after="120"/>
        <w:jc w:val="both"/>
        <w:rPr>
          <w:rFonts w:ascii="sans-serif" w:hAnsi="sans-serif"/>
          <w:color w:val="000000"/>
          <w:sz w:val="20"/>
        </w:rPr>
      </w:pPr>
      <w:r>
        <w:rPr>
          <w:rFonts w:ascii="sans-serif" w:hAnsi="sans-serif"/>
          <w:color w:val="000000"/>
          <w:sz w:val="20"/>
        </w:rPr>
        <w:t>(10)</w:t>
      </w:r>
    </w:p>
    <w:p>
      <w:pPr>
        <w:pStyle w:val="TextBody"/>
        <w:bidi w:val="0"/>
        <w:spacing w:before="0" w:after="120"/>
        <w:jc w:val="both"/>
        <w:rPr>
          <w:rFonts w:ascii="sans-serif" w:hAnsi="sans-serif"/>
          <w:color w:val="000000"/>
          <w:sz w:val="20"/>
        </w:rPr>
      </w:pPr>
      <w:r>
        <w:rPr>
          <w:rFonts w:ascii="sans-serif" w:hAnsi="sans-serif"/>
          <w:color w:val="000000"/>
          <w:sz w:val="20"/>
        </w:rPr>
        <w:t>Relates to losses incurred in connection with the extinguishment of the 2024 First Lien Loan, which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(11)</w:t>
      </w:r>
    </w:p>
    <w:p>
      <w:pPr>
        <w:pStyle w:val="TextBody"/>
        <w:bidi w:val="0"/>
        <w:spacing w:before="0" w:after="120"/>
        <w:jc w:val="both"/>
        <w:rPr>
          <w:rFonts w:ascii="sans-serif" w:hAnsi="sans-serif"/>
          <w:color w:val="000000"/>
          <w:sz w:val="20"/>
        </w:rPr>
      </w:pPr>
      <w:r>
        <w:rPr>
          <w:rFonts w:ascii="sans-serif" w:hAnsi="sans-serif"/>
          <w:color w:val="000000"/>
          <w:sz w:val="20"/>
        </w:rPr>
        <w:t>Relates to the remeasurement and settlement of the TRA liability, which remeasurements and settlements are not considered indicative of our core operating performance.</w:t>
      </w:r>
    </w:p>
    <w:p>
      <w:pPr>
        <w:pStyle w:val="TextBody"/>
        <w:bidi w:val="0"/>
        <w:spacing w:before="0" w:after="120"/>
        <w:jc w:val="both"/>
        <w:rPr>
          <w:rFonts w:ascii="sans-serif" w:hAnsi="sans-serif"/>
          <w:color w:val="000000"/>
          <w:sz w:val="20"/>
        </w:rPr>
      </w:pPr>
      <w:r>
        <w:rPr>
          <w:rFonts w:ascii="sans-serif" w:hAnsi="sans-serif"/>
          <w:color w:val="000000"/>
          <w:sz w:val="20"/>
        </w:rPr>
        <w:t>(12)</w:t>
      </w:r>
    </w:p>
    <w:p>
      <w:pPr>
        <w:pStyle w:val="TextBody"/>
        <w:bidi w:val="0"/>
        <w:spacing w:before="0" w:after="120"/>
        <w:jc w:val="both"/>
        <w:rPr>
          <w:rFonts w:ascii="sans-serif" w:hAnsi="sans-serif"/>
          <w:color w:val="000000"/>
          <w:sz w:val="20"/>
        </w:rPr>
      </w:pPr>
      <w:r>
        <w:rPr>
          <w:rFonts w:ascii="sans-serif" w:hAnsi="sans-serif"/>
          <w:color w:val="000000"/>
          <w:sz w:val="20"/>
        </w:rPr>
        <w:t>Relates to non-cash impairment charges related to our goodwill and certain indefinite-lived intangible assets triggered by the effects of recent declines in our financial performance, near-term outlook, and Class A common stock price, among other factors.</w:t>
      </w:r>
    </w:p>
    <w:p>
      <w:pPr>
        <w:pStyle w:val="TextBody"/>
        <w:bidi w:val="0"/>
        <w:spacing w:before="0" w:after="120"/>
        <w:jc w:val="both"/>
        <w:rPr>
          <w:rFonts w:ascii="sans-serif" w:hAnsi="sans-serif"/>
          <w:b/>
          <w:color w:val="000000"/>
          <w:sz w:val="20"/>
        </w:rPr>
      </w:pPr>
      <w:r>
        <w:rPr>
          <w:rFonts w:ascii="sans-serif" w:hAnsi="sans-serif"/>
          <w:b/>
          <w:color w:val="000000"/>
          <w:sz w:val="20"/>
        </w:rPr>
        <w:t>Key Factors Affecting Our Performance</w:t>
      </w:r>
    </w:p>
    <w:p>
      <w:pPr>
        <w:pStyle w:val="TextBody"/>
        <w:bidi w:val="0"/>
        <w:spacing w:before="0" w:after="120"/>
        <w:jc w:val="both"/>
        <w:rPr>
          <w:rFonts w:ascii="sans-serif" w:hAnsi="sans-serif"/>
          <w:color w:val="000000"/>
          <w:sz w:val="20"/>
        </w:rPr>
      </w:pPr>
      <w:r>
        <w:rPr>
          <w:rFonts w:ascii="sans-serif" w:hAnsi="sans-serif"/>
          <w:color w:val="000000"/>
          <w:sz w:val="20"/>
        </w:rPr>
        <w:t>During the six months ended June 30, 2026, there were no material changes to the “Key Factors Affecting Our Performance” discussed in our 2025 Form 10-K. Our financial position and results of operations depend to a significant extent on those factors.</w:t>
      </w:r>
    </w:p>
    <w:p>
      <w:pPr>
        <w:pStyle w:val="TextBody"/>
        <w:bidi w:val="0"/>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color w:val="000000"/>
          <w:sz w:val="20"/>
        </w:rPr>
      </w:pPr>
      <w:r>
        <w:rPr>
          <w:rFonts w:ascii="sans-serif" w:hAnsi="sans-serif"/>
          <w:b/>
          <w:color w:val="000000"/>
          <w:sz w:val="20"/>
        </w:rPr>
        <w:t>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Comparison of the Three and Six Months Ended June 30, 2026 and 2025</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our results of operations for the three and six months ended June 30, 2026 and 2025 (in thousands, except percentages):</w:t>
      </w:r>
    </w:p>
    <w:tbl>
      <w:tblPr>
        <w:tblW w:w="13276" w:type="dxa"/>
        <w:jc w:val="left"/>
        <w:tblInd w:w="0" w:type="dxa"/>
        <w:tblLayout w:type="fixed"/>
        <w:tblCellMar>
          <w:top w:w="28" w:type="dxa"/>
          <w:left w:w="28" w:type="dxa"/>
          <w:bottom w:w="28" w:type="dxa"/>
          <w:right w:w="28" w:type="dxa"/>
        </w:tblCellMar>
      </w:tblPr>
      <w:tblGrid>
        <w:gridCol w:w="1426"/>
        <w:gridCol w:w="146"/>
        <w:gridCol w:w="226"/>
        <w:gridCol w:w="886"/>
        <w:gridCol w:w="181"/>
        <w:gridCol w:w="146"/>
        <w:gridCol w:w="226"/>
        <w:gridCol w:w="961"/>
        <w:gridCol w:w="181"/>
        <w:gridCol w:w="146"/>
        <w:gridCol w:w="226"/>
        <w:gridCol w:w="886"/>
        <w:gridCol w:w="181"/>
        <w:gridCol w:w="146"/>
        <w:gridCol w:w="237"/>
        <w:gridCol w:w="784"/>
        <w:gridCol w:w="271"/>
        <w:gridCol w:w="146"/>
        <w:gridCol w:w="226"/>
        <w:gridCol w:w="886"/>
        <w:gridCol w:w="181"/>
        <w:gridCol w:w="146"/>
        <w:gridCol w:w="226"/>
        <w:gridCol w:w="961"/>
        <w:gridCol w:w="181"/>
        <w:gridCol w:w="146"/>
        <w:gridCol w:w="226"/>
        <w:gridCol w:w="886"/>
        <w:gridCol w:w="181"/>
        <w:gridCol w:w="146"/>
        <w:gridCol w:w="237"/>
        <w:gridCol w:w="784"/>
        <w:gridCol w:w="46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129,861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143,566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255,644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307,589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(51,945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(17</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Cost of revenues (exclusive of depreciation and amortization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38,642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77,837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86,954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Marketing and 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52,753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102,704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117,912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(15,208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65,706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94,354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(320,449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136,302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475,291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(338,989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643,635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(372,762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(6,441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(331,725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325,284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(336,046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320,817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95</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Interest expense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expense (income)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(150,197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151,142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156,366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(13,441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(187,162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173,721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(29,230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(193,795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164,565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85</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76,165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(75,285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79,320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(79,598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(263,327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249,006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(273,115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244,163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89</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123,652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127,498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loss attributable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(139,675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125,354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(28,952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(145,617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116,665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80</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b/>
          <w:i/>
          <w:color w:val="000000"/>
          <w:sz w:val="20"/>
        </w:rPr>
      </w:pPr>
      <w:r>
        <w:rPr>
          <w:rFonts w:ascii="sans-serif" w:hAnsi="sans-serif"/>
          <w:b/>
          <w:i/>
          <w:color w:val="000000"/>
          <w:sz w:val="20"/>
        </w:rPr>
        <w:t>Revenues</w:t>
      </w:r>
    </w:p>
    <w:p>
      <w:pPr>
        <w:pStyle w:val="TextBody"/>
        <w:bidi w:val="0"/>
        <w:spacing w:before="0" w:after="120"/>
        <w:jc w:val="both"/>
        <w:rPr>
          <w:rFonts w:ascii="sans-serif" w:hAnsi="sans-serif"/>
          <w:i/>
          <w:color w:val="000000"/>
          <w:sz w:val="20"/>
        </w:rPr>
      </w:pPr>
      <w:r>
        <w:rPr>
          <w:rFonts w:ascii="sans-serif" w:hAnsi="sans-serif"/>
          <w:i/>
          <w:color w:val="000000"/>
          <w:sz w:val="20"/>
        </w:rPr>
        <w:t>Total Revenues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total revenues by segment for the three and six months ended June 30, 2026 and 2025 (in thousands, except percentages):</w:t>
      </w:r>
    </w:p>
    <w:tbl>
      <w:tblPr>
        <w:tblW w:w="12466" w:type="dxa"/>
        <w:jc w:val="left"/>
        <w:tblInd w:w="0" w:type="dxa"/>
        <w:tblLayout w:type="fixed"/>
        <w:tblCellMar>
          <w:top w:w="28" w:type="dxa"/>
          <w:left w:w="28" w:type="dxa"/>
          <w:bottom w:w="28" w:type="dxa"/>
          <w:right w:w="28" w:type="dxa"/>
        </w:tblCellMar>
      </w:tblPr>
      <w:tblGrid>
        <w:gridCol w:w="1141"/>
        <w:gridCol w:w="146"/>
        <w:gridCol w:w="226"/>
        <w:gridCol w:w="886"/>
        <w:gridCol w:w="146"/>
        <w:gridCol w:w="146"/>
        <w:gridCol w:w="226"/>
        <w:gridCol w:w="886"/>
        <w:gridCol w:w="146"/>
        <w:gridCol w:w="146"/>
        <w:gridCol w:w="226"/>
        <w:gridCol w:w="841"/>
        <w:gridCol w:w="181"/>
        <w:gridCol w:w="146"/>
        <w:gridCol w:w="262"/>
        <w:gridCol w:w="759"/>
        <w:gridCol w:w="271"/>
        <w:gridCol w:w="146"/>
        <w:gridCol w:w="226"/>
        <w:gridCol w:w="886"/>
        <w:gridCol w:w="146"/>
        <w:gridCol w:w="146"/>
        <w:gridCol w:w="226"/>
        <w:gridCol w:w="886"/>
        <w:gridCol w:w="146"/>
        <w:gridCol w:w="146"/>
        <w:gridCol w:w="226"/>
        <w:gridCol w:w="841"/>
        <w:gridCol w:w="181"/>
        <w:gridCol w:w="146"/>
        <w:gridCol w:w="262"/>
        <w:gridCol w:w="759"/>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Marketplace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248,218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(46,743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Resale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129,861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143,566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255,644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307,589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(51,945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sans-serif" w:hAnsi="sans-serif"/>
          <w:color w:val="000000"/>
          <w:sz w:val="20"/>
        </w:rPr>
      </w:pPr>
      <w:r>
        <w:rPr>
          <w:rFonts w:ascii="sans-serif" w:hAnsi="sans-serif"/>
          <w:color w:val="000000"/>
          <w:sz w:val="20"/>
        </w:rPr>
        <w:t>Total revenues decreased by $13.7 million, or 10%, during the three months ended June 30, 2026 compared to the three months ended June 30, 2025 and decreased by $51.9 million, or 17%, during the six months ended June 30, 2026 compared to the six months ended June 30, 2025. The decreases resulted primarily from a decrease in Marketplace revenues.</w:t>
      </w:r>
    </w:p>
    <w:p>
      <w:pPr>
        <w:pStyle w:val="TextBody"/>
        <w:bidi w:val="0"/>
        <w:spacing w:before="0" w:after="120"/>
        <w:jc w:val="both"/>
        <w:rPr>
          <w:rFonts w:ascii="sans-serif" w:hAnsi="sans-serif"/>
          <w:i/>
          <w:color w:val="000000"/>
          <w:sz w:val="20"/>
        </w:rPr>
      </w:pPr>
      <w:r>
        <w:rPr>
          <w:rFonts w:ascii="sans-serif" w:hAnsi="sans-serif"/>
          <w:i/>
          <w:color w:val="000000"/>
          <w:sz w:val="20"/>
        </w:rPr>
        <w:t>Marketplace Revenues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Marketplace revenues by event category for the three and six months ended June 30, 2026 and 2025 (in thousands, except percentages):</w:t>
      </w:r>
    </w:p>
    <w:tbl>
      <w:tblPr>
        <w:tblW w:w="12571" w:type="dxa"/>
        <w:jc w:val="left"/>
        <w:tblInd w:w="0" w:type="dxa"/>
        <w:tblLayout w:type="fixed"/>
        <w:tblCellMar>
          <w:top w:w="28" w:type="dxa"/>
          <w:left w:w="28" w:type="dxa"/>
          <w:bottom w:w="28" w:type="dxa"/>
          <w:right w:w="28" w:type="dxa"/>
        </w:tblCellMar>
      </w:tblPr>
      <w:tblGrid>
        <w:gridCol w:w="1246"/>
        <w:gridCol w:w="146"/>
        <w:gridCol w:w="226"/>
        <w:gridCol w:w="886"/>
        <w:gridCol w:w="146"/>
        <w:gridCol w:w="146"/>
        <w:gridCol w:w="226"/>
        <w:gridCol w:w="886"/>
        <w:gridCol w:w="146"/>
        <w:gridCol w:w="146"/>
        <w:gridCol w:w="226"/>
        <w:gridCol w:w="841"/>
        <w:gridCol w:w="181"/>
        <w:gridCol w:w="146"/>
        <w:gridCol w:w="285"/>
        <w:gridCol w:w="736"/>
        <w:gridCol w:w="271"/>
        <w:gridCol w:w="146"/>
        <w:gridCol w:w="226"/>
        <w:gridCol w:w="886"/>
        <w:gridCol w:w="146"/>
        <w:gridCol w:w="146"/>
        <w:gridCol w:w="226"/>
        <w:gridCol w:w="886"/>
        <w:gridCol w:w="146"/>
        <w:gridCol w:w="146"/>
        <w:gridCol w:w="226"/>
        <w:gridCol w:w="841"/>
        <w:gridCol w:w="181"/>
        <w:gridCol w:w="146"/>
        <w:gridCol w:w="262"/>
        <w:gridCol w:w="759"/>
        <w:gridCol w:w="31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Concert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(22,746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Sport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Theater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Marketplace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103,948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114,478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(10,530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201,475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248,218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(46,743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Marketplace revenues decreased by $10.5 million, or 9%, during the three months ended June 30, 2026 compared to the three months ended June 30, 2025, primarily as a result of a decrease in Marketplace orders partly offset by an increase in average order size for sports (which increase was primarily driven by the 2026 FIFA World Cup, whose unique North American hosting created an extraordinary demand environment not expected to recur in future periods, and is not necessarily indicative of the underlying run rate of our business). Marketplace revenues decreased by $46.7 million, or 19%, during the six months ended June 30, 2026 compared to the six months ended June 30, 2025. The decrease resulted primarily from, and was relatively consistent with, the 21% decrease in Marketplace orders during the same period.</w:t>
      </w:r>
    </w:p>
    <w:p>
      <w:pPr>
        <w:pStyle w:val="TextBody"/>
        <w:bidi w:val="0"/>
        <w:spacing w:before="0" w:after="120"/>
        <w:jc w:val="both"/>
        <w:rPr>
          <w:rFonts w:ascii="sans-serif" w:hAnsi="sans-serif"/>
          <w:color w:val="000000"/>
          <w:sz w:val="20"/>
        </w:rPr>
      </w:pPr>
      <w:r>
        <w:rPr>
          <w:rFonts w:ascii="sans-serif" w:hAnsi="sans-serif"/>
          <w:color w:val="000000"/>
          <w:sz w:val="20"/>
        </w:rPr>
        <w:t>Marketplace cancellation charges, which generally have a negative impact on Marketplace revenues, represented a reduction to Marketplace revenues of $4.6 million and $9.7 million during the three and six months ended June 30, 2026, respectively, compared to a reduction to Marketplace revenues of $4.2 million and $9.5 million during the three and six months ended June 30, 2025, respectively. The increases resulted primarily from lower Marketplace revenues recognized from customer credit breakage, partly offset by lower payment-related chargeback activity due to a decrease in Marketplace orders.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Marketplace revenues by business model for the three and six months ended June 30, 2026 and 2025 (in thousands, except percentages):</w:t>
      </w:r>
    </w:p>
    <w:tbl>
      <w:tblPr>
        <w:tblW w:w="12571" w:type="dxa"/>
        <w:jc w:val="left"/>
        <w:tblInd w:w="0" w:type="dxa"/>
        <w:tblLayout w:type="fixed"/>
        <w:tblCellMar>
          <w:top w:w="28" w:type="dxa"/>
          <w:left w:w="28" w:type="dxa"/>
          <w:bottom w:w="28" w:type="dxa"/>
          <w:right w:w="28" w:type="dxa"/>
        </w:tblCellMar>
      </w:tblPr>
      <w:tblGrid>
        <w:gridCol w:w="1246"/>
        <w:gridCol w:w="146"/>
        <w:gridCol w:w="226"/>
        <w:gridCol w:w="886"/>
        <w:gridCol w:w="146"/>
        <w:gridCol w:w="146"/>
        <w:gridCol w:w="226"/>
        <w:gridCol w:w="886"/>
        <w:gridCol w:w="146"/>
        <w:gridCol w:w="146"/>
        <w:gridCol w:w="226"/>
        <w:gridCol w:w="841"/>
        <w:gridCol w:w="181"/>
        <w:gridCol w:w="146"/>
        <w:gridCol w:w="285"/>
        <w:gridCol w:w="736"/>
        <w:gridCol w:w="271"/>
        <w:gridCol w:w="146"/>
        <w:gridCol w:w="226"/>
        <w:gridCol w:w="886"/>
        <w:gridCol w:w="146"/>
        <w:gridCol w:w="146"/>
        <w:gridCol w:w="226"/>
        <w:gridCol w:w="886"/>
        <w:gridCol w:w="146"/>
        <w:gridCol w:w="146"/>
        <w:gridCol w:w="226"/>
        <w:gridCol w:w="841"/>
        <w:gridCol w:w="181"/>
        <w:gridCol w:w="146"/>
        <w:gridCol w:w="262"/>
        <w:gridCol w:w="759"/>
        <w:gridCol w:w="31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Owned Properties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206,671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Private Label Offering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Marketplace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103,948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114,478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(10,530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201,475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248,218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(46,743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The decrease in both Owned Properties and Private Label Offering revenues during the three and six months ended June 30, 2026 compared to the three and six months ended June 30, 2025 resulted primarily from a decrease in Marketplace orders and, in the case of Private Label Offering revenues, the loss of a significant Private Label Offering distribution partner.</w:t>
      </w:r>
    </w:p>
    <w:p>
      <w:pPr>
        <w:pStyle w:val="TextBody"/>
        <w:bidi w:val="0"/>
        <w:spacing w:before="0" w:after="120"/>
        <w:jc w:val="both"/>
        <w:rPr>
          <w:rFonts w:ascii="sans-serif" w:hAnsi="sans-serif"/>
          <w:color w:val="000000"/>
          <w:sz w:val="20"/>
        </w:rPr>
      </w:pPr>
      <w:r>
        <w:rPr>
          <w:rFonts w:ascii="sans-serif" w:hAnsi="sans-serif"/>
          <w:color w:val="000000"/>
          <w:sz w:val="20"/>
        </w:rPr>
        <w:t>We also earn Marketplace revenues in the form of referral fees charged to third-party insurance providers in exchange for offering event insurance to ticket buyers. Marketplace revenues earned from referral fees were $3.4 million and $6.9 million during the three and six months ended June 30, 2026, respectively, compared to $4.5 million and $10.3 million during the three and six months ended June 30, 2025, respectively. The decreases resulted primarily from a decrease in Marketplace orders and a decline in the insurance attachment rate to orders.</w:t>
      </w:r>
    </w:p>
    <w:p>
      <w:pPr>
        <w:pStyle w:val="TextBody"/>
        <w:bidi w:val="0"/>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i/>
          <w:color w:val="000000"/>
          <w:sz w:val="20"/>
        </w:rPr>
      </w:pPr>
      <w:r>
        <w:rPr>
          <w:rFonts w:ascii="sans-serif" w:hAnsi="sans-serif"/>
          <w:i/>
          <w:color w:val="000000"/>
          <w:sz w:val="20"/>
        </w:rPr>
        <w:t>Resale Revenues</w:t>
      </w:r>
    </w:p>
    <w:p>
      <w:pPr>
        <w:pStyle w:val="TextBody"/>
        <w:bidi w:val="0"/>
        <w:spacing w:before="0" w:after="120"/>
        <w:jc w:val="both"/>
        <w:rPr>
          <w:rFonts w:ascii="sans-serif" w:hAnsi="sans-serif"/>
          <w:color w:val="000000"/>
          <w:sz w:val="20"/>
        </w:rPr>
      </w:pPr>
      <w:r>
        <w:rPr>
          <w:rFonts w:ascii="sans-serif" w:hAnsi="sans-serif"/>
          <w:color w:val="000000"/>
          <w:sz w:val="20"/>
        </w:rPr>
        <w:t>Resale revenues decreased by $3.2 million, or 11%, during the three months ended June 30, 2026 compared to the three months ended June 30, 2025 and decreased by $5.2 million, or 9%, during the six months ended June 30, 2026 compared to the six months ended June 30, 2025. The decreases resulted primarily from a decrease in Resale orders.</w:t>
      </w:r>
    </w:p>
    <w:p>
      <w:pPr>
        <w:pStyle w:val="TextBody"/>
        <w:bidi w:val="0"/>
        <w:spacing w:before="0" w:after="120"/>
        <w:jc w:val="both"/>
        <w:rPr>
          <w:rFonts w:ascii="sans-serif" w:hAnsi="sans-serif"/>
          <w:color w:val="000000"/>
          <w:sz w:val="20"/>
        </w:rPr>
      </w:pPr>
      <w:r>
        <w:rPr>
          <w:rFonts w:ascii="sans-serif" w:hAnsi="sans-serif"/>
          <w:color w:val="000000"/>
          <w:sz w:val="20"/>
        </w:rPr>
        <w:t>Resale cancellation charges, which generally have a negative impact on Resale revenues, represented a reduction to Resale revenues of $0.5 million and $0.8 million during the three and six months ended June 30, 2026, respectively, compared to a reduction to Resale revenues of $0.7 million and $1.2 million during the three and six months ended June 30, 2025, respectively. The decreases resulted primarily from a decrease in Resale orders.</w:t>
      </w:r>
    </w:p>
    <w:p>
      <w:pPr>
        <w:pStyle w:val="TextBody"/>
        <w:bidi w:val="0"/>
        <w:spacing w:before="0" w:after="120"/>
        <w:jc w:val="both"/>
        <w:rPr>
          <w:rFonts w:ascii="sans-serif" w:hAnsi="sans-serif"/>
          <w:b/>
          <w:i/>
          <w:color w:val="000000"/>
          <w:sz w:val="20"/>
        </w:rPr>
      </w:pPr>
      <w:r>
        <w:rPr>
          <w:rFonts w:ascii="sans-serif" w:hAnsi="sans-serif"/>
          <w:b/>
          <w:i/>
          <w:color w:val="000000"/>
          <w:sz w:val="20"/>
        </w:rPr>
        <w:t>Cost of Revenues</w:t>
      </w:r>
    </w:p>
    <w:p>
      <w:pPr>
        <w:pStyle w:val="TextBody"/>
        <w:bidi w:val="0"/>
        <w:spacing w:before="0" w:after="120"/>
        <w:jc w:val="both"/>
        <w:rPr>
          <w:rFonts w:ascii="sans-serif" w:hAnsi="sans-serif"/>
          <w:i/>
          <w:color w:val="000000"/>
          <w:sz w:val="20"/>
        </w:rPr>
      </w:pPr>
      <w:r>
        <w:rPr>
          <w:rFonts w:ascii="sans-serif" w:hAnsi="sans-serif"/>
          <w:i/>
          <w:color w:val="000000"/>
          <w:sz w:val="20"/>
        </w:rPr>
        <w:t>Total Cost of Revenues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total cost of revenues by segment for the three and six months ended June 30, 2026 and 2025 (in thousands, except percentages):</w:t>
      </w:r>
    </w:p>
    <w:tbl>
      <w:tblPr>
        <w:tblW w:w="11746" w:type="dxa"/>
        <w:jc w:val="left"/>
        <w:tblInd w:w="0" w:type="dxa"/>
        <w:tblLayout w:type="fixed"/>
        <w:tblCellMar>
          <w:top w:w="28" w:type="dxa"/>
          <w:left w:w="28" w:type="dxa"/>
          <w:bottom w:w="28" w:type="dxa"/>
          <w:right w:w="28" w:type="dxa"/>
        </w:tblCellMar>
      </w:tblPr>
      <w:tblGrid>
        <w:gridCol w:w="1141"/>
        <w:gridCol w:w="146"/>
        <w:gridCol w:w="226"/>
        <w:gridCol w:w="766"/>
        <w:gridCol w:w="146"/>
        <w:gridCol w:w="146"/>
        <w:gridCol w:w="226"/>
        <w:gridCol w:w="766"/>
        <w:gridCol w:w="146"/>
        <w:gridCol w:w="146"/>
        <w:gridCol w:w="226"/>
        <w:gridCol w:w="721"/>
        <w:gridCol w:w="181"/>
        <w:gridCol w:w="146"/>
        <w:gridCol w:w="285"/>
        <w:gridCol w:w="736"/>
        <w:gridCol w:w="271"/>
        <w:gridCol w:w="146"/>
        <w:gridCol w:w="226"/>
        <w:gridCol w:w="766"/>
        <w:gridCol w:w="146"/>
        <w:gridCol w:w="146"/>
        <w:gridCol w:w="226"/>
        <w:gridCol w:w="766"/>
        <w:gridCol w:w="146"/>
        <w:gridCol w:w="146"/>
        <w:gridCol w:w="226"/>
        <w:gridCol w:w="721"/>
        <w:gridCol w:w="181"/>
        <w:gridCol w:w="146"/>
        <w:gridCol w:w="262"/>
        <w:gridCol w:w="759"/>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Marketplace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Resale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42,429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(3,787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77,837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86,954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(9,117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Total cost of revenues decreased by $3.8 million, or 9%, during the three months ended June 30, 2026 compared to the three months ended June 30, 2025 and decreased by $9.1 million, or 10%, during the six months ended June 30, 2026 compared to the six months ended June 30, 2025. The decreases resulted primarily from a decrease in Resale cost of revenues.</w:t>
      </w:r>
    </w:p>
    <w:p>
      <w:pPr>
        <w:pStyle w:val="TextBody"/>
        <w:bidi w:val="0"/>
        <w:spacing w:before="0" w:after="120"/>
        <w:jc w:val="both"/>
        <w:rPr>
          <w:rFonts w:ascii="sans-serif" w:hAnsi="sans-serif"/>
          <w:i/>
          <w:color w:val="000000"/>
          <w:sz w:val="20"/>
        </w:rPr>
      </w:pPr>
      <w:r>
        <w:rPr>
          <w:rFonts w:ascii="sans-serif" w:hAnsi="sans-serif"/>
          <w:i/>
          <w:color w:val="000000"/>
          <w:sz w:val="20"/>
        </w:rPr>
        <w:t>Marketplace Cost of Revenues</w:t>
      </w:r>
    </w:p>
    <w:p>
      <w:pPr>
        <w:pStyle w:val="TextBody"/>
        <w:bidi w:val="0"/>
        <w:spacing w:before="0" w:after="120"/>
        <w:jc w:val="both"/>
        <w:rPr>
          <w:rFonts w:ascii="sans-serif" w:hAnsi="sans-serif"/>
          <w:color w:val="000000"/>
          <w:sz w:val="20"/>
        </w:rPr>
      </w:pPr>
      <w:r>
        <w:rPr>
          <w:rFonts w:ascii="sans-serif" w:hAnsi="sans-serif"/>
          <w:color w:val="000000"/>
          <w:sz w:val="20"/>
        </w:rPr>
        <w:t>Marketplace cost of revenues decreased by $0.7 million, or 4%, during the three months ended June 30, 2026 compared to the three months ended June 30, 2025 and decreased by $5.1 million, or 13%, during the six months ended June 30, 2026 compared to the six months ended June 30, 2025. The decreases, which were primarily due to a decrease in Marketplace orders, were relatively consistent with the 4% and 16% decreases in Marketplace GOV during the same respective periods.</w:t>
      </w:r>
    </w:p>
    <w:p>
      <w:pPr>
        <w:pStyle w:val="TextBody"/>
        <w:bidi w:val="0"/>
        <w:spacing w:before="0" w:after="120"/>
        <w:jc w:val="both"/>
        <w:rPr>
          <w:rFonts w:ascii="sans-serif" w:hAnsi="sans-serif"/>
          <w:i/>
          <w:color w:val="000000"/>
          <w:sz w:val="20"/>
        </w:rPr>
      </w:pPr>
      <w:r>
        <w:rPr>
          <w:rFonts w:ascii="sans-serif" w:hAnsi="sans-serif"/>
          <w:i/>
          <w:color w:val="000000"/>
          <w:sz w:val="20"/>
        </w:rPr>
        <w:t>Resale Cost of Revenues</w:t>
      </w:r>
    </w:p>
    <w:p>
      <w:pPr>
        <w:pStyle w:val="TextBody"/>
        <w:bidi w:val="0"/>
        <w:spacing w:before="0" w:after="120"/>
        <w:jc w:val="both"/>
        <w:rPr>
          <w:rFonts w:ascii="sans-serif" w:hAnsi="sans-serif"/>
          <w:color w:val="000000"/>
          <w:sz w:val="20"/>
        </w:rPr>
      </w:pPr>
      <w:r>
        <w:rPr>
          <w:rFonts w:ascii="sans-serif" w:hAnsi="sans-serif"/>
          <w:color w:val="000000"/>
          <w:sz w:val="20"/>
        </w:rPr>
        <w:t>Resale cost of revenues decreased by $3.1 million, or 13%, during the three months ended June 30, 2026 compared to the three months ended June 30, 2025 and decreased by $4.0 million, or 8%, during the six months ended June 30, 2026 compared to the six months ended June 30, 2025. The decreases, which were primarily due to a decrease in Resale orders, were relatively consistent with the 11% and 9% decreases in Resale revenues during the same respective periods.</w:t>
      </w:r>
    </w:p>
    <w:p>
      <w:pPr>
        <w:pStyle w:val="TextBody"/>
        <w:bidi w:val="0"/>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i/>
          <w:color w:val="000000"/>
          <w:sz w:val="20"/>
        </w:rPr>
      </w:pPr>
      <w:r>
        <w:rPr>
          <w:rFonts w:ascii="sans-serif" w:hAnsi="sans-serif"/>
          <w:b/>
          <w:i/>
          <w:color w:val="000000"/>
          <w:sz w:val="20"/>
        </w:rPr>
        <w:t>Marketing and Selling</w:t>
      </w:r>
    </w:p>
    <w:p>
      <w:pPr>
        <w:pStyle w:val="TextBody"/>
        <w:bidi w:val="0"/>
        <w:spacing w:before="0" w:after="120"/>
        <w:jc w:val="both"/>
        <w:rPr>
          <w:rFonts w:ascii="sans-serif" w:hAnsi="sans-serif"/>
          <w:i/>
          <w:color w:val="000000"/>
          <w:sz w:val="20"/>
        </w:rPr>
      </w:pPr>
      <w:r>
        <w:rPr>
          <w:rFonts w:ascii="sans-serif" w:hAnsi="sans-serif"/>
          <w:i/>
          <w:color w:val="000000"/>
          <w:sz w:val="20"/>
        </w:rPr>
        <w:t>Total Marketing and Selling</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total marketing and selling expenses, which relate entirely to our Marketplace segment, by advertising category for the three and six months ended June 30, 2026 and 2025 (in thousands, except percentages):</w:t>
      </w:r>
    </w:p>
    <w:tbl>
      <w:tblPr>
        <w:tblW w:w="12031" w:type="dxa"/>
        <w:jc w:val="left"/>
        <w:tblInd w:w="0" w:type="dxa"/>
        <w:tblLayout w:type="fixed"/>
        <w:tblCellMar>
          <w:top w:w="28" w:type="dxa"/>
          <w:left w:w="28" w:type="dxa"/>
          <w:bottom w:w="28" w:type="dxa"/>
          <w:right w:w="28" w:type="dxa"/>
        </w:tblCellMar>
      </w:tblPr>
      <w:tblGrid>
        <w:gridCol w:w="1066"/>
        <w:gridCol w:w="146"/>
        <w:gridCol w:w="226"/>
        <w:gridCol w:w="766"/>
        <w:gridCol w:w="146"/>
        <w:gridCol w:w="146"/>
        <w:gridCol w:w="226"/>
        <w:gridCol w:w="766"/>
        <w:gridCol w:w="146"/>
        <w:gridCol w:w="146"/>
        <w:gridCol w:w="226"/>
        <w:gridCol w:w="721"/>
        <w:gridCol w:w="181"/>
        <w:gridCol w:w="146"/>
        <w:gridCol w:w="285"/>
        <w:gridCol w:w="736"/>
        <w:gridCol w:w="271"/>
        <w:gridCol w:w="146"/>
        <w:gridCol w:w="226"/>
        <w:gridCol w:w="886"/>
        <w:gridCol w:w="146"/>
        <w:gridCol w:w="146"/>
        <w:gridCol w:w="226"/>
        <w:gridCol w:w="886"/>
        <w:gridCol w:w="146"/>
        <w:gridCol w:w="146"/>
        <w:gridCol w:w="226"/>
        <w:gridCol w:w="841"/>
        <w:gridCol w:w="181"/>
        <w:gridCol w:w="146"/>
        <w:gridCol w:w="262"/>
        <w:gridCol w:w="759"/>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Online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Offline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marketing and 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52,753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53,800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102,704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117,912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(15,208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Total marketing and selling expenses decreased by $1.0 million, or 2%, during the three months ended June 30, 2026 compared to the three months ended June 30, 2025 and decreased by $15.2 million, or 13%, during the six months ended June 30, 2026 compared to the six months ended June 30, 2025. Marketing and selling expenses largely relate to Owned Properties, and the decreases were relatively consistent with the 4% and 12% decreases in Owned Properties revenues during the same respective periods.</w:t>
      </w:r>
    </w:p>
    <w:p>
      <w:pPr>
        <w:pStyle w:val="TextBody"/>
        <w:bidi w:val="0"/>
        <w:spacing w:before="0" w:after="120"/>
        <w:jc w:val="both"/>
        <w:rPr>
          <w:rFonts w:ascii="sans-serif" w:hAnsi="sans-serif"/>
          <w:i/>
          <w:color w:val="000000"/>
          <w:sz w:val="20"/>
        </w:rPr>
      </w:pPr>
      <w:r>
        <w:rPr>
          <w:rFonts w:ascii="sans-serif" w:hAnsi="sans-serif"/>
          <w:i/>
          <w:color w:val="000000"/>
          <w:sz w:val="20"/>
        </w:rPr>
        <w:t>Online Advertising</w:t>
      </w:r>
    </w:p>
    <w:p>
      <w:pPr>
        <w:pStyle w:val="TextBody"/>
        <w:bidi w:val="0"/>
        <w:spacing w:before="0" w:after="120"/>
        <w:jc w:val="both"/>
        <w:rPr>
          <w:rFonts w:ascii="sans-serif" w:hAnsi="sans-serif"/>
          <w:color w:val="000000"/>
          <w:sz w:val="20"/>
        </w:rPr>
      </w:pPr>
      <w:r>
        <w:rPr>
          <w:rFonts w:ascii="sans-serif" w:hAnsi="sans-serif"/>
          <w:color w:val="000000"/>
          <w:sz w:val="20"/>
        </w:rPr>
        <w:t>Online advertising costs increased by $1.8 million, or 4%, during the three months ended June 30, 2026 compared to the three months ended June 30, 2025. The increase resulted primarily from greater investment in digital performance marketing channels within Owned Properties. Online advertising costs decreased by $10.4 million, or 10%, during the six months ended June 30, 2026 compared to the six months ended June 30, 2025. The decrease was relatively consistent with the 12% decrease in Owned Properties revenues during the same period.</w:t>
      </w:r>
    </w:p>
    <w:p>
      <w:pPr>
        <w:pStyle w:val="TextBody"/>
        <w:bidi w:val="0"/>
        <w:spacing w:before="0" w:after="120"/>
        <w:jc w:val="both"/>
        <w:rPr>
          <w:rFonts w:ascii="sans-serif" w:hAnsi="sans-serif"/>
          <w:i/>
          <w:color w:val="000000"/>
          <w:sz w:val="20"/>
        </w:rPr>
      </w:pPr>
      <w:r>
        <w:rPr>
          <w:rFonts w:ascii="sans-serif" w:hAnsi="sans-serif"/>
          <w:i/>
          <w:color w:val="000000"/>
          <w:sz w:val="20"/>
        </w:rPr>
        <w:t>Offline Advertising</w:t>
      </w:r>
    </w:p>
    <w:p>
      <w:pPr>
        <w:pStyle w:val="TextBody"/>
        <w:bidi w:val="0"/>
        <w:spacing w:before="0" w:after="120"/>
        <w:jc w:val="both"/>
        <w:rPr>
          <w:rFonts w:ascii="sans-serif" w:hAnsi="sans-serif"/>
          <w:color w:val="000000"/>
          <w:sz w:val="20"/>
        </w:rPr>
      </w:pPr>
      <w:r>
        <w:rPr>
          <w:rFonts w:ascii="sans-serif" w:hAnsi="sans-serif"/>
          <w:color w:val="000000"/>
          <w:sz w:val="20"/>
        </w:rPr>
        <w:t>Offline advertising costs decreased by $2.9 million, or 55%, during the three months ended June 30, 2026 compared to the three months ended June 30, 2025 and decreased by $4.8 million, or 48%, during the six months ended June 30, 2026 compared to the six months ended June 30, 2025. The decreases resulted primarily from lower spending in traditional brand marketing channels.</w:t>
      </w:r>
    </w:p>
    <w:p>
      <w:pPr>
        <w:pStyle w:val="TextBody"/>
        <w:bidi w:val="0"/>
        <w:spacing w:before="0" w:after="120"/>
        <w:jc w:val="both"/>
        <w:rPr>
          <w:rFonts w:ascii="sans-serif" w:hAnsi="sans-serif"/>
          <w:b/>
          <w:i/>
          <w:color w:val="000000"/>
          <w:sz w:val="20"/>
        </w:rPr>
      </w:pPr>
      <w:r>
        <w:rPr>
          <w:rFonts w:ascii="sans-serif" w:hAnsi="sans-serif"/>
          <w:b/>
          <w:i/>
          <w:color w:val="000000"/>
          <w:sz w:val="20"/>
        </w:rPr>
        <w:t>Contribution Margin</w:t>
      </w:r>
    </w:p>
    <w:p>
      <w:pPr>
        <w:pStyle w:val="TextBody"/>
        <w:bidi w:val="0"/>
        <w:spacing w:before="0" w:after="120"/>
        <w:jc w:val="both"/>
        <w:rPr>
          <w:rFonts w:ascii="sans-serif" w:hAnsi="sans-serif"/>
          <w:i/>
          <w:color w:val="000000"/>
          <w:sz w:val="20"/>
        </w:rPr>
      </w:pPr>
      <w:r>
        <w:rPr>
          <w:rFonts w:ascii="sans-serif" w:hAnsi="sans-serif"/>
          <w:i/>
          <w:color w:val="000000"/>
          <w:sz w:val="20"/>
        </w:rPr>
        <w:t>Total Contribution Margin</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total contribution margin by segment for the three and six months ended June 30, 2026 and 2025 (in thousands, except percentages):</w:t>
      </w:r>
    </w:p>
    <w:tbl>
      <w:tblPr>
        <w:tblW w:w="12136" w:type="dxa"/>
        <w:jc w:val="left"/>
        <w:tblInd w:w="0" w:type="dxa"/>
        <w:tblLayout w:type="fixed"/>
        <w:tblCellMar>
          <w:top w:w="28" w:type="dxa"/>
          <w:left w:w="28" w:type="dxa"/>
          <w:bottom w:w="28" w:type="dxa"/>
          <w:right w:w="28" w:type="dxa"/>
        </w:tblCellMar>
      </w:tblPr>
      <w:tblGrid>
        <w:gridCol w:w="1291"/>
        <w:gridCol w:w="146"/>
        <w:gridCol w:w="226"/>
        <w:gridCol w:w="766"/>
        <w:gridCol w:w="146"/>
        <w:gridCol w:w="146"/>
        <w:gridCol w:w="226"/>
        <w:gridCol w:w="766"/>
        <w:gridCol w:w="146"/>
        <w:gridCol w:w="146"/>
        <w:gridCol w:w="226"/>
        <w:gridCol w:w="721"/>
        <w:gridCol w:w="181"/>
        <w:gridCol w:w="146"/>
        <w:gridCol w:w="262"/>
        <w:gridCol w:w="759"/>
        <w:gridCol w:w="271"/>
        <w:gridCol w:w="146"/>
        <w:gridCol w:w="226"/>
        <w:gridCol w:w="766"/>
        <w:gridCol w:w="146"/>
        <w:gridCol w:w="146"/>
        <w:gridCol w:w="226"/>
        <w:gridCol w:w="886"/>
        <w:gridCol w:w="146"/>
        <w:gridCol w:w="146"/>
        <w:gridCol w:w="226"/>
        <w:gridCol w:w="841"/>
        <w:gridCol w:w="181"/>
        <w:gridCol w:w="146"/>
        <w:gridCol w:w="262"/>
        <w:gridCol w:w="759"/>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Marketplace contribution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(26,436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Resale contribution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contribution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47,337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(8,871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75,103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102,723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(27,620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Total contribution margin decreased by $8.9 million, or 19%, during the three months ended June 30, 2026 compared to the three months ended June 30, 2025 and decreased by $27.6 million, or 27%, during the six months ended June 30, 2026 compared to the six months ended June 30, 2025. The decreases resulted primarily from a decrease in Marketplace contribution margin.</w:t>
      </w:r>
    </w:p>
    <w:p>
      <w:pPr>
        <w:pStyle w:val="TextBody"/>
        <w:bidi w:val="0"/>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i/>
          <w:color w:val="000000"/>
          <w:sz w:val="20"/>
        </w:rPr>
      </w:pPr>
      <w:r>
        <w:rPr>
          <w:rFonts w:ascii="sans-serif" w:hAnsi="sans-serif"/>
          <w:i/>
          <w:color w:val="000000"/>
          <w:sz w:val="20"/>
        </w:rPr>
        <w:t>Marketplace Contribution Margin</w:t>
      </w:r>
    </w:p>
    <w:p>
      <w:pPr>
        <w:pStyle w:val="TextBody"/>
        <w:bidi w:val="0"/>
        <w:spacing w:before="0" w:after="120"/>
        <w:jc w:val="both"/>
        <w:rPr>
          <w:rFonts w:ascii="sans-serif" w:hAnsi="sans-serif"/>
          <w:color w:val="000000"/>
          <w:sz w:val="20"/>
        </w:rPr>
      </w:pPr>
      <w:r>
        <w:rPr>
          <w:rFonts w:ascii="sans-serif" w:hAnsi="sans-serif"/>
          <w:color w:val="000000"/>
          <w:sz w:val="20"/>
        </w:rPr>
        <w:t>Marketplace contribution margin decreased by $8.8 million, or 21%, during the three months ended June 30, 2026 compared to the three months ended June 30, 2025 and decreased by $26.4 million, or 29%, during the six months ended June 30, 2026 compared to the six months ended June 30, 2025. The decreases resulted primarily from a decrease in Marketplace orders and revenues.</w:t>
      </w:r>
    </w:p>
    <w:p>
      <w:pPr>
        <w:pStyle w:val="TextBody"/>
        <w:bidi w:val="0"/>
        <w:spacing w:before="0" w:after="120"/>
        <w:jc w:val="both"/>
        <w:rPr>
          <w:rFonts w:ascii="sans-serif" w:hAnsi="sans-serif"/>
          <w:i/>
          <w:color w:val="000000"/>
          <w:sz w:val="20"/>
        </w:rPr>
      </w:pPr>
      <w:r>
        <w:rPr>
          <w:rFonts w:ascii="sans-serif" w:hAnsi="sans-serif"/>
          <w:i/>
          <w:color w:val="000000"/>
          <w:sz w:val="20"/>
        </w:rPr>
        <w:t>Resale Contribution Margin</w:t>
      </w:r>
    </w:p>
    <w:p>
      <w:pPr>
        <w:pStyle w:val="TextBody"/>
        <w:bidi w:val="0"/>
        <w:spacing w:before="0" w:after="120"/>
        <w:jc w:val="both"/>
        <w:rPr>
          <w:rFonts w:ascii="sans-serif" w:hAnsi="sans-serif"/>
          <w:color w:val="000000"/>
          <w:sz w:val="20"/>
        </w:rPr>
      </w:pPr>
      <w:r>
        <w:rPr>
          <w:rFonts w:ascii="sans-serif" w:hAnsi="sans-serif"/>
          <w:color w:val="000000"/>
          <w:sz w:val="20"/>
        </w:rPr>
        <w:t>Resale contribution margin decreased by $0.1 million, or 2%, during the three months ended June 30, 2026 compared to the three months ended June 30, 2025, primarily as a result of a lower Resale order volume. Resale contribution margin decreased by $1.2 million, or 10%, during the six months ended June 30, 2026 compared to the six months ended June 30, 2025, driven by a decrease in Resale orders and reduced margins for certain Resale event categories.</w:t>
      </w:r>
    </w:p>
    <w:p>
      <w:pPr>
        <w:pStyle w:val="TextBody"/>
        <w:bidi w:val="0"/>
        <w:spacing w:before="0" w:after="120"/>
        <w:jc w:val="both"/>
        <w:rPr>
          <w:rFonts w:ascii="sans-serif" w:hAnsi="sans-serif"/>
          <w:b/>
          <w:i/>
          <w:color w:val="000000"/>
          <w:sz w:val="20"/>
        </w:rPr>
      </w:pPr>
      <w:r>
        <w:rPr>
          <w:rFonts w:ascii="sans-serif" w:hAnsi="sans-serif"/>
          <w:b/>
          <w:i/>
          <w:color w:val="000000"/>
          <w:sz w:val="20"/>
        </w:rPr>
        <w:t>General and Administrative</w:t>
      </w:r>
    </w:p>
    <w:p>
      <w:pPr>
        <w:pStyle w:val="TextBody"/>
        <w:bidi w:val="0"/>
        <w:spacing w:before="0" w:after="120"/>
        <w:jc w:val="both"/>
        <w:rPr>
          <w:rFonts w:ascii="sans-serif" w:hAnsi="sans-serif"/>
          <w:i/>
          <w:color w:val="000000"/>
          <w:sz w:val="20"/>
        </w:rPr>
      </w:pPr>
      <w:r>
        <w:rPr>
          <w:rFonts w:ascii="sans-serif" w:hAnsi="sans-serif"/>
          <w:i/>
          <w:color w:val="000000"/>
          <w:sz w:val="20"/>
        </w:rPr>
        <w:t>Total General and Administrative</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presents total general and administrative expenses by category for the three and six months ended June 30, 2026 and 2025 (in thousands, except percentages):</w:t>
      </w:r>
    </w:p>
    <w:tbl>
      <w:tblPr>
        <w:tblW w:w="12321" w:type="dxa"/>
        <w:jc w:val="left"/>
        <w:tblInd w:w="0" w:type="dxa"/>
        <w:tblLayout w:type="fixed"/>
        <w:tblCellMar>
          <w:top w:w="28" w:type="dxa"/>
          <w:left w:w="28" w:type="dxa"/>
          <w:bottom w:w="28" w:type="dxa"/>
          <w:right w:w="28" w:type="dxa"/>
        </w:tblCellMar>
      </w:tblPr>
      <w:tblGrid>
        <w:gridCol w:w="1456"/>
        <w:gridCol w:w="146"/>
        <w:gridCol w:w="226"/>
        <w:gridCol w:w="766"/>
        <w:gridCol w:w="146"/>
        <w:gridCol w:w="146"/>
        <w:gridCol w:w="226"/>
        <w:gridCol w:w="766"/>
        <w:gridCol w:w="146"/>
        <w:gridCol w:w="146"/>
        <w:gridCol w:w="226"/>
        <w:gridCol w:w="841"/>
        <w:gridCol w:w="181"/>
        <w:gridCol w:w="146"/>
        <w:gridCol w:w="262"/>
        <w:gridCol w:w="759"/>
        <w:gridCol w:w="271"/>
        <w:gridCol w:w="146"/>
        <w:gridCol w:w="226"/>
        <w:gridCol w:w="766"/>
        <w:gridCol w:w="146"/>
        <w:gridCol w:w="146"/>
        <w:gridCol w:w="226"/>
        <w:gridCol w:w="766"/>
        <w:gridCol w:w="166"/>
        <w:gridCol w:w="146"/>
        <w:gridCol w:w="226"/>
        <w:gridCol w:w="841"/>
        <w:gridCol w:w="181"/>
        <w:gridCol w:w="146"/>
        <w:gridCol w:w="262"/>
        <w:gridCol w:w="759"/>
        <w:gridCol w:w="31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(13,244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(24,775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Non-income tax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(5,354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32,589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(13,683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65,706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94,354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(28,648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bl>
    <w:p>
      <w:pPr>
        <w:pStyle w:val="TextBody"/>
        <w:bidi w:val="0"/>
        <w:spacing w:before="120" w:after="120"/>
        <w:jc w:val="both"/>
        <w:rPr>
          <w:rFonts w:ascii="sans-serif" w:hAnsi="sans-serif"/>
          <w:color w:val="000000"/>
          <w:sz w:val="20"/>
        </w:rPr>
      </w:pPr>
      <w:r>
        <w:rPr>
          <w:rFonts w:ascii="sans-serif" w:hAnsi="sans-serif"/>
          <w:color w:val="000000"/>
          <w:sz w:val="20"/>
        </w:rPr>
        <w:t>Total general and administrative expenses decreased by $13.7 million, or 30%, during the three months ended June 30, 2026 compared to the three months ended June 30, 2025 and decreased by $28.6 million, or 30%, during the six months ended June 30, 2026 compared to the six months ended June 30, 2025. The decreases resulted primarily from a decrease in personnel expenses due to lower equity-based compensation expenses as well as a reduction in employee headcount as part of our strategic cost reduction program, for which we incurred general and administrative expenses of less than $0.1 million and $0.2 million related to severance compensation during the three and six months ended June 30, 2026, respectively.</w:t>
      </w:r>
    </w:p>
    <w:p>
      <w:pPr>
        <w:pStyle w:val="TextBody"/>
        <w:bidi w:val="0"/>
        <w:spacing w:before="0" w:after="120"/>
        <w:jc w:val="both"/>
        <w:rPr>
          <w:rFonts w:ascii="sans-serif" w:hAnsi="sans-serif"/>
          <w:i/>
          <w:color w:val="000000"/>
          <w:sz w:val="20"/>
        </w:rPr>
      </w:pPr>
      <w:r>
        <w:rPr>
          <w:rFonts w:ascii="sans-serif" w:hAnsi="sans-serif"/>
          <w:i/>
          <w:color w:val="000000"/>
          <w:sz w:val="20"/>
        </w:rPr>
        <w:t>Personnel Expenses</w:t>
      </w:r>
    </w:p>
    <w:p>
      <w:pPr>
        <w:pStyle w:val="TextBody"/>
        <w:bidi w:val="0"/>
        <w:spacing w:before="0" w:after="120"/>
        <w:jc w:val="both"/>
        <w:rPr>
          <w:rFonts w:ascii="sans-serif" w:hAnsi="sans-serif"/>
          <w:color w:val="000000"/>
          <w:sz w:val="20"/>
        </w:rPr>
      </w:pPr>
      <w:r>
        <w:rPr>
          <w:rFonts w:ascii="sans-serif" w:hAnsi="sans-serif"/>
          <w:color w:val="000000"/>
          <w:sz w:val="20"/>
        </w:rPr>
        <w:t>Personnel expenses decreased by $13.2 million, or 39%, during the three months ended June 30, 2026 compared to the three months ended June 30, 2025 and decreased by $24.8 million, or 37%, during the six months ended June 30, 2026 compared to the six months ended June 30, 2025. The decreases resulted primarily from a decrease in equity-based compensation expenses and other personnel cost savings associated with the reduction in employee headcount under our strategic cost reduction program, for which we incurred personnel expenses of less than $0.1 million and $0.2 million related to severance compensation during the three and six months ended June 30, 2026, respectively.</w:t>
      </w:r>
    </w:p>
    <w:p>
      <w:pPr>
        <w:pStyle w:val="TextBody"/>
        <w:bidi w:val="0"/>
        <w:spacing w:before="0" w:after="120"/>
        <w:jc w:val="both"/>
        <w:rPr>
          <w:rFonts w:ascii="sans-serif" w:hAnsi="sans-serif"/>
          <w:i/>
          <w:color w:val="000000"/>
          <w:sz w:val="20"/>
        </w:rPr>
      </w:pPr>
      <w:r>
        <w:rPr>
          <w:rFonts w:ascii="sans-serif" w:hAnsi="sans-serif"/>
          <w:i/>
          <w:color w:val="000000"/>
          <w:sz w:val="20"/>
        </w:rPr>
        <w:t>Non-Income Tax Expense</w:t>
      </w:r>
    </w:p>
    <w:p>
      <w:pPr>
        <w:pStyle w:val="TextBody"/>
        <w:bidi w:val="0"/>
        <w:spacing w:before="0" w:after="120"/>
        <w:jc w:val="both"/>
        <w:rPr>
          <w:rFonts w:ascii="Times New Roman" w:hAnsi="Times New Roman"/>
          <w:sz w:val="20"/>
        </w:rPr>
      </w:pPr>
      <w:r>
        <w:rPr>
          <w:rFonts w:ascii="sans-serif" w:hAnsi="sans-serif"/>
          <w:color w:val="000000"/>
          <w:sz w:val="20"/>
        </w:rPr>
        <w:t>Non-income tax expense decreased by $0.4 million, or 42%, during the three months ended June 30, 2026 compared to the three months ended June 30, 2025. The decrease resulted primarily from a decrease in the amount of value-added taxes owed in jurisdictions where we believed it was probable we should remit payment to U.S. and foreign governmental tax authorities before all required amounts are collected from the customer. Non-income tax expense increased by $1.5 million, or 320%, during the six months ended June 30, 2026 compared to the six months ended June 30, 2025. The increase resulted primarily from accruing for additional uncollected indirect tax liabilities in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jurisdictions where we believed it was probable we should remit payment to U.S. and foreign governmental tax authorities before all required amounts are collected from the customer.</w:t>
      </w:r>
    </w:p>
    <w:p>
      <w:pPr>
        <w:pStyle w:val="TextBody"/>
        <w:bidi w:val="0"/>
        <w:spacing w:before="0" w:after="120"/>
        <w:jc w:val="both"/>
        <w:rPr>
          <w:rFonts w:ascii="sans-serif" w:hAnsi="sans-serif"/>
          <w:i/>
          <w:color w:val="000000"/>
          <w:sz w:val="20"/>
        </w:rPr>
      </w:pPr>
      <w:r>
        <w:rPr>
          <w:rFonts w:ascii="sans-serif" w:hAnsi="sans-serif"/>
          <w:i/>
          <w:color w:val="000000"/>
          <w:sz w:val="20"/>
        </w:rPr>
        <w:t>Other General and Administrative</w:t>
      </w:r>
    </w:p>
    <w:p>
      <w:pPr>
        <w:pStyle w:val="TextBody"/>
        <w:bidi w:val="0"/>
        <w:spacing w:before="0" w:after="120"/>
        <w:jc w:val="both"/>
        <w:rPr>
          <w:rFonts w:ascii="sans-serif" w:hAnsi="sans-serif"/>
          <w:color w:val="000000"/>
          <w:sz w:val="20"/>
        </w:rPr>
      </w:pPr>
      <w:r>
        <w:rPr>
          <w:rFonts w:ascii="sans-serif" w:hAnsi="sans-serif"/>
          <w:color w:val="000000"/>
          <w:sz w:val="20"/>
        </w:rPr>
        <w:t>Other general and administrative expenses decreased by less than $0.1 million, or 0%, during the three months ended June 30, 2026 compared to the three months ended June 30, 2025 and decreased by $5.4 million, or 19%, during the six months ended June 30, 2026 compared to the six months ended June 30, 2025. The decreases resulted primarily from a decrease in professional service fees.</w:t>
      </w:r>
    </w:p>
    <w:p>
      <w:pPr>
        <w:pStyle w:val="TextBody"/>
        <w:bidi w:val="0"/>
        <w:spacing w:before="0" w:after="120"/>
        <w:jc w:val="both"/>
        <w:rPr>
          <w:rFonts w:ascii="sans-serif" w:hAnsi="sans-serif"/>
          <w:b/>
          <w:i/>
          <w:color w:val="000000"/>
          <w:sz w:val="20"/>
        </w:rPr>
      </w:pPr>
      <w:r>
        <w:rPr>
          <w:rFonts w:ascii="sans-serif" w:hAnsi="sans-serif"/>
          <w:b/>
          <w:i/>
          <w:color w:val="000000"/>
          <w:sz w:val="20"/>
        </w:rPr>
        <w:t>Depreciation and Amortization</w:t>
      </w:r>
    </w:p>
    <w:p>
      <w:pPr>
        <w:pStyle w:val="TextBody"/>
        <w:bidi w:val="0"/>
        <w:spacing w:before="0" w:after="120"/>
        <w:jc w:val="both"/>
        <w:rPr>
          <w:rFonts w:ascii="sans-serif" w:hAnsi="sans-serif"/>
          <w:color w:val="000000"/>
          <w:sz w:val="20"/>
        </w:rPr>
      </w:pPr>
      <w:r>
        <w:rPr>
          <w:rFonts w:ascii="sans-serif" w:hAnsi="sans-serif"/>
          <w:color w:val="000000"/>
          <w:sz w:val="20"/>
        </w:rPr>
        <w:t>Depreciation and amortization expenses increased by $0.7 million, or 3%, during the six months ended June 30, 2026 compared to the six months ended June 30, 2025. The increase resulted primarily from an increase in amortization related to capitalized development activities for our online platform. There was no change in Depreciation and amortization expenses during the three months ended June 30, 2026 compared to the three months ended June 30, 2025.</w:t>
      </w:r>
    </w:p>
    <w:p>
      <w:pPr>
        <w:pStyle w:val="TextBody"/>
        <w:bidi w:val="0"/>
        <w:spacing w:before="0" w:after="120"/>
        <w:jc w:val="both"/>
        <w:rPr>
          <w:rFonts w:ascii="sans-serif" w:hAnsi="sans-serif"/>
          <w:b/>
          <w:i/>
          <w:color w:val="000000"/>
          <w:sz w:val="20"/>
        </w:rPr>
      </w:pPr>
      <w:r>
        <w:rPr>
          <w:rFonts w:ascii="sans-serif" w:hAnsi="sans-serif"/>
          <w:b/>
          <w:i/>
          <w:color w:val="000000"/>
          <w:sz w:val="20"/>
        </w:rPr>
        <w:t>Impairment Charges</w:t>
      </w:r>
    </w:p>
    <w:p>
      <w:pPr>
        <w:pStyle w:val="TextBody"/>
        <w:bidi w:val="0"/>
        <w:spacing w:before="0" w:after="120"/>
        <w:jc w:val="left"/>
        <w:rPr>
          <w:rFonts w:ascii="sans-serif" w:hAnsi="sans-serif"/>
          <w:color w:val="000000"/>
          <w:sz w:val="20"/>
        </w:rPr>
      </w:pPr>
      <w:r>
        <w:rPr>
          <w:rFonts w:ascii="sans-serif" w:hAnsi="sans-serif"/>
          <w:color w:val="000000"/>
          <w:sz w:val="20"/>
        </w:rPr>
        <w:t>Impairment charges were $320.4 million during the three and six months ended June 30, 2025, compared to zero during the three and six months ended June 30, 2026. The impairment charges resulted primarily from the effects of declines in our financial performance, near-term outlook, and Class A common stock price, among other factors, during the three and six months ended June 30, 2025 that resulted in a reduction of the fair values of our goodwill and certain indefinite-lived intangible assets.</w:t>
      </w:r>
    </w:p>
    <w:p>
      <w:pPr>
        <w:pStyle w:val="TextBody"/>
        <w:bidi w:val="0"/>
        <w:spacing w:before="0" w:after="120"/>
        <w:jc w:val="both"/>
        <w:rPr>
          <w:rFonts w:ascii="sans-serif" w:hAnsi="sans-serif"/>
          <w:b/>
          <w:i/>
          <w:color w:val="000000"/>
          <w:sz w:val="20"/>
        </w:rPr>
      </w:pPr>
      <w:r>
        <w:rPr>
          <w:rFonts w:ascii="sans-serif" w:hAnsi="sans-serif"/>
          <w:b/>
          <w:i/>
          <w:color w:val="000000"/>
          <w:sz w:val="20"/>
        </w:rPr>
        <w:t>Interest Expense – Net</w:t>
      </w:r>
    </w:p>
    <w:p>
      <w:pPr>
        <w:pStyle w:val="TextBody"/>
        <w:bidi w:val="0"/>
        <w:spacing w:before="0" w:after="120"/>
        <w:jc w:val="both"/>
        <w:rPr>
          <w:rFonts w:ascii="sans-serif" w:hAnsi="sans-serif"/>
          <w:color w:val="000000"/>
          <w:sz w:val="20"/>
        </w:rPr>
      </w:pPr>
      <w:r>
        <w:rPr>
          <w:rFonts w:ascii="sans-serif" w:hAnsi="sans-serif"/>
          <w:color w:val="000000"/>
          <w:sz w:val="20"/>
        </w:rPr>
        <w:t>Interest expense – net increased by $0.4 million, or 7%, during the three months ended June 30, 2026 compared to the three months ended June 30, 2025 and increased by $0.7 million, or 6%, during the six months ended June 30, 2026 compared to the six months ended June 30, 2025. The increases resulted primarily from lower interest income earned on our cash balances.</w:t>
      </w:r>
    </w:p>
    <w:p>
      <w:pPr>
        <w:pStyle w:val="TextBody"/>
        <w:bidi w:val="0"/>
        <w:spacing w:before="0" w:after="120"/>
        <w:jc w:val="both"/>
        <w:rPr>
          <w:rFonts w:ascii="sans-serif" w:hAnsi="sans-serif"/>
          <w:b/>
          <w:i/>
          <w:color w:val="000000"/>
          <w:sz w:val="20"/>
        </w:rPr>
      </w:pPr>
      <w:r>
        <w:rPr>
          <w:rFonts w:ascii="sans-serif" w:hAnsi="sans-serif"/>
          <w:b/>
          <w:i/>
          <w:color w:val="000000"/>
          <w:sz w:val="20"/>
        </w:rPr>
        <w:t>Other Expense – Net</w:t>
      </w:r>
    </w:p>
    <w:p>
      <w:pPr>
        <w:pStyle w:val="TextBody"/>
        <w:bidi w:val="0"/>
        <w:spacing w:before="0" w:after="120"/>
        <w:jc w:val="both"/>
        <w:rPr>
          <w:rFonts w:ascii="sans-serif" w:hAnsi="sans-serif"/>
          <w:color w:val="000000"/>
          <w:sz w:val="20"/>
        </w:rPr>
      </w:pPr>
      <w:r>
        <w:rPr>
          <w:rFonts w:ascii="sans-serif" w:hAnsi="sans-serif"/>
          <w:color w:val="000000"/>
          <w:sz w:val="20"/>
        </w:rPr>
        <w:t>Other expense – net increased by $151.1 million, or 101%, during the three months ended June 30, 2026 compared to the three months ended June 30, 2025 and increased by $156.4 million, or 101%, during the six months ended June 30, 2026 compared to the six months ended June 30, 2025. The increases resulted primarily from net losses resulting from the impact of exchange rate changes on transactions denominated in non-functional currencies, unrealized gains related to the fair value remeasurement of the Intermediate Warrants no longer being recognized during the three and six months ended June 30, 2026 due to the fact that they were reclassified from liability instruments to equity instruments in connection with the Corporate Simplification, and income related to the remeasurement of the TRA liability no longer being recognized during the three and six months ended June 30, 2026 due to the fact that the TRA was terminated in connection with the Corporate Simplification.</w:t>
      </w:r>
    </w:p>
    <w:p>
      <w:pPr>
        <w:pStyle w:val="TextBody"/>
        <w:bidi w:val="0"/>
        <w:spacing w:before="0" w:after="120"/>
        <w:jc w:val="both"/>
        <w:rPr>
          <w:rFonts w:ascii="sans-serif" w:hAnsi="sans-serif"/>
          <w:b/>
          <w:i/>
          <w:color w:val="000000"/>
          <w:sz w:val="20"/>
        </w:rPr>
      </w:pPr>
      <w:r>
        <w:rPr>
          <w:rFonts w:ascii="sans-serif" w:hAnsi="sans-serif"/>
          <w:b/>
          <w:i/>
          <w:color w:val="000000"/>
          <w:sz w:val="20"/>
        </w:rPr>
        <w:t>Loss on Extinguishment of Debt</w:t>
      </w:r>
    </w:p>
    <w:p>
      <w:pPr>
        <w:pStyle w:val="TextBody"/>
        <w:bidi w:val="0"/>
        <w:spacing w:before="0" w:after="120"/>
        <w:jc w:val="both"/>
        <w:rPr>
          <w:rFonts w:ascii="sans-serif" w:hAnsi="sans-serif"/>
          <w:color w:val="000000"/>
          <w:sz w:val="20"/>
        </w:rPr>
      </w:pPr>
      <w:r>
        <w:rPr>
          <w:rFonts w:ascii="sans-serif" w:hAnsi="sans-serif"/>
          <w:color w:val="000000"/>
          <w:sz w:val="20"/>
        </w:rPr>
        <w:t>Loss on extinguishment of debt decreased by $0.8 million, or 100%, during the six months ended June 30, 2026 compared to the six months ended June 30, 2025. The decrease resulted entirely from the February 2025 refinancing of the 2024 First Lien Loan with the 2025 First Lien Loan (each as defined herein). There was no change in Loss on extinguishment of debt during the three months ended June 30, 2026 compared to the three months ended June 30, 2025.</w:t>
      </w:r>
    </w:p>
    <w:p>
      <w:pPr>
        <w:pStyle w:val="TextBody"/>
        <w:bidi w:val="0"/>
        <w:spacing w:before="0" w:after="120"/>
        <w:jc w:val="both"/>
        <w:rPr>
          <w:rFonts w:ascii="sans-serif" w:hAnsi="sans-serif"/>
          <w:b/>
          <w:i/>
          <w:color w:val="000000"/>
          <w:sz w:val="20"/>
        </w:rPr>
      </w:pPr>
      <w:r>
        <w:rPr>
          <w:rFonts w:ascii="sans-serif" w:hAnsi="sans-serif"/>
          <w:b/>
          <w:i/>
          <w:color w:val="000000"/>
          <w:sz w:val="20"/>
        </w:rPr>
        <w:t>Income Tax Expense (Benefit)</w:t>
      </w:r>
    </w:p>
    <w:p>
      <w:pPr>
        <w:pStyle w:val="TextBody"/>
        <w:bidi w:val="0"/>
        <w:spacing w:before="0" w:after="120"/>
        <w:jc w:val="both"/>
        <w:rPr>
          <w:rFonts w:ascii="sans-serif" w:hAnsi="sans-serif"/>
          <w:color w:val="000000"/>
          <w:sz w:val="20"/>
        </w:rPr>
      </w:pPr>
      <w:r>
        <w:rPr>
          <w:rFonts w:ascii="sans-serif" w:hAnsi="sans-serif"/>
          <w:color w:val="000000"/>
          <w:sz w:val="20"/>
        </w:rPr>
        <w:t>Income tax expense decreased by $75.2 million, or 99%, and income tax benefit increased by $79.6 million, or 100%, during the three and six months ended June 30, 2026, respectively, compared to the three and six months ended June 30, 2025, primarily due to recognition of a valuation allowance during the three and six months ended June 30, 2025.</w:t>
      </w:r>
    </w:p>
    <w:p>
      <w:pPr>
        <w:pStyle w:val="TextBody"/>
        <w:bidi w:val="0"/>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color w:val="000000"/>
          <w:sz w:val="20"/>
        </w:rPr>
      </w:pPr>
      <w:r>
        <w:rPr>
          <w:rFonts w:ascii="sans-serif" w:hAnsi="sans-serif"/>
          <w:b/>
          <w:color w:val="000000"/>
          <w:sz w:val="20"/>
        </w:rPr>
        <w:t>Liquidity &amp; Capital Resources</w:t>
      </w:r>
    </w:p>
    <w:p>
      <w:pPr>
        <w:pStyle w:val="TextBody"/>
        <w:bidi w:val="0"/>
        <w:spacing w:before="0" w:after="120"/>
        <w:jc w:val="both"/>
        <w:rPr>
          <w:rFonts w:ascii="sans-serif" w:hAnsi="sans-serif"/>
          <w:color w:val="000000"/>
          <w:sz w:val="20"/>
        </w:rPr>
      </w:pPr>
      <w:r>
        <w:rPr>
          <w:rFonts w:ascii="sans-serif" w:hAnsi="sans-serif"/>
          <w:color w:val="000000"/>
          <w:sz w:val="20"/>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pStyle w:val="TextBody"/>
        <w:bidi w:val="0"/>
        <w:spacing w:before="0" w:after="120"/>
        <w:jc w:val="both"/>
        <w:rPr>
          <w:rFonts w:ascii="sans-serif" w:hAnsi="sans-serif"/>
          <w:color w:val="000000"/>
          <w:sz w:val="20"/>
        </w:rPr>
      </w:pPr>
      <w:r>
        <w:rPr>
          <w:rFonts w:ascii="sans-serif" w:hAnsi="sans-serif"/>
          <w:color w:val="000000"/>
          <w:sz w:val="20"/>
        </w:rPr>
        <w:t>Our primary source of funds is cash generated from operations. Our existing cash and cash equivalents are sufficient to fund our liquidity needs for the next 12 months and thereafter for the foreseeable future. As of June 30, 2026, we had $136.7 million of cash and cash equivalents, which consists of interest-bearing deposit accounts, money market accounts managed by financial institutions, and highly liquid investments with maturities of three months or less. During the six months ended June 30, 2026, we generated positive cash flows from operating activities, primarily due to an increase in accounts payable.</w:t>
      </w:r>
    </w:p>
    <w:p>
      <w:pPr>
        <w:pStyle w:val="TextBody"/>
        <w:bidi w:val="0"/>
        <w:spacing w:before="0" w:after="120"/>
        <w:jc w:val="both"/>
        <w:rPr>
          <w:rFonts w:ascii="sans-serif" w:hAnsi="sans-serif"/>
          <w:b/>
          <w:i/>
          <w:color w:val="000000"/>
          <w:sz w:val="20"/>
        </w:rPr>
      </w:pPr>
      <w:r>
        <w:rPr>
          <w:rFonts w:ascii="sans-serif" w:hAnsi="sans-serif"/>
          <w:b/>
          <w:i/>
          <w:color w:val="000000"/>
          <w:sz w:val="20"/>
        </w:rPr>
        <w:t>Loan Agreements</w:t>
      </w:r>
    </w:p>
    <w:p>
      <w:pPr>
        <w:pStyle w:val="TextBody"/>
        <w:bidi w:val="0"/>
        <w:spacing w:before="0" w:after="120"/>
        <w:jc w:val="both"/>
        <w:rPr>
          <w:rFonts w:ascii="sans-serif" w:hAnsi="sans-serif"/>
          <w:i/>
          <w:color w:val="000000"/>
          <w:sz w:val="20"/>
        </w:rPr>
      </w:pPr>
      <w:r>
        <w:rPr>
          <w:rFonts w:ascii="sans-serif" w:hAnsi="sans-serif"/>
          <w:i/>
          <w:color w:val="000000"/>
          <w:sz w:val="20"/>
        </w:rPr>
        <w:t>2022 First Lien Loan &amp; 2022 Revolving Facility</w:t>
      </w:r>
    </w:p>
    <w:p>
      <w:pPr>
        <w:pStyle w:val="TextBody"/>
        <w:bidi w:val="0"/>
        <w:spacing w:before="0" w:after="120"/>
        <w:jc w:val="both"/>
        <w:rPr>
          <w:rFonts w:ascii="Times New Roman" w:hAnsi="Times New Roman"/>
          <w:sz w:val="20"/>
        </w:rPr>
      </w:pPr>
      <w:r>
        <w:rPr>
          <w:rFonts w:ascii="sans-serif" w:hAnsi="sans-serif"/>
          <w:color w:val="000000"/>
          <w:sz w:val="20"/>
        </w:rPr>
        <w:t>In 2022, we refinanced the outstanding balance of our former first lien debt facility with a $275.0 million term loan with a maturity date of February 3, 2029 (the “</w:t>
      </w:r>
      <w:r>
        <w:rPr>
          <w:rFonts w:ascii="sans-serif" w:hAnsi="sans-serif"/>
          <w:color w:val="000000"/>
          <w:sz w:val="20"/>
          <w:u w:val="single"/>
        </w:rPr>
        <w:t>2022 First Lien Loan</w:t>
      </w:r>
      <w:r>
        <w:rPr>
          <w:rFonts w:ascii="Times New Roman" w:hAnsi="Times New Roman"/>
          <w:color w:val="000000"/>
          <w:sz w:val="20"/>
        </w:rPr>
        <w:t>”</w:t>
      </w:r>
      <w:r>
        <w:rPr>
          <w:rFonts w:ascii="sans-serif" w:hAnsi="sans-serif"/>
          <w:color w:val="000000"/>
          <w:sz w:val="20"/>
        </w:rPr>
        <w:t>) and a $100.0 million revolving credit facility with a maturity date of February 3, 2027 (the “</w:t>
      </w:r>
      <w:r>
        <w:rPr>
          <w:rFonts w:ascii="sans-serif" w:hAnsi="sans-serif"/>
          <w:color w:val="000000"/>
          <w:sz w:val="20"/>
          <w:u w:val="single"/>
        </w:rPr>
        <w:t>2022 Revolving Facility</w:t>
      </w:r>
      <w:r>
        <w:rPr>
          <w:rFonts w:ascii="Times New Roman" w:hAnsi="Times New Roman"/>
          <w:color w:val="000000"/>
          <w:sz w:val="20"/>
        </w:rPr>
        <w:t>”</w:t>
      </w:r>
      <w:r>
        <w:rPr>
          <w:rFonts w:ascii="sans-serif" w:hAnsi="sans-serif"/>
          <w:color w:val="000000"/>
          <w:sz w:val="20"/>
        </w:rPr>
        <w:t>).</w:t>
      </w:r>
    </w:p>
    <w:p>
      <w:pPr>
        <w:pStyle w:val="TextBody"/>
        <w:bidi w:val="0"/>
        <w:spacing w:before="0" w:after="120"/>
        <w:jc w:val="both"/>
        <w:rPr>
          <w:rFonts w:ascii="sans-serif" w:hAnsi="sans-serif"/>
          <w:i/>
          <w:color w:val="000000"/>
          <w:sz w:val="20"/>
        </w:rPr>
      </w:pPr>
      <w:r>
        <w:rPr>
          <w:rFonts w:ascii="sans-serif" w:hAnsi="sans-serif"/>
          <w:i/>
          <w:color w:val="000000"/>
          <w:sz w:val="20"/>
        </w:rPr>
        <w:t>2024 First Lien Loan</w:t>
      </w:r>
    </w:p>
    <w:p>
      <w:pPr>
        <w:pStyle w:val="TextBody"/>
        <w:bidi w:val="0"/>
        <w:spacing w:before="0" w:after="120"/>
        <w:jc w:val="both"/>
        <w:rPr>
          <w:rFonts w:ascii="Times New Roman" w:hAnsi="Times New Roman"/>
          <w:sz w:val="20"/>
        </w:rPr>
      </w:pPr>
      <w:r>
        <w:rPr>
          <w:rFonts w:ascii="sans-serif" w:hAnsi="sans-serif"/>
          <w:color w:val="000000"/>
          <w:sz w:val="20"/>
        </w:rPr>
        <w:t>In 2024, we refinanced the outstanding balance of the 2022 First Lien Loan with a $395.0 million term loan with a maturity date of February 3, 2029 (the “</w:t>
      </w:r>
      <w:r>
        <w:rPr>
          <w:rFonts w:ascii="sans-serif" w:hAnsi="sans-serif"/>
          <w:color w:val="000000"/>
          <w:sz w:val="20"/>
          <w:u w:val="single"/>
        </w:rPr>
        <w:t>2024 First Lien Loan</w:t>
      </w:r>
      <w:r>
        <w:rPr>
          <w:rFonts w:ascii="Times New Roman" w:hAnsi="Times New Roman"/>
          <w:color w:val="000000"/>
          <w:sz w:val="20"/>
        </w:rPr>
        <w:t>”</w:t>
      </w:r>
      <w:r>
        <w:rPr>
          <w:rFonts w:ascii="sans-serif" w:hAnsi="sans-serif"/>
          <w:color w:val="000000"/>
          <w:sz w:val="20"/>
        </w:rPr>
        <w:t>). The 2024 First Lien Loan carried an interest rate equal to the secured overnight financing rate (“</w:t>
      </w:r>
      <w:r>
        <w:rPr>
          <w:rFonts w:ascii="sans-serif" w:hAnsi="sans-serif"/>
          <w:color w:val="000000"/>
          <w:sz w:val="20"/>
          <w:u w:val="single"/>
        </w:rPr>
        <w:t>SOFR</w:t>
      </w:r>
      <w:r>
        <w:rPr>
          <w:rFonts w:ascii="Times New Roman" w:hAnsi="Times New Roman"/>
          <w:color w:val="000000"/>
          <w:sz w:val="20"/>
        </w:rPr>
        <w:t>”</w:t>
      </w:r>
      <w:r>
        <w:rPr>
          <w:rFonts w:ascii="sans-serif" w:hAnsi="sans-serif"/>
          <w:color w:val="000000"/>
          <w:sz w:val="20"/>
        </w:rPr>
        <w:t>) (subject to a 0.5% floor) plus a margin of 3.00%.</w:t>
      </w:r>
    </w:p>
    <w:p>
      <w:pPr>
        <w:pStyle w:val="TextBody"/>
        <w:bidi w:val="0"/>
        <w:spacing w:before="0" w:after="120"/>
        <w:jc w:val="both"/>
        <w:rPr>
          <w:rFonts w:ascii="sans-serif" w:hAnsi="sans-serif"/>
          <w:i/>
          <w:color w:val="000000"/>
          <w:sz w:val="20"/>
        </w:rPr>
      </w:pPr>
      <w:r>
        <w:rPr>
          <w:rFonts w:ascii="sans-serif" w:hAnsi="sans-serif"/>
          <w:i/>
          <w:color w:val="000000"/>
          <w:sz w:val="20"/>
        </w:rPr>
        <w:t>2025 First Lien Loan</w:t>
      </w:r>
    </w:p>
    <w:p>
      <w:pPr>
        <w:pStyle w:val="TextBody"/>
        <w:bidi w:val="0"/>
        <w:spacing w:before="0" w:after="120"/>
        <w:jc w:val="both"/>
        <w:rPr>
          <w:rFonts w:ascii="Times New Roman" w:hAnsi="Times New Roman"/>
          <w:sz w:val="20"/>
        </w:rPr>
      </w:pPr>
      <w:r>
        <w:rPr>
          <w:rFonts w:ascii="sans-serif" w:hAnsi="sans-serif"/>
          <w:color w:val="000000"/>
          <w:sz w:val="20"/>
        </w:rPr>
        <w:t>On February 5, 2025, we refinanced the outstanding balance of the 2024 First Lien Loan with a $393.0 million term loan with a maturity date of February 3, 2029 (the “</w:t>
      </w:r>
      <w:r>
        <w:rPr>
          <w:rFonts w:ascii="sans-serif" w:hAnsi="sans-serif"/>
          <w:color w:val="000000"/>
          <w:sz w:val="20"/>
          <w:u w:val="single"/>
        </w:rPr>
        <w:t>2025 First Lien Loan</w:t>
      </w:r>
      <w:r>
        <w:rPr>
          <w:rFonts w:ascii="Times New Roman" w:hAnsi="Times New Roman"/>
          <w:color w:val="000000"/>
          <w:sz w:val="20"/>
        </w:rPr>
        <w:t>”</w:t>
      </w:r>
      <w:r>
        <w:rPr>
          <w:rFonts w:ascii="sans-serif" w:hAnsi="sans-serif"/>
          <w:color w:val="000000"/>
          <w:sz w:val="20"/>
        </w:rPr>
        <w:t>). The 2025 First Lien Loan carries an interest rate of SOFR (subject to a 0.5% floor) plus a margin of 2.25%; provided</w:t>
      </w:r>
      <w:r>
        <w:rPr>
          <w:rFonts w:ascii="Times New Roman" w:hAnsi="Times New Roman"/>
          <w:color w:val="000000"/>
          <w:sz w:val="20"/>
        </w:rPr>
        <w:t xml:space="preserve"> </w:t>
      </w:r>
      <w:r>
        <w:rPr>
          <w:rFonts w:ascii="sans-serif" w:hAnsi="sans-serif"/>
          <w:color w:val="000000"/>
          <w:sz w:val="20"/>
        </w:rPr>
        <w:t>that such margin may be reduced to 2.00% if the corporate rating assigned to us by Moody’s Investors Service, Inc. and S&amp;P Global Ratings is at least Ba3/BB- (in each case, stable or better). The 2025 First Lien Loan requires quarterly principal payments of $1.0 million. The 2022 Revolving Facility, which was unaffected by the 2022, 2024, and February 2025 refinancings, does not require periodic payments. All obligations under the 2025 First Lien Loan are unconditionally guaranteed by Hoya Intermediate and, subject to certain exceptions provided for therein, substantially all of Hoya Intermediate’s direct and indirect wholly owned domestic subsidiaries. All obligations under the 2025 First Lien Loan are secured, subject to certain permitted liens and other exceptions, by first-priority perfected security interests in substantially all of our and such guarantors’ assets.</w:t>
      </w:r>
    </w:p>
    <w:p>
      <w:pPr>
        <w:pStyle w:val="TextBody"/>
        <w:bidi w:val="0"/>
        <w:spacing w:before="0" w:after="120"/>
        <w:jc w:val="both"/>
        <w:rPr>
          <w:rFonts w:ascii="sans-serif" w:hAnsi="sans-serif"/>
          <w:i/>
          <w:color w:val="000000"/>
          <w:sz w:val="20"/>
        </w:rPr>
      </w:pPr>
      <w:r>
        <w:rPr>
          <w:rFonts w:ascii="sans-serif" w:hAnsi="sans-serif"/>
          <w:i/>
          <w:color w:val="000000"/>
          <w:sz w:val="20"/>
        </w:rPr>
        <w:t>Letter of Credit Sublimit Increase</w:t>
      </w:r>
    </w:p>
    <w:p>
      <w:pPr>
        <w:pStyle w:val="TextBody"/>
        <w:bidi w:val="0"/>
        <w:spacing w:before="0" w:after="120"/>
        <w:jc w:val="both"/>
        <w:rPr>
          <w:rFonts w:ascii="sans-serif" w:hAnsi="sans-serif"/>
          <w:color w:val="000000"/>
          <w:sz w:val="20"/>
        </w:rPr>
      </w:pPr>
      <w:r>
        <w:rPr>
          <w:rFonts w:ascii="sans-serif" w:hAnsi="sans-serif"/>
          <w:color w:val="000000"/>
          <w:sz w:val="20"/>
        </w:rPr>
        <w:t>On June 23, 2026, the letter of credit sublimit under the 2022 Revolving Facility was increased from $10.0 million to $25.0 million. As of June 30, 2026, availability under the 2022 Revolving Facility was reduced by $22.0 million due to outstanding letters of credit.</w:t>
      </w:r>
    </w:p>
    <w:p>
      <w:pPr>
        <w:pStyle w:val="TextBody"/>
        <w:bidi w:val="0"/>
        <w:spacing w:before="0" w:after="120"/>
        <w:jc w:val="both"/>
        <w:rPr>
          <w:rFonts w:ascii="sans-serif" w:hAnsi="sans-serif"/>
          <w:i/>
          <w:color w:val="000000"/>
          <w:sz w:val="20"/>
        </w:rPr>
      </w:pPr>
      <w:r>
        <w:rPr>
          <w:rFonts w:ascii="sans-serif" w:hAnsi="sans-serif"/>
          <w:i/>
          <w:color w:val="000000"/>
          <w:sz w:val="20"/>
        </w:rPr>
        <w:t>2026 Revolving Facility</w:t>
      </w:r>
    </w:p>
    <w:p>
      <w:pPr>
        <w:pStyle w:val="TextBody"/>
        <w:bidi w:val="0"/>
        <w:spacing w:before="0" w:after="120"/>
        <w:jc w:val="both"/>
        <w:rPr>
          <w:rFonts w:ascii="Times New Roman" w:hAnsi="Times New Roman"/>
          <w:sz w:val="20"/>
        </w:rPr>
      </w:pPr>
      <w:r>
        <w:rPr>
          <w:rFonts w:ascii="sans-serif" w:hAnsi="sans-serif"/>
          <w:color w:val="000000"/>
          <w:sz w:val="20"/>
        </w:rPr>
        <w:t>On August 3, 2026, we terminated the 2022 Revolving Facility in full and entered into a new $75.0 million revolving credit facility (the “</w:t>
      </w:r>
      <w:r>
        <w:rPr>
          <w:rFonts w:ascii="sans-serif" w:hAnsi="sans-serif"/>
          <w:color w:val="000000"/>
          <w:sz w:val="20"/>
          <w:u w:val="single"/>
        </w:rPr>
        <w:t>2026 Revolving Facility</w:t>
      </w:r>
      <w:r>
        <w:rPr>
          <w:rFonts w:ascii="Times New Roman" w:hAnsi="Times New Roman"/>
          <w:color w:val="000000"/>
          <w:sz w:val="20"/>
        </w:rPr>
        <w:t>”</w:t>
      </w:r>
      <w:r>
        <w:rPr>
          <w:rFonts w:ascii="sans-serif" w:hAnsi="sans-serif"/>
          <w:color w:val="000000"/>
          <w:sz w:val="20"/>
        </w:rPr>
        <w:t>) with a maturity date of August 3, 2029 (or, if earlier, the date that is 91 days prior to the maturity date then in effect for certain indebtedness in an individual outstanding amount in excess of $20.0 million). Vegas.com, LLC, our wholly owned subsidiary (“</w:t>
      </w:r>
      <w:r>
        <w:rPr>
          <w:rFonts w:ascii="sans-serif" w:hAnsi="sans-serif"/>
          <w:color w:val="000000"/>
          <w:sz w:val="20"/>
          <w:u w:val="single"/>
        </w:rPr>
        <w:t>VDC</w:t>
      </w:r>
      <w:r>
        <w:rPr>
          <w:rFonts w:ascii="Times New Roman" w:hAnsi="Times New Roman"/>
          <w:color w:val="000000"/>
          <w:sz w:val="20"/>
        </w:rPr>
        <w:t>”</w:t>
      </w:r>
      <w:r>
        <w:rPr>
          <w:rFonts w:ascii="sans-serif" w:hAnsi="sans-serif"/>
          <w:color w:val="000000"/>
          <w:sz w:val="20"/>
        </w:rPr>
        <w:t>), is the borrower under the 2026 Revolving Facility.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Borrowings in U.S. dollars under the 2026 Revolving Facility bear interest at a rate of, at our option, (i) Term SOFR (as defined in the 2026 Revolving Facility) plus a margin of 3.750% per annum or (ii) an alternate base rate plus a margin of 2.75% per annum. In addition, a commitment fee accrues on the daily average unused amount of the revolving commitments under the 2026 Revolving Facility at a rate of 0.425% per annum and is payable quarterly in arrears. The 2026 Revolving Facility contains a springing financial covenant that requires compliance with a first lien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sans-serif" w:hAnsi="sans-serif"/>
          <w:color w:val="000000"/>
          <w:sz w:val="20"/>
        </w:rPr>
        <w:t>leverage ratio as of the end of any fiscal quarter when borrowings thereunder exceed a certain level. All obligations under the 2026 Revolving Facility are (i) unconditionally guaranteed by VDC-MGG Holdings, LLC, the sole member of VDC, and, subject to certain exceptions, all direct and indirect wholly owned subsidiaries thereof (collectively, the “</w:t>
      </w:r>
      <w:r>
        <w:rPr>
          <w:rFonts w:ascii="sans-serif" w:hAnsi="sans-serif"/>
          <w:color w:val="000000"/>
          <w:sz w:val="20"/>
          <w:u w:val="single"/>
        </w:rPr>
        <w:t>VDC Guarantors</w:t>
      </w:r>
      <w:r>
        <w:rPr>
          <w:rFonts w:ascii="Times New Roman" w:hAnsi="Times New Roman"/>
          <w:color w:val="000000"/>
          <w:sz w:val="20"/>
        </w:rPr>
        <w:t>”</w:t>
      </w:r>
      <w:r>
        <w:rPr>
          <w:rFonts w:ascii="sans-serif" w:hAnsi="sans-serif"/>
          <w:color w:val="000000"/>
          <w:sz w:val="20"/>
        </w:rPr>
        <w:t>) and (ii) guaranteed, up to $60.0 million in the aggregate, by certain of our other subsidiaries. All obligations under the 2026 Revolving Facility are secured, subject to certain permitted liens and other exceptions, by first-priority perfected security interests in (i) substantially all assets of VDC and the VDC Guarantors and (ii) the equity interests of Wavedash Co., Ltd., our wholly owned subsidiary.</w:t>
      </w:r>
    </w:p>
    <w:p>
      <w:pPr>
        <w:pStyle w:val="TextBody"/>
        <w:bidi w:val="0"/>
        <w:spacing w:before="0" w:after="120"/>
        <w:jc w:val="both"/>
        <w:rPr>
          <w:rFonts w:ascii="sans-serif" w:hAnsi="sans-serif"/>
          <w:color w:val="000000"/>
          <w:sz w:val="20"/>
        </w:rPr>
      </w:pPr>
      <w:r>
        <w:rPr>
          <w:rFonts w:ascii="sans-serif" w:hAnsi="sans-serif"/>
          <w:color w:val="000000"/>
          <w:sz w:val="20"/>
        </w:rPr>
        <w:t>VDC is subject to certain reporting and compliance-related covenants under the 2026 Revolving Facility. These covenants, among other things, limit VDC’s ability to incur additional indebtedness, make investments, dispose of assets, enter into transactions with affiliates, create liens, merge or consolidate, and make certain payments (in each case, subject to customary exceptions). Non-compliance with these covenants and a failure to remedy any such non-compliance could result in the acceleration of the outstanding borrowings or foreclosure on the collateral.</w:t>
      </w:r>
    </w:p>
    <w:p>
      <w:pPr>
        <w:pStyle w:val="TextBody"/>
        <w:bidi w:val="0"/>
        <w:spacing w:before="0" w:after="120"/>
        <w:jc w:val="both"/>
        <w:rPr>
          <w:rFonts w:ascii="sans-serif" w:hAnsi="sans-serif"/>
          <w:color w:val="000000"/>
          <w:sz w:val="20"/>
        </w:rPr>
      </w:pPr>
      <w:r>
        <w:rPr>
          <w:rFonts w:ascii="sans-serif" w:hAnsi="sans-serif"/>
          <w:color w:val="000000"/>
          <w:sz w:val="20"/>
        </w:rPr>
        <w:t>Availability under the 2026 Revolving Facility is reduced by any outstanding letters of credit.</w:t>
      </w:r>
    </w:p>
    <w:p>
      <w:pPr>
        <w:pStyle w:val="TextBody"/>
        <w:bidi w:val="0"/>
        <w:spacing w:before="0" w:after="120"/>
        <w:jc w:val="left"/>
        <w:rPr>
          <w:rFonts w:ascii="sans-serif" w:hAnsi="sans-serif"/>
          <w:i/>
          <w:color w:val="000000"/>
          <w:sz w:val="20"/>
        </w:rPr>
      </w:pPr>
      <w:r>
        <w:rPr>
          <w:rFonts w:ascii="sans-serif" w:hAnsi="sans-serif"/>
          <w:i/>
          <w:color w:val="000000"/>
          <w:sz w:val="20"/>
        </w:rPr>
        <w:t>Outstanding Debt</w:t>
      </w:r>
    </w:p>
    <w:p>
      <w:pPr>
        <w:pStyle w:val="TextBody"/>
        <w:bidi w:val="0"/>
        <w:spacing w:before="0" w:after="120"/>
        <w:jc w:val="both"/>
        <w:rPr>
          <w:rFonts w:ascii="sans-serif" w:hAnsi="sans-serif"/>
          <w:color w:val="000000"/>
          <w:sz w:val="20"/>
        </w:rPr>
      </w:pPr>
      <w:r>
        <w:rPr>
          <w:rFonts w:ascii="sans-serif" w:hAnsi="sans-serif"/>
          <w:color w:val="000000"/>
          <w:sz w:val="20"/>
        </w:rPr>
        <w:t>As of June 30, 2026, we had the 2025 First Lien Loan outstanding and we had no outstanding borrowings under the 2022 Revolving Facility.</w:t>
      </w:r>
    </w:p>
    <w:p>
      <w:pPr>
        <w:pStyle w:val="TextBody"/>
        <w:bidi w:val="0"/>
        <w:spacing w:before="0" w:after="120"/>
        <w:jc w:val="both"/>
        <w:rPr>
          <w:rFonts w:ascii="sans-serif" w:hAnsi="sans-serif"/>
          <w:color w:val="000000"/>
          <w:sz w:val="20"/>
        </w:rPr>
      </w:pPr>
      <w:r>
        <w:rPr>
          <w:rFonts w:ascii="sans-serif" w:hAnsi="sans-serif"/>
          <w:color w:val="000000"/>
          <w:sz w:val="20"/>
        </w:rPr>
        <w:t>As of August 3, 2026, we had the 2025 First Lien Loan outstanding and we had no outstanding borrowings under the 2026 Revolving Facility.</w:t>
      </w:r>
    </w:p>
    <w:p>
      <w:pPr>
        <w:pStyle w:val="TextBody"/>
        <w:bidi w:val="0"/>
        <w:spacing w:before="0" w:after="120"/>
        <w:jc w:val="both"/>
        <w:rPr>
          <w:rFonts w:ascii="sans-serif" w:hAnsi="sans-serif"/>
          <w:b/>
          <w:i/>
          <w:color w:val="000000"/>
          <w:sz w:val="20"/>
        </w:rPr>
      </w:pPr>
      <w:r>
        <w:rPr>
          <w:rFonts w:ascii="sans-serif" w:hAnsi="sans-serif"/>
          <w:b/>
          <w:i/>
          <w:color w:val="000000"/>
          <w:sz w:val="20"/>
        </w:rPr>
        <w:t>Share Repurchase Program</w:t>
      </w:r>
    </w:p>
    <w:p>
      <w:pPr>
        <w:pStyle w:val="TextBody"/>
        <w:bidi w:val="0"/>
        <w:spacing w:before="0" w:after="120"/>
        <w:jc w:val="both"/>
        <w:rPr>
          <w:rFonts w:ascii="Times New Roman" w:hAnsi="Times New Roman"/>
          <w:sz w:val="20"/>
        </w:rPr>
      </w:pPr>
      <w:r>
        <w:rPr>
          <w:rFonts w:ascii="sans-serif" w:hAnsi="sans-serif"/>
          <w:color w:val="000000"/>
          <w:sz w:val="20"/>
        </w:rPr>
        <w:t>In February 2024, our Board of Directors (our “</w:t>
      </w:r>
      <w:r>
        <w:rPr>
          <w:rFonts w:ascii="sans-serif" w:hAnsi="sans-serif"/>
          <w:color w:val="000000"/>
          <w:sz w:val="20"/>
          <w:u w:val="single"/>
        </w:rPr>
        <w:t>Board</w:t>
      </w:r>
      <w:r>
        <w:rPr>
          <w:rFonts w:ascii="Times New Roman" w:hAnsi="Times New Roman"/>
          <w:color w:val="000000"/>
          <w:sz w:val="20"/>
        </w:rPr>
        <w:t>”</w:t>
      </w:r>
      <w:r>
        <w:rPr>
          <w:rFonts w:ascii="sans-serif" w:hAnsi="sans-serif"/>
          <w:color w:val="000000"/>
          <w:sz w:val="20"/>
        </w:rPr>
        <w:t>) authorized a share repurchase program for up to $100.0 million of Class A common stock (the “</w:t>
      </w:r>
      <w:r>
        <w:rPr>
          <w:rFonts w:ascii="sans-serif" w:hAnsi="sans-serif"/>
          <w:color w:val="000000"/>
          <w:sz w:val="20"/>
          <w:u w:val="single"/>
        </w:rPr>
        <w:t>Share Repurchase Program</w:t>
      </w:r>
      <w:r>
        <w:rPr>
          <w:rFonts w:ascii="Times New Roman" w:hAnsi="Times New Roman"/>
          <w:color w:val="000000"/>
          <w:sz w:val="20"/>
        </w:rPr>
        <w:t>”</w:t>
      </w:r>
      <w:r>
        <w:rPr>
          <w:rFonts w:ascii="sans-serif" w:hAnsi="sans-serif"/>
          <w:color w:val="000000"/>
          <w:sz w:val="20"/>
        </w:rPr>
        <w:t>). The Share Repurchase Program was publicly announced in March 2024, does not have a fixed expiration date, and does not obligate us to purchase any minimum number of shares.</w:t>
      </w:r>
    </w:p>
    <w:p>
      <w:pPr>
        <w:pStyle w:val="TextBody"/>
        <w:bidi w:val="0"/>
        <w:spacing w:before="0" w:after="120"/>
        <w:jc w:val="both"/>
        <w:rPr>
          <w:rFonts w:ascii="sans-serif" w:hAnsi="sans-serif"/>
          <w:color w:val="000000"/>
          <w:sz w:val="20"/>
        </w:rPr>
      </w:pPr>
      <w:r>
        <w:rPr>
          <w:rFonts w:ascii="sans-serif" w:hAnsi="sans-serif"/>
          <w:color w:val="000000"/>
          <w:sz w:val="20"/>
        </w:rPr>
        <w:t>During the three and six months ended June 30, 2025, we repurchased 0.2 million and 0.3 million shares of Class A common stock, respectively, under the Share Repurchase Program, for which we paid $9.1 million and $15.7 million, respectively, and incurred commissions and excise taxes of $0.1 million. As of December 31, 2025, we recognized a liability of $0.1 million for unpaid excise taxes related to repurchases of Class A common stock. We did not repurchase any shares of Class A common stock under the Share Repurchase Program during the three and six months ended June 30, 2026, nor did we recognize a liability for unpaid excise taxes related to repurchases of Class A common stock as of June 30, 2026.</w:t>
      </w:r>
    </w:p>
    <w:p>
      <w:pPr>
        <w:pStyle w:val="TextBody"/>
        <w:bidi w:val="0"/>
        <w:spacing w:before="0" w:after="120"/>
        <w:jc w:val="both"/>
        <w:rPr>
          <w:rFonts w:ascii="sans-serif" w:hAnsi="sans-serif"/>
          <w:color w:val="000000"/>
          <w:sz w:val="20"/>
        </w:rPr>
      </w:pPr>
      <w:r>
        <w:rPr>
          <w:rFonts w:ascii="sans-serif" w:hAnsi="sans-serif"/>
          <w:color w:val="000000"/>
          <w:sz w:val="20"/>
        </w:rPr>
        <w:t>Cumulatively as of June 30, 2026, we repurchased 0.6 million shares of Class A common stock under the Share Repurchase Program, for which we paid $40.9 million and incurred commissions and excise taxes of $0.4 million. As of June 30, 2026, $59.1 million remained available for future repurchases under the Share Repurchase Program.</w:t>
      </w:r>
    </w:p>
    <w:p>
      <w:pPr>
        <w:pStyle w:val="TextBody"/>
        <w:bidi w:val="0"/>
        <w:spacing w:before="0" w:after="120"/>
        <w:jc w:val="both"/>
        <w:rPr>
          <w:rFonts w:ascii="sans-serif" w:hAnsi="sans-serif"/>
          <w:b/>
          <w:i/>
          <w:color w:val="000000"/>
          <w:sz w:val="20"/>
        </w:rPr>
      </w:pPr>
      <w:r>
        <w:rPr>
          <w:rFonts w:ascii="sans-serif" w:hAnsi="sans-serif"/>
          <w:b/>
          <w:i/>
          <w:color w:val="000000"/>
          <w:sz w:val="20"/>
        </w:rPr>
        <w:t>Tax Receivable Agreement</w:t>
      </w:r>
    </w:p>
    <w:p>
      <w:pPr>
        <w:pStyle w:val="TextBody"/>
        <w:bidi w:val="0"/>
        <w:spacing w:before="0" w:after="120"/>
        <w:jc w:val="both"/>
        <w:rPr>
          <w:rFonts w:ascii="sans-serif" w:hAnsi="sans-serif"/>
          <w:color w:val="000000"/>
          <w:sz w:val="20"/>
        </w:rPr>
      </w:pPr>
      <w:r>
        <w:rPr>
          <w:rFonts w:ascii="sans-serif" w:hAnsi="sans-serif"/>
          <w:color w:val="000000"/>
          <w:sz w:val="20"/>
        </w:rPr>
        <w:t>In connection with the Merger Transaction, we entered into the TRA with the existing Hoya Intermediate unitholders that provided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pStyle w:val="TextBody"/>
        <w:bidi w:val="0"/>
        <w:spacing w:before="0" w:after="120"/>
        <w:jc w:val="both"/>
        <w:rPr>
          <w:rFonts w:ascii="Times New Roman" w:hAnsi="Times New Roman"/>
          <w:sz w:val="20"/>
        </w:rPr>
      </w:pPr>
      <w:r>
        <w:rPr>
          <w:rFonts w:ascii="sans-serif" w:hAnsi="sans-serif"/>
          <w:color w:val="000000"/>
          <w:sz w:val="20"/>
        </w:rPr>
        <w:t>As of June 30, 2025, we determined that it was no longer probable that we will generate sufficient future taxable income to support a significant amount of the balance of the TRA liability previously recorded. After evaluating all available positive and negative evidence, we determined that significant negative objective and verifiable evidence (including cumulative losses generated by our domestic operations) existed to change our conclusion regarding the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future realization of our deferred tax assets, which therefore significantly impacts the amount of future TRA payments that are probable to be made. As a result, the TRA liability was reduced by $149.2 million.</w:t>
      </w:r>
    </w:p>
    <w:p>
      <w:pPr>
        <w:pStyle w:val="TextBody"/>
        <w:bidi w:val="0"/>
        <w:spacing w:before="0" w:after="120"/>
        <w:jc w:val="both"/>
        <w:rPr>
          <w:rFonts w:ascii="sans-serif" w:hAnsi="sans-serif"/>
          <w:color w:val="000000"/>
          <w:sz w:val="20"/>
        </w:rPr>
      </w:pPr>
      <w:r>
        <w:rPr>
          <w:rFonts w:ascii="sans-serif" w:hAnsi="sans-serif"/>
          <w:color w:val="000000"/>
          <w:sz w:val="20"/>
        </w:rPr>
        <w:t>In connection with the Corporate Simplification, all rights and obligations under the TRA were terminated (other than certain terms thereof that expressly survived), including $5.8 million of cash payments that would have otherwise been due during the three months ended March 31, 2026, in exchange for the issuance of 403,022 shares of Class A common stock. As a result of the Corporate Simplification, we no longer have a TRA liability. See the “Management’s Discussion and Analysis of Financial Condition and Results of Operations–Recent Developments–Corporate Simplification“ section of this Report for more information.</w:t>
      </w:r>
    </w:p>
    <w:p>
      <w:pPr>
        <w:pStyle w:val="TextBody"/>
        <w:bidi w:val="0"/>
        <w:spacing w:before="0" w:after="120"/>
        <w:jc w:val="both"/>
        <w:rPr>
          <w:rFonts w:ascii="sans-serif" w:hAnsi="sans-serif"/>
          <w:b/>
          <w:color w:val="000000"/>
          <w:sz w:val="20"/>
        </w:rPr>
      </w:pPr>
      <w:r>
        <w:rPr>
          <w:rFonts w:ascii="sans-serif" w:hAnsi="sans-serif"/>
          <w:b/>
          <w:color w:val="000000"/>
          <w:sz w:val="20"/>
        </w:rPr>
        <w:t>Cash Flows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summarizes our cash flows for the six months ended June 30, 2026 and 2025 (in thousands):</w:t>
      </w:r>
    </w:p>
    <w:tbl>
      <w:tblPr>
        <w:tblW w:w="8457" w:type="dxa"/>
        <w:jc w:val="left"/>
        <w:tblInd w:w="0" w:type="dxa"/>
        <w:tblLayout w:type="fixed"/>
        <w:tblCellMar>
          <w:top w:w="28" w:type="dxa"/>
          <w:left w:w="28" w:type="dxa"/>
          <w:bottom w:w="28" w:type="dxa"/>
          <w:right w:w="28" w:type="dxa"/>
        </w:tblCellMar>
      </w:tblPr>
      <w:tblGrid>
        <w:gridCol w:w="5056"/>
        <w:gridCol w:w="146"/>
        <w:gridCol w:w="287"/>
        <w:gridCol w:w="973"/>
        <w:gridCol w:w="229"/>
        <w:gridCol w:w="185"/>
        <w:gridCol w:w="287"/>
        <w:gridCol w:w="1068"/>
        <w:gridCol w:w="2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45,208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(6,928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(3,651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120" w:after="120"/>
        <w:jc w:val="both"/>
        <w:rPr>
          <w:rFonts w:ascii="sans-serif" w:hAnsi="sans-serif"/>
          <w:b/>
          <w:i/>
          <w:color w:val="000000"/>
          <w:sz w:val="20"/>
        </w:rPr>
      </w:pPr>
      <w:r>
        <w:rPr>
          <w:rFonts w:ascii="sans-serif" w:hAnsi="sans-serif"/>
          <w:b/>
          <w:i/>
          <w:color w:val="000000"/>
          <w:sz w:val="20"/>
        </w:rPr>
        <w:t>Net Cash Provided by (Used in) Operating Activities</w:t>
      </w:r>
    </w:p>
    <w:p>
      <w:pPr>
        <w:pStyle w:val="TextBody"/>
        <w:bidi w:val="0"/>
        <w:spacing w:before="0" w:after="120"/>
        <w:jc w:val="both"/>
        <w:rPr>
          <w:rFonts w:ascii="sans-serif" w:hAnsi="sans-serif"/>
          <w:color w:val="000000"/>
          <w:sz w:val="20"/>
        </w:rPr>
      </w:pPr>
      <w:r>
        <w:rPr>
          <w:rFonts w:ascii="sans-serif" w:hAnsi="sans-serif"/>
          <w:color w:val="000000"/>
          <w:sz w:val="20"/>
        </w:rPr>
        <w:t>Net cash provided by operating activities during the six months ended June 30, 2026 was $45.2 million, which was primarily related to a net loss of $29.0 million, net non-cash charges of $36.7 million, and net cash inflows from a $37.5 million change in operating assets and liabilities. The net cash inflows from the change in operating assets and liabilities were primarily due to an increase in Accounts payable resulting from an increase in amounts payable to ticket sellers resulting from seasonal fluctuations, including strong 2026 World Cup order volume, and timing of disbursements.</w:t>
      </w:r>
    </w:p>
    <w:p>
      <w:pPr>
        <w:pStyle w:val="TextBody"/>
        <w:bidi w:val="0"/>
        <w:spacing w:before="0" w:after="120"/>
        <w:jc w:val="both"/>
        <w:rPr>
          <w:rFonts w:ascii="sans-serif" w:hAnsi="sans-serif"/>
          <w:color w:val="000000"/>
          <w:sz w:val="20"/>
        </w:rPr>
      </w:pPr>
      <w:r>
        <w:rPr>
          <w:rFonts w:ascii="sans-serif" w:hAnsi="sans-serif"/>
          <w:color w:val="000000"/>
          <w:sz w:val="20"/>
        </w:rPr>
        <w:t>Net cash used in operating activities during the six months ended June 30, 2025 was $53.9 million, which was primarily related to a net loss of $273.1 million, net non-cash charges of $291.1 million, and net cash outflows from a $71.9 million change in operating assets and liabilities. The net cash outflows from the change in operating assets and liabilities were primarily due to a decrease in Accounts payable resulting from a decrease in amounts payable to ticket sellers as a result of lower Marketplace GOV and a decrease in Accrued expenses and other current liabilities as a result of lower Marketplace GOV, as well as the timing of disbursements.</w:t>
      </w:r>
    </w:p>
    <w:p>
      <w:pPr>
        <w:pStyle w:val="TextBody"/>
        <w:bidi w:val="0"/>
        <w:spacing w:before="0" w:after="120"/>
        <w:jc w:val="both"/>
        <w:rPr>
          <w:rFonts w:ascii="sans-serif" w:hAnsi="sans-serif"/>
          <w:b/>
          <w:i/>
          <w:color w:val="000000"/>
          <w:sz w:val="20"/>
        </w:rPr>
      </w:pPr>
      <w:r>
        <w:rPr>
          <w:rFonts w:ascii="sans-serif" w:hAnsi="sans-serif"/>
          <w:b/>
          <w:i/>
          <w:color w:val="000000"/>
          <w:sz w:val="20"/>
        </w:rPr>
        <w:t>Net Cash Used in Investing Activities</w:t>
      </w:r>
    </w:p>
    <w:p>
      <w:pPr>
        <w:pStyle w:val="TextBody"/>
        <w:bidi w:val="0"/>
        <w:spacing w:before="0" w:after="120"/>
        <w:jc w:val="both"/>
        <w:rPr>
          <w:rFonts w:ascii="sans-serif" w:hAnsi="sans-serif"/>
          <w:color w:val="000000"/>
          <w:sz w:val="20"/>
        </w:rPr>
      </w:pPr>
      <w:r>
        <w:rPr>
          <w:rFonts w:ascii="sans-serif" w:hAnsi="sans-serif"/>
          <w:color w:val="000000"/>
          <w:sz w:val="20"/>
        </w:rPr>
        <w:t>Net cash used in investing activities during the six months ended June 30, 2026 and 2025 was $6.9 million and $11.7 million, respectively, which was primarily related to capital spending on development activities for our online platform in both periods.</w:t>
      </w:r>
    </w:p>
    <w:p>
      <w:pPr>
        <w:pStyle w:val="TextBody"/>
        <w:bidi w:val="0"/>
        <w:spacing w:before="0" w:after="120"/>
        <w:jc w:val="both"/>
        <w:rPr>
          <w:rFonts w:ascii="sans-serif" w:hAnsi="sans-serif"/>
          <w:b/>
          <w:i/>
          <w:color w:val="000000"/>
          <w:sz w:val="20"/>
        </w:rPr>
      </w:pPr>
      <w:r>
        <w:rPr>
          <w:rFonts w:ascii="sans-serif" w:hAnsi="sans-serif"/>
          <w:b/>
          <w:i/>
          <w:color w:val="000000"/>
          <w:sz w:val="20"/>
        </w:rPr>
        <w:t>Net Cash Used in Financing Activities</w:t>
      </w:r>
    </w:p>
    <w:p>
      <w:pPr>
        <w:pStyle w:val="TextBody"/>
        <w:bidi w:val="0"/>
        <w:spacing w:before="0" w:after="120"/>
        <w:jc w:val="both"/>
        <w:rPr>
          <w:rFonts w:ascii="sans-serif" w:hAnsi="sans-serif"/>
          <w:color w:val="000000"/>
          <w:sz w:val="20"/>
        </w:rPr>
      </w:pPr>
      <w:r>
        <w:rPr>
          <w:rFonts w:ascii="sans-serif" w:hAnsi="sans-serif"/>
          <w:color w:val="000000"/>
          <w:sz w:val="20"/>
        </w:rPr>
        <w:t>Net cash used in financing activities during the six months ended June 30, 2026 was $3.7 million, which was primarily related to the required quarterly principal payments for the 2025 First Lien Loan and payments toward a domain name that was acquired in 2024.</w:t>
      </w:r>
    </w:p>
    <w:p>
      <w:pPr>
        <w:pStyle w:val="TextBody"/>
        <w:bidi w:val="0"/>
        <w:spacing w:before="0" w:after="120"/>
        <w:jc w:val="both"/>
        <w:rPr>
          <w:rFonts w:ascii="sans-serif" w:hAnsi="sans-serif"/>
          <w:color w:val="000000"/>
          <w:sz w:val="20"/>
        </w:rPr>
      </w:pPr>
      <w:r>
        <w:rPr>
          <w:rFonts w:ascii="sans-serif" w:hAnsi="sans-serif"/>
          <w:color w:val="000000"/>
          <w:sz w:val="20"/>
        </w:rPr>
        <w:t>Net cash used in financing activities during the six months ended June 30, 2025 was $25.4 million, which was primarily related to repurchases of Class A common stock under the Share Repurchase Program and the payment of liabilities under the TRA.</w:t>
      </w:r>
    </w:p>
    <w:p>
      <w:pPr>
        <w:pStyle w:val="TextBody"/>
        <w:bidi w:val="0"/>
        <w:spacing w:before="0" w:after="120"/>
        <w:jc w:val="both"/>
        <w:rPr>
          <w:rFonts w:ascii="sans-serif" w:hAnsi="sans-serif"/>
          <w:b/>
          <w:color w:val="000000"/>
          <w:sz w:val="20"/>
        </w:rPr>
      </w:pPr>
      <w:r>
        <w:rPr>
          <w:rFonts w:ascii="sans-serif" w:hAnsi="sans-serif"/>
          <w:b/>
          <w:color w:val="000000"/>
          <w:sz w:val="20"/>
        </w:rPr>
        <w:t>Critical Accounting Policies &amp; Estimates</w:t>
      </w:r>
    </w:p>
    <w:p>
      <w:pPr>
        <w:pStyle w:val="TextBody"/>
        <w:bidi w:val="0"/>
        <w:spacing w:before="0" w:after="120"/>
        <w:jc w:val="both"/>
        <w:rPr>
          <w:rFonts w:ascii="Times New Roman" w:hAnsi="Times New Roman"/>
          <w:sz w:val="20"/>
        </w:rPr>
      </w:pPr>
      <w:r>
        <w:rPr>
          <w:rFonts w:ascii="sans-serif" w:hAnsi="sans-serif"/>
          <w:color w:val="000000"/>
          <w:sz w:val="20"/>
        </w:rPr>
        <w:t>Our unaudited condensed consolidated financial statements are prepared in accordance with U.S. GAAP, which requires us to make estimates and assumptions that affect the reported amounts of assets, liabilities, revenue,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goodwill, indefinite-lived intangible assets, definite-lived intangible assets, long-lived assets, and valuation allowances have the greatest potential impact on our unaudited condensed consolidated financial statements. Accordingly, these are the policies that are the most critical to aid in fully understanding and evaluating our unaudited condensed consolidated financial statements. For a description of our critical accounting policies and estimates, see our 2025 Form 10-K. During the three and six months ended June 30, 2026, there were no material changes to the critical accounting policies disclosed in our 2025 Form 10-K.</w:t>
      </w:r>
    </w:p>
    <w:p>
      <w:pPr>
        <w:pStyle w:val="TextBody"/>
        <w:bidi w:val="0"/>
        <w:spacing w:before="0" w:after="120"/>
        <w:jc w:val="both"/>
        <w:rPr>
          <w:rFonts w:ascii="Times New Roman" w:hAnsi="Times New Roman"/>
          <w:sz w:val="20"/>
        </w:rPr>
      </w:pPr>
      <w:r>
        <w:rPr>
          <w:rFonts w:ascii="sans-serif" w:hAnsi="sans-serif"/>
          <w:color w:val="000000"/>
          <w:sz w:val="20"/>
        </w:rPr>
        <w:t>We closely monitor the financial and operating results impacting our lone reporting unit with a goodwill balance (the “</w:t>
      </w:r>
      <w:r>
        <w:rPr>
          <w:rFonts w:ascii="sans-serif" w:hAnsi="sans-serif"/>
          <w:color w:val="000000"/>
          <w:sz w:val="20"/>
          <w:u w:val="single"/>
        </w:rPr>
        <w:t>Marketplace Reporting Unit</w:t>
      </w:r>
      <w:r>
        <w:rPr>
          <w:rFonts w:ascii="Times New Roman" w:hAnsi="Times New Roman"/>
          <w:color w:val="000000"/>
          <w:sz w:val="20"/>
        </w:rPr>
        <w:t>”</w:t>
      </w:r>
      <w:r>
        <w:rPr>
          <w:rFonts w:ascii="sans-serif" w:hAnsi="sans-serif"/>
          <w:color w:val="000000"/>
          <w:sz w:val="20"/>
        </w:rPr>
        <w:t>) and indefinite-lived intangible assets and, as deemed necessary, we make comparisons to the key assumptions used in our fair value estimate at the time of our annual impairment test, in addition to operational initiatives and macroeconomic conditions, which may impact the fair value of the Marketplace Reporting Unit and indefinite-lived intangible assets. We perform an annual impairment assessment of our goodwill and indefinite-lived intangible assets as of October 31 of each fiscal year.</w:t>
      </w:r>
    </w:p>
    <w:p>
      <w:pPr>
        <w:pStyle w:val="TextBody"/>
        <w:bidi w:val="0"/>
        <w:spacing w:before="0" w:after="120"/>
        <w:jc w:val="both"/>
        <w:rPr>
          <w:rFonts w:ascii="sans-serif" w:hAnsi="sans-serif"/>
          <w:b/>
          <w:i/>
          <w:color w:val="000000"/>
          <w:sz w:val="20"/>
        </w:rPr>
      </w:pPr>
      <w:r>
        <w:rPr>
          <w:rFonts w:ascii="sans-serif" w:hAnsi="sans-serif"/>
          <w:b/>
          <w:i/>
          <w:color w:val="000000"/>
          <w:sz w:val="20"/>
        </w:rPr>
        <w:t>Goodwill – Net</w:t>
      </w:r>
    </w:p>
    <w:p>
      <w:pPr>
        <w:pStyle w:val="TextBody"/>
        <w:bidi w:val="0"/>
        <w:spacing w:before="0" w:after="120"/>
        <w:jc w:val="both"/>
        <w:rPr>
          <w:rFonts w:ascii="sans-serif" w:hAnsi="sans-serif"/>
          <w:color w:val="000000"/>
          <w:sz w:val="20"/>
        </w:rPr>
      </w:pPr>
      <w:r>
        <w:rPr>
          <w:rFonts w:ascii="sans-serif" w:hAnsi="sans-serif"/>
          <w:color w:val="000000"/>
          <w:sz w:val="20"/>
        </w:rPr>
        <w:t>Goodwill is not subject to amortization and is reviewed for impairment annually, or more frequently if events or changes in circumstances indicate an impairment may have occurred. If we determine that it is more likely than not that the fair value of our goodwill is less than its carrying value, we then perform a quantitative assessment. Based upon the results of that assessment, if the carrying value of our goodwill exceeds its fair value, (i) the recorded goodwill will be written down and (ii) a non-cash impairment expense will be recorded in the Consolidated Statements of Operations.</w:t>
      </w:r>
    </w:p>
    <w:p>
      <w:pPr>
        <w:pStyle w:val="TextBody"/>
        <w:bidi w:val="0"/>
        <w:spacing w:before="0" w:after="120"/>
        <w:jc w:val="both"/>
        <w:rPr>
          <w:rFonts w:ascii="sans-serif" w:hAnsi="sans-serif"/>
          <w:color w:val="000000"/>
          <w:sz w:val="20"/>
        </w:rPr>
      </w:pPr>
      <w:r>
        <w:rPr>
          <w:rFonts w:ascii="sans-serif" w:hAnsi="sans-serif"/>
          <w:color w:val="000000"/>
          <w:sz w:val="20"/>
        </w:rPr>
        <w:t>As discussed in our 2025 Form 10-K, during the year ended December 31, 2025, we determined that the estimated fair value of the Marketplace Reporting Unit was lower than its carrying value. Consequently, during the year ended December 31, 2025, we recognized a non-cash impairment expense of $660.7 million related to our goodwill, $297.4 million of which was recognized as of June 30, 2025 and $363.3 million of which was recognized as of October 31, 2025. At December 31, 2025, accumulated impairment charges related to our goodwill were $1,037.8 million.</w:t>
      </w:r>
    </w:p>
    <w:p>
      <w:pPr>
        <w:pStyle w:val="TextBody"/>
        <w:bidi w:val="0"/>
        <w:spacing w:before="0" w:after="120"/>
        <w:jc w:val="both"/>
        <w:rPr>
          <w:rFonts w:ascii="sans-serif" w:hAnsi="sans-serif"/>
          <w:color w:val="000000"/>
          <w:sz w:val="20"/>
        </w:rPr>
      </w:pPr>
      <w:r>
        <w:rPr>
          <w:rFonts w:ascii="sans-serif" w:hAnsi="sans-serif"/>
          <w:color w:val="000000"/>
          <w:sz w:val="20"/>
        </w:rPr>
        <w:t>The fair value of goodwill in the quantitative impairment tests performed as of June 30, 2025 and October 31, 2025 was determined using a combination of an income approach, which estimates fair value based upon projections of future revenues, expenses, and cash flows discounted to their respective present values, and a market approach. The valuation methodology and underlying financial information included in our determination of fair value required significant judgments by management. The principal assumptions used in our discounted cash flow analysis were (i) long-term projections of our financial performance and (ii) the weighted average cost of capital of market participants, adjusted for the risk attributable to our business and industry. The principal assumption used in the market approach was an estimate of a market-based multiple to determine estimated fair value. The fair value estimates used in our assessment were based on assumptions we believe to be reasonable, but that are unpredictable and inherently uncertain, including estimates of future growth rates and operating margins and assumptions about the overall economic and competitive environments. There can be no assurance that the estimates and assumptions used at the time of our annual assessment will not change over time. If near-term profitability trends, or our long-term profitability outlook, decline below our expectations, it is possible that an interim assessment, or a future annual assessment, could result in an additional impairment of our goodwill and indefinite-lived intangible assets.</w:t>
      </w:r>
    </w:p>
    <w:p>
      <w:pPr>
        <w:pStyle w:val="TextBody"/>
        <w:bidi w:val="0"/>
        <w:spacing w:before="0" w:after="120"/>
        <w:jc w:val="both"/>
        <w:rPr>
          <w:rFonts w:ascii="sans-serif" w:hAnsi="sans-serif"/>
          <w:color w:val="000000"/>
          <w:sz w:val="20"/>
        </w:rPr>
      </w:pPr>
      <w:r>
        <w:rPr>
          <w:rFonts w:ascii="sans-serif" w:hAnsi="sans-serif"/>
          <w:color w:val="000000"/>
          <w:sz w:val="20"/>
        </w:rPr>
        <w:t>During the six months ended June 30, 2026, there were no changes in the accumulated impairment charges related to our goodwill.</w:t>
      </w:r>
    </w:p>
    <w:p>
      <w:pPr>
        <w:pStyle w:val="TextBody"/>
        <w:bidi w:val="0"/>
        <w:spacing w:before="0" w:after="120"/>
        <w:jc w:val="both"/>
        <w:rPr>
          <w:rFonts w:ascii="sans-serif" w:hAnsi="sans-serif"/>
          <w:b/>
          <w:i/>
          <w:color w:val="000000"/>
          <w:sz w:val="20"/>
        </w:rPr>
      </w:pPr>
      <w:r>
        <w:rPr>
          <w:rFonts w:ascii="sans-serif" w:hAnsi="sans-serif"/>
          <w:b/>
          <w:i/>
          <w:color w:val="000000"/>
          <w:sz w:val="20"/>
        </w:rPr>
        <w:t>Indefinite-Lived Intangible Assets</w:t>
      </w:r>
    </w:p>
    <w:p>
      <w:pPr>
        <w:pStyle w:val="TextBody"/>
        <w:bidi w:val="0"/>
        <w:spacing w:before="0" w:after="120"/>
        <w:jc w:val="both"/>
        <w:rPr>
          <w:rFonts w:ascii="sans-serif" w:hAnsi="sans-serif"/>
          <w:color w:val="000000"/>
          <w:sz w:val="20"/>
        </w:rPr>
      </w:pPr>
      <w:r>
        <w:rPr>
          <w:rFonts w:ascii="sans-serif" w:hAnsi="sans-serif"/>
          <w:color w:val="000000"/>
          <w:sz w:val="20"/>
        </w:rPr>
        <w:t>Similar to goodwill, our indefinite-lived intangible assets are not subject to amortization and are reviewed for impairment annually, or more frequently if events or changes in circumstances indicate that the carrying value may not be recoverable. If we determine that it is more likely than not that the fair value of our indefinite-lived intangible assets is less than their carrying value, we then perform a quantitative assessment. Based upon the results of that assessment, if the carrying value of our indefinite-lived intangible assets exceeds their fair value, a non-cash impairment expense will be recorded in the Consolidated Statements of Operations.</w:t>
      </w:r>
    </w:p>
    <w:p>
      <w:pPr>
        <w:pStyle w:val="TextBody"/>
        <w:bidi w:val="0"/>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As discussed in our 2025 Form 10-K, during the year ended December 31, 2025, we determined that the estimated fair value of certain indefinite-lived trademarks was lower than their carrying value. Consequently, during the year ended December 31, 2025, we recognized a non-cash impairment expense of $62.3 million related to certain indefinite-lived trademarks, $23.0 million of which was recognized as of June 30, 2025 and $39.3 million of which was recognized as of October 31, 2025. At December 31, 2025, accumulated impairment charges related to our indefinite-lived intangible assets were $141.0 million.</w:t>
      </w:r>
    </w:p>
    <w:p>
      <w:pPr>
        <w:pStyle w:val="TextBody"/>
        <w:bidi w:val="0"/>
        <w:spacing w:before="0" w:after="120"/>
        <w:jc w:val="both"/>
        <w:rPr>
          <w:rFonts w:ascii="sans-serif" w:hAnsi="sans-serif"/>
          <w:color w:val="000000"/>
          <w:sz w:val="20"/>
        </w:rPr>
      </w:pPr>
      <w:r>
        <w:rPr>
          <w:rFonts w:ascii="sans-serif" w:hAnsi="sans-serif"/>
          <w:color w:val="000000"/>
          <w:sz w:val="20"/>
        </w:rPr>
        <w:t>The fair value of certain indefinite-lived trademarks in the quantitative impairment tests performed as of June 30, 2025 and October 31, 2025 was determined using the relief-from-royalty method, a detailed valuation methodology that involves the application of reasonable royalty rates to a net sales stream using the discounted cash flow method. The principal assumptions used in our discounted cash flow analysis were (i) long-term projections of our revenue and other financial information, (ii) weighted average cost of capital of market participants, adjusted for the risk attributable to our business and industry, and (iii) market royalty rates.</w:t>
      </w:r>
    </w:p>
    <w:p>
      <w:pPr>
        <w:pStyle w:val="TextBody"/>
        <w:bidi w:val="0"/>
        <w:spacing w:before="0" w:after="120"/>
        <w:jc w:val="both"/>
        <w:rPr>
          <w:rFonts w:ascii="sans-serif" w:hAnsi="sans-serif"/>
          <w:color w:val="000000"/>
          <w:sz w:val="20"/>
        </w:rPr>
      </w:pPr>
      <w:r>
        <w:rPr>
          <w:rFonts w:ascii="sans-serif" w:hAnsi="sans-serif"/>
          <w:color w:val="000000"/>
          <w:sz w:val="20"/>
        </w:rPr>
        <w:t>During the six months ended June 30, 2026, there were no changes in the accumulated impairment charges related to our indefinite-lived intangible assets.</w:t>
      </w:r>
    </w:p>
    <w:p>
      <w:pPr>
        <w:pStyle w:val="TextBody"/>
        <w:bidi w:val="0"/>
        <w:spacing w:before="0" w:after="120"/>
        <w:jc w:val="both"/>
        <w:rPr>
          <w:rFonts w:ascii="sans-serif" w:hAnsi="sans-serif"/>
          <w:b/>
          <w:color w:val="000000"/>
          <w:sz w:val="20"/>
        </w:rPr>
      </w:pPr>
      <w:r>
        <w:rPr>
          <w:rFonts w:ascii="sans-serif" w:hAnsi="sans-serif"/>
          <w:b/>
          <w:color w:val="000000"/>
          <w:sz w:val="20"/>
        </w:rPr>
        <w:t>Recent Accounting Pronouncements</w:t>
      </w:r>
    </w:p>
    <w:p>
      <w:pPr>
        <w:pStyle w:val="TextBody"/>
        <w:bidi w:val="0"/>
        <w:spacing w:before="0" w:after="120"/>
        <w:jc w:val="both"/>
        <w:rPr>
          <w:rFonts w:ascii="Times New Roman" w:hAnsi="Times New Roman"/>
          <w:sz w:val="20"/>
        </w:rPr>
      </w:pPr>
      <w:r>
        <w:rPr>
          <w:rFonts w:ascii="sans-serif" w:hAnsi="sans-serif"/>
          <w:color w:val="000000"/>
          <w:sz w:val="20"/>
        </w:rPr>
        <w:t xml:space="preserve">See Note 2, </w:t>
      </w:r>
      <w:r>
        <w:rPr>
          <w:rFonts w:ascii="sans-serif" w:hAnsi="sans-serif"/>
          <w:i/>
          <w:color w:val="000000"/>
          <w:sz w:val="20"/>
        </w:rPr>
        <w:t>New Accounting Standards</w:t>
      </w:r>
      <w:r>
        <w:rPr>
          <w:rFonts w:ascii="sans-serif" w:hAnsi="sans-serif"/>
          <w:color w:val="000000"/>
          <w:sz w:val="20"/>
        </w:rPr>
        <w:t>, to our unaudited condensed consolidated financial statements included elsewhere in this Report for a description of recently adopted accounting pronouncements and issued accounting pronouncements not yet adopted.</w:t>
      </w:r>
    </w:p>
    <w:p>
      <w:pPr>
        <w:pStyle w:val="TextBody"/>
        <w:bidi w:val="0"/>
        <w:spacing w:before="0" w:after="120"/>
        <w:jc w:val="center"/>
        <w:rPr>
          <w:rFonts w:ascii="sans-serif" w:hAnsi="sans-serif"/>
          <w:b/>
          <w:color w:val="000000"/>
          <w:sz w:val="20"/>
        </w:rPr>
      </w:pPr>
      <w:bookmarkStart w:id="12" w:name="part_i_item_3_disclosuresaboutmarketrisk"/>
      <w:bookmarkEnd w:id="12"/>
      <w:r>
        <w:rPr>
          <w:rFonts w:ascii="sans-serif" w:hAnsi="sans-serif"/>
          <w:b/>
          <w:color w:val="000000"/>
          <w:sz w:val="20"/>
        </w:rPr>
        <w:t>Item 3. Quantitative and Qualitative Disclosures about Market Risk</w:t>
      </w:r>
    </w:p>
    <w:p>
      <w:pPr>
        <w:pStyle w:val="TextBody"/>
        <w:bidi w:val="0"/>
        <w:spacing w:before="0" w:after="120"/>
        <w:jc w:val="both"/>
        <w:rPr>
          <w:rFonts w:ascii="Times New Roman" w:hAnsi="Times New Roman"/>
          <w:sz w:val="20"/>
        </w:rPr>
      </w:pPr>
      <w:r>
        <w:rPr>
          <w:rFonts w:ascii="sans-serif" w:hAnsi="sans-serif"/>
          <w:color w:val="000000"/>
          <w:sz w:val="20"/>
        </w:rPr>
        <w:t>As a “smaller reporting company,” as defined in Rule 12b-2 under the Exchange Act (an “</w:t>
      </w:r>
      <w:r>
        <w:rPr>
          <w:rFonts w:ascii="sans-serif" w:hAnsi="sans-serif"/>
          <w:color w:val="000000"/>
          <w:sz w:val="20"/>
          <w:u w:val="single"/>
        </w:rPr>
        <w:t>SRC</w:t>
      </w:r>
      <w:r>
        <w:rPr>
          <w:rFonts w:ascii="Times New Roman" w:hAnsi="Times New Roman"/>
          <w:color w:val="000000"/>
          <w:sz w:val="20"/>
        </w:rPr>
        <w:t>”</w:t>
      </w:r>
      <w:r>
        <w:rPr>
          <w:rFonts w:ascii="sans-serif" w:hAnsi="sans-serif"/>
          <w:color w:val="000000"/>
          <w:sz w:val="20"/>
        </w:rPr>
        <w:t>), we are not required to provide this information.</w:t>
      </w:r>
    </w:p>
    <w:p>
      <w:pPr>
        <w:pStyle w:val="TextBody"/>
        <w:bidi w:val="0"/>
        <w:spacing w:before="0" w:after="120"/>
        <w:jc w:val="center"/>
        <w:rPr>
          <w:rFonts w:ascii="sans-serif" w:hAnsi="sans-serif"/>
          <w:b/>
          <w:color w:val="000000"/>
          <w:sz w:val="20"/>
        </w:rPr>
      </w:pPr>
      <w:bookmarkStart w:id="13" w:name="part_i_item_4_controls_and_procedures"/>
      <w:bookmarkEnd w:id="13"/>
      <w:r>
        <w:rPr>
          <w:rFonts w:ascii="sans-serif" w:hAnsi="sans-serif"/>
          <w:b/>
          <w:color w:val="000000"/>
          <w:sz w:val="20"/>
        </w:rPr>
        <w:t>Item 4. Controls and Procedures</w:t>
      </w:r>
    </w:p>
    <w:p>
      <w:pPr>
        <w:pStyle w:val="TextBody"/>
        <w:bidi w:val="0"/>
        <w:spacing w:before="0" w:after="120"/>
        <w:jc w:val="both"/>
        <w:rPr>
          <w:rFonts w:ascii="sans-serif" w:hAnsi="sans-serif"/>
          <w:b/>
          <w:color w:val="000000"/>
          <w:sz w:val="20"/>
        </w:rPr>
      </w:pPr>
      <w:r>
        <w:rPr>
          <w:rFonts w:ascii="sans-serif" w:hAnsi="sans-serif"/>
          <w:b/>
          <w:color w:val="000000"/>
          <w:sz w:val="20"/>
        </w:rPr>
        <w:t>Disclosure Controls and Procedures</w:t>
      </w:r>
    </w:p>
    <w:p>
      <w:pPr>
        <w:pStyle w:val="TextBody"/>
        <w:bidi w:val="0"/>
        <w:spacing w:before="0" w:after="120"/>
        <w:jc w:val="both"/>
        <w:rPr>
          <w:rFonts w:ascii="sans-serif" w:hAnsi="sans-serif"/>
          <w:b/>
          <w:i/>
          <w:color w:val="000000"/>
          <w:sz w:val="20"/>
        </w:rPr>
      </w:pPr>
      <w:r>
        <w:rPr>
          <w:rFonts w:ascii="sans-serif" w:hAnsi="sans-serif"/>
          <w:b/>
          <w:i/>
          <w:color w:val="000000"/>
          <w:sz w:val="20"/>
        </w:rPr>
        <w:t>Limitations on Effectiveness of Disclosure Controls and Procedures</w:t>
      </w:r>
    </w:p>
    <w:p>
      <w:pPr>
        <w:pStyle w:val="TextBody"/>
        <w:bidi w:val="0"/>
        <w:spacing w:before="0" w:after="120"/>
        <w:jc w:val="both"/>
        <w:rPr>
          <w:rFonts w:ascii="sans-serif" w:hAnsi="sans-serif"/>
          <w:color w:val="000000"/>
          <w:sz w:val="20"/>
        </w:rPr>
      </w:pPr>
      <w:r>
        <w:rPr>
          <w:rFonts w:ascii="sans-serif" w:hAnsi="sans-serif"/>
          <w:color w:val="000000"/>
          <w:sz w:val="20"/>
        </w:rPr>
        <w:t>In designing and evaluating our disclosure controls and procedures (as defined in Rules 13a-15(e) or 15d-15(e) under the Exchange Act), management recognizes that any controls and procedures, no matter how well designed and operated, can provide only reasonable assurance of achieving the desired control objectives.</w:t>
      </w:r>
    </w:p>
    <w:p>
      <w:pPr>
        <w:pStyle w:val="TextBody"/>
        <w:bidi w:val="0"/>
        <w:spacing w:before="0" w:after="120"/>
        <w:jc w:val="both"/>
        <w:rPr>
          <w:rFonts w:ascii="sans-serif" w:hAnsi="sans-serif"/>
          <w:b/>
          <w:i/>
          <w:color w:val="000000"/>
          <w:sz w:val="20"/>
        </w:rPr>
      </w:pPr>
      <w:r>
        <w:rPr>
          <w:rFonts w:ascii="sans-serif" w:hAnsi="sans-serif"/>
          <w:b/>
          <w:i/>
          <w:color w:val="000000"/>
          <w:sz w:val="20"/>
        </w:rPr>
        <w:t>Evaluation of Disclosure Controls and Procedures</w:t>
      </w:r>
    </w:p>
    <w:p>
      <w:pPr>
        <w:pStyle w:val="TextBody"/>
        <w:bidi w:val="0"/>
        <w:spacing w:before="0" w:after="120"/>
        <w:jc w:val="both"/>
        <w:rPr>
          <w:rFonts w:ascii="sans-serif" w:hAnsi="sans-serif"/>
          <w:color w:val="000000"/>
          <w:sz w:val="20"/>
        </w:rPr>
      </w:pPr>
      <w:r>
        <w:rPr>
          <w:rFonts w:ascii="sans-serif" w:hAnsi="sans-serif"/>
          <w:color w:val="000000"/>
          <w:sz w:val="20"/>
        </w:rPr>
        <w:t>Disclosure controls and procedures (as defined in Rules 13a-15(e) or 15d-15(e) under the Exchange Act)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principal executive and financial officers, as appropriate, to allow timely decisions regarding required disclosures.</w:t>
      </w:r>
    </w:p>
    <w:p>
      <w:pPr>
        <w:pStyle w:val="TextBody"/>
        <w:bidi w:val="0"/>
        <w:spacing w:before="0" w:after="120"/>
        <w:jc w:val="both"/>
        <w:rPr>
          <w:rFonts w:ascii="sans-serif" w:hAnsi="sans-serif"/>
          <w:color w:val="000000"/>
          <w:sz w:val="20"/>
        </w:rPr>
      </w:pPr>
      <w:r>
        <w:rPr>
          <w:rFonts w:ascii="sans-serif" w:hAnsi="sans-serif"/>
          <w:color w:val="000000"/>
          <w:sz w:val="20"/>
        </w:rPr>
        <w:t>Management, with the participation of our principal executive and financial officers, has evaluated the effectiveness of our disclosure controls and procedures (as defined in Rules 13a-15(e) and 15d-15(e) under the Exchange Act) as of the end of the period covered by this Report. Based on such evaluation, our principal executive and financial officers concluded that as of June 30, 2026, our disclosure controls and procedures were effective.</w:t>
      </w:r>
    </w:p>
    <w:p>
      <w:pPr>
        <w:pStyle w:val="TextBody"/>
        <w:bidi w:val="0"/>
        <w:spacing w:before="0" w:after="120"/>
        <w:jc w:val="both"/>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0" w:after="120"/>
        <w:jc w:val="both"/>
        <w:rPr>
          <w:rFonts w:ascii="sans-serif" w:hAnsi="sans-serif"/>
          <w:color w:val="000000"/>
          <w:sz w:val="20"/>
        </w:rPr>
      </w:pPr>
      <w:r>
        <w:rPr>
          <w:rFonts w:ascii="sans-serif" w:hAnsi="sans-serif"/>
          <w:color w:val="000000"/>
          <w:sz w:val="20"/>
        </w:rPr>
        <w:t>There were no changes in our internal control over financial reporting (as defined in Rules 13a-15(f) or 15d-15(f) under the Exchange Act) during the three months ended June 30, 2026 that have materially affected, or are reasonably likely to materially affect, our internal control over financial reporting.</w:t>
      </w:r>
    </w:p>
    <w:p>
      <w:pPr>
        <w:pStyle w:val="TextBody"/>
        <w:bidi w:val="0"/>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sans-serif" w:hAnsi="sans-serif"/>
          <w:b/>
          <w:color w:val="000000"/>
          <w:sz w:val="20"/>
        </w:rPr>
      </w:pPr>
      <w:bookmarkStart w:id="14" w:name="part_ii_other_information"/>
      <w:bookmarkEnd w:id="14"/>
      <w:r>
        <w:rPr>
          <w:rFonts w:ascii="sans-serif" w:hAnsi="sans-serif"/>
          <w:b/>
          <w:color w:val="000000"/>
          <w:sz w:val="20"/>
        </w:rPr>
        <w:t>Part II — Other Information</w:t>
      </w:r>
    </w:p>
    <w:p>
      <w:pPr>
        <w:pStyle w:val="TextBody"/>
        <w:bidi w:val="0"/>
        <w:spacing w:before="0" w:after="120"/>
        <w:jc w:val="center"/>
        <w:rPr>
          <w:rFonts w:ascii="sans-serif" w:hAnsi="sans-serif"/>
          <w:b/>
          <w:color w:val="000000"/>
          <w:sz w:val="20"/>
        </w:rPr>
      </w:pPr>
      <w:bookmarkStart w:id="15" w:name="part_ii_item_1_legal_proceedings"/>
      <w:bookmarkEnd w:id="15"/>
      <w:r>
        <w:rPr>
          <w:rFonts w:ascii="sans-serif" w:hAnsi="sans-serif"/>
          <w:b/>
          <w:color w:val="000000"/>
          <w:sz w:val="20"/>
        </w:rPr>
        <w:t>Item 1. Legal Proceedings</w:t>
      </w:r>
    </w:p>
    <w:p>
      <w:pPr>
        <w:pStyle w:val="TextBody"/>
        <w:bidi w:val="0"/>
        <w:spacing w:before="0" w:after="120"/>
        <w:jc w:val="both"/>
        <w:rPr>
          <w:rFonts w:ascii="sans-serif" w:hAnsi="sans-serif"/>
          <w:color w:val="000000"/>
          <w:sz w:val="20"/>
        </w:rPr>
      </w:pPr>
      <w:r>
        <w:rPr>
          <w:rFonts w:ascii="sans-serif" w:hAnsi="sans-serif"/>
          <w:color w:val="000000"/>
          <w:sz w:val="20"/>
        </w:rPr>
        <w:t>None.</w:t>
      </w:r>
    </w:p>
    <w:p>
      <w:pPr>
        <w:pStyle w:val="TextBody"/>
        <w:bidi w:val="0"/>
        <w:spacing w:before="0" w:after="120"/>
        <w:jc w:val="center"/>
        <w:rPr>
          <w:rFonts w:ascii="sans-serif" w:hAnsi="sans-serif"/>
          <w:b/>
          <w:color w:val="000000"/>
          <w:sz w:val="20"/>
        </w:rPr>
      </w:pPr>
      <w:bookmarkStart w:id="16" w:name="part_ii_item_1a_risk_factors"/>
      <w:bookmarkEnd w:id="16"/>
      <w:r>
        <w:rPr>
          <w:rFonts w:ascii="sans-serif" w:hAnsi="sans-serif"/>
          <w:b/>
          <w:color w:val="000000"/>
          <w:sz w:val="20"/>
        </w:rPr>
        <w:t>Item 1A. Risk Factors</w:t>
      </w:r>
    </w:p>
    <w:p>
      <w:pPr>
        <w:pStyle w:val="TextBody"/>
        <w:bidi w:val="0"/>
        <w:spacing w:before="0" w:after="120"/>
        <w:jc w:val="both"/>
        <w:rPr>
          <w:rFonts w:ascii="sans-serif" w:hAnsi="sans-serif"/>
          <w:color w:val="000000"/>
          <w:sz w:val="20"/>
        </w:rPr>
      </w:pPr>
      <w:r>
        <w:rPr>
          <w:rFonts w:ascii="sans-serif" w:hAnsi="sans-serif"/>
          <w:color w:val="000000"/>
          <w:sz w:val="20"/>
        </w:rPr>
        <w:t>Set forth below are certain risks that could cause actual results to differ materially from those contemplated by the forward-looking statements contained in this Report. These are not the only risks we face. Additional risks that are currently unknown or believed not to be material may also impact actual results. These risks should be carefully considered together with the other information set forth in this Report and our other filings with the SEC.</w:t>
      </w:r>
    </w:p>
    <w:p>
      <w:pPr>
        <w:pStyle w:val="TextBody"/>
        <w:bidi w:val="0"/>
        <w:spacing w:before="0" w:after="120"/>
        <w:jc w:val="center"/>
        <w:rPr>
          <w:rFonts w:ascii="sans-serif" w:hAnsi="sans-serif"/>
          <w:b/>
          <w:color w:val="000000"/>
          <w:sz w:val="20"/>
        </w:rPr>
      </w:pPr>
      <w:r>
        <w:rPr>
          <w:rFonts w:ascii="sans-serif" w:hAnsi="sans-serif"/>
          <w:b/>
          <w:color w:val="000000"/>
          <w:sz w:val="20"/>
        </w:rPr>
        <w:t>Risk Factors Summary</w:t>
      </w:r>
    </w:p>
    <w:p>
      <w:pPr>
        <w:pStyle w:val="TextBody"/>
        <w:bidi w:val="0"/>
        <w:spacing w:before="0" w:after="120"/>
        <w:jc w:val="both"/>
        <w:rPr>
          <w:rFonts w:ascii="sans-serif" w:hAnsi="sans-serif"/>
          <w:b/>
          <w:color w:val="231F20"/>
          <w:sz w:val="20"/>
        </w:rPr>
      </w:pPr>
      <w:r>
        <w:rPr>
          <w:rFonts w:ascii="sans-serif" w:hAnsi="sans-serif"/>
          <w:b/>
          <w:color w:val="231F20"/>
          <w:sz w:val="20"/>
        </w:rPr>
        <w:t>Risks Related to Our Business &amp; Industry</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are adversely affected by decreases in the supply of and/or demand for live events.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by adverse changes in our relationships with ticket buyers, sellers, and/or partners.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by changes to internet search engine algorithms and mobile app marketplace rules.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if we fail to adapt to the impact of AI on how consumers search for live event tickets.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face intense competition in the ticketing industry, and we may be adversely affected if we are unable to attract ticket buyers and sellers to our platform.</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if we do not continue to maintain and improve our platform, or to successfully develop new and improved solutions and enhancements.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if we are unable to maintain and enhance our reputation and brand.</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by extraordinary events, including disease epidemics, or the effects of inflation.</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if any completed or future business acquisition is unsuccessful.</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if we are unable to manage the risks associated with the growth of our international operations.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financial performance in certain periods may not be indicative of, or comparable to, our financial performance in other periods due to seasonality and other factors.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color w:val="231F20"/>
          <w:sz w:val="20"/>
        </w:rPr>
        <w:t xml:space="preserve">Impairment of our goodwill </w:t>
      </w:r>
      <w:r>
        <w:rPr>
          <w:rFonts w:ascii="sans-serif" w:hAnsi="sans-serif"/>
          <w:color w:val="000000"/>
          <w:sz w:val="20"/>
        </w:rPr>
        <w:t xml:space="preserve">and certain indefinite-lived trademarks </w:t>
      </w:r>
      <w:r>
        <w:rPr>
          <w:rFonts w:ascii="sans-serif" w:hAnsi="sans-serif"/>
          <w:color w:val="231F20"/>
          <w:sz w:val="20"/>
        </w:rPr>
        <w:t>has adversely affected, and may in the future adversely affect, our financial results and condition.</w:t>
      </w:r>
    </w:p>
    <w:p>
      <w:pPr>
        <w:pStyle w:val="TextBody"/>
        <w:bidi w:val="0"/>
        <w:spacing w:before="0" w:after="120"/>
        <w:jc w:val="both"/>
        <w:rPr>
          <w:rFonts w:ascii="sans-serif" w:hAnsi="sans-serif"/>
          <w:b/>
          <w:color w:val="231F20"/>
          <w:sz w:val="20"/>
        </w:rPr>
      </w:pPr>
      <w:r>
        <w:rPr>
          <w:rFonts w:ascii="sans-serif" w:hAnsi="sans-serif"/>
          <w:b/>
          <w:color w:val="231F20"/>
          <w:sz w:val="20"/>
        </w:rPr>
        <w:t>Risks Related to Government Regulation &amp; Litigation</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depend on the ability of ticket holders to sell their tickets on the secondary market unencumbered, and our business and industry may be adversely affected by unfavorable legislative outcomes.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processing of personal data and other sensitive information could give rise to liabilities as a result of governmental regulation, litigation, and conflicting legal requirements, including those relating to personal privacy, data security, and AI.</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by unfavorable outcomes in legal proceedings in which we, ticket sellers, or our partners are or may in the future be involved.</w:t>
      </w:r>
    </w:p>
    <w:p>
      <w:pPr>
        <w:pStyle w:val="TextBody"/>
        <w:bidi w:val="0"/>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color w:val="231F20"/>
          <w:sz w:val="20"/>
        </w:rPr>
      </w:pPr>
      <w:r>
        <w:rPr>
          <w:rFonts w:ascii="sans-serif" w:hAnsi="sans-serif"/>
          <w:b/>
          <w:color w:val="231F20"/>
          <w:sz w:val="20"/>
        </w:rPr>
        <w:t>Risks Related to Information Technology, Cybersecurity &amp; Intellectual Property</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by system interruptions and the lack of integration and redundancy in our and third-party information systems and infrastructure.</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adversely affected if our information technology systems, or those of third parties with whom we conduct business, are compromised.</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payment system depends on third-party providers and is subject to risks that may adversely affect our business.</w:t>
      </w:r>
    </w:p>
    <w:p>
      <w:pPr>
        <w:pStyle w:val="TextBody"/>
        <w:bidi w:val="0"/>
        <w:spacing w:before="0" w:after="120"/>
        <w:jc w:val="both"/>
        <w:rPr>
          <w:rFonts w:ascii="sans-serif" w:hAnsi="sans-serif"/>
          <w:b/>
          <w:color w:val="231F20"/>
          <w:sz w:val="20"/>
        </w:rPr>
      </w:pPr>
      <w:r>
        <w:rPr>
          <w:rFonts w:ascii="sans-serif" w:hAnsi="sans-serif"/>
          <w:b/>
          <w:color w:val="231F20"/>
          <w:sz w:val="20"/>
        </w:rPr>
        <w:t>Risks Related to Our Indebtedness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color w:val="231F20"/>
          <w:sz w:val="20"/>
        </w:rPr>
        <w:t>Our credit facility imposes restrictions that limit management</w:t>
      </w:r>
      <w:r>
        <w:rPr>
          <w:color w:val="000000"/>
        </w:rPr>
        <w:t>’</w:t>
      </w:r>
      <w:r>
        <w:rPr>
          <w:rFonts w:ascii="sans-serif" w:hAnsi="sans-serif"/>
          <w:color w:val="231F20"/>
          <w:sz w:val="20"/>
        </w:rPr>
        <w:t>s discretion in operating our business, which could impair our ability to satisfy our debt obligations.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We may be unable to generate sufficient cash flows and/or obtain additional financing when necessary or desirable.</w:t>
      </w:r>
    </w:p>
    <w:p>
      <w:pPr>
        <w:pStyle w:val="TextBody"/>
        <w:bidi w:val="0"/>
        <w:spacing w:before="0" w:after="120"/>
        <w:jc w:val="both"/>
        <w:rPr>
          <w:rFonts w:ascii="sans-serif" w:hAnsi="sans-serif"/>
          <w:b/>
          <w:color w:val="231F20"/>
          <w:sz w:val="20"/>
        </w:rPr>
      </w:pPr>
      <w:r>
        <w:rPr>
          <w:rFonts w:ascii="sans-serif" w:hAnsi="sans-serif"/>
          <w:b/>
          <w:color w:val="231F20"/>
          <w:sz w:val="20"/>
        </w:rPr>
        <w:t>Risks Related to the Ownership of Our Securities &amp; Organizational Structure</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interests of our significant stockholders may conflict with those of us or our other stockholders.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Our principal assets are the equity interests in our subsidiaries, and we are accordingly dependent upon our subsidiaries’ cash flows to satisfy our obligations.</w:t>
      </w:r>
    </w:p>
    <w:p>
      <w:pPr>
        <w:pStyle w:val="TextBody"/>
        <w:bidi w:val="0"/>
        <w:spacing w:before="0" w:after="120"/>
        <w:jc w:val="both"/>
        <w:rPr>
          <w:rFonts w:ascii="sans-serif" w:hAnsi="sans-serif"/>
          <w:b/>
          <w:color w:val="231F20"/>
          <w:sz w:val="20"/>
        </w:rPr>
      </w:pPr>
      <w:r>
        <w:rPr>
          <w:rFonts w:ascii="sans-serif" w:hAnsi="sans-serif"/>
          <w:b/>
          <w:color w:val="231F20"/>
          <w:sz w:val="20"/>
        </w:rPr>
        <w:t>Risks Related to Being a Public Company</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market price and trading volume of our securities may be volatile.</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color w:val="231F20"/>
          <w:sz w:val="20"/>
        </w:rPr>
        <w:t>We previously identified and remediated a material weakness in our internal control over financial reporting (“</w:t>
      </w:r>
      <w:r>
        <w:rPr>
          <w:rFonts w:ascii="sans-serif" w:hAnsi="sans-serif"/>
          <w:color w:val="231F20"/>
          <w:sz w:val="20"/>
          <w:u w:val="single"/>
        </w:rPr>
        <w:t>ICFR</w:t>
      </w:r>
      <w:r>
        <w:rPr>
          <w:color w:val="231F20"/>
        </w:rPr>
        <w:t>”</w:t>
      </w:r>
      <w:r>
        <w:rPr>
          <w:rFonts w:ascii="sans-serif" w:hAnsi="sans-serif"/>
          <w:color w:val="231F20"/>
          <w:sz w:val="20"/>
        </w:rPr>
        <w:t>), and we may identify additional material weaknesses in the future or otherwise fail to maintain an effective system of internal controls.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sans-serif" w:hAnsi="sans-serif"/>
          <w:color w:val="231F20"/>
          <w:sz w:val="20"/>
        </w:rPr>
        <w:t>We are an “emerging growth company” (“</w:t>
      </w:r>
      <w:r>
        <w:rPr>
          <w:rFonts w:ascii="sans-serif" w:hAnsi="sans-serif"/>
          <w:color w:val="231F20"/>
          <w:sz w:val="20"/>
          <w:u w:val="single"/>
        </w:rPr>
        <w:t>EGC</w:t>
      </w:r>
      <w:r>
        <w:rPr>
          <w:color w:val="231F20"/>
        </w:rPr>
        <w:t>”</w:t>
      </w:r>
      <w:r>
        <w:rPr>
          <w:rFonts w:ascii="sans-serif" w:hAnsi="sans-serif"/>
          <w:color w:val="231F20"/>
          <w:sz w:val="20"/>
        </w:rPr>
        <w:t>) and an SRC, and our reliance on certain reporting requirement exemptions available to EGCs and/or SRCs could make our securities less attractive to investors.</w:t>
      </w:r>
    </w:p>
    <w:p>
      <w:pPr>
        <w:pStyle w:val="TextBody"/>
        <w:bidi w:val="0"/>
        <w:spacing w:before="0" w:after="120"/>
        <w:jc w:val="both"/>
        <w:rPr>
          <w:color w:val="231F20"/>
        </w:rPr>
      </w:pPr>
      <w:r>
        <w:rPr>
          <w:color w:val="231F20"/>
        </w:rPr>
        <w:t>•</w:t>
      </w:r>
    </w:p>
    <w:p>
      <w:pPr>
        <w:pStyle w:val="TextBody"/>
        <w:bidi w:val="0"/>
        <w:spacing w:before="0" w:after="120"/>
        <w:jc w:val="both"/>
        <w:rPr>
          <w:rFonts w:ascii="sans-serif" w:hAnsi="sans-serif"/>
          <w:color w:val="231F20"/>
          <w:sz w:val="20"/>
        </w:rPr>
      </w:pPr>
      <w:r>
        <w:rPr>
          <w:rFonts w:ascii="sans-serif" w:hAnsi="sans-serif"/>
          <w:color w:val="231F20"/>
          <w:sz w:val="20"/>
        </w:rPr>
        <w:t>The issuance of new shares of Class A common stock, including upon the exercise of outstanding warrants, would increase the number of shares eligible for resale in the public market and dilute the ownership and voting power of our existing stockholders.</w:t>
      </w:r>
    </w:p>
    <w:p>
      <w:pPr>
        <w:pStyle w:val="TextBody"/>
        <w:bidi w:val="0"/>
        <w:spacing w:before="0" w:after="120"/>
        <w:jc w:val="center"/>
        <w:rPr>
          <w:rFonts w:ascii="sans-serif" w:hAnsi="sans-serif"/>
          <w:b/>
          <w:color w:val="000000"/>
          <w:sz w:val="20"/>
        </w:rPr>
      </w:pPr>
      <w:r>
        <w:rPr>
          <w:rFonts w:ascii="sans-serif" w:hAnsi="sans-serif"/>
          <w:b/>
          <w:color w:val="000000"/>
          <w:sz w:val="20"/>
        </w:rPr>
        <w:t>Risk Factors</w:t>
      </w:r>
    </w:p>
    <w:p>
      <w:pPr>
        <w:pStyle w:val="TextBody"/>
        <w:bidi w:val="0"/>
        <w:spacing w:before="0" w:after="120"/>
        <w:jc w:val="both"/>
        <w:rPr>
          <w:rFonts w:ascii="sans-serif" w:hAnsi="sans-serif"/>
          <w:b/>
          <w:color w:val="000000"/>
          <w:sz w:val="20"/>
        </w:rPr>
      </w:pPr>
      <w:r>
        <w:rPr>
          <w:rFonts w:ascii="sans-serif" w:hAnsi="sans-serif"/>
          <w:b/>
          <w:color w:val="000000"/>
          <w:sz w:val="20"/>
        </w:rPr>
        <w:t>Risks Related to Our Business &amp; Industry</w:t>
      </w:r>
    </w:p>
    <w:p>
      <w:pPr>
        <w:pStyle w:val="TextBody"/>
        <w:bidi w:val="0"/>
        <w:spacing w:before="0" w:after="120"/>
        <w:jc w:val="both"/>
        <w:rPr>
          <w:rFonts w:ascii="sans-serif" w:hAnsi="sans-serif"/>
          <w:b/>
          <w:i/>
          <w:color w:val="000000"/>
          <w:sz w:val="20"/>
        </w:rPr>
      </w:pPr>
      <w:r>
        <w:rPr>
          <w:rFonts w:ascii="sans-serif" w:hAnsi="sans-serif"/>
          <w:b/>
          <w:i/>
          <w:color w:val="000000"/>
          <w:sz w:val="20"/>
        </w:rPr>
        <w:t>We are adversely affected by decreases in the supply of and/or demand for live events.</w:t>
      </w:r>
    </w:p>
    <w:p>
      <w:pPr>
        <w:pStyle w:val="TextBody"/>
        <w:bidi w:val="0"/>
        <w:spacing w:before="0" w:after="120"/>
        <w:jc w:val="both"/>
        <w:rPr>
          <w:rFonts w:ascii="sans-serif" w:hAnsi="sans-serif"/>
          <w:color w:val="000000"/>
          <w:sz w:val="20"/>
        </w:rPr>
      </w:pPr>
      <w:r>
        <w:rPr>
          <w:rFonts w:ascii="sans-serif" w:hAnsi="sans-serif"/>
          <w:color w:val="000000"/>
          <w:sz w:val="20"/>
        </w:rPr>
        <w:t>The supply of live events depends on several factors, many of which are outside of our control. We rely on artists and sports teams to perform and play at live events, and scenarios such as artists deciding to perform less frequently or at smaller venues, sports league lockouts, promoters or event venues failing to correctly anticipate demand for particular events, or negative trends in the entertainment and/or sporting industries that cause a reduction in the number or availability of live events adversely affect our business, financial condition, and results of operations.</w:t>
      </w:r>
    </w:p>
    <w:p>
      <w:pPr>
        <w:pStyle w:val="TextBody"/>
        <w:bidi w:val="0"/>
        <w:spacing w:before="0" w:after="120"/>
        <w:jc w:val="both"/>
        <w:rPr>
          <w:rFonts w:ascii="Times New Roman" w:hAnsi="Times New Roman"/>
          <w:sz w:val="20"/>
        </w:rPr>
      </w:pPr>
      <w:r>
        <w:rPr>
          <w:rFonts w:ascii="sans-serif" w:hAnsi="sans-serif"/>
          <w:color w:val="000000"/>
          <w:sz w:val="20"/>
        </w:rPr>
        <w:t>Our business also depends on demand for and attendance at live events, which is affected by, among other things, discretionary consumer and corporate spending. Many factors impact such spending, including economic conditions (</w:t>
      </w:r>
      <w:r>
        <w:rPr>
          <w:rFonts w:ascii="sans-serif" w:hAnsi="sans-serif"/>
          <w:i/>
          <w:color w:val="000000"/>
          <w:sz w:val="20"/>
        </w:rPr>
        <w:t>e.g.</w:t>
      </w:r>
      <w:r>
        <w:rPr>
          <w:rFonts w:ascii="sans-serif" w:hAnsi="sans-serif"/>
          <w:color w:val="000000"/>
          <w:sz w:val="20"/>
        </w:rPr>
        <w:t>, unemployment levels, interest rates, inflation, and commodity prices), changes to tax rates/laws, public safety concerns, and other extraordinary events. Reduced discretionary spending, as well as other negative business or industry conditions or trends, can decrease demand for and attendance at live events, as well as reduce ticket sales, which adversely affect our revenue and operating results.</w:t>
      </w:r>
    </w:p>
    <w:p>
      <w:pPr>
        <w:pStyle w:val="TextBody"/>
        <w:bidi w:val="0"/>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All of these risks may become more acute during periods of economic slowdown, recession, and uncertainty. For example, the COVID-19 pandemic and related economic slowdown materially and adversely impacted our business, including due to event restrictions and cancellations. While live events are now generally held at pre-pandemic scope and scale, there can be no assurance that the supply of and/or demand for such events will not be negatively impacted by any future economic slowdown, recession, or uncertainty, which would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by adverse changes in our relationships with ticket buyers, sellers, and/or partners.</w:t>
      </w:r>
    </w:p>
    <w:p>
      <w:pPr>
        <w:pStyle w:val="TextBody"/>
        <w:bidi w:val="0"/>
        <w:spacing w:before="0" w:after="120"/>
        <w:jc w:val="both"/>
        <w:rPr>
          <w:rFonts w:ascii="sans-serif" w:hAnsi="sans-serif"/>
          <w:color w:val="000000"/>
          <w:sz w:val="20"/>
        </w:rPr>
      </w:pPr>
      <w:r>
        <w:rPr>
          <w:rFonts w:ascii="sans-serif" w:hAnsi="sans-serif"/>
          <w:color w:val="000000"/>
          <w:sz w:val="20"/>
        </w:rPr>
        <w:t>Our business depends on developing and maintaining deep and longstanding relationships with the parties that use our platform to buy and sell tickets, including ticket buyers, sellers, and partners. Any failure to do so on acceptable terms, or at all, could adversely affect our business, financial condition, and results of operations. For example, the loss of a significant Private Label Offering distribution partner in 2025 adversely affected both our Private Label Offering and total Marketplace order volumes and revenues.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by changes to internet search engine algorithms or if we fail to adapt to the impact of AI on how consumers search for live event tickets.</w:t>
      </w:r>
    </w:p>
    <w:p>
      <w:pPr>
        <w:pStyle w:val="TextBody"/>
        <w:bidi w:val="0"/>
        <w:spacing w:before="0" w:after="120"/>
        <w:jc w:val="both"/>
        <w:rPr>
          <w:rFonts w:ascii="sans-serif" w:hAnsi="sans-serif"/>
          <w:color w:val="000000"/>
          <w:sz w:val="20"/>
        </w:rPr>
      </w:pPr>
      <w:r>
        <w:rPr>
          <w:rFonts w:ascii="sans-serif" w:hAnsi="sans-serif"/>
          <w:color w:val="000000"/>
          <w:sz w:val="20"/>
        </w:rPr>
        <w:t>We rely heavily on internet search engines, such as Google, to generate traffic to our websites through a combination of organic and paid searches. Search engines frequently update and change the logic that determines the placement and display of a user’s search results such that the purchased or algorithmic placement of links to our websites can be negatively affected. For example, a search engine could, for competitive or other purposes, alter its search algorithms or results in a manner that causes our websites to be placed lower in its organic search query results. If a major search engine changes its algorithms in a manner that negatively impacts its ranking of our or our partners’ websites, our business, financial condition, and results of operations could be adversely affected. Further, our failure to successfully manage our search engine optimization could substantially decrease traffic to our websites, as well as increase costs if we were to replace free traffic with paid traffic, which could adversely affect our business, financial condition, and results of operations.</w:t>
      </w:r>
    </w:p>
    <w:p>
      <w:pPr>
        <w:pStyle w:val="TextBody"/>
        <w:bidi w:val="0"/>
        <w:spacing w:before="0" w:after="120"/>
        <w:jc w:val="both"/>
        <w:rPr>
          <w:rFonts w:ascii="sans-serif" w:hAnsi="sans-serif"/>
          <w:color w:val="000000"/>
          <w:sz w:val="20"/>
        </w:rPr>
      </w:pPr>
      <w:r>
        <w:rPr>
          <w:rFonts w:ascii="sans-serif" w:hAnsi="sans-serif"/>
          <w:color w:val="000000"/>
          <w:sz w:val="20"/>
        </w:rPr>
        <w:t>Artificial intelligence has recently begun to disrupt the methods by which consumers have traditionally searched for live event tickets, and we expect this trend to continue. A failure by us to successfully adapt to this evolving landscape could adversely affect our business, financial condition, and results of operations.</w:t>
      </w:r>
    </w:p>
    <w:p>
      <w:pPr>
        <w:pStyle w:val="TextBody"/>
        <w:bidi w:val="0"/>
        <w:spacing w:before="0" w:after="120"/>
        <w:jc w:val="both"/>
        <w:rPr>
          <w:rFonts w:ascii="sans-serif" w:hAnsi="sans-serif"/>
          <w:b/>
          <w:i/>
          <w:color w:val="231F20"/>
          <w:sz w:val="20"/>
        </w:rPr>
      </w:pPr>
      <w:r>
        <w:rPr>
          <w:rFonts w:ascii="sans-serif" w:hAnsi="sans-serif"/>
          <w:b/>
          <w:i/>
          <w:color w:val="231F20"/>
          <w:sz w:val="20"/>
        </w:rPr>
        <w:t>We may be adversely affected by changes to mobile app marketplace rules.</w:t>
      </w:r>
    </w:p>
    <w:p>
      <w:pPr>
        <w:pStyle w:val="TextBody"/>
        <w:bidi w:val="0"/>
        <w:spacing w:before="0" w:after="120"/>
        <w:jc w:val="both"/>
        <w:rPr>
          <w:rFonts w:ascii="sans-serif" w:hAnsi="sans-serif"/>
          <w:color w:val="000000"/>
          <w:sz w:val="20"/>
        </w:rPr>
      </w:pPr>
      <w:r>
        <w:rPr>
          <w:rFonts w:ascii="sans-serif" w:hAnsi="sans-serif"/>
          <w:color w:val="000000"/>
          <w:sz w:val="20"/>
        </w:rPr>
        <w:t>We rely on mobile app marketplaces, such as Apple’s App Store and Google’s Play Store, to enable downloads of our mobile apps. Such marketplaces have in the past made, and may in the future make, changes (including to security, privacy, disclosure, age verification, and other requirements) that may impede access to our mobile apps or limit the features we can offer. For example, our mobile apps may receive unfavorable promotion and/or placement treatment compared to those of competing apps, including the order in which they appear within these marketplaces. Further, our Apple iOS and Google Android mobile apps are an increasingly important distribution channel for ticket sales. If either marketplace were to charge commissions or fees on our mobile app-based revenue, and we failed to negotiate favorable terms, it could adversely affect our business, financial condition, and results of operations. In addition, certain mobile app marketplace rules are subject to legal challenges, which can create uncertainty and further complicate our ability to comply therewith. Similarly, if problems arise in our relationships with these or other such marketplaces, access to our mobile apps could be impeded and our user growth could be harmed.</w:t>
      </w:r>
    </w:p>
    <w:p>
      <w:pPr>
        <w:pStyle w:val="TextBody"/>
        <w:bidi w:val="0"/>
        <w:spacing w:before="0" w:after="120"/>
        <w:jc w:val="both"/>
        <w:rPr>
          <w:rFonts w:ascii="sans-serif" w:hAnsi="sans-serif"/>
          <w:b/>
          <w:i/>
          <w:color w:val="000000"/>
          <w:sz w:val="20"/>
        </w:rPr>
      </w:pPr>
      <w:r>
        <w:rPr>
          <w:rFonts w:ascii="sans-serif" w:hAnsi="sans-serif"/>
          <w:b/>
          <w:i/>
          <w:color w:val="000000"/>
          <w:sz w:val="20"/>
        </w:rPr>
        <w:t>We face intense competition in the ticketing industry, and we may be adversely affected if we are unable to attract ticket buyers and sellers to our platform.</w:t>
      </w:r>
    </w:p>
    <w:p>
      <w:pPr>
        <w:pStyle w:val="TextBody"/>
        <w:bidi w:val="0"/>
        <w:spacing w:before="0" w:after="120"/>
        <w:jc w:val="both"/>
        <w:rPr>
          <w:rFonts w:ascii="sans-serif" w:hAnsi="sans-serif"/>
          <w:color w:val="000000"/>
          <w:sz w:val="20"/>
        </w:rPr>
      </w:pPr>
      <w:r>
        <w:rPr>
          <w:rFonts w:ascii="sans-serif" w:hAnsi="sans-serif"/>
          <w:color w:val="000000"/>
          <w:sz w:val="20"/>
        </w:rPr>
        <w:t>We operate in an increasingly competitive industry and face significant and continuous competition from other national, regional, local, and international primary and secondary ticketing service providers to acquire and retain ticket buyers, sellers, and partners. We also compete with other professional ticket resellers in our Resale segment, as well as with providers of other avenues for entertainment, including restaurants, movies, and television, for the discretionary spending of consumers. This competition could lead to decreased sale volumes and/or profit margins, which would adversely affect our business, financial condition, and results of operations.</w:t>
      </w:r>
    </w:p>
    <w:p>
      <w:pPr>
        <w:pStyle w:val="TextBody"/>
        <w:bidi w:val="0"/>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Competitive variables that could lead to a decrease in ticket orders, prices, fees, and/or profit margins, certain of which have adversely affected our past financial performance, include: competitive offerings that include more favorable terms or pricing; increased marketing spending by our competitors; consolidation among competitors resulting in their increased market share; technological changes and innovations, such as consumers’ increasing use of AI to search for live event tickets, that we are unable to adopt or adapt to or are late in adopting or adapting to; other entertainment options or ticket inventory selections and varieties that we do not offer; increased pricing in the primary ticket marketplace, which could result in reduced profits for secondary ticket sellers; primary ticket marketplaces enacting policies that restrict or impede secondary ticket sales; and increased search engine marketing costs as competitors increase bid prices.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we do not continue to maintain and improve our platform, or to successfully develop new and improved solutions and enhancements.</w:t>
      </w:r>
    </w:p>
    <w:p>
      <w:pPr>
        <w:pStyle w:val="TextBody"/>
        <w:bidi w:val="0"/>
        <w:spacing w:before="0" w:after="120"/>
        <w:jc w:val="both"/>
        <w:rPr>
          <w:rFonts w:ascii="sans-serif" w:hAnsi="sans-serif"/>
          <w:color w:val="000000"/>
          <w:sz w:val="20"/>
        </w:rPr>
      </w:pPr>
      <w:r>
        <w:rPr>
          <w:rFonts w:ascii="sans-serif" w:hAnsi="sans-serif"/>
          <w:color w:val="000000"/>
          <w:sz w:val="20"/>
        </w:rPr>
        <w:t>Our ability to attract and retain ticket buyers, sellers, and partners depends in large part on our ability to continue to provide a user-friendly and effective platform, develop and improve our platform, and introduce compelling new solutions and enhancements. Our industry is characterized by rapidly changing technology, service, and product introductions, and changing demands of ticket buyers, sellers, and partners. Technological innovation in areas such as AI and machine learning may further accelerate these changes. While we spend substantial time and resources understanding and responding to these changes and demands, if we fail to adapt, competitors may be able to more successfully enhance their platforms, improve operational efficiency, and/or deliver more personalized user experiences. Developing new and improved solutions and enhancements is costly and complex, and the timetable for commercial release is difficult to predict and may vary from our historical experience. Our ability to effectively develop, adopt, or integrate emerging technologies, including AI and machine learning, may also impact our ability to remain competitive.</w:t>
      </w:r>
    </w:p>
    <w:p>
      <w:pPr>
        <w:pStyle w:val="TextBody"/>
        <w:bidi w:val="0"/>
        <w:spacing w:before="0" w:after="120"/>
        <w:jc w:val="both"/>
        <w:rPr>
          <w:rFonts w:ascii="sans-serif" w:hAnsi="sans-serif"/>
          <w:color w:val="000000"/>
          <w:sz w:val="20"/>
        </w:rPr>
      </w:pPr>
      <w:r>
        <w:rPr>
          <w:rFonts w:ascii="sans-serif" w:hAnsi="sans-serif"/>
          <w:color w:val="000000"/>
          <w:sz w:val="20"/>
        </w:rPr>
        <w:t>In addition, after development, ticket buyers, sellers, and partners may not be satisfied with, or may perceive that their needs are not adequately addressed by, our solutions and enhancements. The success of a new solution or enhancement to our platform can depend on several factors, including timely completion and delivery, competitive pricing, adequate quality testing, platform integration, user awareness, and overall market acceptance and adoption. If we do not continue to maintain and improve our platform, or to successfully develop new and improved solutions and enhancements, our business, financial condition, and results of operations could be adversely affected.</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we are unable to maintain and enhance our reputation and brand.</w:t>
      </w:r>
    </w:p>
    <w:p>
      <w:pPr>
        <w:pStyle w:val="TextBody"/>
        <w:bidi w:val="0"/>
        <w:spacing w:before="0" w:after="120"/>
        <w:jc w:val="both"/>
        <w:rPr>
          <w:rFonts w:ascii="sans-serif" w:hAnsi="sans-serif"/>
          <w:color w:val="000000"/>
          <w:sz w:val="20"/>
        </w:rPr>
      </w:pPr>
      <w:r>
        <w:rPr>
          <w:rFonts w:ascii="sans-serif" w:hAnsi="sans-serif"/>
          <w:color w:val="000000"/>
          <w:sz w:val="20"/>
        </w:rPr>
        <w:t>Maintaining and enhancing our reputation and brand as a differentiated ticketing marketplace is critical in our ability to retain existing, and attract new, ticket buyers, sellers, and partners. The successful promotion of our brand requires significant investments of time, money, and effort, which may increase as our marketplace continues to expand and become more competitive. To the extent these investments yield increased revenue, it may not offset the increased expenses we incur. If we do not successfully maintain and enhance our brand and differentiate our marketplace from competitive products and services, our business may not grow, we may be unable to compete effectively, and we could lose existing, or fail to attract new, ticket buyers, sellers, or partners, any of which could adversely affect our business, financial condition, and results of operations.</w:t>
      </w:r>
    </w:p>
    <w:p>
      <w:pPr>
        <w:pStyle w:val="TextBody"/>
        <w:bidi w:val="0"/>
        <w:spacing w:before="0" w:after="120"/>
        <w:jc w:val="both"/>
        <w:rPr>
          <w:rFonts w:ascii="sans-serif" w:hAnsi="sans-serif"/>
          <w:color w:val="000000"/>
          <w:sz w:val="20"/>
        </w:rPr>
      </w:pPr>
      <w:r>
        <w:rPr>
          <w:rFonts w:ascii="sans-serif" w:hAnsi="sans-serif"/>
          <w:color w:val="000000"/>
          <w:sz w:val="20"/>
        </w:rPr>
        <w:t>There are also many factors outside of our control that could undermine and/or harm our reputation and brand. A negative perception of our marketplace could adversely affect our business, including as a result of: complaints or negative publicity and our responsiveness thereto; our inability to timely comply with applicable laws, regulations, and/or consumer protection-related guidance; the use of our platform to sell fraudulent or counterfeit tickets; the timing of refunds and/or payment reversals through our platform; actual or perceived disruptions or defects in our platform; cybersecurity incidents; a lack of awareness of our policies; or changes to our policies that third parties perceive as overly restrictive, unclear, or inconsistent with our values.</w:t>
      </w:r>
    </w:p>
    <w:p>
      <w:pPr>
        <w:pStyle w:val="TextBody"/>
        <w:bidi w:val="0"/>
        <w:spacing w:before="0" w:after="120"/>
        <w:jc w:val="both"/>
        <w:rPr>
          <w:rFonts w:ascii="sans-serif" w:hAnsi="sans-serif"/>
          <w:color w:val="000000"/>
          <w:sz w:val="20"/>
        </w:rPr>
      </w:pPr>
      <w:r>
        <w:rPr>
          <w:rFonts w:ascii="sans-serif" w:hAnsi="sans-serif"/>
          <w:color w:val="000000"/>
          <w:sz w:val="20"/>
        </w:rPr>
        <w:t>If we are unable to maintain a reputable, user-friendly, and effective platform that provides tickets to desirable events, our ability to attract and retain ticket buyers, sellers, and partners could be impaired and our reputation, brand, and business could be adversely affected.</w:t>
      </w:r>
    </w:p>
    <w:p>
      <w:pPr>
        <w:pStyle w:val="TextBody"/>
        <w:bidi w:val="0"/>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by extraordinary events, including public safety concerns or disruptions, mass-casualty incidents, acts of civil unrest, terrorist attacks, military actions, disease epidemics or other public health concerns, natural disasters, and severe weather events.</w:t>
      </w:r>
    </w:p>
    <w:p>
      <w:pPr>
        <w:pStyle w:val="TextBody"/>
        <w:bidi w:val="0"/>
        <w:spacing w:before="0" w:after="120"/>
        <w:jc w:val="both"/>
        <w:rPr>
          <w:rFonts w:ascii="sans-serif" w:hAnsi="sans-serif"/>
          <w:color w:val="000000"/>
          <w:sz w:val="20"/>
        </w:rPr>
      </w:pPr>
      <w:r>
        <w:rPr>
          <w:rFonts w:ascii="sans-serif" w:hAnsi="sans-serif"/>
          <w:color w:val="000000"/>
          <w:sz w:val="20"/>
        </w:rPr>
        <w:t>The occurrence and threat of extraordinary events, including public safety concerns or disruptions, intentional or unintentional mass-casualty incidents, acts of civil unrest, terrorist attacks, military actions, disease epidemics or other public health concerns (and governmental responses thereto), natural disasters, and severe weather events, may deter or prevent artists, sports teams, promoters, or event venues from performing, playing, or operating and substantially decrease the demand for live events. Because Vegas.com is concentrated in Southern Nevada, which has recently experienced water and electricity shortages, it is particularly exposed to certain of these risks. The occurrence of extraordinary events has in the past adversely affected, and may in the future adversely affect, our business, financial condition, and results of operations. Event cancellations related to such events could also adversely affect our financial performance because we may be obligated to issue refunds or credits for previously purchased tickets.</w:t>
      </w:r>
    </w:p>
    <w:p>
      <w:pPr>
        <w:pStyle w:val="TextBody"/>
        <w:bidi w:val="0"/>
        <w:spacing w:before="0" w:after="120"/>
        <w:jc w:val="both"/>
        <w:rPr>
          <w:rFonts w:ascii="sans-serif" w:hAnsi="sans-serif"/>
          <w:color w:val="000000"/>
          <w:sz w:val="20"/>
        </w:rPr>
      </w:pPr>
      <w:r>
        <w:rPr>
          <w:rFonts w:ascii="sans-serif" w:hAnsi="sans-serif"/>
          <w:color w:val="000000"/>
          <w:sz w:val="20"/>
        </w:rPr>
        <w:t>The global COVID-19 pandemic and related economic shutdown resulted in significant disruption to our business, the entertainment and sporting industries, and the global economy in 2020 and 2021. The pandemic led governments and other authorities around the world to impose measures intended to control its spread, including travel bans, border closings and restrictions, business closures, quarantines, and vaccine requirements. During the height of the pandemic, many artists, sports teams, promoters, and event venues around the world ceased performances, games, and operations. Because we depend on live events in order to generate revenue from ticket sales, the decreased supply of and demand for such events during the pandemic negatively impacted our business and financial condition. While live events are now generally held at pre-pandemic scope and scale, it is difficult to predict any future outbreaks of disease epidemics and whether restrictions could again be imposed. Any of these circumstances could again adversely affect the live events industry and our business and financial condition.</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any completed or future business acquisition is unsuccessful.</w:t>
      </w:r>
    </w:p>
    <w:p>
      <w:pPr>
        <w:pStyle w:val="TextBody"/>
        <w:bidi w:val="0"/>
        <w:spacing w:before="0" w:after="120"/>
        <w:jc w:val="both"/>
        <w:rPr>
          <w:rFonts w:ascii="Times New Roman" w:hAnsi="Times New Roman"/>
          <w:sz w:val="20"/>
        </w:rPr>
      </w:pPr>
      <w:r>
        <w:rPr>
          <w:rFonts w:ascii="sans-serif" w:hAnsi="sans-serif"/>
          <w:color w:val="000000"/>
          <w:sz w:val="20"/>
        </w:rPr>
        <w:t xml:space="preserve">Our strategy has involved, and our future growth may continue to depend in part on, our selective acquisition of complementary businesses. For example, we acquired Wavedash and Vegas.com in 2023. However, we may be unable to identify suitable acquisition targets or make acquisitions at favorable prices in the future. Even if we identify a suitable acquisition target, our ability to successfully complete an acquisition depends on a variety of factors, which may include our ability to obtain financing on acceptable terms and requisite government approvals. Additionally, even if we complete an acquisition, our ability to successfully integrate the acquired business </w:t>
      </w:r>
      <w:r>
        <w:rPr>
          <w:rFonts w:ascii="sans-serif" w:hAnsi="sans-serif"/>
          <w:color w:val="231F20"/>
          <w:sz w:val="20"/>
        </w:rPr>
        <w:t xml:space="preserve">and realize the expected benefits of the acquisition </w:t>
      </w:r>
      <w:r>
        <w:rPr>
          <w:rFonts w:ascii="sans-serif" w:hAnsi="sans-serif"/>
          <w:color w:val="000000"/>
          <w:sz w:val="20"/>
        </w:rPr>
        <w:t xml:space="preserve">is subject to additional risks and uncertainties. Further, our credit facility restricts our ability to make certain acquisitions. In connection with any future acquisition, we may take actions that could adversely affect our business, including: using a significant portion of our available cash; issuing equity securities, which would </w:t>
      </w:r>
      <w:r>
        <w:rPr>
          <w:rFonts w:ascii="sans-serif" w:hAnsi="sans-serif"/>
          <w:color w:val="231F20"/>
          <w:sz w:val="20"/>
        </w:rPr>
        <w:t>dilute the ownership and voting power of our existing stockholders</w:t>
      </w:r>
      <w:r>
        <w:rPr>
          <w:rFonts w:ascii="sans-serif" w:hAnsi="sans-serif"/>
          <w:color w:val="000000"/>
          <w:sz w:val="20"/>
        </w:rPr>
        <w:t>; incurring substantial debt; incurring or assuming contingent liabilities, known or unknown; and incurring large accounting write-offs, impairments, or amortization expenses.</w:t>
      </w:r>
    </w:p>
    <w:p>
      <w:pPr>
        <w:pStyle w:val="TextBody"/>
        <w:bidi w:val="0"/>
        <w:spacing w:before="0" w:after="120"/>
        <w:jc w:val="both"/>
        <w:rPr>
          <w:rFonts w:ascii="sans-serif" w:hAnsi="sans-serif"/>
          <w:color w:val="000000"/>
          <w:sz w:val="20"/>
        </w:rPr>
      </w:pPr>
      <w:r>
        <w:rPr>
          <w:rFonts w:ascii="sans-serif" w:hAnsi="sans-serif"/>
          <w:color w:val="000000"/>
          <w:sz w:val="20"/>
        </w:rPr>
        <w:t>In addition, acquisitions involve inherent risks that, if realized, could adversely affect our business, financial condition, and results of operations, including those associated with: integrating the operations, financial reporting, technologies, and personnel of the acquired company; scaling of operations, systems and infrastructure and achieving synergies to meet the needs of the combined or acquired company; managing geographically dispersed operations; diverting management’s attention from other business concerns; entering new markets or lines of business in which we have limited or no direct experience, including the impact of newly applicable laws and regulations; and the potential loss of key employees, customers, and partners of the acquired company. Any of these risks could significantly affect our ability to complete acquisitions and expand our business. For example, each of our prior acquisitions involved certain of these risks, including, as applicable, those associated with integrating new lines of business, operating in new markets, and adhering to new legal and regulatory regimes. The success of these and any future acquisitions is based, in part, on our ability to overcome these risks.</w:t>
      </w:r>
    </w:p>
    <w:p>
      <w:pPr>
        <w:pStyle w:val="TextBody"/>
        <w:bidi w:val="0"/>
        <w:jc w:val="center"/>
        <w:rPr>
          <w:rFonts w:ascii="sans-serif" w:hAnsi="sans-serif"/>
          <w:color w:val="000000"/>
          <w:sz w:val="20"/>
        </w:rPr>
      </w:pPr>
      <w:r>
        <w:rPr>
          <w:rFonts w:ascii="sans-serif" w:hAnsi="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we are unable to manage the risks associated with the growth of our international operations.</w:t>
      </w:r>
    </w:p>
    <w:p>
      <w:pPr>
        <w:pStyle w:val="TextBody"/>
        <w:bidi w:val="0"/>
        <w:spacing w:before="0" w:after="120"/>
        <w:jc w:val="both"/>
        <w:rPr>
          <w:rFonts w:ascii="sans-serif" w:hAnsi="sans-serif"/>
          <w:color w:val="000000"/>
          <w:sz w:val="20"/>
        </w:rPr>
      </w:pPr>
      <w:r>
        <w:rPr>
          <w:rFonts w:ascii="sans-serif" w:hAnsi="sans-serif"/>
          <w:color w:val="000000"/>
          <w:sz w:val="20"/>
        </w:rPr>
        <w:t>We have operations in Canada, Japan, and the United Kingdom, and we continue to strategically expand our international operations. Accordingly, we are subject to risks associated with doing business internationally, including, but not limited to: complying with a variety of newly applicable, and often changing and/or conflicting, laws and regulations, including those relating to anti-bribery, anti-corruption, anti-money laundering, data protection, and privacy; obtaining required governmental approvals, permits, and licenses; obtaining and enforcing our IP rights; staffing and managing our foreign operations; financial risks such as longer payment cycles, difficulty collecting accounts receivable, the impact of local and regional financial crises, and exposure to foreign currency exchange rate fluctuations; preferences by local consumers for local competitors; and political and economic instability.</w:t>
      </w:r>
    </w:p>
    <w:p>
      <w:pPr>
        <w:pStyle w:val="TextBody"/>
        <w:bidi w:val="0"/>
        <w:spacing w:before="0" w:after="120"/>
        <w:jc w:val="both"/>
        <w:rPr>
          <w:rFonts w:ascii="sans-serif" w:hAnsi="sans-serif"/>
          <w:color w:val="000000"/>
          <w:sz w:val="20"/>
        </w:rPr>
      </w:pPr>
      <w:r>
        <w:rPr>
          <w:rFonts w:ascii="sans-serif" w:hAnsi="sans-serif"/>
          <w:color w:val="000000"/>
          <w:sz w:val="20"/>
        </w:rPr>
        <w:t>We may also have difficulty expanding our business internationally because of the difficulties associated with obtaining local ticket supply and/or limited brand recognition, which could delay or limit the acceptance of our services by ticket buyers, sellers, and partners in new markets and increased marketing and other costs associated with establishing our brand. If we are unable to successfully expand internationally or manage the risks associated therewith, our business, financial condition, and results of operations could be adversely affected.</w:t>
      </w:r>
    </w:p>
    <w:p>
      <w:pPr>
        <w:pStyle w:val="TextBody"/>
        <w:bidi w:val="0"/>
        <w:spacing w:before="0" w:after="120"/>
        <w:jc w:val="both"/>
        <w:rPr>
          <w:rFonts w:ascii="sans-serif" w:hAnsi="sans-serif"/>
          <w:b/>
          <w:i/>
          <w:color w:val="000000"/>
          <w:sz w:val="20"/>
        </w:rPr>
      </w:pPr>
      <w:r>
        <w:rPr>
          <w:rFonts w:ascii="sans-serif" w:hAnsi="sans-serif"/>
          <w:b/>
          <w:i/>
          <w:color w:val="000000"/>
          <w:sz w:val="20"/>
        </w:rPr>
        <w:t>Our financial performance in certain periods may not be indicative of, or comparable to, our financial performance in other periods due to seasonality and other factors.</w:t>
      </w:r>
    </w:p>
    <w:p>
      <w:pPr>
        <w:pStyle w:val="TextBody"/>
        <w:bidi w:val="0"/>
        <w:spacing w:before="0" w:after="120"/>
        <w:jc w:val="both"/>
        <w:rPr>
          <w:rFonts w:ascii="sans-serif" w:hAnsi="sans-serif"/>
          <w:color w:val="000000"/>
          <w:sz w:val="20"/>
        </w:rPr>
      </w:pPr>
      <w:r>
        <w:rPr>
          <w:rFonts w:ascii="sans-serif" w:hAnsi="sans-serif"/>
          <w:color w:val="000000"/>
          <w:sz w:val="20"/>
        </w:rPr>
        <w:t>Our financial results and cash needs vary from period to period depending on, among other things: the number, location, venue type, and timing of certain live events; the popularity of and demand for certain artists, sports teams, tours, and events; artists’ decisions about when and where to perform; sports teams’ performances, and the length and team composition of playoff series and championship games; event cancellations; weather, seasonal, and other fluctuations in our operating results; the timing of guaranteed payments, investments, acquisitions, and financing activities; competitive dynamics; and the timing of disbursements of accounts payable to ticket sellers and partners.</w:t>
      </w:r>
    </w:p>
    <w:p>
      <w:pPr>
        <w:pStyle w:val="TextBody"/>
        <w:bidi w:val="0"/>
        <w:spacing w:before="0" w:after="120"/>
        <w:jc w:val="both"/>
        <w:rPr>
          <w:rFonts w:ascii="sans-serif" w:hAnsi="sans-serif"/>
          <w:color w:val="000000"/>
          <w:sz w:val="20"/>
        </w:rPr>
      </w:pPr>
      <w:r>
        <w:rPr>
          <w:rFonts w:ascii="sans-serif" w:hAnsi="sans-serif"/>
          <w:color w:val="000000"/>
          <w:sz w:val="20"/>
        </w:rPr>
        <w:t>Because our results may vary significantly from period to period, our financial performance in one period may not be indicative of, or comparable to, our financial performance in other periods. Historically, we have experienced lower financial performance in the first, second, and third quarters, with slightly increased activity in the fourth quarter when all major sports leagues are in season, concert on-sales begin for the following year, and theater event orders increase during the holiday season. However, these fluctuations have recently become less predictable. In addition, the timing of top-grossing tours and events, as well as the number of sports games and the teams involved in playoff series and championship games, can impact the year-to-year comparability of quarterly results (and, in rare cases, annual results). The seasonality of our business could create cash flow management risks if we do not adequately anticipate and plan for periods of decreased activity, which could adversely affect our business, financial condition, and results of operations by negatively impacting our ability to execute on our strategy.</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we are unable to attract, hire, motivate, and retain our senior management team and other highly skilled personnel.</w:t>
      </w:r>
    </w:p>
    <w:p>
      <w:pPr>
        <w:pStyle w:val="TextBody"/>
        <w:bidi w:val="0"/>
        <w:spacing w:before="0" w:after="120"/>
        <w:jc w:val="both"/>
        <w:rPr>
          <w:rFonts w:ascii="sans-serif" w:hAnsi="sans-serif"/>
          <w:color w:val="000000"/>
          <w:sz w:val="20"/>
        </w:rPr>
      </w:pPr>
      <w:r>
        <w:rPr>
          <w:rFonts w:ascii="sans-serif" w:hAnsi="sans-serif"/>
          <w:color w:val="000000"/>
          <w:sz w:val="20"/>
        </w:rPr>
        <w:t>Our success depends upon the continued service of our senior management team and key technical employees, as well as our ability to continue to identify, attract, hire, integrate, develop, motivate, and retain highly skilled personnel for all areas of our organization. Each of our executive officers, key technical employees, and other personnel could terminate their relationship with us at any time. The loss of any member of our senior management team or key personnel could significantly delay or prevent the achievement of our business objectives and/or negatively impact our business and relationships. As such, effective succession planning and the execution of smooth personnel transitions is important to our long-term success. If we fail to effectively manage our hiring needs and execute smooth personnel transitions, our business may be adversely affected.</w:t>
      </w:r>
    </w:p>
    <w:p>
      <w:pPr>
        <w:pStyle w:val="TextBody"/>
        <w:bidi w:val="0"/>
        <w:spacing w:before="0" w:after="120"/>
        <w:jc w:val="both"/>
        <w:rPr>
          <w:rFonts w:ascii="sans-serif" w:hAnsi="sans-serif"/>
          <w:color w:val="000000"/>
          <w:sz w:val="20"/>
        </w:rPr>
      </w:pPr>
      <w:r>
        <w:rPr>
          <w:rFonts w:ascii="sans-serif" w:hAnsi="sans-serif"/>
          <w:color w:val="000000"/>
          <w:sz w:val="20"/>
        </w:rPr>
        <w:t>Competition in our industry for qualified employees is intense. To attract top talent, we must offer competitive compensation arrangements and benefits packages, as well as periodically increase compensation levels in response to competition and inflation. If we fail to successfully attract, hire, and integrate new personnel, our efficiency and ability to meet forecasts, as well as employee morale, productivity, and retention, could suffer, which may adversely affect our business.</w:t>
      </w:r>
    </w:p>
    <w:p>
      <w:pPr>
        <w:pStyle w:val="TextBody"/>
        <w:bidi w:val="0"/>
        <w:jc w:val="center"/>
        <w:rPr>
          <w:rFonts w:ascii="sans-serif" w:hAnsi="sans-serif"/>
          <w:color w:val="000000"/>
          <w:sz w:val="20"/>
        </w:rPr>
      </w:pPr>
      <w:r>
        <w:rPr>
          <w:rFonts w:ascii="sans-serif" w:hAnsi="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i/>
          <w:color w:val="000000"/>
          <w:sz w:val="20"/>
        </w:rPr>
      </w:pPr>
      <w:r>
        <w:rPr>
          <w:rFonts w:ascii="sans-serif" w:hAnsi="sans-serif"/>
          <w:b/>
          <w:i/>
          <w:color w:val="000000"/>
          <w:sz w:val="20"/>
        </w:rPr>
        <w:t>Impairment of our goodwill and certain indefinite-lived trademarks has adversely affected, and may in the future adversely affect, our financial results and condition.</w:t>
      </w:r>
    </w:p>
    <w:p>
      <w:pPr>
        <w:pStyle w:val="TextBody"/>
        <w:bidi w:val="0"/>
        <w:spacing w:before="0" w:after="120"/>
        <w:jc w:val="both"/>
        <w:rPr>
          <w:rFonts w:ascii="sans-serif" w:hAnsi="sans-serif"/>
          <w:color w:val="000000"/>
          <w:sz w:val="20"/>
        </w:rPr>
      </w:pPr>
      <w:r>
        <w:rPr>
          <w:rFonts w:ascii="sans-serif" w:hAnsi="sans-serif"/>
          <w:color w:val="000000"/>
          <w:sz w:val="20"/>
        </w:rPr>
        <w:t>In accordance with U.S.GAAP, we test our goodwill and indefinite-lived intangible assets for impairment annually, or more frequently if an event occurs or circumstances change that indicate that the fair value of such assets might be impaired. If an asset’s carrying amount exceeds its implied fair value, an impairment loss is recorded equal to the amount of the excess.</w:t>
      </w:r>
    </w:p>
    <w:p>
      <w:pPr>
        <w:pStyle w:val="TextBody"/>
        <w:bidi w:val="0"/>
        <w:spacing w:before="0" w:after="120"/>
        <w:jc w:val="both"/>
        <w:rPr>
          <w:rFonts w:ascii="Times New Roman" w:hAnsi="Times New Roman"/>
          <w:sz w:val="20"/>
        </w:rPr>
      </w:pPr>
      <w:r>
        <w:rPr>
          <w:rFonts w:ascii="sans-serif" w:hAnsi="sans-serif"/>
          <w:color w:val="000000"/>
          <w:sz w:val="20"/>
        </w:rPr>
        <w:t xml:space="preserve">As a result of our interim impairment test in the second quarter of 2025, we recognized a non-cash impairment charge of $320.4 million, which comprises a $297.4 million impairment of our goodwill and a $23.0 million impairment of certain indefinite-lived trademarks. As a result of our annual impairment test in the fourth quarter of 2025, we recognized a non-cash impairment charge of $402.6 million, which comprises a $363.3 million impairment of our goodwill and a $39.3 million impairment of certain indefinite-lived trademarks. For more detail, see Note 10, </w:t>
      </w:r>
      <w:r>
        <w:rPr>
          <w:rFonts w:ascii="sans-serif" w:hAnsi="sans-serif"/>
          <w:i/>
          <w:color w:val="000000"/>
          <w:sz w:val="20"/>
        </w:rPr>
        <w:t>Goodwill - Net and Intangible Assets - Net</w:t>
      </w:r>
      <w:r>
        <w:rPr>
          <w:rFonts w:ascii="sans-serif" w:hAnsi="sans-serif"/>
          <w:color w:val="000000"/>
          <w:sz w:val="20"/>
        </w:rPr>
        <w:t>, to our consolidated financial statements included elsewhere in this Report.</w:t>
      </w:r>
    </w:p>
    <w:p>
      <w:pPr>
        <w:pStyle w:val="TextBody"/>
        <w:bidi w:val="0"/>
        <w:spacing w:before="0" w:after="120"/>
        <w:jc w:val="both"/>
        <w:rPr>
          <w:rFonts w:ascii="sans-serif" w:hAnsi="sans-serif"/>
          <w:color w:val="000000"/>
          <w:sz w:val="20"/>
        </w:rPr>
      </w:pPr>
      <w:r>
        <w:rPr>
          <w:rFonts w:ascii="sans-serif" w:hAnsi="sans-serif"/>
          <w:color w:val="000000"/>
          <w:sz w:val="20"/>
        </w:rPr>
        <w:t>As of June 30, 2026, the balance of our (i) goodwill (net of accumulated impairment charges and foreign currency translation adjustments) was $283.5 million, which represented 41.2% of our total assets, and (ii) trademarks (net of accumulated impairment charges and foreign currency translation adjustments) was $48.0 million, which represented 7.0% of our total assets. Due to market volatility, economic uncertainty, and inflationary concerns, there can be no assurance that our goodwill and/or indefinite-lived intangible assets will not be impaired again in the future. Impairment may result from, among other things, a significant decline in our expected cash flows, an adverse change in general economic conditions, and slower growth rates in our industry. Any such future impairment could adversely affect our financial condition.</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by the effects of inflation.</w:t>
      </w:r>
    </w:p>
    <w:p>
      <w:pPr>
        <w:pStyle w:val="TextBody"/>
        <w:bidi w:val="0"/>
        <w:spacing w:before="0" w:after="120"/>
        <w:jc w:val="both"/>
        <w:rPr>
          <w:rFonts w:ascii="sans-serif" w:hAnsi="sans-serif"/>
          <w:color w:val="000000"/>
          <w:sz w:val="20"/>
        </w:rPr>
      </w:pPr>
      <w:r>
        <w:rPr>
          <w:rFonts w:ascii="sans-serif" w:hAnsi="sans-serif"/>
          <w:color w:val="000000"/>
          <w:sz w:val="20"/>
        </w:rPr>
        <w:t>Inflation can negatively impact our business by increasing our overall costs, particularly if we are unable to achieve commensurate increases to revenues. Inflation has resulted, and may continue to result, in elevated interest rates and capital costs, increased costs of labor, weakened exchange rates, reduced discretionary consumer and corporate spending, and other similar effects. As a result of inflation, we have experienced, and may continue to experience, increased costs. Although we may take measures to mitigate the effects of inflation, such measures may not be effective and, even if such measures are effective, there could be a difference in timing between the effects of inflation and of such measures. As a result, our business, financial condition (including liquidity), and results of operations may be adversely affected.</w:t>
      </w:r>
    </w:p>
    <w:p>
      <w:pPr>
        <w:pStyle w:val="TextBody"/>
        <w:bidi w:val="0"/>
        <w:spacing w:before="0" w:after="120"/>
        <w:jc w:val="both"/>
        <w:rPr>
          <w:rFonts w:ascii="sans-serif" w:hAnsi="sans-serif"/>
          <w:b/>
          <w:color w:val="000000"/>
          <w:sz w:val="20"/>
        </w:rPr>
      </w:pPr>
      <w:r>
        <w:rPr>
          <w:rFonts w:ascii="sans-serif" w:hAnsi="sans-serif"/>
          <w:b/>
          <w:color w:val="000000"/>
          <w:sz w:val="20"/>
        </w:rPr>
        <w:t>Risks Related to Government Regulation &amp; Litigation</w:t>
      </w:r>
    </w:p>
    <w:p>
      <w:pPr>
        <w:pStyle w:val="TextBody"/>
        <w:bidi w:val="0"/>
        <w:spacing w:before="0" w:after="120"/>
        <w:jc w:val="both"/>
        <w:rPr>
          <w:rFonts w:ascii="sans-serif" w:hAnsi="sans-serif"/>
          <w:b/>
          <w:i/>
          <w:color w:val="000000"/>
          <w:sz w:val="20"/>
        </w:rPr>
      </w:pPr>
      <w:r>
        <w:rPr>
          <w:rFonts w:ascii="sans-serif" w:hAnsi="sans-serif"/>
          <w:b/>
          <w:i/>
          <w:color w:val="000000"/>
          <w:sz w:val="20"/>
        </w:rPr>
        <w:t>We are subject to extensive governmental regulation, and we may be adversely affected if we fail to comply with applicable laws and regulations.</w:t>
      </w:r>
    </w:p>
    <w:p>
      <w:pPr>
        <w:pStyle w:val="TextBody"/>
        <w:bidi w:val="0"/>
        <w:spacing w:before="0" w:after="120"/>
        <w:jc w:val="both"/>
        <w:rPr>
          <w:rFonts w:ascii="sans-serif" w:hAnsi="sans-serif"/>
          <w:color w:val="000000"/>
          <w:sz w:val="20"/>
        </w:rPr>
      </w:pPr>
      <w:r>
        <w:rPr>
          <w:rFonts w:ascii="sans-serif" w:hAnsi="sans-serif"/>
          <w:color w:val="000000"/>
          <w:sz w:val="20"/>
        </w:rPr>
        <w:t>Our operations are subject to federal, state, local, and international laws and regulations governing key aspects of our business such as advertising, anti-bribery, anti-corruption, anti-money laundering, competition, consumer protection, data protection, export taxation, IP, payments, privacy, ticketing, ticket resale, and unfair business practices. While we strive to conduct our operations in compliance with all applicable laws and regulations, there can be no assurance that a particular law or regulation will not be interpreted or enforced in a manner contrary to our understanding of it. The promulgation of new and sometimes conflicting laws and regulations, as well as changes to existing laws and regulations or their interpretation, can make compliance more complex, costly, and challenging. Our failure to comply with applicable laws or regulations could result in governmental investigations, inquiries, litigation, proceedings, and fines against us, and/or individual private actions which, if material,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depend on the ability of ticket holders to sell their tickets on the secondary market unencumbered.</w:t>
      </w:r>
    </w:p>
    <w:p>
      <w:pPr>
        <w:pStyle w:val="TextBody"/>
        <w:bidi w:val="0"/>
        <w:spacing w:before="0" w:after="120"/>
        <w:jc w:val="both"/>
        <w:rPr>
          <w:rFonts w:ascii="Times New Roman" w:hAnsi="Times New Roman"/>
          <w:sz w:val="20"/>
        </w:rPr>
      </w:pPr>
      <w:r>
        <w:rPr>
          <w:rFonts w:ascii="sans-serif" w:hAnsi="sans-serif"/>
          <w:color w:val="000000"/>
          <w:sz w:val="20"/>
        </w:rPr>
        <w:t>Our business depends on ticket holders’ ability to sell their tickets on the secondary market. Certain jurisdictions have regulated ticket resale by enacting resale price caps, prohibiting the resale of tickets above their face value, and even banning ticket transferability. Some primary ticketing companies and rights holders have enacted policies that similarly restrict ticket resale, including using technology to limit where and how a ticket can be resold, charging</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incremental fees for the ability to resell a ticket, and partnering with other resale marketplaces on an exclusive basis. Such regulations and policies restrict or inhibit the ability of ticket holders to resell their tickets. This could result in reduced demand for our services, which would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Our processing of personal data and other sensitive information could give rise to liabilities as a result of governmental regulation, litigation, and conflicting legal requirements, including those relating to personal privacy, data security, and AI.</w:t>
      </w:r>
    </w:p>
    <w:p>
      <w:pPr>
        <w:pStyle w:val="TextBody"/>
        <w:bidi w:val="0"/>
        <w:spacing w:before="0" w:after="120"/>
        <w:jc w:val="both"/>
        <w:rPr>
          <w:rFonts w:ascii="Times New Roman" w:hAnsi="Times New Roman"/>
          <w:sz w:val="20"/>
        </w:rPr>
      </w:pPr>
      <w:r>
        <w:rPr>
          <w:rFonts w:ascii="sans-serif" w:hAnsi="sans-serif"/>
          <w:color w:val="000000"/>
          <w:sz w:val="20"/>
        </w:rPr>
        <w:t>In the ordinary course of business, we collect, receive, store, protect, use, transmit, share, and dispose of (collectively, “</w:t>
      </w:r>
      <w:r>
        <w:rPr>
          <w:rFonts w:ascii="sans-serif" w:hAnsi="sans-serif"/>
          <w:color w:val="000000"/>
          <w:sz w:val="20"/>
          <w:u w:val="single"/>
        </w:rPr>
        <w:t>process</w:t>
      </w:r>
      <w:r>
        <w:rPr>
          <w:rFonts w:ascii="Times New Roman" w:hAnsi="Times New Roman"/>
          <w:color w:val="000000"/>
          <w:sz w:val="20"/>
        </w:rPr>
        <w:t>”</w:t>
      </w:r>
      <w:r>
        <w:rPr>
          <w:rFonts w:ascii="sans-serif" w:hAnsi="sans-serif"/>
          <w:color w:val="000000"/>
          <w:sz w:val="20"/>
        </w:rPr>
        <w:t>) personal data and other sensitive information. This subjects us to numerous federal, state, and international laws and regulations, industry standards, external and internal privacy and security policies, and contractual requirements addressing privacy, data protection, and the processing of such data and information.</w:t>
      </w:r>
    </w:p>
    <w:p>
      <w:pPr>
        <w:pStyle w:val="TextBody"/>
        <w:bidi w:val="0"/>
        <w:spacing w:before="0" w:after="120"/>
        <w:jc w:val="both"/>
        <w:rPr>
          <w:rFonts w:ascii="Times New Roman" w:hAnsi="Times New Roman"/>
          <w:sz w:val="20"/>
        </w:rPr>
      </w:pPr>
      <w:r>
        <w:rPr>
          <w:rFonts w:ascii="sans-serif" w:hAnsi="sans-serif"/>
          <w:color w:val="000000"/>
          <w:sz w:val="20"/>
        </w:rPr>
        <w:t>Many U.S. states, and the federal and local governments, have adopted data protection and security legislation, including laws relating to personal data privacy and data breach notification. Many U.S. states have also enacted comprehensive privacy laws that impose obligations on covered businesses, such as requiring privacy disclosures and giving residents certain rights with respect to their personal data (</w:t>
      </w:r>
      <w:r>
        <w:rPr>
          <w:rFonts w:ascii="sans-serif" w:hAnsi="sans-serif"/>
          <w:i/>
          <w:color w:val="000000"/>
          <w:sz w:val="20"/>
        </w:rPr>
        <w:t>e.g.</w:t>
      </w:r>
      <w:r>
        <w:rPr>
          <w:rFonts w:ascii="sans-serif" w:hAnsi="sans-serif"/>
          <w:color w:val="000000"/>
          <w:sz w:val="20"/>
        </w:rPr>
        <w:t>, the right to access, correct, or delete such data and to opt out of certain data processing activities). Certain U.S. states also impose strict requirements on the processing of personal data, such as conducting data privacy impact assessments, and provide statutory fines for non-compliance. For example, the California Consumer Privacy Act (the “</w:t>
      </w:r>
      <w:r>
        <w:rPr>
          <w:rFonts w:ascii="sans-serif" w:hAnsi="sans-serif"/>
          <w:color w:val="000000"/>
          <w:sz w:val="20"/>
          <w:u w:val="single"/>
        </w:rPr>
        <w:t>CCPA</w:t>
      </w:r>
      <w:r>
        <w:rPr>
          <w:rFonts w:ascii="Times New Roman" w:hAnsi="Times New Roman"/>
          <w:color w:val="000000"/>
          <w:sz w:val="20"/>
        </w:rPr>
        <w:t>”</w:t>
      </w:r>
      <w:r>
        <w:rPr>
          <w:rFonts w:ascii="sans-serif" w:hAnsi="sans-serif"/>
          <w:color w:val="000000"/>
          <w:sz w:val="20"/>
        </w:rPr>
        <w:t>) applies to the personal data of California residents and requires covered businesses to provide specific privacy notice disclosures and honor requests to exercise certain privacy rights. The CCPA provides for statutory penalties and a private right of action for data breaches resulting from a failure to implement reasonable security procedures and practices. U.S. state and federal legislators continue to consider and enact similar laws, reflecting a trend toward more stringent privacy legislation in the United States. These and any future similar laws are likely to increase our compliance costs, particularly when they have conflicting requirements and evolving judicial interpretations, and may require us to further modify our data processing practices and policies.</w:t>
      </w:r>
    </w:p>
    <w:p>
      <w:pPr>
        <w:pStyle w:val="TextBody"/>
        <w:bidi w:val="0"/>
        <w:spacing w:before="0" w:after="120"/>
        <w:jc w:val="both"/>
        <w:rPr>
          <w:rFonts w:ascii="sans-serif" w:hAnsi="sans-serif"/>
          <w:color w:val="000000"/>
          <w:sz w:val="20"/>
        </w:rPr>
      </w:pPr>
      <w:r>
        <w:rPr>
          <w:rFonts w:ascii="sans-serif" w:hAnsi="sans-serif"/>
          <w:color w:val="000000"/>
          <w:sz w:val="20"/>
        </w:rPr>
        <w:t>There has also been a noticeable uptick in U.S. class action litigation in which plaintiffs utilize laws, including the Video Privacy Protection Act of 1988, the Telephone Consumer Protection Act, state wiretapping laws, and other privacy laws and regulations, relating to the use of tracking technologies such as cookies and pixels, as well as AI-enabled ‘chatbots’ and customer service agents. This trend may lead legislatures to consider responsive regulation. Our inability or failure to obtain consent for these practices or to appropriately disclose them could result in adverse consequences, including class action litigation and mass arbitration demands.</w:t>
      </w:r>
    </w:p>
    <w:p>
      <w:pPr>
        <w:pStyle w:val="TextBody"/>
        <w:bidi w:val="0"/>
        <w:spacing w:before="0" w:after="120"/>
        <w:jc w:val="both"/>
        <w:rPr>
          <w:rFonts w:ascii="Times New Roman" w:hAnsi="Times New Roman"/>
          <w:sz w:val="20"/>
        </w:rPr>
      </w:pPr>
      <w:r>
        <w:rPr>
          <w:rFonts w:ascii="sans-serif" w:hAnsi="sans-serif"/>
          <w:color w:val="000000"/>
          <w:sz w:val="20"/>
        </w:rPr>
        <w:t>Personal and other user data is also increasingly subject to legislation and regulations in foreign jurisdictions in which we operate. For example, the Canadian Personal Information Protection and Electronic Documents Act (“</w:t>
      </w:r>
      <w:r>
        <w:rPr>
          <w:rFonts w:ascii="sans-serif" w:hAnsi="sans-serif"/>
          <w:color w:val="000000"/>
          <w:sz w:val="20"/>
          <w:u w:val="single"/>
        </w:rPr>
        <w:t>PIPEDA</w:t>
      </w:r>
      <w:r>
        <w:rPr>
          <w:rFonts w:ascii="Times New Roman" w:hAnsi="Times New Roman"/>
          <w:color w:val="000000"/>
          <w:sz w:val="20"/>
        </w:rPr>
        <w:t>”</w:t>
      </w:r>
      <w:r>
        <w:rPr>
          <w:rFonts w:ascii="sans-serif" w:hAnsi="sans-serif"/>
          <w:color w:val="000000"/>
          <w:sz w:val="20"/>
        </w:rPr>
        <w:t>) is a comprehensive Canadian privacy and security law for organizations collecting, using, or disclosing information about identified individuals for commercial purposes. Certain Canadian provinces also have their own data protection regulations. Similarly, the United Kingdom, the European Union (the “</w:t>
      </w:r>
      <w:r>
        <w:rPr>
          <w:rFonts w:ascii="sans-serif" w:hAnsi="sans-serif"/>
          <w:color w:val="000000"/>
          <w:sz w:val="20"/>
          <w:u w:val="single"/>
        </w:rPr>
        <w:t>EU</w:t>
      </w:r>
      <w:r>
        <w:rPr>
          <w:rFonts w:ascii="Times New Roman" w:hAnsi="Times New Roman"/>
          <w:color w:val="000000"/>
          <w:sz w:val="20"/>
        </w:rPr>
        <w:t>”</w:t>
      </w:r>
      <w:r>
        <w:rPr>
          <w:rFonts w:ascii="sans-serif" w:hAnsi="sans-serif"/>
          <w:color w:val="000000"/>
          <w:sz w:val="20"/>
        </w:rPr>
        <w:t>), and countries in the European Economic Area (the “</w:t>
      </w:r>
      <w:r>
        <w:rPr>
          <w:rFonts w:ascii="sans-serif" w:hAnsi="sans-serif"/>
          <w:color w:val="000000"/>
          <w:sz w:val="20"/>
          <w:u w:val="single"/>
        </w:rPr>
        <w:t>EEA</w:t>
      </w:r>
      <w:r>
        <w:rPr>
          <w:rFonts w:ascii="Times New Roman" w:hAnsi="Times New Roman"/>
          <w:color w:val="000000"/>
          <w:sz w:val="20"/>
        </w:rPr>
        <w:t>”</w:t>
      </w:r>
      <w:r>
        <w:rPr>
          <w:rFonts w:ascii="sans-serif" w:hAnsi="sans-serif"/>
          <w:color w:val="000000"/>
          <w:sz w:val="20"/>
        </w:rPr>
        <w:t>) traditionally have taken broader views on, and imposed different legal obligations on companies as to, the types of data that are subject to privacy and data protection laws and regulations. For example, the EU General Data Protection Regulation (the “</w:t>
      </w:r>
      <w:r>
        <w:rPr>
          <w:rFonts w:ascii="sans-serif" w:hAnsi="sans-serif"/>
          <w:color w:val="000000"/>
          <w:sz w:val="20"/>
          <w:u w:val="single"/>
        </w:rPr>
        <w:t>GDPR</w:t>
      </w:r>
      <w:r>
        <w:rPr>
          <w:rFonts w:ascii="Times New Roman" w:hAnsi="Times New Roman"/>
          <w:color w:val="000000"/>
          <w:sz w:val="20"/>
        </w:rPr>
        <w:t>”</w:t>
      </w:r>
      <w:r>
        <w:rPr>
          <w:rFonts w:ascii="sans-serif" w:hAnsi="sans-serif"/>
          <w:color w:val="000000"/>
          <w:sz w:val="20"/>
        </w:rPr>
        <w:t>) applies to companies that collect and use personal data in connection with the offering of goods or services to individuals in the EEA or the monitoring of their behavior. The United Kingdom has its own General Data Protection Regulation. Under the GDPR, companies may face bans on data processing, other corrective actions, monetary fines, and/or private litigation related to the processing of personal data. The Japanese Act on the Protection of Personal Information Act No. 57 of 2003, a Japanese law governing the handling of personal information, may also impose obligations on covered entities that are in addition to, or differ from, those in other jurisdictions (for example, it differs from the GDPR with respect to its approach to notifications and the cross-border transfer of personal data). Compliance with these and any other foreign data privacy laws and regulations may significantly increase our operational costs and our overall risk exposure.</w:t>
      </w:r>
    </w:p>
    <w:p>
      <w:pPr>
        <w:pStyle w:val="TextBody"/>
        <w:bidi w:val="0"/>
        <w:spacing w:before="0" w:after="120"/>
        <w:jc w:val="both"/>
        <w:rPr>
          <w:rFonts w:ascii="Times New Roman" w:hAnsi="Times New Roman"/>
          <w:sz w:val="20"/>
        </w:rPr>
      </w:pPr>
      <w:r>
        <w:rPr>
          <w:rFonts w:ascii="sans-serif" w:hAnsi="sans-serif"/>
          <w:color w:val="000000"/>
          <w:sz w:val="20"/>
        </w:rPr>
        <w:t>In the ordinary course of business, we transfer personal data from one jurisdiction to another. Certain European jurisdictions, including the United Kingdom, have enacted laws requiring that personal data be localized or limiting the transfer thereof to other jurisdictions, including the United States. Other jurisdictions have adopted or may</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adopt similar data localization and/or cross-border data transfer restrictions. Although there are various mechanisms that may be used to transfer such data from the United Kingdom and the EEA to the United States in compliance with these restrictions, they are subject to legal challenges and there can be no assurance that we can satisfy or rely on them. If there were no lawful manner for us to make such transfers, or if the requirements for doing so were too onerous, we could face adverse consequences, including the interruption of our operations, the need to relocate our data processing activities, and penalties such as fines and injunctions. In addition, companies that transfer personal data out of the United Kingdom and the EEA have faced increased scrutiny from regulators and litigants, and certain of such companies have been ordered by European regulators to suspend or cease certain such data transfers for allegedly violating the GDPR’s cross-border data transfer restrictions.</w:t>
      </w:r>
    </w:p>
    <w:p>
      <w:pPr>
        <w:pStyle w:val="TextBody"/>
        <w:bidi w:val="0"/>
        <w:spacing w:before="0" w:after="120"/>
        <w:jc w:val="both"/>
        <w:rPr>
          <w:rFonts w:ascii="Times New Roman" w:hAnsi="Times New Roman"/>
          <w:sz w:val="20"/>
        </w:rPr>
      </w:pPr>
      <w:r>
        <w:rPr>
          <w:rFonts w:ascii="sans-serif" w:hAnsi="sans-serif"/>
          <w:color w:val="000000"/>
          <w:sz w:val="20"/>
        </w:rPr>
        <w:t>Regulators in the United States are also increasingly scrutinizing personal data transfers and have proposed and enacted certain data localization or transfer requirements. For example, the U.S. Department of Justice has issued a rule that places additional restriction on certain data transactions involving countries of concern (</w:t>
      </w:r>
      <w:r>
        <w:rPr>
          <w:rFonts w:ascii="sans-serif" w:hAnsi="sans-serif"/>
          <w:i/>
          <w:color w:val="000000"/>
          <w:sz w:val="20"/>
        </w:rPr>
        <w:t>e.g.</w:t>
      </w:r>
      <w:r>
        <w:rPr>
          <w:rFonts w:ascii="sans-serif" w:hAnsi="sans-serif"/>
          <w:color w:val="000000"/>
          <w:sz w:val="20"/>
        </w:rPr>
        <w:t>, China, Russia, Iran) and covered persons (i.e., individuals and entities who are designated as such by the U.S. Attorney General or are considered “foreign persons” and are majority owned by, or organized under the laws of, a primary resident in, or a contractor of, a covered person or country of concern) that may impact certain business activities such as vendor, employee, and contractor engagements, data sharing, and investor agreements. Violations of the rule could lead to significant civil and criminal fines and penalties.</w:t>
      </w:r>
    </w:p>
    <w:p>
      <w:pPr>
        <w:pStyle w:val="TextBody"/>
        <w:bidi w:val="0"/>
        <w:spacing w:before="0" w:after="120"/>
        <w:jc w:val="both"/>
        <w:rPr>
          <w:rFonts w:ascii="sans-serif" w:hAnsi="sans-serif"/>
          <w:color w:val="000000"/>
          <w:sz w:val="20"/>
        </w:rPr>
      </w:pPr>
      <w:r>
        <w:rPr>
          <w:rFonts w:ascii="sans-serif" w:hAnsi="sans-serif"/>
          <w:color w:val="000000"/>
          <w:sz w:val="20"/>
        </w:rPr>
        <w:t>We must also comply with certain industry standards and contractual obligations related to personal privacy, data security, and AI. For example, certain privacy laws, including the CCPA and the GDPR, require the imposition of specific contractual restrictions on service providers. We also publish privacy policies, marketing materials, and other statements related to compliance with certain certifications or self-regulatory principles concerning data privacy and security. U.S. regulators are increasingly scrutinizing these materials, and if they are found to be deficient, unfair, misleading, or misrepresentative of our practices, we could be subject to governmental enforcement actions or other adverse consequences.</w:t>
      </w:r>
    </w:p>
    <w:p>
      <w:pPr>
        <w:pStyle w:val="TextBody"/>
        <w:bidi w:val="0"/>
        <w:spacing w:before="0" w:after="120"/>
        <w:jc w:val="both"/>
        <w:rPr>
          <w:rFonts w:ascii="Times New Roman" w:hAnsi="Times New Roman"/>
          <w:sz w:val="20"/>
        </w:rPr>
      </w:pPr>
      <w:r>
        <w:rPr>
          <w:rFonts w:ascii="sans-serif" w:hAnsi="sans-serif"/>
          <w:color w:val="000000"/>
          <w:sz w:val="20"/>
        </w:rPr>
        <w:t>From time to time, our personnel use generative AI technologies in the course of their work. We use also use AI technologies in certain of our products. The disclosure and use of personal and/or confidential data in generative AI technologies, and the development and use of such technologies, present various privacy and data security risks and are subject to an increasing number of laws and regulations. Several jurisdictions, including in the United States and Europe, have enacted laws and regulations governing the development and use of AI, such as the EU’s AI Act, Colorado’s Artificial Intelligence Act, and the CCPA’s automated decision-making regulations, and we expect other jurisdictions will adopt similar laws. Certain consumer rights extended by privacy laws (</w:t>
      </w:r>
      <w:r>
        <w:rPr>
          <w:rFonts w:ascii="sans-serif" w:hAnsi="sans-serif"/>
          <w:i/>
          <w:color w:val="000000"/>
          <w:sz w:val="20"/>
        </w:rPr>
        <w:t>e.g.</w:t>
      </w:r>
      <w:r>
        <w:rPr>
          <w:rFonts w:ascii="sans-serif" w:hAnsi="sans-serif"/>
          <w:color w:val="000000"/>
          <w:sz w:val="20"/>
        </w:rPr>
        <w:t>, the right to delete certain personal data and regulate automated decision-making) may also be incompatible with the use of AI technologies. Further, countries and states are applying their data and consumer protection laws to AI technologies, including generative AI and AI-enabled ‘chatbots.’ As a result, our use of these technologies could result in additional compliance costs, lawsuits, and regulatory actions. However, our inability to use these technologies, or limitations on such use, could result in a competitive disadvantage.</w:t>
      </w:r>
    </w:p>
    <w:p>
      <w:pPr>
        <w:pStyle w:val="TextBody"/>
        <w:bidi w:val="0"/>
        <w:spacing w:before="0" w:after="120"/>
        <w:jc w:val="both"/>
        <w:rPr>
          <w:rFonts w:ascii="sans-serif" w:hAnsi="sans-serif"/>
          <w:color w:val="000000"/>
          <w:sz w:val="20"/>
        </w:rPr>
      </w:pPr>
      <w:r>
        <w:rPr>
          <w:rFonts w:ascii="sans-serif" w:hAnsi="sans-serif"/>
          <w:color w:val="000000"/>
          <w:sz w:val="20"/>
        </w:rPr>
        <w:t>The interpretation and application of many privacy and data protection laws are, and will likely remain, uncertain, and it is possible that these laws may be interpreted and applied in a manner that is inconsistent with each other and with our existing data management practices, policies, or product features. If so, in addition to the possibility of fines, lawsuits (including class action claims), additional reporting requirements and/or oversight, bans or restrictions on processing personal data, orders to destroy or not use personal data, and other claims and penalties, we could be required to change our business activities and practices or to modify our practices, policies, or products, which could adversely affect our business. In addition to government regulation, privacy advocacy and industry groups may propose new and different self-regulatory standards that legally or contractually apply to us. Any inability by us, or our service providers and partners, to adequately address privacy, data protection, and data security concerns or comply with applicable privacy, data protection, or data security laws, regulations, policies, and other obligations, could result in additional costs and liability to us and adversely affect our reputation, sales, and business.</w:t>
      </w:r>
    </w:p>
    <w:p>
      <w:pPr>
        <w:pStyle w:val="TextBody"/>
        <w:bidi w:val="0"/>
        <w:spacing w:before="0" w:after="120"/>
        <w:jc w:val="both"/>
        <w:rPr>
          <w:rFonts w:ascii="Times New Roman" w:hAnsi="Times New Roman"/>
          <w:sz w:val="20"/>
        </w:rPr>
      </w:pPr>
      <w:r>
        <w:rPr>
          <w:rFonts w:ascii="sans-serif" w:hAnsi="sans-serif"/>
          <w:color w:val="000000"/>
          <w:sz w:val="20"/>
        </w:rPr>
        <w:t>In addition, any compromise of our information security, including that results in the unauthorized access, acquisition, or release of personal or other user data, or the perception that such a compromise has occurred, could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harm our brand and reputation, discourage ticket sellers, buyers, and partners from using our platform, and result in litigation (including class claims) and/or fines and proceedings by governmental agencies, any of which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by unfavorable outcomes in legal proceedings in which we, ticket sellers, or our partners are or may in the future be involved.</w:t>
      </w:r>
    </w:p>
    <w:p>
      <w:pPr>
        <w:pStyle w:val="TextBody"/>
        <w:bidi w:val="0"/>
        <w:spacing w:before="0" w:after="120"/>
        <w:jc w:val="both"/>
        <w:rPr>
          <w:rFonts w:ascii="sans-serif" w:hAnsi="sans-serif"/>
          <w:color w:val="000000"/>
          <w:sz w:val="20"/>
        </w:rPr>
      </w:pPr>
      <w:r>
        <w:rPr>
          <w:rFonts w:ascii="sans-serif" w:hAnsi="sans-serif"/>
          <w:color w:val="000000"/>
          <w:sz w:val="20"/>
        </w:rPr>
        <w:t>Our results may be affected by the outcome of litigation. Unfavorable rulings in legal proceedings in which we, ticket sellers, or our partners may be involved could have a negative impact on us, including an impact that differs from expectations. We are currently, and from time to time in the future, we, ticket sellers, and our partners may be subject to various claims, investigations, legal and administrative cases, lawsuits, and similar proceedings (whether civil or criminal) by governmental agencies or private parties, the outcome of which can be difficult to predict. If we or they are unable to successfully defend against these proceedings, or if the results thereof are unfavorable, we or they may be required to pay significant monetary damages or be subject to fines, penalties, injunctions, or other censure that could directly or indirectly adversely affect our business, financial condition, and results of operations. Even if we adequately address the issues raised by such a proceeding, or successfully defend a third-party lawsuit or counterclaim involving us, such proceeding, regardless of the outcome or merit thereof, could result in substantial costs and the diversion of management resources, any of which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Our business and industry may be adversely affected by unfavorable legislative outcomes.</w:t>
      </w:r>
    </w:p>
    <w:p>
      <w:pPr>
        <w:pStyle w:val="TextBody"/>
        <w:bidi w:val="0"/>
        <w:spacing w:before="0" w:after="120"/>
        <w:jc w:val="both"/>
        <w:rPr>
          <w:rFonts w:ascii="sans-serif" w:hAnsi="sans-serif"/>
          <w:color w:val="000000"/>
          <w:sz w:val="20"/>
        </w:rPr>
      </w:pPr>
      <w:r>
        <w:rPr>
          <w:rFonts w:ascii="sans-serif" w:hAnsi="sans-serif"/>
          <w:color w:val="000000"/>
          <w:sz w:val="20"/>
        </w:rPr>
        <w:t>The secondary ticket market is regulated by federal, state, and international governments. This can include requiring certain disclosures and refund practices, enacting price caps, prohibiting the resale of tickets above their face value, and even banning ticket transferability. For example, certain U.S. states and foreign jurisdictions have recently enacted, and additional U.S. states have proposed, price cap legislation. These laws, as well as any future laws, regulations, or unfavorable legislative outcomes, could impose additional restrictions and compliance costs on our business, as well as restrict ticket holders’ ability to sell their tickets on the secondary market, any of which could adversely affect our industry, business, financial condition, and operating results.</w:t>
      </w:r>
    </w:p>
    <w:p>
      <w:pPr>
        <w:pStyle w:val="TextBody"/>
        <w:bidi w:val="0"/>
        <w:spacing w:before="0" w:after="120"/>
        <w:jc w:val="both"/>
        <w:rPr>
          <w:rFonts w:ascii="sans-serif" w:hAnsi="sans-serif"/>
          <w:b/>
          <w:i/>
          <w:color w:val="000000"/>
          <w:sz w:val="20"/>
        </w:rPr>
      </w:pPr>
      <w:r>
        <w:rPr>
          <w:rFonts w:ascii="sans-serif" w:hAnsi="sans-serif"/>
          <w:b/>
          <w:i/>
          <w:color w:val="000000"/>
          <w:sz w:val="20"/>
        </w:rPr>
        <w:t>Our business may be subject to sales tax and other indirect taxes in various jurisdictions.</w:t>
      </w:r>
    </w:p>
    <w:p>
      <w:pPr>
        <w:pStyle w:val="TextBody"/>
        <w:bidi w:val="0"/>
        <w:spacing w:before="0" w:after="120"/>
        <w:jc w:val="both"/>
        <w:rPr>
          <w:rFonts w:ascii="sans-serif" w:hAnsi="sans-serif"/>
          <w:color w:val="000000"/>
          <w:sz w:val="20"/>
        </w:rPr>
      </w:pPr>
      <w:r>
        <w:rPr>
          <w:rFonts w:ascii="sans-serif" w:hAnsi="sans-serif"/>
          <w:color w:val="000000"/>
          <w:sz w:val="20"/>
        </w:rPr>
        <w:t>The application of indirect taxes such as sales and use, amusement, value-added, goods and services, business, and gross receipts to businesses like ours, and to ticket buyers and sellers on our marketplace, is a complex and evolving issue. Because significant judgment is required to evaluate applicable tax obligations, amounts recorded are subject to adjustment. In many cases, the ultimate tax determination is uncertain because it is unclear how new and existing statutes might apply to our business. One or more jurisdictions may seek to impose additional reporting, recordkeeping, or indirect tax collection obligations on businesses like ours that facilitate online marketplaces. The imposition of information reporting or tax collection requirements could decrease ticket seller activity on our platform, which would adversely affect our business. New legislation could require us, or ticket sellers on our marketplace, to incur substantial compliance costs, including in connection with tax calculation, collection, remittance, as well as audit requirements, which could adversely affect our business, financial condition, and results of operations.</w:t>
      </w:r>
    </w:p>
    <w:p>
      <w:pPr>
        <w:pStyle w:val="TextBody"/>
        <w:bidi w:val="0"/>
        <w:spacing w:before="0" w:after="120"/>
        <w:jc w:val="both"/>
        <w:rPr>
          <w:rFonts w:ascii="sans-serif" w:hAnsi="sans-serif"/>
          <w:color w:val="000000"/>
          <w:sz w:val="20"/>
        </w:rPr>
      </w:pPr>
      <w:r>
        <w:rPr>
          <w:rFonts w:ascii="sans-serif" w:hAnsi="sans-serif"/>
          <w:color w:val="000000"/>
          <w:sz w:val="20"/>
        </w:rPr>
        <w:t>In addition, we could become subject to sales and use tax and value-added tax audits in the future, and federal, state, local, or international tax authorities could assert that we are obligated to collect additional amounts as taxes on behalf of ticket sellers and remit those taxes to the proper authorities. We could also be subject to audits and assessments with respect to jurisdictions for which we have not accrued tax liabilities. A successful assertion that we should be collecting additional sales or other taxes in jurisdictions where we have not historically done so, and where we do not accrue for such taxes, could result in substantial tax liabilities for past sales and otherwise adversely affect our business, financial condition, and results of operations.</w:t>
      </w:r>
    </w:p>
    <w:p>
      <w:pPr>
        <w:pStyle w:val="TextBody"/>
        <w:bidi w:val="0"/>
        <w:jc w:val="center"/>
        <w:rPr>
          <w:rFonts w:ascii="sans-serif" w:hAnsi="sans-serif"/>
          <w:color w:val="000000"/>
          <w:sz w:val="20"/>
        </w:rPr>
      </w:pPr>
      <w:r>
        <w:rPr>
          <w:rFonts w:ascii="sans-serif" w:hAnsi="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color w:val="000000"/>
          <w:sz w:val="20"/>
        </w:rPr>
      </w:pPr>
      <w:r>
        <w:rPr>
          <w:rFonts w:ascii="sans-serif" w:hAnsi="sans-serif"/>
          <w:b/>
          <w:color w:val="000000"/>
          <w:sz w:val="20"/>
        </w:rPr>
        <w:t>Risks Related to Information Technology, Cybersecurity &amp; Intellectual Property</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by system interruptions and the lack of integration and redundancy in our and third-party information systems and infrastructure.</w:t>
      </w:r>
    </w:p>
    <w:p>
      <w:pPr>
        <w:pStyle w:val="TextBody"/>
        <w:bidi w:val="0"/>
        <w:spacing w:before="0" w:after="120"/>
        <w:jc w:val="both"/>
        <w:rPr>
          <w:rFonts w:ascii="sans-serif" w:hAnsi="sans-serif"/>
          <w:color w:val="000000"/>
          <w:sz w:val="20"/>
        </w:rPr>
      </w:pPr>
      <w:r>
        <w:rPr>
          <w:rFonts w:ascii="sans-serif" w:hAnsi="sans-serif"/>
          <w:color w:val="000000"/>
          <w:sz w:val="20"/>
        </w:rPr>
        <w:t>The success of our operations depends, in part, on the integrity of our information systems and infrastructure, as well as affiliate and third-party computer systems, computer networks, and other communication systems. System interruptions and the lack of integration and redundancy in such information systems and infrastructure, both of our own ticketing and other computer systems and of affiliate and third-party software, computer networks, and other communications systems service providers on which we rely, may adversely affect our ability to operate our websites and mobile apps, process and fulfill transactions, respond to customer inquiries, and generally maintain cost-efficient operations. Similarly, due to our reliance on a network of technology systems, many of which are outside of our control, changes to interfaces upon which we rely, or a reluctance of our counterparties to continue supporting our systems, could lead, and in the past has led, to technology interruptions. Such interruptions could occur by virtue of a natural disaster, malicious action such as a cyberattack or intrusion, act of terrorism, military action, human error, or the other threats discussed in this “Risk Factors” section. In addition, the loss of certain key personnel could subject us to systems interruptions and require us to expend additional resources to continue to maintain our software and systems. The large infrastructure footprint that is required to operate our systems requires an ongoing investment of time, money, and effort to maintain or refresh hardware and software to ensure it remains at a level capable of servicing the demand and volume of our business. Failure to do so may result in system instability, degradation in performance, or unfixable security vulnerabilities that could adversely affect both our business and consumers.</w:t>
      </w:r>
    </w:p>
    <w:p>
      <w:pPr>
        <w:pStyle w:val="TextBody"/>
        <w:bidi w:val="0"/>
        <w:spacing w:before="0" w:after="120"/>
        <w:jc w:val="both"/>
        <w:rPr>
          <w:rFonts w:ascii="sans-serif" w:hAnsi="sans-serif"/>
          <w:color w:val="000000"/>
          <w:sz w:val="20"/>
        </w:rPr>
      </w:pPr>
      <w:r>
        <w:rPr>
          <w:rFonts w:ascii="sans-serif" w:hAnsi="sans-serif"/>
          <w:color w:val="000000"/>
          <w:sz w:val="20"/>
        </w:rPr>
        <w:t>While we have backup systems for certain aspects of our operations, disaster recovery planning by its nature may not be sufficient for all eventualities. In addition, our insurance coverage may not adequately compensate for losses stemming from an extended interruption. If any of these events were to occur, it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our information technology systems, or those of third parties with whom we conduct business, are compromised.</w:t>
      </w:r>
    </w:p>
    <w:p>
      <w:pPr>
        <w:pStyle w:val="TextBody"/>
        <w:bidi w:val="0"/>
        <w:spacing w:before="0" w:after="120"/>
        <w:jc w:val="both"/>
        <w:rPr>
          <w:rFonts w:ascii="sans-serif" w:hAnsi="sans-serif"/>
          <w:color w:val="000000"/>
          <w:sz w:val="20"/>
        </w:rPr>
      </w:pPr>
      <w:r>
        <w:rPr>
          <w:rFonts w:ascii="sans-serif" w:hAnsi="sans-serif"/>
          <w:color w:val="000000"/>
          <w:sz w:val="20"/>
        </w:rPr>
        <w:t>We process certain personal data and other sensitive or confidential information, including about ticket buyers and sellers and our employees. Penetration of our information technology systems, or the misappropriation or misuse of such data or information (including credit card and other personally identifiable information), could interrupt our operations and subject us to adverse consequences, including increased costs, litigation, and governmental enforcement actions. Cyberattacks, malicious internet-based activity, fraud, and similar evolving threats (including phishing attacks, malicious code, software bugs, malware attacks, ransomware attacks, denial-of-service attacks, credential stuffing attacks, and credential harvesting) threaten the confidentiality, integrity, and availability of our information technology systems. Such threats come from a variety of sources and are increasingly prevalent and difficult to detect.</w:t>
      </w:r>
    </w:p>
    <w:p>
      <w:pPr>
        <w:pStyle w:val="TextBody"/>
        <w:bidi w:val="0"/>
        <w:spacing w:before="0" w:after="120"/>
        <w:jc w:val="both"/>
        <w:rPr>
          <w:rFonts w:ascii="Times New Roman" w:hAnsi="Times New Roman"/>
          <w:sz w:val="20"/>
        </w:rPr>
      </w:pPr>
      <w:r>
        <w:rPr>
          <w:rFonts w:ascii="sans-serif" w:hAnsi="sans-serif"/>
          <w:color w:val="000000"/>
          <w:sz w:val="20"/>
        </w:rPr>
        <w:t>In addition, we rely on third parties to process certain information in a variety of contexts (</w:t>
      </w:r>
      <w:r>
        <w:rPr>
          <w:rFonts w:ascii="sans-serif" w:hAnsi="sans-serif"/>
          <w:i/>
          <w:color w:val="000000"/>
          <w:sz w:val="20"/>
        </w:rPr>
        <w:t>e.g.</w:t>
      </w:r>
      <w:r>
        <w:rPr>
          <w:rFonts w:ascii="sans-serif" w:hAnsi="sans-serif"/>
          <w:color w:val="000000"/>
          <w:sz w:val="20"/>
        </w:rPr>
        <w:t>, cloud-based infrastructure, encryption technology, and employee email) and to provide certain hardware, software, and applications. These third parties’ information technology systems are subject to similar threats, and our ability to monitor their security practices is limited. If any of these third parties were to suffer a security incident or other interruption, we could experience adverse consequences. While we may be entitled to damages if a third party fails to satisfy its privacy- or security-related obligations to us, any award, assuming we are able to recover it, may be insufficient to cover our damages. Our past and future business acquisitions could also increase our exposure to these threats if our systems were negatively affected by vulnerabilities in an acquired entity’s systems.</w:t>
      </w:r>
    </w:p>
    <w:p>
      <w:pPr>
        <w:pStyle w:val="TextBody"/>
        <w:bidi w:val="0"/>
        <w:spacing w:before="0" w:after="120"/>
        <w:jc w:val="both"/>
        <w:rPr>
          <w:rFonts w:ascii="sans-serif" w:hAnsi="sans-serif"/>
          <w:color w:val="000000"/>
          <w:sz w:val="20"/>
        </w:rPr>
      </w:pPr>
      <w:r>
        <w:rPr>
          <w:rFonts w:ascii="sans-serif" w:hAnsi="sans-serif"/>
          <w:color w:val="000000"/>
          <w:sz w:val="20"/>
        </w:rPr>
        <w:t>It may be difficult and/or costly to detect, investigate, mitigate, contain, and remediate a security incident, and our efforts to do so may not be successful. Actions taken by us or the third parties with whom we work to do so could result in outages, data losses, and business disruptions. Threat actors may also gain access to other networks and systems after a compromise of our networks and systems (for example, by using an initial compromise of one part of our environment to gain access to other parts of our environment, or by leveraging a compromise of our networks or systems to gain access to third-party networks or systems, such as through phishing or supply chain attacks).</w:t>
      </w:r>
    </w:p>
    <w:p>
      <w:pPr>
        <w:pStyle w:val="TextBody"/>
        <w:bidi w:val="0"/>
        <w:jc w:val="center"/>
        <w:rPr>
          <w:rFonts w:ascii="sans-serif" w:hAnsi="sans-serif"/>
          <w:color w:val="000000"/>
          <w:sz w:val="20"/>
        </w:rPr>
      </w:pPr>
      <w:r>
        <w:rPr>
          <w:rFonts w:ascii="sans-serif" w:hAnsi="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We have devoted significant resources to the development of systems, practices, and policies designed to detect, mitigate, and remediate vulnerabilities in our information technology systems, protect against potential cybersecurity threats and their consequences, and protect sensitive information. However, such measures cannot provide absolute security or certainty. Advances in threat actor capabilities, technologies, methods, and tools, inadvertent violations of our practices or policies, or other developments could result in a compromise or breach of our systems and processes that are used to protect sensitive information. We may also experience delays in developing and deploying remedial measures designed to address identified vulnerabilities.</w:t>
      </w:r>
    </w:p>
    <w:p>
      <w:pPr>
        <w:pStyle w:val="TextBody"/>
        <w:bidi w:val="0"/>
        <w:spacing w:before="0" w:after="120"/>
        <w:jc w:val="both"/>
        <w:rPr>
          <w:rFonts w:ascii="sans-serif" w:hAnsi="sans-serif"/>
          <w:color w:val="000000"/>
          <w:sz w:val="20"/>
        </w:rPr>
      </w:pPr>
      <w:r>
        <w:rPr>
          <w:rFonts w:ascii="sans-serif" w:hAnsi="sans-serif"/>
          <w:color w:val="000000"/>
          <w:sz w:val="20"/>
        </w:rPr>
        <w:t>In addition, laws in certain of the jurisdictions in which we operate require, and laws in other jurisdictions in which we may operate in the future may require, businesses in certain instances to notify affected individuals, governmental entities, and/or credit reporting agencies of cybersecurity incidents, including those affecting personal information. Certain of our contractual obligations contain similar requirements. Such requirements are inconsistent, and compliance in the event of a widespread cybersecurity incident may be complex, costly, and difficult to implement. These risks may increase not only as we expand our operations in new jurisdictions, but also as our business continues to involve greater numbers of ticket buyers, sellers, and partners.</w:t>
      </w:r>
    </w:p>
    <w:p>
      <w:pPr>
        <w:pStyle w:val="TextBody"/>
        <w:bidi w:val="0"/>
        <w:spacing w:before="0" w:after="120"/>
        <w:jc w:val="both"/>
        <w:rPr>
          <w:rFonts w:ascii="sans-serif" w:hAnsi="sans-serif"/>
          <w:color w:val="000000"/>
          <w:sz w:val="20"/>
        </w:rPr>
      </w:pPr>
      <w:r>
        <w:rPr>
          <w:rFonts w:ascii="sans-serif" w:hAnsi="sans-serif"/>
          <w:color w:val="000000"/>
          <w:sz w:val="20"/>
        </w:rPr>
        <w:t>While we maintain general and cyber liability insurance policies, they may not cover, or may cover only a portion of, any response and remediation costs and potential claims related to cybersecurity incidents to which we are exposed, or they may be inadequate to indemnify us for all or any portion of liabilities that may be imposed. There can be no assurance that our existing insurance coverage will continue to be available on acceptable terms or in amounts sufficient to cover the potentially significant losses that may result from a cybersecurity incident or that the insurer will not deny coverage of any future claim.</w:t>
      </w:r>
    </w:p>
    <w:p>
      <w:pPr>
        <w:pStyle w:val="TextBody"/>
        <w:bidi w:val="0"/>
        <w:spacing w:before="0" w:after="120"/>
        <w:jc w:val="both"/>
        <w:rPr>
          <w:rFonts w:ascii="sans-serif" w:hAnsi="sans-serif"/>
          <w:color w:val="000000"/>
          <w:sz w:val="20"/>
        </w:rPr>
      </w:pPr>
      <w:r>
        <w:rPr>
          <w:rFonts w:ascii="sans-serif" w:hAnsi="sans-serif"/>
          <w:color w:val="000000"/>
          <w:sz w:val="20"/>
        </w:rPr>
        <w:t>Any of these or similar threats could lead to a security incident or other interruption that results in the unauthorized, unlawful, or accidental acquisition, modification, destruction, loss, or disclosure of, or access to, our information technology systems, or those of third parties with whom we conduct business. If we or such a third party experience (or are perceived to have experienced) a significant incident or interruption, it may have adverse consequences on us, including: governmental enforcement actions; lawsuits (including class action claims); additional reporting requirements and/or oversight; bans or restrictions on processing sensitive information; indemnification obligations; negative publicity and reputational harm; the diversion of management resources; the interruption of our operations (including data availability); financial losses; and incidents of ticketing fraud or counterfeit tickets. Any of the foregoing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adversely affected if we are unable to adequately protect or enforce our intellectual property rights.</w:t>
      </w:r>
    </w:p>
    <w:p>
      <w:pPr>
        <w:pStyle w:val="TextBody"/>
        <w:bidi w:val="0"/>
        <w:spacing w:before="0" w:after="120"/>
        <w:jc w:val="both"/>
        <w:rPr>
          <w:rFonts w:ascii="Times New Roman" w:hAnsi="Times New Roman"/>
          <w:sz w:val="20"/>
        </w:rPr>
      </w:pPr>
      <w:r>
        <w:rPr>
          <w:rFonts w:ascii="sans-serif" w:hAnsi="sans-serif"/>
          <w:color w:val="000000"/>
          <w:sz w:val="20"/>
        </w:rPr>
        <w:t>Our proprietary technologies and information, including our software, informational databases, and other components that make up our products and services, are critical to our success. We seek to protect our proprietary technologies and information through a combination of methods, including intellectual property (“</w:t>
      </w:r>
      <w:r>
        <w:rPr>
          <w:rFonts w:ascii="sans-serif" w:hAnsi="sans-serif"/>
          <w:color w:val="000000"/>
          <w:sz w:val="20"/>
          <w:u w:val="single"/>
        </w:rPr>
        <w:t>IP</w:t>
      </w:r>
      <w:r>
        <w:rPr>
          <w:rFonts w:ascii="Times New Roman" w:hAnsi="Times New Roman"/>
          <w:color w:val="000000"/>
          <w:sz w:val="20"/>
        </w:rPr>
        <w:t>”</w:t>
      </w:r>
      <w:r>
        <w:rPr>
          <w:rFonts w:ascii="sans-serif" w:hAnsi="sans-serif"/>
          <w:color w:val="000000"/>
          <w:sz w:val="20"/>
        </w:rPr>
        <w:t>) rights such as U.S. and foreign patents, trademarks, domain names, copyrights, and trade secrets, as well as through confidentiality agreements, IP assignment agreements, and other contractual restrictions with employees, customers, suppliers, affiliates, partners, and others.</w:t>
      </w:r>
    </w:p>
    <w:p>
      <w:pPr>
        <w:pStyle w:val="TextBody"/>
        <w:bidi w:val="0"/>
        <w:spacing w:before="0" w:after="120"/>
        <w:jc w:val="both"/>
        <w:rPr>
          <w:rFonts w:ascii="sans-serif" w:hAnsi="sans-serif"/>
          <w:color w:val="000000"/>
          <w:sz w:val="20"/>
        </w:rPr>
      </w:pPr>
      <w:r>
        <w:rPr>
          <w:rFonts w:ascii="sans-serif" w:hAnsi="sans-serif"/>
          <w:color w:val="000000"/>
          <w:sz w:val="20"/>
        </w:rPr>
        <w:t>However, despite these efforts, there can be no assurance that our strategies to protect our IP rights will prevent the authorized use, infringement, misappropriation, dilution, or other violations thereof, particularly in foreign countries where laws may not protect such rights as fully as they do in the United States. A third party may also lawfully develop products or services substantially similar to ours. A failure to protect our IP rights in a meaningful manner, or challenges to our related contractual rights, could result in the erosion of our brand names or other IP, which could adversely affect our business, financial condition, and results of operations. Litigation may be necessary to enforce our IP rights, protect our trade secrets, or determine the validity and scope of proprietary rights claimed by others. Any such litigation, regardless of the outcome or merit thereof, could result in substantial costs and divert the attention of management and other key technical resources, either of which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may face liability and costs for legal claims alleging that we infringe upon third-party IP rights.</w:t>
      </w:r>
    </w:p>
    <w:p>
      <w:pPr>
        <w:pStyle w:val="TextBody"/>
        <w:bidi w:val="0"/>
        <w:spacing w:before="0" w:after="120"/>
        <w:jc w:val="both"/>
        <w:rPr>
          <w:rFonts w:ascii="Times New Roman" w:hAnsi="Times New Roman"/>
          <w:sz w:val="20"/>
        </w:rPr>
      </w:pPr>
      <w:r>
        <w:rPr>
          <w:rFonts w:ascii="sans-serif" w:hAnsi="sans-serif"/>
          <w:color w:val="000000"/>
          <w:sz w:val="20"/>
        </w:rPr>
        <w:t>There can be no assurance that we do not, or will not, infringe upon or otherwise violate third-party IP rights. From time to time, we have been, and may in the future be, subject to legal claims and proceedings alleging that we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infringe upon or otherwise violate such rights. These claims and proceedings, regardless of the outcome or merit thereof, could result in substantial costs and divert the attention of management and other key technical resources, either of which could adversely affect our reputation and financial condition. In addition, the outcome of litigation is uncertain. As such, third parties asserting claims could secure a judgment against us awarding substantial damages, injunctive and/or other equitable relief, which could require us to rebrand, redesign, or reengineer our platform, products, or services, in addition to potentially blocking our ability to distribute, market, or sell our products and services.</w:t>
      </w:r>
    </w:p>
    <w:p>
      <w:pPr>
        <w:pStyle w:val="TextBody"/>
        <w:bidi w:val="0"/>
        <w:spacing w:before="0" w:after="120"/>
        <w:jc w:val="both"/>
        <w:rPr>
          <w:rFonts w:ascii="sans-serif" w:hAnsi="sans-serif"/>
          <w:b/>
          <w:i/>
          <w:color w:val="000000"/>
          <w:sz w:val="20"/>
        </w:rPr>
      </w:pPr>
      <w:r>
        <w:rPr>
          <w:rFonts w:ascii="sans-serif" w:hAnsi="sans-serif"/>
          <w:b/>
          <w:i/>
          <w:color w:val="000000"/>
          <w:sz w:val="20"/>
        </w:rPr>
        <w:t>Our payment system depends on third-party providers and is subject to risks that may adversely affect our business.</w:t>
      </w:r>
    </w:p>
    <w:p>
      <w:pPr>
        <w:pStyle w:val="TextBody"/>
        <w:bidi w:val="0"/>
        <w:spacing w:before="0" w:after="120"/>
        <w:jc w:val="both"/>
        <w:rPr>
          <w:rFonts w:ascii="sans-serif" w:hAnsi="sans-serif"/>
          <w:color w:val="000000"/>
          <w:sz w:val="20"/>
        </w:rPr>
      </w:pPr>
      <w:r>
        <w:rPr>
          <w:rFonts w:ascii="sans-serif" w:hAnsi="sans-serif"/>
          <w:color w:val="000000"/>
          <w:sz w:val="20"/>
        </w:rPr>
        <w:t>We rely on third-party providers to support our payment methods, as ticket buyers primarily use credit or debit cards to purchase tickets on our marketplace. Nearly all our revenue to date has been associated with payments processed through a single provider, which relies on banks and payment card networks to process transactions. If this payment processing provider or any of its vendors do not interoperate efficiently with our platform or if it or any of its vendors suffer any failure or experience a security incident, our payments systems and business could be adversely affected. Further, if this payment processing provider does not perform adequately, determines that certain types of transactions are prohibited, uses technology that does not interoperate efficiently with our platform, imposes new capital reserve requirements on us, or increases its fees, or if our relationship with it (or with the banks or payment card networks on which it relies) were to terminate or be suspended unexpectedly, our operating costs could increase, our margins could decrease, and ticket buyers may find our platform more difficult to use and, as a result, use our platform less.</w:t>
      </w:r>
    </w:p>
    <w:p>
      <w:pPr>
        <w:pStyle w:val="TextBody"/>
        <w:bidi w:val="0"/>
        <w:spacing w:before="0" w:after="120"/>
        <w:jc w:val="both"/>
        <w:rPr>
          <w:rFonts w:ascii="Times New Roman" w:hAnsi="Times New Roman"/>
          <w:sz w:val="20"/>
        </w:rPr>
      </w:pPr>
      <w:r>
        <w:rPr>
          <w:rFonts w:ascii="sans-serif" w:hAnsi="sans-serif"/>
          <w:color w:val="000000"/>
          <w:sz w:val="20"/>
        </w:rPr>
        <w:t>Our payment processing providers require us to comply with payment card network operating rules, which are set and interpreted by the payment card networks. These networks could adopt new, or modify or re-interpret existing, operating rules in ways that might prohibit us from providing certain services to ticket buyers or sellers, be costly to implement, or be difficult to follow. We are required to reimburse our providers for fines assessed by payment card networks if we, or ticket buyers or sellers using our platform, violate these rules (</w:t>
      </w:r>
      <w:r>
        <w:rPr>
          <w:rFonts w:ascii="sans-serif" w:hAnsi="sans-serif"/>
          <w:i/>
          <w:color w:val="000000"/>
          <w:sz w:val="20"/>
        </w:rPr>
        <w:t>e.g.</w:t>
      </w:r>
      <w:r>
        <w:rPr>
          <w:rFonts w:ascii="sans-serif" w:hAnsi="sans-serif"/>
          <w:color w:val="000000"/>
          <w:sz w:val="20"/>
        </w:rPr>
        <w:t>, processing various types of transactions that may be interpreted as a violation of certain payment card network operating rules). Changes to these rules and requirements, or any change in our designation by payment card networks, could require a change in our business operations and limit or eliminate our ability to accept payment cards, any of which could adversely affect our business.</w:t>
      </w:r>
    </w:p>
    <w:p>
      <w:pPr>
        <w:pStyle w:val="TextBody"/>
        <w:bidi w:val="0"/>
        <w:spacing w:before="0" w:after="120"/>
        <w:jc w:val="both"/>
        <w:rPr>
          <w:rFonts w:ascii="Times New Roman" w:hAnsi="Times New Roman"/>
          <w:sz w:val="20"/>
        </w:rPr>
      </w:pPr>
      <w:r>
        <w:rPr>
          <w:rFonts w:ascii="sans-serif" w:hAnsi="sans-serif"/>
          <w:color w:val="000000"/>
          <w:sz w:val="20"/>
        </w:rPr>
        <w:t>We are also subject to the Payment Card Industry (“</w:t>
      </w:r>
      <w:r>
        <w:rPr>
          <w:rFonts w:ascii="sans-serif" w:hAnsi="sans-serif"/>
          <w:color w:val="000000"/>
          <w:sz w:val="20"/>
          <w:u w:val="single"/>
        </w:rPr>
        <w:t>PCI</w:t>
      </w:r>
      <w:r>
        <w:rPr>
          <w:rFonts w:ascii="Times New Roman" w:hAnsi="Times New Roman"/>
          <w:color w:val="000000"/>
          <w:sz w:val="20"/>
        </w:rPr>
        <w:t>”</w:t>
      </w:r>
      <w:r>
        <w:rPr>
          <w:rFonts w:ascii="sans-serif" w:hAnsi="sans-serif"/>
          <w:color w:val="000000"/>
          <w:sz w:val="20"/>
        </w:rPr>
        <w:t>) Data Security Standard, which is designed to protect credit card account data as mandated by PCI entities. The PCI Data Security Standard requires companies to adopt certain measures to ensure the security of cardholder information, including using and maintaining firewalls, adopting proper password protections for certain devices and software, and restricting data access. We rely on vendors to handle PCI matters and to ensure PCI compliance. Despite our compliance efforts, we may become subject to claims that we have violated the PCI Data Security Standard based on past, present, or future business practices. Our actual or perceived failure to comply with the PCI Data Security Standard could subject us to fines, terminated banking relationships, and increased transaction fees.</w:t>
      </w:r>
    </w:p>
    <w:p>
      <w:pPr>
        <w:pStyle w:val="TextBody"/>
        <w:bidi w:val="0"/>
        <w:spacing w:before="0" w:after="120"/>
        <w:jc w:val="both"/>
        <w:rPr>
          <w:rFonts w:ascii="sans-serif" w:hAnsi="sans-serif"/>
          <w:color w:val="000000"/>
          <w:sz w:val="20"/>
        </w:rPr>
      </w:pPr>
      <w:r>
        <w:rPr>
          <w:rFonts w:ascii="sans-serif" w:hAnsi="sans-serif"/>
          <w:color w:val="000000"/>
          <w:sz w:val="20"/>
        </w:rPr>
        <w:t>Under current credit, debit, and payment card practices and network rules, we are liable for fraudulent activity on the majority of our credit and debit card transactions. We are also exposed to financial crime risk, against which we do not currently carry insurance. Additionally, while we deploy sophisticated technology to detect fraudulent purchase activity, we may incur losses if we fail to prevent the use of fraudulent payment information on transactions. Fraudulent schemes are becoming increasingly sophisticated and common, and our ability to detect and combat such schemes may be negatively impacted by the adoption of new payment methods and technology platforms. If we or our payment processing providers fail to identify fraudulent activity, are unable to effectively combat the use of fraudulent payments on our platform, or otherwise experience increased levels of disputed credit card payments or transactions, and/or if we are unable to adequately mitigate these risks, our business, financial condition, and results of operations, as well as our brand, reputation, and ability to accept payments, could be adversely affected.</w:t>
      </w:r>
    </w:p>
    <w:p>
      <w:pPr>
        <w:pStyle w:val="TextBody"/>
        <w:bidi w:val="0"/>
        <w:spacing w:before="0" w:after="120"/>
        <w:jc w:val="both"/>
        <w:rPr>
          <w:rFonts w:ascii="Times New Roman" w:hAnsi="Times New Roman"/>
          <w:sz w:val="20"/>
        </w:rPr>
      </w:pPr>
      <w:r>
        <w:rPr>
          <w:rFonts w:ascii="sans-serif" w:hAnsi="sans-serif"/>
          <w:color w:val="000000"/>
          <w:sz w:val="20"/>
        </w:rPr>
        <w:t>Finally, the laws and regulations that govern payment methods and processing are complex and subject to change, and we may be required to expend considerable time and effort to determine their applicability. There can be no</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assurance that we will be able to meet all compliance obligations, including obtaining any required licenses in the jurisdictions we service, and, even if we are able to do so, there could be costs and potential product changes involved in compliance that could negatively impact our business. Any actual or alleged non-compliance by us with existing or new laws and regulations could lead to reputational damage, litigation, increased costs or liabilities, damages, and/or the loss of our ability to offer payment services in certain markets. We cannot predict whether governments may take actions or impose restrictions that affect our ability to process payments or conduct our business in certain jurisdictions. A failure to predict how a given law or regulation related to money transmission, prepaid access, or similar topics will be applied to us could result in licensure, registration requirements, and administrative enforcement actions, as well as materially interfere with our ability to offer certain payment methods or to conduct our business in particular jurisdictions. Further, we may become subject to changing payment regulations and requirements that could affect the compliance of our current payment processes and increase the operational costs we incur to support payments. The foregoing could impose substantial additional costs, considerably delay the development or provision of our solutions, require significant and costly operational changes, or prevent us from providing our solutions in any given market.</w:t>
      </w:r>
    </w:p>
    <w:p>
      <w:pPr>
        <w:pStyle w:val="TextBody"/>
        <w:bidi w:val="0"/>
        <w:spacing w:before="0" w:after="120"/>
        <w:jc w:val="both"/>
        <w:rPr>
          <w:rFonts w:ascii="sans-serif" w:hAnsi="sans-serif"/>
          <w:b/>
          <w:color w:val="000000"/>
          <w:sz w:val="20"/>
        </w:rPr>
      </w:pPr>
      <w:r>
        <w:rPr>
          <w:rFonts w:ascii="sans-serif" w:hAnsi="sans-serif"/>
          <w:b/>
          <w:color w:val="000000"/>
          <w:sz w:val="20"/>
        </w:rPr>
        <w:t>Risks Related to Our Indebtedness</w:t>
      </w:r>
    </w:p>
    <w:p>
      <w:pPr>
        <w:pStyle w:val="TextBody"/>
        <w:bidi w:val="0"/>
        <w:spacing w:before="0" w:after="120"/>
        <w:jc w:val="both"/>
        <w:rPr>
          <w:rFonts w:ascii="sans-serif" w:hAnsi="sans-serif"/>
          <w:b/>
          <w:i/>
          <w:color w:val="000000"/>
          <w:sz w:val="20"/>
        </w:rPr>
      </w:pPr>
      <w:r>
        <w:rPr>
          <w:rFonts w:ascii="sans-serif" w:hAnsi="sans-serif"/>
          <w:b/>
          <w:i/>
          <w:color w:val="000000"/>
          <w:sz w:val="20"/>
        </w:rPr>
        <w:t>Our credit facility imposes restrictions that limit management’s discretion in operating our business, which could impair our ability to satisfy our debt obligations.</w:t>
      </w:r>
    </w:p>
    <w:p>
      <w:pPr>
        <w:pStyle w:val="TextBody"/>
        <w:bidi w:val="0"/>
        <w:spacing w:before="0" w:after="120"/>
        <w:jc w:val="both"/>
        <w:rPr>
          <w:rFonts w:ascii="sans-serif" w:hAnsi="sans-serif"/>
          <w:color w:val="000000"/>
          <w:sz w:val="20"/>
        </w:rPr>
      </w:pPr>
      <w:r>
        <w:rPr>
          <w:rFonts w:ascii="sans-serif" w:hAnsi="sans-serif"/>
          <w:color w:val="000000"/>
          <w:sz w:val="20"/>
        </w:rPr>
        <w:t>Our credit facility includes restrictive covenants that, among other things, restrict our ability to: incur additional debt; pay dividends and make distributions; make certain investments; prepay certain debt; create liens; enter into transactions with affiliates; modify the nature of our business; transfer and sell assets, including material IP; amend our organizational documents; and merge or consolidate. It also contains a springing financial covenant that requires compliance with a leverage ratio when borrowings under our revolving credit facility exceed certain levels. Our failure to comply with any of these covenants could lead to a default under our credit facility, which would entitle our lenders to accelerate and declare due and payable all amounts owed thereunder.</w:t>
      </w:r>
    </w:p>
    <w:p>
      <w:pPr>
        <w:pStyle w:val="TextBody"/>
        <w:bidi w:val="0"/>
        <w:spacing w:before="0" w:after="120"/>
        <w:jc w:val="both"/>
        <w:rPr>
          <w:rFonts w:ascii="sans-serif" w:hAnsi="sans-serif"/>
          <w:color w:val="000000"/>
          <w:sz w:val="20"/>
        </w:rPr>
      </w:pPr>
      <w:r>
        <w:rPr>
          <w:rFonts w:ascii="sans-serif" w:hAnsi="sans-serif"/>
          <w:color w:val="000000"/>
          <w:sz w:val="20"/>
        </w:rPr>
        <w:t>As of June 30, 2026, our total debt, excluding unamortized debt discounts and debt issuance costs, was $388.1 million. Because our debt has a variable interest rate, we incur higher interest costs if interest rates increase. Interest rates increased significantly in 2023 and may continue to remain elevated in the future. Any increase in interest costs could adversely affect our financial condition.</w:t>
      </w:r>
    </w:p>
    <w:p>
      <w:pPr>
        <w:pStyle w:val="TextBody"/>
        <w:bidi w:val="0"/>
        <w:spacing w:before="0" w:after="120"/>
        <w:jc w:val="both"/>
        <w:rPr>
          <w:rFonts w:ascii="sans-serif" w:hAnsi="sans-serif"/>
          <w:color w:val="000000"/>
          <w:sz w:val="20"/>
        </w:rPr>
      </w:pPr>
      <w:r>
        <w:rPr>
          <w:rFonts w:ascii="sans-serif" w:hAnsi="sans-serif"/>
          <w:color w:val="000000"/>
          <w:sz w:val="20"/>
        </w:rPr>
        <w:t>Our current debt and any future increases thereto could adversely affect our financial condition by: making it more difficult to satisfy our obligations; increasing our vulnerability to negative economic, regulatory, and industry conditions; limiting our ability to obtain additional financing for future net working capital, capital expenditures, strategic investments, acquisitions, and other purposes; requiring us to dedicate a substantial portion of our cash flows from operating activities to fund payments on our debt, thereby reducing funds available for operations and other purposes; limiting our flexibility in planning for, or reacting to, changes in our business and industry; making us more vulnerable to interest rate increases; and placing us at a competitive disadvantage compared to our competitors that have less debt.</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unable to generate sufficient cash flows and/or obtain additional financing when necessary or desirable.</w:t>
      </w:r>
    </w:p>
    <w:p>
      <w:pPr>
        <w:pStyle w:val="TextBody"/>
        <w:bidi w:val="0"/>
        <w:spacing w:before="0" w:after="120"/>
        <w:jc w:val="both"/>
        <w:rPr>
          <w:rFonts w:ascii="sans-serif" w:hAnsi="sans-serif"/>
          <w:color w:val="000000"/>
          <w:sz w:val="20"/>
        </w:rPr>
      </w:pPr>
      <w:r>
        <w:rPr>
          <w:rFonts w:ascii="sans-serif" w:hAnsi="sans-serif"/>
          <w:color w:val="000000"/>
          <w:sz w:val="20"/>
        </w:rPr>
        <w:t>As of June 30, 2026, we had cash and cash equivalents of $136.7 million, which is available to us to fund our operating, investing, and financing activities. There can be no assurance that our business will generate sufficient cash flows from operating activities, or that we will be able to obtain financing, in an amount sufficient to fund our future operations or other liquidity needs.</w:t>
      </w:r>
    </w:p>
    <w:p>
      <w:pPr>
        <w:pStyle w:val="TextBody"/>
        <w:bidi w:val="0"/>
        <w:spacing w:before="0" w:after="120"/>
        <w:jc w:val="both"/>
        <w:rPr>
          <w:rFonts w:ascii="Times New Roman" w:hAnsi="Times New Roman"/>
          <w:sz w:val="20"/>
        </w:rPr>
      </w:pPr>
      <w:r>
        <w:rPr>
          <w:rFonts w:ascii="sans-serif" w:hAnsi="sans-serif"/>
          <w:color w:val="000000"/>
          <w:sz w:val="20"/>
        </w:rPr>
        <w:t>In the future, we may need and be unable to obtain additional debt or equity financing on favorable terms, if at all, which could hinder our ability to successfully compete and adversely affect our business. Specifically, we may be unable to, among other things: further develop and enhance our platform and solutions; continue to invest in our technology and marketing efforts; attract, hire, develop, motivate, and retain employees; respond to competitive pressures and/or unanticipated working capital requirements; or pursue acquisition opportunities. Our ability to obtain financing will depend on several factors, including general economic and capital market conditions (</w:t>
      </w:r>
      <w:r>
        <w:rPr>
          <w:rFonts w:ascii="sans-serif" w:hAnsi="sans-serif"/>
          <w:i/>
          <w:color w:val="000000"/>
          <w:sz w:val="20"/>
        </w:rPr>
        <w:t>e.g.</w:t>
      </w:r>
      <w:r>
        <w:rPr>
          <w:rFonts w:ascii="sans-serif" w:hAnsi="sans-serif"/>
          <w:color w:val="000000"/>
          <w:sz w:val="20"/>
        </w:rPr>
        <w:t>, interest rates and inflationary concerns), credit availability from banks or other lenders, investor confidence, and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sans-serif" w:hAnsi="sans-serif"/>
          <w:color w:val="000000"/>
          <w:sz w:val="20"/>
        </w:rPr>
        <w:t xml:space="preserve">our results of operations. Further, if we were to raise additional equity financing, it would dilute </w:t>
      </w:r>
      <w:r>
        <w:rPr>
          <w:rFonts w:ascii="sans-serif" w:hAnsi="sans-serif"/>
          <w:color w:val="231F20"/>
          <w:sz w:val="20"/>
        </w:rPr>
        <w:t xml:space="preserve">the ownership and voting power of our existing stockholders, </w:t>
      </w:r>
      <w:r>
        <w:rPr>
          <w:rFonts w:ascii="sans-serif" w:hAnsi="sans-serif"/>
          <w:color w:val="000000"/>
          <w:sz w:val="20"/>
        </w:rPr>
        <w:t xml:space="preserve">and any new equity securities we issue could have rights, preferences, and privileges superior to those of our </w:t>
      </w:r>
      <w:r>
        <w:rPr>
          <w:rFonts w:ascii="sans-serif" w:hAnsi="sans-serif"/>
          <w:color w:val="231F20"/>
          <w:sz w:val="20"/>
        </w:rPr>
        <w:t>Class A common stock.</w:t>
      </w:r>
    </w:p>
    <w:p>
      <w:pPr>
        <w:pStyle w:val="TextBody"/>
        <w:bidi w:val="0"/>
        <w:spacing w:before="0" w:after="120"/>
        <w:jc w:val="both"/>
        <w:rPr>
          <w:rFonts w:ascii="sans-serif" w:hAnsi="sans-serif"/>
          <w:b/>
          <w:color w:val="000000"/>
          <w:sz w:val="20"/>
        </w:rPr>
      </w:pPr>
      <w:r>
        <w:rPr>
          <w:rFonts w:ascii="sans-serif" w:hAnsi="sans-serif"/>
          <w:b/>
          <w:color w:val="000000"/>
          <w:sz w:val="20"/>
        </w:rPr>
        <w:t>Risks Related to the Ownership of Our Securities &amp; Organizational Structure</w:t>
      </w:r>
    </w:p>
    <w:p>
      <w:pPr>
        <w:pStyle w:val="TextBody"/>
        <w:bidi w:val="0"/>
        <w:spacing w:before="0" w:after="120"/>
        <w:jc w:val="both"/>
        <w:rPr>
          <w:rFonts w:ascii="sans-serif" w:hAnsi="sans-serif"/>
          <w:b/>
          <w:i/>
          <w:color w:val="000000"/>
          <w:sz w:val="20"/>
        </w:rPr>
      </w:pPr>
      <w:r>
        <w:rPr>
          <w:rFonts w:ascii="sans-serif" w:hAnsi="sans-serif"/>
          <w:b/>
          <w:i/>
          <w:color w:val="000000"/>
          <w:sz w:val="20"/>
        </w:rPr>
        <w:t>The interests of our significant stockholders may conflict with those of us or our other stockholders.</w:t>
      </w:r>
    </w:p>
    <w:p>
      <w:pPr>
        <w:pStyle w:val="TextBody"/>
        <w:bidi w:val="0"/>
        <w:spacing w:before="0" w:after="120"/>
        <w:jc w:val="both"/>
        <w:rPr>
          <w:rFonts w:ascii="Times New Roman" w:hAnsi="Times New Roman"/>
          <w:sz w:val="20"/>
        </w:rPr>
      </w:pPr>
      <w:r>
        <w:rPr>
          <w:rFonts w:ascii="sans-serif" w:hAnsi="sans-serif"/>
          <w:color w:val="000000"/>
          <w:sz w:val="20"/>
        </w:rPr>
        <w:t>As of June 30, 2026, affiliates of GTCR LLC (“</w:t>
      </w:r>
      <w:r>
        <w:rPr>
          <w:rFonts w:ascii="sans-serif" w:hAnsi="sans-serif"/>
          <w:color w:val="000000"/>
          <w:sz w:val="20"/>
          <w:u w:val="single"/>
        </w:rPr>
        <w:t>GTCR</w:t>
      </w:r>
      <w:r>
        <w:rPr>
          <w:rFonts w:ascii="Times New Roman" w:hAnsi="Times New Roman"/>
          <w:color w:val="000000"/>
          <w:sz w:val="20"/>
        </w:rPr>
        <w:t>”</w:t>
      </w:r>
      <w:r>
        <w:rPr>
          <w:rFonts w:ascii="sans-serif" w:hAnsi="sans-serif"/>
          <w:color w:val="000000"/>
          <w:sz w:val="20"/>
        </w:rPr>
        <w:t>) and Eldridge Industries, LLC (“</w:t>
      </w:r>
      <w:r>
        <w:rPr>
          <w:rFonts w:ascii="sans-serif" w:hAnsi="sans-serif"/>
          <w:color w:val="000000"/>
          <w:sz w:val="20"/>
          <w:u w:val="single"/>
        </w:rPr>
        <w:t>Eldridge</w:t>
      </w:r>
      <w:r>
        <w:rPr>
          <w:rFonts w:ascii="Times New Roman" w:hAnsi="Times New Roman"/>
          <w:color w:val="000000"/>
          <w:sz w:val="20"/>
        </w:rPr>
        <w:t>”</w:t>
      </w:r>
      <w:r>
        <w:rPr>
          <w:rFonts w:ascii="sans-serif" w:hAnsi="sans-serif"/>
          <w:color w:val="000000"/>
          <w:sz w:val="20"/>
        </w:rPr>
        <w:t>) beneficially owned approximately 34% and 24%, respectively, of our outstanding Class A common stock. For so long as they continue to do so, they will be able to exert significant influence over, and, acting together, may be able to cause or prevent a change of control and/or unsolicited acquisition of, our company. This ownership concentration could deprive our securityholders of an opportunity to receive a premium for their securities as part of a potential acquisition and, ultimately, may affect the market price of our securities.</w:t>
      </w:r>
    </w:p>
    <w:p>
      <w:pPr>
        <w:pStyle w:val="TextBody"/>
        <w:bidi w:val="0"/>
        <w:spacing w:before="0" w:after="120"/>
        <w:jc w:val="both"/>
        <w:rPr>
          <w:rFonts w:ascii="Times New Roman" w:hAnsi="Times New Roman"/>
          <w:sz w:val="20"/>
        </w:rPr>
      </w:pPr>
      <w:r>
        <w:rPr>
          <w:rFonts w:ascii="sans-serif" w:hAnsi="sans-serif"/>
          <w:color w:val="000000"/>
          <w:sz w:val="20"/>
        </w:rPr>
        <w:t>In addition, we are party to a Stockholders’ Agreement, dated October 18, 2021 (as amended, the “</w:t>
      </w:r>
      <w:r>
        <w:rPr>
          <w:rFonts w:ascii="sans-serif" w:hAnsi="sans-serif"/>
          <w:color w:val="000000"/>
          <w:sz w:val="20"/>
          <w:u w:val="single"/>
        </w:rPr>
        <w:t xml:space="preserve">Stockholders’ </w:t>
      </w:r>
      <w:r>
        <w:rPr>
          <w:rFonts w:ascii="sans-serif" w:hAnsi="sans-serif"/>
          <w:color w:val="000000"/>
          <w:sz w:val="20"/>
        </w:rPr>
        <w:t>Agreement”), that gives affiliates of GTCR and Eldridge the right to designate the following number of nominees to our Board: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sans-serif" w:hAnsi="sans-serif"/>
          <w:color w:val="000000"/>
          <w:sz w:val="20"/>
        </w:rPr>
        <w:t>GTCR‘s affiliates have the right, but not the obligation, to nominate: (i) five directors, so long as they beneficially own at least 24% of the total number of shares of our common stock that were issued and outstanding on October 18, 2021 (the “</w:t>
      </w:r>
      <w:r>
        <w:rPr>
          <w:rFonts w:ascii="sans-serif" w:hAnsi="sans-serif"/>
          <w:color w:val="000000"/>
          <w:sz w:val="20"/>
          <w:u w:val="single"/>
        </w:rPr>
        <w:t>Closing Amount</w:t>
      </w:r>
      <w:r>
        <w:rPr>
          <w:color w:val="000000"/>
        </w:rPr>
        <w:t>”</w:t>
      </w:r>
      <w:r>
        <w:rPr>
          <w:rFonts w:ascii="sans-serif" w:hAnsi="sans-serif"/>
          <w:color w:val="000000"/>
          <w:sz w:val="20"/>
        </w:rPr>
        <w:t>) (ii) four directors, so long as they beneficially own at least 18% but less than 24% of the Closing Amount; (iii) three directors, so long as they beneficially own at least 12% but less than 18% of the Closing Amount; (iv) two directors, so long as they beneficially own at least 6% but less than 12% of the Closing Amount; and (v) one director, until the date on which they beneficially own less than 5% of the number of shares of our common stock that they held on October 18, 2021.</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0"/>
        </w:rPr>
      </w:pPr>
      <w:r>
        <w:rPr>
          <w:rFonts w:ascii="sans-serif" w:hAnsi="sans-serif"/>
          <w:color w:val="000000"/>
          <w:sz w:val="20"/>
        </w:rPr>
        <w:t>Eldridge’s affiliates have the right, but not the obligation, to nominate: (i) three directors, so long as they beneficially own at least 12% of the Closing Amount; (ii) two directors, so long as they beneficially own at least 6% but less than 12% of the Closing Amount; and (iii) one director, until the date on which they own less than 5% of the number of shares of our common stock that they held on October 18, 2021.</w:t>
      </w:r>
    </w:p>
    <w:p>
      <w:pPr>
        <w:pStyle w:val="TextBody"/>
        <w:bidi w:val="0"/>
        <w:spacing w:before="0" w:after="120"/>
        <w:jc w:val="both"/>
        <w:rPr>
          <w:rFonts w:ascii="sans-serif" w:hAnsi="sans-serif"/>
          <w:color w:val="000000"/>
          <w:sz w:val="20"/>
        </w:rPr>
      </w:pPr>
      <w:r>
        <w:rPr>
          <w:rFonts w:ascii="sans-serif" w:hAnsi="sans-serif"/>
          <w:color w:val="000000"/>
          <w:sz w:val="20"/>
        </w:rPr>
        <w:t>If the size of our Board is increased beyond nine members, GTCR’s affiliates will have the right to designate a number of nominees that give them the same percentage of total directors as set forth above (rounded up to the next whole number). Pursuant to the Stockholders’ Agreement, affiliates of GTCR and Eldridge have designated four and three, respectively, of our current eight directors, which enables them to exert significant influence over our business and affairs.</w:t>
      </w:r>
    </w:p>
    <w:p>
      <w:pPr>
        <w:pStyle w:val="TextBody"/>
        <w:bidi w:val="0"/>
        <w:spacing w:before="0" w:after="120"/>
        <w:jc w:val="both"/>
        <w:rPr>
          <w:rFonts w:ascii="Times New Roman" w:hAnsi="Times New Roman"/>
          <w:sz w:val="20"/>
        </w:rPr>
      </w:pPr>
      <w:r>
        <w:rPr>
          <w:rFonts w:ascii="sans-serif" w:hAnsi="sans-serif"/>
          <w:color w:val="000000"/>
          <w:sz w:val="20"/>
        </w:rPr>
        <w:t>GTCR, Eldridge, and their respective affiliates engage in a broad spectrum of activities and investments, including in our industry. In the ordinary course of their business, they may engage in activities where their interests conflict with those of us or our other stockholders, such as investing in or advising businesses that are our competitors, suppliers, or customers. Our amended and restated certificate of incorporation (as amended, our “</w:t>
      </w:r>
      <w:r>
        <w:rPr>
          <w:rFonts w:ascii="sans-serif" w:hAnsi="sans-serif"/>
          <w:color w:val="000000"/>
          <w:sz w:val="20"/>
          <w:u w:val="single"/>
        </w:rPr>
        <w:t>Charter</w:t>
      </w:r>
      <w:r>
        <w:rPr>
          <w:rFonts w:ascii="Times New Roman" w:hAnsi="Times New Roman"/>
          <w:color w:val="000000"/>
          <w:sz w:val="20"/>
        </w:rPr>
        <w:t>”</w:t>
      </w:r>
      <w:r>
        <w:rPr>
          <w:rFonts w:ascii="sans-serif" w:hAnsi="sans-serif"/>
          <w:color w:val="000000"/>
          <w:sz w:val="20"/>
        </w:rPr>
        <w:t>) provides that GTCR, Eldridge, their respective affiliates, and each of their respective directors, partners, principals, officers, members, managers, and employees (including any such person who serves as one of our directors and/or officers) have no duty to refrain from engaging in the same or similar business activities or lines of business in which we operate. In addition, GTCR, Eldridge, and their respective affiliates may pursue acquisition opportunities that are complementary to our business (and therefore would not be available to us), in addition to pursuing acquisitions, divestitures, and other transactions that they believe could enhance their respective investments, even though such transactions may involve risks to our other security holders and/or prove not to be beneficial.</w:t>
      </w:r>
    </w:p>
    <w:p>
      <w:pPr>
        <w:pStyle w:val="TextBody"/>
        <w:bidi w:val="0"/>
        <w:spacing w:before="0" w:after="120"/>
        <w:jc w:val="both"/>
        <w:rPr>
          <w:rFonts w:ascii="sans-serif" w:hAnsi="sans-serif"/>
          <w:b/>
          <w:i/>
          <w:color w:val="000000"/>
          <w:sz w:val="20"/>
        </w:rPr>
      </w:pPr>
      <w:r>
        <w:rPr>
          <w:rFonts w:ascii="sans-serif" w:hAnsi="sans-serif"/>
          <w:b/>
          <w:i/>
          <w:color w:val="000000"/>
          <w:sz w:val="20"/>
        </w:rPr>
        <w:t>Our principal assets are the equity interests in our subsidiaries, and we are accordingly dependent upon our subsidiaries’ cash flows to satisfy our obligations.</w:t>
      </w:r>
    </w:p>
    <w:p>
      <w:pPr>
        <w:pStyle w:val="TextBody"/>
        <w:bidi w:val="0"/>
        <w:spacing w:before="0" w:after="120"/>
        <w:jc w:val="both"/>
        <w:rPr>
          <w:rFonts w:ascii="Times New Roman" w:hAnsi="Times New Roman"/>
          <w:sz w:val="20"/>
        </w:rPr>
      </w:pPr>
      <w:r>
        <w:rPr>
          <w:rFonts w:ascii="sans-serif" w:hAnsi="sans-serif"/>
          <w:color w:val="000000"/>
          <w:sz w:val="20"/>
        </w:rPr>
        <w:t>As a holding company, our principal assets are the equity interests in our subsidiaries, through which we conduct substantially all of our operations. Our ability to satisfy our obligations, including taxes, debt payments, and other expenses, is therefore dependent upon our subsidiaries’ earnings and their distribution of those earnings, or of loans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or other payments, to us. If our subsidiaries are unable to make such distributions, loans, or other payments, including because of their status as guarantors under our credit facility, restrictions under any other debt they may incur, and/or applicable laws and regulations related to the availability of sufficient surplus funds, our financial condition (including our liquidity) could be adversely affected and we may be unable to satisfy our obligations.</w:t>
      </w:r>
    </w:p>
    <w:p>
      <w:pPr>
        <w:pStyle w:val="TextBody"/>
        <w:bidi w:val="0"/>
        <w:spacing w:before="0" w:after="120"/>
        <w:jc w:val="both"/>
        <w:rPr>
          <w:rFonts w:ascii="sans-serif" w:hAnsi="sans-serif"/>
          <w:b/>
          <w:color w:val="000000"/>
          <w:sz w:val="20"/>
        </w:rPr>
      </w:pPr>
      <w:r>
        <w:rPr>
          <w:rFonts w:ascii="sans-serif" w:hAnsi="sans-serif"/>
          <w:b/>
          <w:color w:val="000000"/>
          <w:sz w:val="20"/>
        </w:rPr>
        <w:t>Risks Related to Being a Public Company</w:t>
      </w:r>
    </w:p>
    <w:p>
      <w:pPr>
        <w:pStyle w:val="TextBody"/>
        <w:bidi w:val="0"/>
        <w:spacing w:before="0" w:after="120"/>
        <w:jc w:val="both"/>
        <w:rPr>
          <w:rFonts w:ascii="sans-serif" w:hAnsi="sans-serif"/>
          <w:b/>
          <w:i/>
          <w:color w:val="000000"/>
          <w:sz w:val="20"/>
        </w:rPr>
      </w:pPr>
      <w:r>
        <w:rPr>
          <w:rFonts w:ascii="sans-serif" w:hAnsi="sans-serif"/>
          <w:b/>
          <w:i/>
          <w:color w:val="000000"/>
          <w:sz w:val="20"/>
        </w:rPr>
        <w:t>The market price and trading volume of our securities may be volatile.</w:t>
      </w:r>
    </w:p>
    <w:p>
      <w:pPr>
        <w:pStyle w:val="TextBody"/>
        <w:bidi w:val="0"/>
        <w:spacing w:before="0" w:after="120"/>
        <w:jc w:val="both"/>
        <w:rPr>
          <w:rFonts w:ascii="sans-serif" w:hAnsi="sans-serif"/>
          <w:color w:val="000000"/>
          <w:sz w:val="20"/>
        </w:rPr>
      </w:pPr>
      <w:r>
        <w:rPr>
          <w:rFonts w:ascii="sans-serif" w:hAnsi="sans-serif"/>
          <w:color w:val="000000"/>
          <w:sz w:val="20"/>
        </w:rPr>
        <w:t>Securities markets worldwide experience significant price and volume fluctuations. This market volatility, as well as general economic, market, or political conditions, could reduce the market price of our securities despite our operating performance. The market price of our securities may fluctuate widely or decline significantly in the future in response to several factors, including, but not limited to: the realization of any of the risks discussed elsewhere in this Report; unfavorable market and economic conditions; the loss of investor confidence in the global financial markets and investing in general; adverse market reactions to indebtedness we may incur or securities we may issue in the future, including under the Incentive Award Plan; adverse market reactions to changes in our ownership or capital structure, including as a result of the Corporate Simplification; unanticipated declines or variations in our financial condition or results of operations; a failure to meet securities analysts’ earnings estimates; the publication of negative or inaccurate research reports about our business, industry, or securities and/or the failure of securities analysts to provide adequate coverage of our business or securities; changes in the market valuations of similar companies; speculation in the press or investment community about our business or industry; the trading activity of our largest stockholders; the number of shares of Class A common stock that are available for public trading; short sales, hedging, and other derivative transactions involving our securities; enacted or proposed changes to laws or regulations affecting our business or industry, or differing interpretations thereof; and increases in compliance or enforcement inquiries and investigations by regulatory authorities.</w:t>
      </w:r>
    </w:p>
    <w:p>
      <w:pPr>
        <w:pStyle w:val="TextBody"/>
        <w:bidi w:val="0"/>
        <w:spacing w:before="0" w:after="120"/>
        <w:jc w:val="both"/>
        <w:rPr>
          <w:rFonts w:ascii="sans-serif" w:hAnsi="sans-serif"/>
          <w:b/>
          <w:i/>
          <w:color w:val="000000"/>
          <w:sz w:val="20"/>
        </w:rPr>
      </w:pPr>
      <w:r>
        <w:rPr>
          <w:rFonts w:ascii="sans-serif" w:hAnsi="sans-serif"/>
          <w:b/>
          <w:i/>
          <w:color w:val="000000"/>
          <w:sz w:val="20"/>
        </w:rPr>
        <w:t>We may be subject to securities class action litigation, which could adversely affect our business, financial condition, and results of operations.</w:t>
      </w:r>
    </w:p>
    <w:p>
      <w:pPr>
        <w:pStyle w:val="TextBody"/>
        <w:bidi w:val="0"/>
        <w:spacing w:before="0" w:after="120"/>
        <w:jc w:val="both"/>
        <w:rPr>
          <w:rFonts w:ascii="sans-serif" w:hAnsi="sans-serif"/>
          <w:color w:val="000000"/>
          <w:sz w:val="20"/>
        </w:rPr>
      </w:pPr>
      <w:r>
        <w:rPr>
          <w:rFonts w:ascii="sans-serif" w:hAnsi="sans-serif"/>
          <w:color w:val="000000"/>
          <w:sz w:val="20"/>
        </w:rPr>
        <w:t>Other companies that have experienced volatility in the market price of their securities and changes in their capital structure have been subject to securities class action litigation. We may be the target of this type of litigation in the future, which could result in substantial costs and divert the attention of management and other key resources that are needed to successfully run our business, which could adversely affect our business, financial condition, and results of operations.</w:t>
      </w:r>
    </w:p>
    <w:p>
      <w:pPr>
        <w:pStyle w:val="TextBody"/>
        <w:bidi w:val="0"/>
        <w:spacing w:before="0" w:after="120"/>
        <w:jc w:val="both"/>
        <w:rPr>
          <w:rFonts w:ascii="sans-serif" w:hAnsi="sans-serif"/>
          <w:b/>
          <w:i/>
          <w:color w:val="000000"/>
          <w:sz w:val="20"/>
        </w:rPr>
      </w:pPr>
      <w:r>
        <w:rPr>
          <w:rFonts w:ascii="sans-serif" w:hAnsi="sans-serif"/>
          <w:b/>
          <w:i/>
          <w:color w:val="000000"/>
          <w:sz w:val="20"/>
        </w:rPr>
        <w:t>We previously identified and remediated a material weakness in our ICFR, and we may identify additional material weaknesses in the future or otherwise fail to maintain an effective system of internal controls.</w:t>
      </w:r>
    </w:p>
    <w:p>
      <w:pPr>
        <w:pStyle w:val="TextBody"/>
        <w:bidi w:val="0"/>
        <w:spacing w:before="0" w:after="120"/>
        <w:jc w:val="both"/>
        <w:rPr>
          <w:rFonts w:ascii="Times New Roman" w:hAnsi="Times New Roman"/>
          <w:sz w:val="20"/>
        </w:rPr>
      </w:pPr>
      <w:r>
        <w:rPr>
          <w:rFonts w:ascii="sans-serif" w:hAnsi="sans-serif"/>
          <w:color w:val="000000"/>
          <w:sz w:val="20"/>
        </w:rPr>
        <w:t>We are required to comply with SEC rules implementing Sections 302 and 404 of the Sarbanes-Oxley Act of 2002 (“</w:t>
      </w:r>
      <w:r>
        <w:rPr>
          <w:rFonts w:ascii="sans-serif" w:hAnsi="sans-serif"/>
          <w:color w:val="000000"/>
          <w:sz w:val="20"/>
          <w:u w:val="single"/>
        </w:rPr>
        <w:t>SOX</w:t>
      </w:r>
      <w:r>
        <w:rPr>
          <w:rFonts w:ascii="Times New Roman" w:hAnsi="Times New Roman"/>
          <w:color w:val="000000"/>
          <w:sz w:val="20"/>
        </w:rPr>
        <w:t>”</w:t>
      </w:r>
      <w:r>
        <w:rPr>
          <w:rFonts w:ascii="sans-serif" w:hAnsi="sans-serif"/>
          <w:color w:val="000000"/>
          <w:sz w:val="20"/>
        </w:rPr>
        <w:t>), which require management to certify financial and other information in our periodic reports and provide an annual report on the effectiveness of our ICFR.</w:t>
      </w:r>
    </w:p>
    <w:p>
      <w:pPr>
        <w:pStyle w:val="TextBody"/>
        <w:bidi w:val="0"/>
        <w:spacing w:before="0" w:after="120"/>
        <w:jc w:val="both"/>
        <w:rPr>
          <w:rFonts w:ascii="sans-serif" w:hAnsi="sans-serif"/>
          <w:color w:val="000000"/>
          <w:sz w:val="20"/>
        </w:rPr>
      </w:pPr>
      <w:r>
        <w:rPr>
          <w:rFonts w:ascii="sans-serif" w:hAnsi="sans-serif"/>
          <w:color w:val="000000"/>
          <w:sz w:val="20"/>
        </w:rPr>
        <w:t>Effective ICFR is necessary for us to provide reliable and timely financial reports and, together with adequate disclosure controls and procedures, is designed to reasonably detect and prevent fraud. However, internal controls may not detect and prevent all misstatements due to inherent limitations such as the possibility of human error, the circumvention or overriding of controls, and/or fraud. Therefore, effective internal controls, no matter how well designed and operated, can provide only reasonable assurance with respect to the preparation and fair presentation of financial statements.</w:t>
      </w:r>
    </w:p>
    <w:p>
      <w:pPr>
        <w:pStyle w:val="TextBody"/>
        <w:bidi w:val="0"/>
        <w:spacing w:before="0" w:after="120"/>
        <w:jc w:val="both"/>
        <w:rPr>
          <w:rFonts w:ascii="sans-serif" w:hAnsi="sans-serif"/>
          <w:color w:val="000000"/>
          <w:sz w:val="20"/>
        </w:rPr>
      </w:pPr>
      <w:r>
        <w:rPr>
          <w:rFonts w:ascii="sans-serif" w:hAnsi="sans-serif"/>
          <w:color w:val="000000"/>
          <w:sz w:val="20"/>
        </w:rPr>
        <w:t>We are also required to report any material weaknesses in our ICFR. A material weakness is a deficiency or combination of deficiencies in ICFR such that there is a reasonable possibility that a material misstatement of a company’s financial statements will not be prevented or detected on a timely basis.</w:t>
      </w:r>
    </w:p>
    <w:p>
      <w:pPr>
        <w:pStyle w:val="TextBody"/>
        <w:bidi w:val="0"/>
        <w:spacing w:before="0" w:after="120"/>
        <w:jc w:val="both"/>
        <w:rPr>
          <w:rFonts w:ascii="Times New Roman" w:hAnsi="Times New Roman"/>
          <w:sz w:val="20"/>
        </w:rPr>
      </w:pPr>
      <w:r>
        <w:rPr>
          <w:rFonts w:ascii="sans-serif" w:hAnsi="sans-serif"/>
          <w:color w:val="000000"/>
          <w:sz w:val="20"/>
        </w:rPr>
        <w:t>In connection with the audit of our financial statements for each of the years ended December 31, 2024, 2023, 2022, 2021, and 2020, we identified deficiencies in our ICFR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experience, which, in the aggregate, constituted a material weakness. As of December 31, 2025, we concluded that the material weakness had been remediated.</w:t>
      </w:r>
    </w:p>
    <w:p>
      <w:pPr>
        <w:pStyle w:val="TextBody"/>
        <w:bidi w:val="0"/>
        <w:spacing w:before="0" w:after="120"/>
        <w:jc w:val="both"/>
        <w:rPr>
          <w:rFonts w:ascii="sans-serif" w:hAnsi="sans-serif"/>
          <w:color w:val="000000"/>
          <w:sz w:val="20"/>
        </w:rPr>
      </w:pPr>
      <w:r>
        <w:rPr>
          <w:rFonts w:ascii="sans-serif" w:hAnsi="sans-serif"/>
          <w:color w:val="000000"/>
          <w:sz w:val="20"/>
        </w:rPr>
        <w:t>Although the material weakness in ICFR described above has been remediated, new material weaknesses could be identified in the future that, if not timely remediated, could result in errors in our financial statements that require a restatement or cause us to fail to meet our periodic reporting obligations, any of which could adversely affect investor confidence in us and the market price of our securities and/or lead to litigation or regulatory enforcement actions.</w:t>
      </w:r>
    </w:p>
    <w:p>
      <w:pPr>
        <w:pStyle w:val="TextBody"/>
        <w:bidi w:val="0"/>
        <w:spacing w:before="0" w:after="120"/>
        <w:jc w:val="both"/>
        <w:rPr>
          <w:rFonts w:ascii="Times New Roman" w:hAnsi="Times New Roman"/>
          <w:sz w:val="20"/>
        </w:rPr>
      </w:pPr>
      <w:r>
        <w:rPr>
          <w:rFonts w:ascii="sans-serif" w:hAnsi="sans-serif"/>
          <w:color w:val="000000"/>
          <w:sz w:val="20"/>
        </w:rPr>
        <w:t>Further, once we cease to be an EGC under the Jumpstart Our Business Startups Act of 2012 (the “</w:t>
      </w:r>
      <w:r>
        <w:rPr>
          <w:rFonts w:ascii="sans-serif" w:hAnsi="sans-serif"/>
          <w:color w:val="000000"/>
          <w:sz w:val="20"/>
          <w:u w:val="single"/>
        </w:rPr>
        <w:t>JOBS Act</w:t>
      </w:r>
      <w:r>
        <w:rPr>
          <w:rFonts w:ascii="Times New Roman" w:hAnsi="Times New Roman"/>
          <w:color w:val="000000"/>
          <w:sz w:val="20"/>
        </w:rPr>
        <w:t>”</w:t>
      </w:r>
      <w:r>
        <w:rPr>
          <w:rFonts w:ascii="sans-serif" w:hAnsi="sans-serif"/>
          <w:color w:val="000000"/>
          <w:sz w:val="20"/>
        </w:rPr>
        <w:t>), unless we are a “non-accelerated filer” (as defined in Rule 12b-2 under the Exchange Act), we will be required to have our independent registered public accounting firm provide an attestation report on the effectiveness of our ICFR pursuant to Section 404 of SOX. This independent assessment could detect problems that our assessment might not. Undetected material weaknesses in our ICFR could lead to financial statement restatements and require us to incur significant remediation expenses. An adverse report may be issued if our independent registered public accounting firm is not satisfied with the level at which our internal controls are documented, designed, or operating.</w:t>
      </w:r>
    </w:p>
    <w:p>
      <w:pPr>
        <w:pStyle w:val="TextBody"/>
        <w:bidi w:val="0"/>
        <w:spacing w:before="0" w:after="120"/>
        <w:jc w:val="both"/>
        <w:rPr>
          <w:rFonts w:ascii="sans-serif" w:hAnsi="sans-serif"/>
          <w:b/>
          <w:i/>
          <w:color w:val="000000"/>
          <w:sz w:val="20"/>
        </w:rPr>
      </w:pPr>
      <w:r>
        <w:rPr>
          <w:rFonts w:ascii="sans-serif" w:hAnsi="sans-serif"/>
          <w:b/>
          <w:i/>
          <w:color w:val="000000"/>
          <w:sz w:val="20"/>
        </w:rPr>
        <w:t>We are an EGC and an SRC, and our reliance on certain reporting requirement exemptions available to EGCs and/or SRCs could make our securities less attractive to investors.</w:t>
      </w:r>
    </w:p>
    <w:p>
      <w:pPr>
        <w:pStyle w:val="TextBody"/>
        <w:bidi w:val="0"/>
        <w:spacing w:before="0" w:after="120"/>
        <w:jc w:val="both"/>
        <w:rPr>
          <w:rFonts w:ascii="sans-serif" w:hAnsi="sans-serif"/>
          <w:color w:val="000000"/>
          <w:sz w:val="20"/>
        </w:rPr>
      </w:pPr>
      <w:r>
        <w:rPr>
          <w:rFonts w:ascii="sans-serif" w:hAnsi="sans-serif"/>
          <w:color w:val="000000"/>
          <w:sz w:val="20"/>
        </w:rPr>
        <w:t>For as long as we continue to qualify as an EGC under the JOBS Act, we are permitted to utilize certain reporting requirement exemptions that are available to EGCs. These exemptions include: not being required to have our independent registered public accounting firm provide an attestation report on the effectiveness of our ICFR pursuant to Section 404 of SOX; reduced executive compensation disclosure in our annual reports and proxy statements; and not being required to hold a non-binding advisory vote on executive compensation or golden parachute payments that were not previously approved. Similarly, for as long as we continue to qualify as an SRC, we are permitted to utilize certain reporting requirement exemptions that are available to SRCs. These exemptions include: reduced financial statement disclosure requirements in our periodic reports; reduced executive compensation disclosure in our annual reports and proxy statements; and not being required to include quantitative and qualitative disclosures about market risk in our periodic reports. If investors find our securities less attractive because of our reliance on these exemptions, there may be a less active trading market for our securities and the market price of our securities may be more volatile.</w:t>
      </w:r>
    </w:p>
    <w:p>
      <w:pPr>
        <w:pStyle w:val="TextBody"/>
        <w:bidi w:val="0"/>
        <w:spacing w:before="0" w:after="120"/>
        <w:jc w:val="both"/>
        <w:rPr>
          <w:rFonts w:ascii="sans-serif" w:hAnsi="sans-serif"/>
          <w:color w:val="000000"/>
          <w:sz w:val="20"/>
        </w:rPr>
      </w:pPr>
      <w:r>
        <w:rPr>
          <w:rFonts w:ascii="sans-serif" w:hAnsi="sans-serif"/>
          <w:color w:val="000000"/>
          <w:sz w:val="20"/>
        </w:rPr>
        <w:t>The JOBS Act also exempts EGCs from being required to comply with new or revised financial accounting standards until private companies are required to do so. The JOBS Act provides that an EGC can elect to opt out of the extended transition period and comply with the requirements that apply to non-EGCs, but that any such election is irrevocable. We have not elected to opt out of the extended transition period, which means that we are permitted to adopt new or revised financial accounting standards at the same time as private companies. This may make the comparison of our financial statements with those of a non-EGC, or an EGC that has elected to opt out of the extended transition period, difficult because of the potential differences in financial accounting standards used.</w:t>
      </w:r>
    </w:p>
    <w:p>
      <w:pPr>
        <w:pStyle w:val="TextBody"/>
        <w:bidi w:val="0"/>
        <w:spacing w:before="0" w:after="120"/>
        <w:jc w:val="both"/>
        <w:rPr>
          <w:rFonts w:ascii="sans-serif" w:hAnsi="sans-serif"/>
          <w:color w:val="000000"/>
          <w:sz w:val="20"/>
        </w:rPr>
      </w:pPr>
      <w:r>
        <w:rPr>
          <w:rFonts w:ascii="sans-serif" w:hAnsi="sans-serif"/>
          <w:color w:val="000000"/>
          <w:sz w:val="20"/>
        </w:rPr>
        <w:t>We will remain an EGC until December 31, 2026 or such earlier date on which we have, during the preceding three-year period, issued more than $1.0 billion in non-convertible debt securities. We will cease to be eligible to qualify as an SRC beginning with the periodic report covering the first quarter of the fiscal year subsequent to our public float equaling or exceeding $250 million as of the last business day of our second fiscal quarter.</w:t>
      </w:r>
    </w:p>
    <w:p>
      <w:pPr>
        <w:pStyle w:val="TextBody"/>
        <w:bidi w:val="0"/>
        <w:spacing w:before="0" w:after="120"/>
        <w:jc w:val="both"/>
        <w:rPr>
          <w:rFonts w:ascii="sans-serif" w:hAnsi="sans-serif"/>
          <w:b/>
          <w:i/>
          <w:color w:val="000000"/>
          <w:sz w:val="20"/>
        </w:rPr>
      </w:pPr>
      <w:r>
        <w:rPr>
          <w:rFonts w:ascii="sans-serif" w:hAnsi="sans-serif"/>
          <w:b/>
          <w:i/>
          <w:color w:val="000000"/>
          <w:sz w:val="20"/>
        </w:rPr>
        <w:t>We may not realize all of the expected benefits of the Corporate Simplification.</w:t>
      </w:r>
    </w:p>
    <w:p>
      <w:pPr>
        <w:pStyle w:val="TextBody"/>
        <w:bidi w:val="0"/>
        <w:spacing w:before="0" w:after="120"/>
        <w:jc w:val="both"/>
        <w:rPr>
          <w:rFonts w:ascii="sans-serif" w:hAnsi="sans-serif"/>
          <w:color w:val="000000"/>
          <w:sz w:val="20"/>
        </w:rPr>
      </w:pPr>
      <w:r>
        <w:rPr>
          <w:rFonts w:ascii="sans-serif" w:hAnsi="sans-serif"/>
          <w:color w:val="000000"/>
          <w:sz w:val="20"/>
        </w:rPr>
        <w:t>We expect to realize certain benefits as a result of the Corporate Simplification, which was consummated over the two business days ending on October 31, 2025, including: retaining 100% of the future realized tax savings that, but for its termination, would have been payable to the other parties to the TRA; and realizing annual savings from reduced compliance and financial reporting costs associated with a single-class stock structure. However, these benefits are dependent on a number of factors, including applicable laws and the amount of our future taxable income. We may not ultimately realize all of the expected benefits of the Corporate Simplification on the anticipated timeline, or at all.</w:t>
      </w:r>
    </w:p>
    <w:p>
      <w:pPr>
        <w:pStyle w:val="TextBody"/>
        <w:bidi w:val="0"/>
        <w:jc w:val="center"/>
        <w:rPr>
          <w:rFonts w:ascii="sans-serif" w:hAnsi="sans-serif"/>
          <w:color w:val="000000"/>
          <w:sz w:val="20"/>
        </w:rPr>
      </w:pPr>
      <w:r>
        <w:rPr>
          <w:rFonts w:ascii="sans-serif" w:hAnsi="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b/>
          <w:i/>
          <w:color w:val="000000"/>
          <w:sz w:val="20"/>
        </w:rPr>
      </w:pPr>
      <w:r>
        <w:rPr>
          <w:rFonts w:ascii="sans-serif" w:hAnsi="sans-serif"/>
          <w:b/>
          <w:i/>
          <w:color w:val="000000"/>
          <w:sz w:val="20"/>
        </w:rPr>
        <w:t>The issuance of new shares of Class A common stock, including upon the exercise of outstanding warrants, would increase the number of shares eligible for resale in the public market and dilute the ownership and voting power of our existing stockholders.</w:t>
      </w:r>
    </w:p>
    <w:p>
      <w:pPr>
        <w:pStyle w:val="TextBody"/>
        <w:bidi w:val="0"/>
        <w:spacing w:before="0" w:after="120"/>
        <w:jc w:val="both"/>
        <w:rPr>
          <w:rFonts w:ascii="sans-serif" w:hAnsi="sans-serif"/>
          <w:color w:val="000000"/>
          <w:sz w:val="20"/>
        </w:rPr>
      </w:pPr>
      <w:r>
        <w:rPr>
          <w:rFonts w:ascii="sans-serif" w:hAnsi="sans-serif"/>
          <w:color w:val="000000"/>
          <w:sz w:val="20"/>
        </w:rPr>
        <w:t>As of June 30, 2026, the following warrants to purchase Class A common stock were outstanding and exercisable: (i) warrants to purchase 325,989 shares at an exercise price of $230.00 per share; (ii) warrants to purchase 950,000 shares at an exercise price of $200.00 per share; (iii) warrants to purchase 950,000 shares at an exercise price of $300.00 per share; and (iv) public warrants to purchase 338,342 shares at an exercise price of $230.00 per share.</w:t>
      </w:r>
    </w:p>
    <w:p>
      <w:pPr>
        <w:pStyle w:val="TextBody"/>
        <w:bidi w:val="0"/>
        <w:spacing w:before="0" w:after="120"/>
        <w:jc w:val="both"/>
        <w:rPr>
          <w:rFonts w:ascii="sans-serif" w:hAnsi="sans-serif"/>
          <w:color w:val="000000"/>
          <w:sz w:val="20"/>
        </w:rPr>
      </w:pPr>
      <w:r>
        <w:rPr>
          <w:rFonts w:ascii="sans-serif" w:hAnsi="sans-serif"/>
          <w:color w:val="000000"/>
          <w:sz w:val="20"/>
        </w:rPr>
        <w:t>The issuance of new shares of Class A common stock (either on its own, such as the issuance in connection with the Corporate Simplification, or upon the exercise of these warrants) would increase the number of shares eligible for resale in the public market and dilute the ownership and voting power of our existing stockholders. Sales of substantial numbers of such shares, or the fact that such shares may be issued, could adversely affect the market price of our Class A common stock.</w:t>
      </w:r>
    </w:p>
    <w:p>
      <w:pPr>
        <w:pStyle w:val="TextBody"/>
        <w:bidi w:val="0"/>
        <w:spacing w:before="0" w:after="120"/>
        <w:jc w:val="both"/>
        <w:rPr>
          <w:rFonts w:ascii="sans-serif" w:hAnsi="sans-serif"/>
          <w:b/>
          <w:i/>
          <w:color w:val="000000"/>
          <w:sz w:val="20"/>
        </w:rPr>
      </w:pPr>
      <w:r>
        <w:rPr>
          <w:rFonts w:ascii="sans-serif" w:hAnsi="sans-serif"/>
          <w:b/>
          <w:i/>
          <w:color w:val="000000"/>
          <w:sz w:val="20"/>
        </w:rPr>
        <w:t>Securities analysts may not publish favorable, or any, research reports about us, which could adversely affect the market price or trading volume of our securities.</w:t>
      </w:r>
    </w:p>
    <w:p>
      <w:pPr>
        <w:pStyle w:val="TextBody"/>
        <w:bidi w:val="0"/>
        <w:spacing w:before="0" w:after="120"/>
        <w:jc w:val="both"/>
        <w:rPr>
          <w:rFonts w:ascii="sans-serif" w:hAnsi="sans-serif"/>
          <w:color w:val="000000"/>
          <w:sz w:val="20"/>
        </w:rPr>
      </w:pPr>
      <w:r>
        <w:rPr>
          <w:rFonts w:ascii="sans-serif" w:hAnsi="sans-serif"/>
          <w:color w:val="000000"/>
          <w:sz w:val="20"/>
        </w:rPr>
        <w:t>The trading market for our securities will be influenced to some extent by the research reports that industry or securities analysts publish about us. We do not control these analysts, and the analysts who publish information about us may have relatively little experience with our business or industry, which could affect their ability to accurately forecast our results and increase the likelihood that we fail to meet their estimates. If analysts provide inaccurate reports, issue unfavorable opinions regarding our business, industry, or securities, cease coverage of us, or fail to regularly publish reports regarding us or our securities, we could lose visibility in the market, which in turn could adversely affect the market price or trading volume of our securities.</w:t>
      </w:r>
    </w:p>
    <w:p>
      <w:pPr>
        <w:pStyle w:val="TextBody"/>
        <w:bidi w:val="0"/>
        <w:spacing w:before="0" w:after="120"/>
        <w:jc w:val="both"/>
        <w:rPr>
          <w:rFonts w:ascii="sans-serif" w:hAnsi="sans-serif"/>
          <w:b/>
          <w:i/>
          <w:color w:val="000000"/>
          <w:sz w:val="20"/>
        </w:rPr>
      </w:pPr>
      <w:r>
        <w:rPr>
          <w:rFonts w:ascii="sans-serif" w:hAnsi="sans-serif"/>
          <w:b/>
          <w:i/>
          <w:color w:val="000000"/>
          <w:sz w:val="20"/>
        </w:rPr>
        <w:t>Provisions in our organizational documents may deter, delay, or prevent our acquisition by a third party.</w:t>
      </w:r>
    </w:p>
    <w:p>
      <w:pPr>
        <w:pStyle w:val="TextBody"/>
        <w:bidi w:val="0"/>
        <w:spacing w:before="0" w:after="120"/>
        <w:jc w:val="both"/>
        <w:rPr>
          <w:rFonts w:ascii="Times New Roman" w:hAnsi="Times New Roman"/>
          <w:sz w:val="20"/>
        </w:rPr>
      </w:pPr>
      <w:r>
        <w:rPr>
          <w:rFonts w:ascii="sans-serif" w:hAnsi="sans-serif"/>
          <w:color w:val="000000"/>
          <w:sz w:val="20"/>
        </w:rPr>
        <w:t>Provisions in our Charter and our amended and restated bylaws (as amended, our “</w:t>
      </w:r>
      <w:r>
        <w:rPr>
          <w:rFonts w:ascii="sans-serif" w:hAnsi="sans-serif"/>
          <w:color w:val="000000"/>
          <w:sz w:val="20"/>
          <w:u w:val="single"/>
        </w:rPr>
        <w:t>Bylaws</w:t>
      </w:r>
      <w:r>
        <w:rPr>
          <w:rFonts w:ascii="Times New Roman" w:hAnsi="Times New Roman"/>
          <w:color w:val="000000"/>
          <w:sz w:val="20"/>
        </w:rPr>
        <w:t>”</w:t>
      </w:r>
      <w:r>
        <w:rPr>
          <w:rFonts w:ascii="sans-serif" w:hAnsi="sans-serif"/>
          <w:color w:val="000000"/>
          <w:sz w:val="20"/>
        </w:rPr>
        <w:t>) may make it more difficult or expensive for a third party to acquire control of us without the approval of our Board. These provisions, which may deter, delay, or prevent a merger, acquisition, tender offer, proxy contest, or other transaction that stockholders may consider favorable, include: (i) the sole ability of directors to fill a vacancy on our Board; (ii) advance notice requirements for stockholder proposals and director nominations; (iii) limitations on stockholders’ ability to call special meetings and act by written consent; (iv) our Board’s ability to issue and designate the terms of new series of preferred stock without stockholder approval, which could be used, among other things, to institute a rights plan that would have the effect of significantly diluting the ownership of a potential hostile acquirer, likely preventing acquisitions that have not been approved by our Board; (v) the division of our Board into three classes, each of which serves staggered three-year terms; and (vi) the lack of cumulative voting for the election of directors. These provisions could discourage potential takeover attempts and reduce the price that investors are willing to pay for our securities.</w:t>
      </w:r>
    </w:p>
    <w:p>
      <w:pPr>
        <w:pStyle w:val="TextBody"/>
        <w:bidi w:val="0"/>
        <w:spacing w:before="0" w:after="120"/>
        <w:jc w:val="both"/>
        <w:rPr>
          <w:rFonts w:ascii="sans-serif" w:hAnsi="sans-serif"/>
          <w:b/>
          <w:i/>
          <w:color w:val="000000"/>
          <w:sz w:val="20"/>
        </w:rPr>
      </w:pPr>
      <w:r>
        <w:rPr>
          <w:rFonts w:ascii="sans-serif" w:hAnsi="sans-serif"/>
          <w:b/>
          <w:i/>
          <w:color w:val="000000"/>
          <w:sz w:val="20"/>
        </w:rPr>
        <w:t>The exclusive forum provisions of our Charter may discourage lawsuits against our directors and officers.</w:t>
      </w:r>
    </w:p>
    <w:p>
      <w:pPr>
        <w:pStyle w:val="TextBody"/>
        <w:bidi w:val="0"/>
        <w:spacing w:before="0" w:after="120"/>
        <w:jc w:val="both"/>
        <w:rPr>
          <w:rFonts w:ascii="Times New Roman" w:hAnsi="Times New Roman"/>
          <w:sz w:val="20"/>
        </w:rPr>
      </w:pPr>
      <w:r>
        <w:rPr>
          <w:rFonts w:ascii="sans-serif" w:hAnsi="sans-serif"/>
          <w:color w:val="000000"/>
          <w:sz w:val="20"/>
        </w:rPr>
        <w:t>Our Charter provides that, to the fullest extent permitted by law and unless we consent in writing to the selection of an alternative forum, the Court of Chancery of the State of Delaware (the “</w:t>
      </w:r>
      <w:r>
        <w:rPr>
          <w:rFonts w:ascii="sans-serif" w:hAnsi="sans-serif"/>
          <w:color w:val="000000"/>
          <w:sz w:val="20"/>
          <w:u w:val="single"/>
        </w:rPr>
        <w:t>Chancery Court</w:t>
      </w:r>
      <w:r>
        <w:rPr>
          <w:rFonts w:ascii="Times New Roman" w:hAnsi="Times New Roman"/>
          <w:color w:val="000000"/>
          <w:sz w:val="20"/>
        </w:rPr>
        <w:t>”</w:t>
      </w:r>
      <w:r>
        <w:rPr>
          <w:rFonts w:ascii="sans-serif" w:hAnsi="sans-serif"/>
          <w:color w:val="000000"/>
          <w:sz w:val="20"/>
        </w:rPr>
        <w:t>) (or, in the event that the Chancery Court does not have jurisdiction, the U.S. federal district court for the District of Delaware or the other state courts of the State of Delaware) is the sole and exclusive forum for any: (i) derivative action or proceeding brought on our behalf; (ii) action asserting a claim of breach of a fiduciary duty owed by any current or former director, officer, employee, or stockholder to us or our stockholders; (iii) action asserting a claim arising pursuant to any provision of the Delaware General Corporation Law (the “</w:t>
      </w:r>
      <w:r>
        <w:rPr>
          <w:rFonts w:ascii="sans-serif" w:hAnsi="sans-serif"/>
          <w:color w:val="000000"/>
          <w:sz w:val="20"/>
          <w:u w:val="single"/>
        </w:rPr>
        <w:t>DGCL</w:t>
      </w:r>
      <w:r>
        <w:rPr>
          <w:rFonts w:ascii="Times New Roman" w:hAnsi="Times New Roman"/>
          <w:color w:val="000000"/>
          <w:sz w:val="20"/>
        </w:rPr>
        <w:t>”</w:t>
      </w:r>
      <w:r>
        <w:rPr>
          <w:rFonts w:ascii="sans-serif" w:hAnsi="sans-serif"/>
          <w:color w:val="000000"/>
          <w:sz w:val="20"/>
        </w:rPr>
        <w:t xml:space="preserve">), our Charter, or our Bylaws, or as to which the DGCL confers jurisdiction on the Chancery Court; or (iv) action asserting a claim governed by the internal affairs doctrine; </w:t>
      </w:r>
      <w:r>
        <w:rPr>
          <w:rFonts w:ascii="sans-serif" w:hAnsi="sans-serif"/>
          <w:i/>
          <w:color w:val="000000"/>
          <w:sz w:val="20"/>
        </w:rPr>
        <w:t>provided</w:t>
      </w:r>
      <w:r>
        <w:rPr>
          <w:rFonts w:ascii="Times New Roman" w:hAnsi="Times New Roman"/>
          <w:color w:val="000000"/>
          <w:sz w:val="20"/>
        </w:rPr>
        <w:t xml:space="preserve"> </w:t>
      </w:r>
      <w:r>
        <w:rPr>
          <w:rFonts w:ascii="sans-serif" w:hAnsi="sans-serif"/>
          <w:color w:val="000000"/>
          <w:sz w:val="20"/>
        </w:rPr>
        <w:t>that this provision, including for any “derivative action,” does not apply to suits to enforce a duty or liability created by the Securities Act, the Exchange Act, or any other claim for which the U.S. federal courts have exclusive jurisdiction.</w:t>
      </w:r>
    </w:p>
    <w:p>
      <w:pPr>
        <w:pStyle w:val="TextBody"/>
        <w:bidi w:val="0"/>
        <w:spacing w:before="0" w:after="120"/>
        <w:jc w:val="both"/>
        <w:rPr>
          <w:rFonts w:ascii="Times New Roman" w:hAnsi="Times New Roman"/>
          <w:sz w:val="20"/>
        </w:rPr>
      </w:pPr>
      <w:r>
        <w:rPr>
          <w:rFonts w:ascii="sans-serif" w:hAnsi="sans-serif"/>
          <w:color w:val="000000"/>
          <w:sz w:val="20"/>
        </w:rPr>
        <w:t>Our Charter further provides that the U.S. federal district courts are the exclusive forum for resolving any complaint asserting a cause of action arising under the Securities Act. These exclusive forum provisions may have the effect of</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0"/>
        </w:rPr>
      </w:pPr>
      <w:r>
        <w:rPr>
          <w:rFonts w:ascii="sans-serif" w:hAnsi="sans-serif"/>
          <w:color w:val="000000"/>
          <w:sz w:val="20"/>
        </w:rPr>
        <w:t>discouraging lawsuits against our directors and officers. By becoming our stockholder, you are deemed to have notice of and consented to these exclusive forum provisions.</w:t>
      </w:r>
    </w:p>
    <w:p>
      <w:pPr>
        <w:pStyle w:val="TextBody"/>
        <w:bidi w:val="0"/>
        <w:spacing w:before="0" w:after="120"/>
        <w:jc w:val="both"/>
        <w:rPr>
          <w:rFonts w:ascii="sans-serif" w:hAnsi="sans-serif"/>
          <w:color w:val="000000"/>
          <w:sz w:val="20"/>
        </w:rPr>
      </w:pPr>
      <w:r>
        <w:rPr>
          <w:rFonts w:ascii="sans-serif" w:hAnsi="sans-serif"/>
          <w:color w:val="000000"/>
          <w:sz w:val="20"/>
        </w:rPr>
        <w:t>There is uncertainty as to whether a court would enforce such a provision relating to causes of action arising under the Securities Act, and investors cannot waive compliance with the federal securities laws and the rules and regulations thereunder. The enforceability of similar provisions in other companies’ certificates of incorporation has been challenged in legal proceedings and it is possible that, in connection with any applicable action brought against us, a court could find such provisions to be inapplicable or unenforceable in such action.</w:t>
      </w:r>
    </w:p>
    <w:p>
      <w:pPr>
        <w:pStyle w:val="TextBody"/>
        <w:bidi w:val="0"/>
        <w:jc w:val="center"/>
        <w:rPr>
          <w:rFonts w:ascii="sans-serif" w:hAnsi="sans-serif"/>
          <w:color w:val="000000"/>
          <w:sz w:val="20"/>
        </w:rPr>
      </w:pPr>
      <w:r>
        <w:rPr>
          <w:rFonts w:ascii="sans-serif" w:hAnsi="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sans-serif" w:hAnsi="sans-serif"/>
          <w:b/>
          <w:color w:val="000000"/>
          <w:sz w:val="20"/>
        </w:rPr>
      </w:pPr>
      <w:bookmarkStart w:id="17" w:name="part_ii_item_2_issuer_equity_purchases"/>
      <w:bookmarkEnd w:id="17"/>
      <w:r>
        <w:rPr>
          <w:rFonts w:ascii="sans-serif" w:hAnsi="sans-serif"/>
          <w:b/>
          <w:color w:val="000000"/>
          <w:sz w:val="20"/>
        </w:rPr>
        <w:t>Item 2. Unregistered Sales of Equity Securities and Use of Proceeds</w:t>
      </w:r>
    </w:p>
    <w:p>
      <w:pPr>
        <w:pStyle w:val="TextBody"/>
        <w:bidi w:val="0"/>
        <w:spacing w:before="0" w:after="120"/>
        <w:jc w:val="both"/>
        <w:rPr>
          <w:rFonts w:ascii="sans-serif" w:hAnsi="sans-serif"/>
          <w:b/>
          <w:color w:val="000000"/>
          <w:sz w:val="20"/>
        </w:rPr>
      </w:pPr>
      <w:r>
        <w:rPr>
          <w:rFonts w:ascii="sans-serif" w:hAnsi="sans-serif"/>
          <w:b/>
          <w:color w:val="000000"/>
          <w:sz w:val="20"/>
        </w:rPr>
        <w:t>Recent Sales of Unregistered Securities</w:t>
      </w:r>
    </w:p>
    <w:p>
      <w:pPr>
        <w:pStyle w:val="TextBody"/>
        <w:bidi w:val="0"/>
        <w:spacing w:before="0" w:after="120"/>
        <w:jc w:val="both"/>
        <w:rPr>
          <w:rFonts w:ascii="sans-serif" w:hAnsi="sans-serif"/>
          <w:color w:val="000000"/>
          <w:sz w:val="20"/>
        </w:rPr>
      </w:pPr>
      <w:r>
        <w:rPr>
          <w:rFonts w:ascii="sans-serif" w:hAnsi="sans-serif"/>
          <w:color w:val="000000"/>
          <w:sz w:val="20"/>
        </w:rPr>
        <w:t>None.</w:t>
      </w:r>
    </w:p>
    <w:p>
      <w:pPr>
        <w:pStyle w:val="TextBody"/>
        <w:bidi w:val="0"/>
        <w:spacing w:before="0" w:after="120"/>
        <w:jc w:val="both"/>
        <w:rPr>
          <w:rFonts w:ascii="sans-serif" w:hAnsi="sans-serif"/>
          <w:b/>
          <w:color w:val="000000"/>
          <w:sz w:val="20"/>
        </w:rPr>
      </w:pPr>
      <w:r>
        <w:rPr>
          <w:rFonts w:ascii="sans-serif" w:hAnsi="sans-serif"/>
          <w:b/>
          <w:color w:val="000000"/>
          <w:sz w:val="20"/>
        </w:rPr>
        <w:t>Purchases of Equity Securities by the Issuer &amp; Affiliated Purchasers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provides information related to repurchases of Class A common stock during the three months ended June 30, 2026 (in thousands, except share and per share data):</w:t>
      </w:r>
    </w:p>
    <w:tbl>
      <w:tblPr>
        <w:tblW w:w="10205" w:type="dxa"/>
        <w:jc w:val="left"/>
        <w:tblInd w:w="0" w:type="dxa"/>
        <w:tblLayout w:type="fixed"/>
        <w:tblCellMar>
          <w:top w:w="28" w:type="dxa"/>
          <w:left w:w="28" w:type="dxa"/>
          <w:bottom w:w="28" w:type="dxa"/>
          <w:right w:w="28" w:type="dxa"/>
        </w:tblCellMar>
      </w:tblPr>
      <w:tblGrid>
        <w:gridCol w:w="937"/>
        <w:gridCol w:w="146"/>
        <w:gridCol w:w="480"/>
        <w:gridCol w:w="1139"/>
        <w:gridCol w:w="146"/>
        <w:gridCol w:w="146"/>
        <w:gridCol w:w="540"/>
        <w:gridCol w:w="776"/>
        <w:gridCol w:w="146"/>
        <w:gridCol w:w="146"/>
        <w:gridCol w:w="712"/>
        <w:gridCol w:w="1689"/>
        <w:gridCol w:w="146"/>
        <w:gridCol w:w="146"/>
        <w:gridCol w:w="595"/>
        <w:gridCol w:w="2120"/>
        <w:gridCol w:w="195"/>
      </w:tblGrid>
      <w:tr>
        <w:trPr/>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 of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 Price Paid Per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 of Shares Purchased As Part of Publicly Announced Plans or Programs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Approximate Dollar Value of Shares That May Yet Be Purchased Under the Plans or Programs</w:t>
            </w:r>
            <w:r>
              <w:rPr>
                <w:rFonts w:ascii="sans-serif" w:hAnsi="sans-serif"/>
                <w:b/>
                <w:color w:val="000000"/>
                <w:sz w:val="13"/>
              </w:rPr>
              <w:t>(1)</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April 1-30,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59,080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May 1-31,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June 1-30,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59,080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59,080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sans-serif" w:hAnsi="sans-serif"/>
          <w:color w:val="000000"/>
          <w:sz w:val="20"/>
        </w:rPr>
      </w:pPr>
      <w:r>
        <w:rPr>
          <w:rFonts w:ascii="sans-serif" w:hAnsi="sans-serif"/>
          <w:color w:val="000000"/>
          <w:sz w:val="20"/>
        </w:rPr>
        <w:t>(1)</w:t>
      </w:r>
    </w:p>
    <w:p>
      <w:pPr>
        <w:pStyle w:val="TextBody"/>
        <w:bidi w:val="0"/>
        <w:spacing w:before="120" w:after="120"/>
        <w:jc w:val="both"/>
        <w:rPr>
          <w:rFonts w:ascii="sans-serif" w:hAnsi="sans-serif"/>
          <w:color w:val="000000"/>
          <w:sz w:val="20"/>
        </w:rPr>
      </w:pPr>
      <w:r>
        <w:rPr>
          <w:rFonts w:ascii="sans-serif" w:hAnsi="sans-serif"/>
          <w:color w:val="000000"/>
          <w:sz w:val="20"/>
        </w:rPr>
        <w:t>In February 2024, our Board authorized the Share Repurchase Program for up to $100.0 million of Class A common stock. The Share Repurchase Program was publicly announced in March 2024, does not have a fixed expiration date, and does not obligate us to purchase any minimum number of shares. Under the Share Repurchase Program, we may repurchase shares in privately negotiated or open market transactions, including under plans complying with Rule 10b5-1 under the Exchange Act.</w:t>
      </w:r>
    </w:p>
    <w:p>
      <w:pPr>
        <w:pStyle w:val="TextBody"/>
        <w:bidi w:val="0"/>
        <w:spacing w:before="0" w:after="120"/>
        <w:jc w:val="center"/>
        <w:rPr>
          <w:rFonts w:ascii="sans-serif" w:hAnsi="sans-serif"/>
          <w:b/>
          <w:color w:val="000000"/>
          <w:sz w:val="20"/>
        </w:rPr>
      </w:pPr>
      <w:bookmarkStart w:id="18" w:name="part_ii_item_3_senior_security_defaults"/>
      <w:bookmarkEnd w:id="18"/>
      <w:r>
        <w:rPr>
          <w:rFonts w:ascii="sans-serif" w:hAnsi="sans-serif"/>
          <w:b/>
          <w:color w:val="000000"/>
          <w:sz w:val="20"/>
        </w:rPr>
        <w:t>Item 3. Defaults Upon Senior Securities</w:t>
      </w:r>
    </w:p>
    <w:p>
      <w:pPr>
        <w:pStyle w:val="TextBody"/>
        <w:bidi w:val="0"/>
        <w:spacing w:before="0" w:after="120"/>
        <w:jc w:val="both"/>
        <w:rPr>
          <w:rFonts w:ascii="sans-serif" w:hAnsi="sans-serif"/>
          <w:color w:val="000000"/>
          <w:sz w:val="20"/>
        </w:rPr>
      </w:pPr>
      <w:r>
        <w:rPr>
          <w:rFonts w:ascii="sans-serif" w:hAnsi="sans-serif"/>
          <w:color w:val="000000"/>
          <w:sz w:val="20"/>
        </w:rPr>
        <w:t>None.</w:t>
      </w:r>
    </w:p>
    <w:p>
      <w:pPr>
        <w:pStyle w:val="TextBody"/>
        <w:bidi w:val="0"/>
        <w:spacing w:before="0" w:after="120"/>
        <w:jc w:val="center"/>
        <w:rPr>
          <w:rFonts w:ascii="sans-serif" w:hAnsi="sans-serif"/>
          <w:b/>
          <w:color w:val="000000"/>
          <w:sz w:val="20"/>
        </w:rPr>
      </w:pPr>
      <w:bookmarkStart w:id="19" w:name="part_ii_item_4_mine_safety_disclosures"/>
      <w:bookmarkEnd w:id="19"/>
      <w:r>
        <w:rPr>
          <w:rFonts w:ascii="sans-serif" w:hAnsi="sans-serif"/>
          <w:b/>
          <w:color w:val="000000"/>
          <w:sz w:val="20"/>
        </w:rPr>
        <w:t>Item 4. Mine Safety Disclosures</w:t>
      </w:r>
    </w:p>
    <w:p>
      <w:pPr>
        <w:pStyle w:val="TextBody"/>
        <w:bidi w:val="0"/>
        <w:spacing w:before="0" w:after="120"/>
        <w:jc w:val="both"/>
        <w:rPr>
          <w:rFonts w:ascii="sans-serif" w:hAnsi="sans-serif"/>
          <w:color w:val="000000"/>
          <w:sz w:val="20"/>
        </w:rPr>
      </w:pPr>
      <w:r>
        <w:rPr>
          <w:rFonts w:ascii="sans-serif" w:hAnsi="sans-serif"/>
          <w:color w:val="000000"/>
          <w:sz w:val="20"/>
        </w:rPr>
        <w:t>Not applicable.</w:t>
      </w:r>
    </w:p>
    <w:p>
      <w:pPr>
        <w:pStyle w:val="TextBody"/>
        <w:bidi w:val="0"/>
        <w:spacing w:before="0" w:after="120"/>
        <w:jc w:val="center"/>
        <w:rPr>
          <w:rFonts w:ascii="sans-serif" w:hAnsi="sans-serif"/>
          <w:b/>
          <w:color w:val="000000"/>
          <w:sz w:val="20"/>
        </w:rPr>
      </w:pPr>
      <w:bookmarkStart w:id="20" w:name="part_ii_item_5_other_information"/>
      <w:bookmarkEnd w:id="20"/>
      <w:r>
        <w:rPr>
          <w:rFonts w:ascii="sans-serif" w:hAnsi="sans-serif"/>
          <w:b/>
          <w:color w:val="000000"/>
          <w:sz w:val="20"/>
        </w:rPr>
        <w:t>Item 5. Other Information</w:t>
      </w:r>
    </w:p>
    <w:p>
      <w:pPr>
        <w:pStyle w:val="TextBody"/>
        <w:bidi w:val="0"/>
        <w:spacing w:before="0" w:after="120"/>
        <w:jc w:val="both"/>
        <w:rPr>
          <w:rFonts w:ascii="sans-serif" w:hAnsi="sans-serif"/>
          <w:color w:val="000000"/>
          <w:sz w:val="20"/>
        </w:rPr>
      </w:pPr>
      <w:r>
        <w:rPr>
          <w:rFonts w:ascii="sans-serif" w:hAnsi="sans-serif"/>
          <w:color w:val="000000"/>
          <w:sz w:val="20"/>
        </w:rPr>
        <w:t>On August 3, 2026, VDC, as borrower, and VDC-MGG Holdings, LLC entered into a credit agreement with Barclays Bank PLC, as administrative agent, and the lenders and issuing banks party thereto. See the “Management’s Discussion and Analysis of Financial Condition and Results of Operations–Liquidity &amp; Capital Resources–2026 Revolving Facility“ section of this Report, which is incorporated by reference herein, for more information.</w:t>
      </w:r>
    </w:p>
    <w:p>
      <w:pPr>
        <w:pStyle w:val="TextBody"/>
        <w:bidi w:val="0"/>
        <w:jc w:val="center"/>
        <w:rPr>
          <w:rFonts w:ascii="sans-serif" w:hAnsi="sans-serif"/>
          <w:color w:val="000000"/>
          <w:sz w:val="20"/>
        </w:rPr>
      </w:pPr>
      <w:r>
        <w:rPr>
          <w:rFonts w:ascii="sans-serif" w:hAnsi="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sans-serif" w:hAnsi="sans-serif"/>
          <w:b/>
          <w:color w:val="000000"/>
          <w:sz w:val="20"/>
        </w:rPr>
      </w:pPr>
      <w:bookmarkStart w:id="21" w:name="part_ii_item_6_exhibits"/>
      <w:bookmarkEnd w:id="21"/>
      <w:r>
        <w:rPr>
          <w:rFonts w:ascii="sans-serif" w:hAnsi="sans-serif"/>
          <w:b/>
          <w:color w:val="000000"/>
          <w:sz w:val="20"/>
        </w:rPr>
        <w:t>Item 6. Exhibits</w:t>
      </w:r>
    </w:p>
    <w:p>
      <w:pPr>
        <w:pStyle w:val="TextBody"/>
        <w:bidi w:val="0"/>
        <w:spacing w:before="0" w:after="120"/>
        <w:jc w:val="both"/>
        <w:rPr>
          <w:rFonts w:ascii="sans-serif" w:hAnsi="sans-serif"/>
          <w:color w:val="000000"/>
          <w:sz w:val="20"/>
        </w:rPr>
      </w:pPr>
      <w:r>
        <w:rPr>
          <w:rFonts w:ascii="sans-serif" w:hAnsi="sans-serif"/>
          <w:color w:val="000000"/>
          <w:sz w:val="20"/>
        </w:rPr>
        <w:t>The following table lists the documents that are required to be filed or furnished as exhibits to this Report.</w:t>
      </w:r>
    </w:p>
    <w:tbl>
      <w:tblPr>
        <w:tblW w:w="10205" w:type="dxa"/>
        <w:jc w:val="left"/>
        <w:tblInd w:w="0" w:type="dxa"/>
        <w:tblLayout w:type="fixed"/>
        <w:tblCellMar>
          <w:top w:w="28" w:type="dxa"/>
          <w:left w:w="28" w:type="dxa"/>
          <w:bottom w:w="28" w:type="dxa"/>
          <w:right w:w="28" w:type="dxa"/>
        </w:tblCellMar>
      </w:tblPr>
      <w:tblGrid>
        <w:gridCol w:w="991"/>
        <w:gridCol w:w="5455"/>
        <w:gridCol w:w="679"/>
        <w:gridCol w:w="845"/>
        <w:gridCol w:w="738"/>
        <w:gridCol w:w="1497"/>
      </w:tblGrid>
      <w:tr>
        <w:trPr/>
        <w:tc>
          <w:tcPr>
            <w:tcW w:w="991" w:type="dxa"/>
            <w:tcBorders/>
            <w:vAlign w:val="center"/>
          </w:tcPr>
          <w:p>
            <w:pPr>
              <w:pStyle w:val="TableContents"/>
              <w:bidi w:val="0"/>
              <w:spacing w:before="0" w:after="283"/>
              <w:jc w:val="left"/>
              <w:rPr>
                <w:sz w:val="4"/>
                <w:szCs w:val="4"/>
              </w:rPr>
            </w:pPr>
            <w:r>
              <w:rPr>
                <w:sz w:val="4"/>
                <w:szCs w:val="4"/>
              </w:rPr>
            </w:r>
          </w:p>
        </w:tc>
        <w:tc>
          <w:tcPr>
            <w:tcW w:w="545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991" w:type="dxa"/>
            <w:vMerge w:val="restart"/>
            <w:tcBorders>
              <w:bottom w:val="single" w:sz="8" w:space="0" w:color="000000"/>
            </w:tcBorders>
            <w:shd w:fill="FFFFFF" w:val="clear"/>
            <w:tcMar>
              <w:top w:w="0" w:type="dxa"/>
              <w:left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Exhibit</w:t>
            </w:r>
          </w:p>
          <w:p>
            <w:pPr>
              <w:pStyle w:val="TableContents"/>
              <w:bidi w:val="0"/>
              <w:spacing w:before="0" w:after="283"/>
              <w:jc w:val="center"/>
              <w:rPr>
                <w:rFonts w:ascii="sans-serif" w:hAnsi="sans-serif"/>
                <w:b/>
                <w:color w:val="000000"/>
                <w:sz w:val="20"/>
              </w:rPr>
            </w:pPr>
            <w:r>
              <w:rPr>
                <w:rFonts w:ascii="sans-serif" w:hAnsi="sans-serif"/>
                <w:b/>
                <w:color w:val="000000"/>
                <w:sz w:val="20"/>
              </w:rPr>
              <w:t>Number</w:t>
            </w:r>
          </w:p>
        </w:tc>
        <w:tc>
          <w:tcPr>
            <w:tcW w:w="5455" w:type="dxa"/>
            <w:vMerge w:val="restart"/>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Description</w:t>
            </w:r>
          </w:p>
        </w:tc>
        <w:tc>
          <w:tcPr>
            <w:tcW w:w="22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Incorporated by Reference</w:t>
            </w:r>
          </w:p>
        </w:tc>
        <w:tc>
          <w:tcPr>
            <w:tcW w:w="1497" w:type="dxa"/>
            <w:vMerge w:val="restart"/>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Filed / Furnished Herewith</w:t>
            </w:r>
          </w:p>
        </w:tc>
      </w:tr>
      <w:tr>
        <w:trPr/>
        <w:tc>
          <w:tcPr>
            <w:tcW w:w="991" w:type="dxa"/>
            <w:vMerge w:val="continue"/>
            <w:tcBorders>
              <w:bottom w:val="single" w:sz="8" w:space="0" w:color="000000"/>
            </w:tcBorders>
            <w:shd w:fill="FFFFFF" w:val="clear"/>
            <w:tcMar>
              <w:top w:w="0" w:type="dxa"/>
              <w:left w:w="0" w:type="dxa"/>
              <w:right w:w="0" w:type="dxa"/>
            </w:tcMar>
            <w:vAlign w:val="center"/>
          </w:tcPr>
          <w:p>
            <w:pPr>
              <w:pStyle w:val="Normal"/>
              <w:bidi w:val="0"/>
              <w:jc w:val="left"/>
              <w:rPr/>
            </w:pPr>
            <w:r>
              <w:rPr/>
            </w:r>
          </w:p>
        </w:tc>
        <w:tc>
          <w:tcPr>
            <w:tcW w:w="5455" w:type="dxa"/>
            <w:vMerge w:val="continue"/>
            <w:tcBorders>
              <w:bottom w:val="single" w:sz="8" w:space="0" w:color="000000"/>
            </w:tcBorders>
            <w:shd w:fill="FFFFFF" w:val="clear"/>
            <w:tcMar>
              <w:top w:w="0" w:type="dxa"/>
              <w:left w:w="0" w:type="dxa"/>
              <w:right w:w="0" w:type="dxa"/>
            </w:tcMar>
            <w:vAlign w:val="center"/>
          </w:tcPr>
          <w:p>
            <w:pPr>
              <w:pStyle w:val="Normal"/>
              <w:bidi w:val="0"/>
              <w:jc w:val="left"/>
              <w:rPr/>
            </w:pPr>
            <w:r>
              <w:rPr/>
            </w:r>
          </w:p>
        </w:tc>
        <w:tc>
          <w:tcPr>
            <w:tcW w:w="67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Form</w:t>
            </w:r>
          </w:p>
        </w:tc>
        <w:tc>
          <w:tcPr>
            <w:tcW w:w="84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Exhibit</w:t>
            </w:r>
          </w:p>
        </w:tc>
        <w:tc>
          <w:tcPr>
            <w:tcW w:w="7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Filing Date</w:t>
            </w:r>
          </w:p>
        </w:tc>
        <w:tc>
          <w:tcPr>
            <w:tcW w:w="1497" w:type="dxa"/>
            <w:vMerge w:val="continue"/>
            <w:tcBorders>
              <w:bottom w:val="single" w:sz="8" w:space="0" w:color="000000"/>
            </w:tcBorders>
            <w:shd w:fill="FFFFFF" w:val="clear"/>
            <w:tcMar>
              <w:top w:w="0" w:type="dxa"/>
              <w:left w:w="0" w:type="dxa"/>
              <w:right w:w="0" w:type="dxa"/>
            </w:tcMar>
            <w:vAlign w:val="center"/>
          </w:tcPr>
          <w:p>
            <w:pPr>
              <w:pStyle w:val="Normal"/>
              <w:bidi w:val="0"/>
              <w:jc w:val="left"/>
              <w:rPr/>
            </w:pPr>
            <w:r>
              <w:rPr/>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2.1</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r>
              <w:fldChar w:fldCharType="begin"/>
            </w:r>
            <w:r>
              <w:rPr>
                <w:rStyle w:val="InternetLink"/>
                <w:sz w:val="20"/>
                <w:u w:val="single"/>
                <w:rFonts w:ascii="sans-serif" w:hAnsi="sans-serif"/>
                <w:color w:val="0000FF"/>
              </w:rPr>
              <w:instrText xml:space="preserve"> HYPERLINK "https://www.sec.gov/Archives/edgar/data/0001856031/000119312521175583/d447259ds4.htm" \l "ii447259_10"</w:instrText>
            </w:r>
            <w:r>
              <w:rPr>
                <w:rStyle w:val="InternetLink"/>
                <w:sz w:val="20"/>
                <w:u w:val="single"/>
                <w:rFonts w:ascii="sans-serif" w:hAnsi="sans-serif"/>
                <w:color w:val="0000FF"/>
              </w:rPr>
              <w:fldChar w:fldCharType="separate"/>
            </w:r>
            <w:r>
              <w:rPr>
                <w:rStyle w:val="InternetLink"/>
                <w:rFonts w:ascii="sans-serif" w:hAnsi="sans-serif"/>
                <w:color w:val="0000FF"/>
                <w:sz w:val="20"/>
                <w:u w:val="single"/>
              </w:rPr>
              <w:t>Transaction Agreement, dated April 21, 2021, among Horizon Acquisition Corporation, Horizon Sponsor, LLC, Hoya Topco, LLC, Hoya Intermediate, LLC and Vivid Seats Inc.</w:t>
            </w:r>
            <w:r>
              <w:rPr>
                <w:rStyle w:val="InternetLink"/>
                <w:sz w:val="20"/>
                <w:u w:val="single"/>
                <w:rFonts w:ascii="sans-serif" w:hAnsi="sans-serif"/>
                <w:color w:val="0000FF"/>
              </w:rPr>
              <w:fldChar w:fldCharType="end"/>
            </w:r>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S-4</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2.1</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5/28/2021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2.2</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2">
              <w:r>
                <w:rPr>
                  <w:rStyle w:val="InternetLink"/>
                  <w:rFonts w:ascii="sans-serif" w:hAnsi="sans-serif"/>
                  <w:color w:val="0000FF"/>
                  <w:sz w:val="20"/>
                  <w:u w:val="single"/>
                </w:rPr>
                <w:t>Purchase, Sale and Redemption Agreement, dated April 21, 2021, among Hoya Topco, LLC, Hoya Intermediate, LLC, Vivid Seats Inc., Crescent Mezzanine Partners VIB, L.P., Crescent Mezzanine Partners VIC, L.P., NPS/Crescent Strategic Partnership II, LP, CM7C VS Equity Holdings, LP, Crescent Mezzanine Partners VIIB, L.P., CM6B Vivid Equity, Inc., CM6C Vivid Equity, Inc., CM7C VS Equity, LLC, CM7B VS Equity, LLC, Crescent Mezzanine Partners VI, L.P., Crescent Mezzanine Partners VII, L.P., Crescent Mezzanine Partners VII (LTL), L.P., CBDC Universal Equity, Inc., Crescent Capital Group, LP and Horizon Acquisition Corporation</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S-4</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2.2</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5/28/2021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2.3</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3">
              <w:r>
                <w:rPr>
                  <w:rStyle w:val="InternetLink"/>
                  <w:rFonts w:ascii="sans-serif" w:hAnsi="sans-serif"/>
                  <w:color w:val="0000FF"/>
                  <w:sz w:val="20"/>
                  <w:u w:val="single"/>
                </w:rPr>
                <w:t>Plan of Merger, dated October 18, 2021, among Horizon Acquisition Corporation, Horizon Sponsor, LLC, Hoya Topco, LLC, Hoya Intermediate, LLC and Vivid Seats Inc.</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10-Q</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2.3</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11/15/2021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2.4</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4">
              <w:r>
                <w:rPr>
                  <w:rStyle w:val="InternetLink"/>
                  <w:rFonts w:ascii="sans-serif" w:hAnsi="sans-serif"/>
                  <w:color w:val="0000FF"/>
                  <w:sz w:val="20"/>
                  <w:u w:val="single"/>
                </w:rPr>
                <w:t>Agreement and Plan of Merger, dated November 3, 2023, among Vivid Seats Inc., Viva Merger Sub I, LLC, Viva Merger Sub II, LLC, VDC Holdco, LLC, the Unitholders named therein, and the Unitholders’ Representative named therein</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2.1</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11/7/2023</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3.1</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5">
              <w:r>
                <w:rPr>
                  <w:rStyle w:val="InternetLink"/>
                  <w:rFonts w:ascii="sans-serif" w:hAnsi="sans-serif"/>
                  <w:color w:val="0000FF"/>
                  <w:sz w:val="20"/>
                  <w:u w:val="single"/>
                </w:rPr>
                <w:t>Amended and Restated Certificate of Incorporation</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3.1</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10/22/2021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3.2</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6">
              <w:r>
                <w:rPr>
                  <w:rStyle w:val="InternetLink"/>
                  <w:rFonts w:ascii="sans-serif" w:hAnsi="sans-serif"/>
                  <w:color w:val="0000FF"/>
                  <w:sz w:val="20"/>
                  <w:u w:val="single"/>
                </w:rPr>
                <w:t>Certificate of Amendment to Amended and Restated Certificate of Incorporation</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10-Q</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3.2</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11/6/2025</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3.3</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7">
              <w:r>
                <w:rPr>
                  <w:rStyle w:val="InternetLink"/>
                  <w:rFonts w:ascii="sans-serif" w:hAnsi="sans-serif"/>
                  <w:color w:val="0000FF"/>
                  <w:sz w:val="20"/>
                  <w:u w:val="single"/>
                </w:rPr>
                <w:t>First Amendment to Amended and Restated Bylaws</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10-Q</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3.2</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5/10/2022</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3.4</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8">
              <w:r>
                <w:rPr>
                  <w:rStyle w:val="InternetLink"/>
                  <w:rFonts w:ascii="sans-serif" w:hAnsi="sans-serif"/>
                  <w:color w:val="0000FF"/>
                  <w:sz w:val="20"/>
                  <w:u w:val="single"/>
                </w:rPr>
                <w:t>Amended and Restated Bylaws</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3.2</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10/22/2021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4.1</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9">
              <w:r>
                <w:rPr>
                  <w:rStyle w:val="InternetLink"/>
                  <w:rFonts w:ascii="sans-serif" w:hAnsi="sans-serif"/>
                  <w:color w:val="0000FF"/>
                  <w:sz w:val="20"/>
                  <w:u w:val="single"/>
                </w:rPr>
                <w:t>Amended and Restated Warrant Agreement, dated October 14, 2021, between Horizon Acquisition Corporation and Continental Stock Transfer &amp; Trust Company</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10.7</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10/22/2021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4.2</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10">
              <w:r>
                <w:rPr>
                  <w:rStyle w:val="InternetLink"/>
                  <w:rFonts w:ascii="sans-serif" w:hAnsi="sans-serif"/>
                  <w:color w:val="0000FF"/>
                  <w:sz w:val="20"/>
                  <w:u w:val="single"/>
                </w:rPr>
                <w:t>Private Warrant Agreement, dated October 15, 2021, between Hoya Acquisition Corporation and Continental Stock Transfer &amp; Trust Company</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10.8</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10/22/2021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4.3</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11">
              <w:r>
                <w:rPr>
                  <w:rStyle w:val="InternetLink"/>
                  <w:rFonts w:ascii="sans-serif" w:hAnsi="sans-serif"/>
                  <w:color w:val="0000FF"/>
                  <w:sz w:val="20"/>
                  <w:u w:val="single"/>
                </w:rPr>
                <w:t>Private Warrant Agreement, dated October 15, 2021, between Horizon Acquisition Corporation and Continental Stock Transfer &amp; Trust Company</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10.9</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10/22/2021</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4.4</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12">
              <w:r>
                <w:rPr>
                  <w:rStyle w:val="InternetLink"/>
                  <w:rFonts w:ascii="sans-serif" w:hAnsi="sans-serif"/>
                  <w:color w:val="0000FF"/>
                  <w:sz w:val="20"/>
                  <w:u w:val="single"/>
                </w:rPr>
                <w:t>Private Warrant Agreement, dated October 31, 2025, between Vivid Seats Inc. and Continental Stock Transfer &amp; Trust Company</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8-K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11/6/2025</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4.5</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13">
              <w:r>
                <w:rPr>
                  <w:rStyle w:val="InternetLink"/>
                  <w:rFonts w:ascii="sans-serif" w:hAnsi="sans-serif"/>
                  <w:color w:val="0000FF"/>
                  <w:sz w:val="20"/>
                  <w:u w:val="single"/>
                </w:rPr>
                <w:t>Specimen Class A Common Stock Certificate</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4.2</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3/15/2022</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4.6</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r:id="rId14">
              <w:r>
                <w:rPr>
                  <w:rStyle w:val="InternetLink"/>
                  <w:rFonts w:ascii="sans-serif" w:hAnsi="sans-serif"/>
                  <w:color w:val="0000FF"/>
                  <w:sz w:val="20"/>
                  <w:u w:val="single"/>
                </w:rPr>
                <w:t>Specimen Warrant Certificate</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10-K</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4.3</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3/15/2022</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w:t>
            </w:r>
          </w:p>
        </w:tc>
        <w:tc>
          <w:tcPr>
            <w:tcW w:w="5455" w:type="dxa"/>
            <w:tcBorders/>
            <w:shd w:fill="FFFFFF" w:val="clear"/>
            <w:tcMar>
              <w:top w:w="0" w:type="dxa"/>
              <w:left w:w="0" w:type="dxa"/>
              <w:bottom w:w="0" w:type="dxa"/>
              <w:right w:w="0" w:type="dxa"/>
            </w:tcMar>
            <w:vAlign w:val="center"/>
          </w:tcPr>
          <w:p>
            <w:pPr>
              <w:pStyle w:val="TableContents"/>
              <w:bidi w:val="0"/>
              <w:spacing w:before="60" w:after="283"/>
              <w:jc w:val="both"/>
              <w:rPr/>
            </w:pPr>
            <w:hyperlink w:anchor="seat-ex10_1.htm">
              <w:r>
                <w:rPr>
                  <w:rStyle w:val="InternetLink"/>
                  <w:rFonts w:ascii="sans-serif" w:hAnsi="sans-serif"/>
                  <w:color w:val="0000FF"/>
                  <w:sz w:val="20"/>
                  <w:u w:val="single"/>
                </w:rPr>
                <w:t>Amendment No. 7 to First Lien Credit Agreement, dated June 23, 2026, among Hoya Midco, LLC, Hoya Intermediate, LLC, Barclays</w:t>
              </w:r>
            </w:hyperlink>
            <w:hyperlink w:anchor="seat-ex10_1.htm">
              <w:r>
                <w:rPr>
                  <w:rStyle w:val="InternetLink"/>
                  <w:rFonts w:ascii="Times New Roman" w:hAnsi="Times New Roman"/>
                  <w:color w:val="0000FF"/>
                  <w:sz w:val="20"/>
                </w:rPr>
                <w:t xml:space="preserve"> </w:t>
              </w:r>
            </w:hyperlink>
          </w:p>
        </w:tc>
        <w:tc>
          <w:tcPr>
            <w:tcW w:w="679"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bl>
    <w:p>
      <w:pPr>
        <w:pStyle w:val="TextBody"/>
        <w:bidi w:val="0"/>
        <w:jc w:val="center"/>
        <w:rPr>
          <w:rFonts w:ascii="sans-serif" w:hAnsi="sans-serif"/>
          <w:color w:val="000000"/>
          <w:sz w:val="20"/>
        </w:rPr>
      </w:pPr>
      <w:r>
        <w:rPr>
          <w:rFonts w:ascii="sans-serif" w:hAnsi="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
        <w:gridCol w:w="8733"/>
        <w:gridCol w:w="146"/>
        <w:gridCol w:w="146"/>
        <w:gridCol w:w="146"/>
        <w:gridCol w:w="306"/>
      </w:tblGrid>
      <w:tr>
        <w:trPr/>
        <w:tc>
          <w:tcPr>
            <w:tcW w:w="728" w:type="dxa"/>
            <w:tcBorders/>
            <w:vAlign w:val="center"/>
          </w:tcPr>
          <w:p>
            <w:pPr>
              <w:pStyle w:val="TableContents"/>
              <w:bidi w:val="0"/>
              <w:spacing w:before="0" w:after="283"/>
              <w:jc w:val="left"/>
              <w:rPr>
                <w:sz w:val="4"/>
                <w:szCs w:val="4"/>
              </w:rPr>
            </w:pPr>
            <w:r>
              <w:rPr>
                <w:sz w:val="4"/>
                <w:szCs w:val="4"/>
              </w:rPr>
            </w:r>
          </w:p>
        </w:tc>
        <w:tc>
          <w:tcPr>
            <w:tcW w:w="8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both"/>
              <w:rPr>
                <w:rFonts w:ascii="sans-serif" w:hAnsi="sans-serif"/>
                <w:sz w:val="20"/>
              </w:rPr>
            </w:pPr>
            <w:r>
              <w:rPr>
                <w:rFonts w:ascii="sans-serif" w:hAnsi="sans-serif"/>
                <w:sz w:val="20"/>
              </w:rPr>
              <w:t>Bank PLC, and the lenders and loan parties from time to time party thereto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10.2</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pPr>
            <w:hyperlink w:anchor="seat-ex10_2.htm">
              <w:r>
                <w:rPr>
                  <w:rStyle w:val="InternetLink"/>
                  <w:rFonts w:ascii="sans-serif" w:hAnsi="sans-serif"/>
                  <w:color w:val="0000FF"/>
                  <w:sz w:val="20"/>
                  <w:u w:val="single"/>
                </w:rPr>
                <w:t>Credit Agreement, dated August 3, 2026, among Vegas.com, LLC, VDC-MGG Holdings, LLC, Barclays Bank PLC, and the lenders and loan parties from time to time party thereto</w:t>
              </w:r>
            </w:hyperlink>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31.1</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pPr>
            <w:hyperlink w:anchor="seat-ex31_1.htm">
              <w:r>
                <w:rPr>
                  <w:rStyle w:val="InternetLink"/>
                  <w:rFonts w:ascii="sans-serif" w:hAnsi="sans-serif"/>
                  <w:color w:val="0000FF"/>
                  <w:sz w:val="20"/>
                  <w:u w:val="single"/>
                </w:rPr>
                <w:t>Rule 13a-14(a)/15d-14(a) Certification of Principal Executive Officer</w:t>
              </w:r>
            </w:hyperlink>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31.2</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pPr>
            <w:hyperlink w:anchor="seat-ex31_2.htm">
              <w:r>
                <w:rPr>
                  <w:rStyle w:val="InternetLink"/>
                  <w:rFonts w:ascii="sans-serif" w:hAnsi="sans-serif"/>
                  <w:color w:val="0000FF"/>
                  <w:sz w:val="20"/>
                  <w:u w:val="single"/>
                </w:rPr>
                <w:t>Rule 13a-14(a)/15d-14(a) Certification of Principal Financial Officer</w:t>
              </w:r>
            </w:hyperlink>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32.1</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pPr>
            <w:hyperlink w:anchor="seat-ex32_1.htm">
              <w:r>
                <w:rPr>
                  <w:rStyle w:val="InternetLink"/>
                  <w:rFonts w:ascii="sans-serif" w:hAnsi="sans-serif"/>
                  <w:color w:val="0000FF"/>
                  <w:sz w:val="20"/>
                  <w:u w:val="single"/>
                </w:rPr>
                <w:t>18 U.S.C. Section 1350 Certifications of Chief Executive Officer and Chief Financial Officer</w:t>
              </w:r>
            </w:hyperlink>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101.INS</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101.SCH</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101.CAL</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Inline XBRL Taxonomy Extension Calculation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101.DEF</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Inline XBRL Taxonomy Extension Definition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101.LAB</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Inline XBRL Taxonomy Extension Label Linkbase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101.PRE</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Inline XBRL Taxonomy Extension Presentation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104</w:t>
            </w:r>
          </w:p>
        </w:tc>
        <w:tc>
          <w:tcPr>
            <w:tcW w:w="8733" w:type="dxa"/>
            <w:tcBorders/>
            <w:shd w:fill="FFFFFF" w:val="clear"/>
            <w:tcMar>
              <w:top w:w="0" w:type="dxa"/>
              <w:left w:w="0" w:type="dxa"/>
              <w:bottom w:w="0" w:type="dxa"/>
              <w:right w:w="0" w:type="dxa"/>
            </w:tcMar>
            <w:vAlign w:val="center"/>
          </w:tcPr>
          <w:p>
            <w:pPr>
              <w:pStyle w:val="TableContents"/>
              <w:bidi w:val="0"/>
              <w:spacing w:before="60" w:after="283"/>
              <w:jc w:val="both"/>
              <w:rPr>
                <w:rFonts w:ascii="sans-serif" w:hAnsi="sans-serif"/>
                <w:color w:val="000000"/>
                <w:sz w:val="20"/>
              </w:rPr>
            </w:pPr>
            <w:r>
              <w:rPr>
                <w:rFonts w:ascii="sans-serif" w:hAnsi="sans-serif"/>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60" w:after="283"/>
              <w:jc w:val="center"/>
              <w:rPr>
                <w:rFonts w:ascii="sans-serif" w:hAnsi="sans-serif"/>
                <w:color w:val="000000"/>
                <w:sz w:val="20"/>
              </w:rPr>
            </w:pPr>
            <w:r>
              <w:rPr>
                <w:rFonts w:ascii="sans-serif" w:hAnsi="sans-serif"/>
                <w:color w:val="000000"/>
                <w:sz w:val="20"/>
              </w:rPr>
              <w:t>*</w:t>
            </w:r>
          </w:p>
        </w:tc>
      </w:tr>
    </w:tbl>
    <w:p>
      <w:pPr>
        <w:pStyle w:val="TextBody"/>
        <w:bidi w:val="0"/>
        <w:spacing w:before="120" w:after="283"/>
        <w:jc w:val="left"/>
        <w:rPr>
          <w:rFonts w:ascii="sans-serif" w:hAnsi="sans-serif"/>
          <w:color w:val="000000"/>
          <w:sz w:val="20"/>
        </w:rPr>
      </w:pPr>
      <w:r>
        <w:rPr>
          <w:rFonts w:ascii="sans-serif" w:hAnsi="sans-serif"/>
          <w:color w:val="000000"/>
          <w:sz w:val="20"/>
        </w:rPr>
        <w:t>* Filed herewith.</w:t>
      </w:r>
    </w:p>
    <w:p>
      <w:pPr>
        <w:pStyle w:val="TextBody"/>
        <w:bidi w:val="0"/>
        <w:spacing w:before="0" w:after="120"/>
        <w:jc w:val="left"/>
        <w:rPr>
          <w:rFonts w:ascii="sans-serif" w:hAnsi="sans-serif"/>
          <w:color w:val="000000"/>
          <w:sz w:val="20"/>
        </w:rPr>
      </w:pPr>
      <w:r>
        <w:rPr>
          <w:rFonts w:ascii="sans-serif" w:hAnsi="sans-serif"/>
          <w:color w:val="000000"/>
          <w:sz w:val="20"/>
        </w:rPr>
        <w:t>** Furnished herewith.</w:t>
      </w:r>
    </w:p>
    <w:p>
      <w:pPr>
        <w:pStyle w:val="TextBody"/>
        <w:bidi w:val="0"/>
        <w:spacing w:before="0" w:after="120"/>
        <w:jc w:val="both"/>
        <w:rPr>
          <w:rFonts w:ascii="sans-serif" w:hAnsi="sans-serif"/>
          <w:color w:val="000000"/>
          <w:sz w:val="20"/>
        </w:rPr>
      </w:pPr>
      <w:r>
        <w:rPr>
          <w:rFonts w:ascii="sans-serif" w:hAnsi="sans-serif"/>
          <w:color w:val="000000"/>
          <w:sz w:val="20"/>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pStyle w:val="TextBody"/>
        <w:bidi w:val="0"/>
        <w:jc w:val="center"/>
        <w:rPr>
          <w:rFonts w:ascii="sans-serif" w:hAnsi="sans-serif"/>
          <w:color w:val="000000"/>
          <w:sz w:val="20"/>
        </w:rPr>
      </w:pPr>
      <w:r>
        <w:rPr>
          <w:rFonts w:ascii="sans-serif" w:hAnsi="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sans-serif" w:hAnsi="sans-serif"/>
          <w:b/>
          <w:color w:val="000000"/>
          <w:sz w:val="20"/>
        </w:rPr>
      </w:pPr>
      <w:bookmarkStart w:id="22" w:name="signatures"/>
      <w:bookmarkEnd w:id="22"/>
      <w:r>
        <w:rPr>
          <w:rFonts w:ascii="sans-serif" w:hAnsi="sans-serif"/>
          <w:b/>
          <w:color w:val="000000"/>
          <w:sz w:val="20"/>
        </w:rPr>
        <w:t>Signatures</w:t>
      </w:r>
    </w:p>
    <w:p>
      <w:pPr>
        <w:pStyle w:val="TextBody"/>
        <w:bidi w:val="0"/>
        <w:spacing w:before="0" w:after="120"/>
        <w:jc w:val="both"/>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tbl>
      <w:tblPr>
        <w:tblW w:w="3159" w:type="dxa"/>
        <w:jc w:val="left"/>
        <w:tblInd w:w="0" w:type="dxa"/>
        <w:tblLayout w:type="fixed"/>
        <w:tblCellMar>
          <w:top w:w="28" w:type="dxa"/>
          <w:left w:w="28" w:type="dxa"/>
          <w:bottom w:w="28" w:type="dxa"/>
          <w:right w:w="28" w:type="dxa"/>
        </w:tblCellMar>
      </w:tblPr>
      <w:tblGrid>
        <w:gridCol w:w="161"/>
        <w:gridCol w:w="146"/>
        <w:gridCol w:w="466"/>
        <w:gridCol w:w="238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Vivid Seats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23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Lawrence Fey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Lawrence Fey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August 4, 2026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By:</w:t>
            </w:r>
            <w:r>
              <w:rPr>
                <w:rFonts w:ascii="Times New Roman" w:hAnsi="Times New Roman"/>
                <w:color w:val="000000"/>
                <w:sz w:val="20"/>
              </w:rPr>
              <w:t xml:space="preserve">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Joseph Thomas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Joseph Thomas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August 4, 2026</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sans-serif" w:hAnsi="sans-serif"/>
          <w:b/>
          <w:color w:val="000000"/>
          <w:sz w:val="20"/>
        </w:rPr>
      </w:pPr>
      <w:bookmarkStart w:id="23" w:name="seat-ex10_1.htm"/>
      <w:bookmarkStart w:id="24" w:name="ksseatex10_1"/>
      <w:bookmarkEnd w:id="23"/>
      <w:bookmarkEnd w:id="24"/>
      <w:r>
        <w:rPr>
          <w:rFonts w:ascii="sans-serif" w:hAnsi="sans-serif"/>
          <w:b/>
          <w:color w:val="000000"/>
          <w:sz w:val="20"/>
        </w:rPr>
        <w:t>Exhibit 10.1</w:t>
      </w:r>
      <w:r>
        <w:br w:type="page"/>
      </w:r>
    </w:p>
    <w:p>
      <w:pPr>
        <w:pStyle w:val="TextBody"/>
        <w:bidi w:val="0"/>
        <w:spacing w:before="0" w:after="120"/>
        <w:jc w:val="center"/>
        <w:rPr>
          <w:rFonts w:ascii="sans-serif" w:hAnsi="sans-serif"/>
          <w:b/>
          <w:color w:val="000000"/>
          <w:sz w:val="20"/>
        </w:rPr>
      </w:pPr>
      <w:r>
        <w:rPr>
          <w:rFonts w:ascii="sans-serif" w:hAnsi="sans-serif"/>
          <w:b/>
          <w:color w:val="000000"/>
          <w:sz w:val="20"/>
        </w:rPr>
        <w:t>AMENDMENT NO. 7 TO FIRST LIEN CREDIT AGREEMENT</w:t>
      </w:r>
    </w:p>
    <w:p>
      <w:pPr>
        <w:pStyle w:val="TextBody"/>
        <w:bidi w:val="0"/>
        <w:spacing w:before="0" w:after="120"/>
        <w:jc w:val="both"/>
        <w:rPr>
          <w:rFonts w:ascii="Times New Roman" w:hAnsi="Times New Roman"/>
          <w:sz w:val="20"/>
        </w:rPr>
      </w:pPr>
      <w:r>
        <w:rPr>
          <w:rFonts w:ascii="sans-serif" w:hAnsi="sans-serif"/>
          <w:color w:val="000000"/>
          <w:sz w:val="20"/>
        </w:rPr>
        <w:t>AMENDMENT NO. 7, dated as of June 23, 2026 (this “</w:t>
      </w:r>
      <w:r>
        <w:rPr>
          <w:rFonts w:ascii="sans-serif" w:hAnsi="sans-serif"/>
          <w:color w:val="000000"/>
          <w:sz w:val="20"/>
          <w:u w:val="single"/>
        </w:rPr>
        <w:t>Amendment</w:t>
      </w:r>
      <w:r>
        <w:rPr>
          <w:rFonts w:ascii="Times New Roman" w:hAnsi="Times New Roman"/>
          <w:color w:val="000000"/>
          <w:sz w:val="20"/>
        </w:rPr>
        <w:t>”</w:t>
      </w:r>
      <w:r>
        <w:rPr>
          <w:rFonts w:ascii="sans-serif" w:hAnsi="sans-serif"/>
          <w:color w:val="000000"/>
          <w:sz w:val="20"/>
        </w:rPr>
        <w:t>), by and among Hoya Midco, LLC, a Delaware limited liability company (the “</w:t>
      </w:r>
      <w:r>
        <w:rPr>
          <w:rFonts w:ascii="sans-serif" w:hAnsi="sans-serif"/>
          <w:color w:val="000000"/>
          <w:sz w:val="20"/>
          <w:u w:val="single"/>
        </w:rPr>
        <w:t>Borrower</w:t>
      </w:r>
      <w:r>
        <w:rPr>
          <w:rFonts w:ascii="Times New Roman" w:hAnsi="Times New Roman"/>
          <w:color w:val="000000"/>
          <w:sz w:val="20"/>
        </w:rPr>
        <w:t>”</w:t>
      </w:r>
      <w:r>
        <w:rPr>
          <w:rFonts w:ascii="sans-serif" w:hAnsi="sans-serif"/>
          <w:color w:val="000000"/>
          <w:sz w:val="20"/>
        </w:rPr>
        <w:t>), Hoya Intermediate, LLC, a Delaware limited liability company (“</w:t>
      </w:r>
      <w:r>
        <w:rPr>
          <w:rFonts w:ascii="sans-serif" w:hAnsi="sans-serif"/>
          <w:color w:val="000000"/>
          <w:sz w:val="20"/>
          <w:u w:val="single"/>
        </w:rPr>
        <w:t>Holdings</w:t>
      </w:r>
      <w:r>
        <w:rPr>
          <w:rFonts w:ascii="Times New Roman" w:hAnsi="Times New Roman"/>
          <w:color w:val="000000"/>
          <w:sz w:val="20"/>
        </w:rPr>
        <w:t>”</w:t>
      </w:r>
      <w:r>
        <w:rPr>
          <w:rFonts w:ascii="sans-serif" w:hAnsi="sans-serif"/>
          <w:color w:val="000000"/>
          <w:sz w:val="20"/>
        </w:rPr>
        <w:t>), the other Loan Parties listed on the signature pages hereto, the Revolving Lenders party hereto (which constitute the Required Revolving Lenders) and Barclays Bank PLC, as administrative agent (in such capacity, the “</w:t>
      </w:r>
      <w:r>
        <w:rPr>
          <w:rFonts w:ascii="sans-serif" w:hAnsi="sans-serif"/>
          <w:color w:val="000000"/>
          <w:sz w:val="20"/>
          <w:u w:val="single"/>
        </w:rPr>
        <w:t>Administrative Agent</w:t>
      </w:r>
      <w:r>
        <w:rPr>
          <w:rFonts w:ascii="Times New Roman" w:hAnsi="Times New Roman"/>
          <w:color w:val="000000"/>
          <w:sz w:val="20"/>
        </w:rPr>
        <w:t>”</w:t>
      </w:r>
      <w:r>
        <w:rPr>
          <w:rFonts w:ascii="sans-serif" w:hAnsi="sans-serif"/>
          <w:color w:val="000000"/>
          <w:sz w:val="20"/>
        </w:rPr>
        <w:t>), to the First Lien Credit Agreement, dated as of June 30, 2017, by and among the Borrower, Holdings, the Administrative Agent and each lender from time to time party thereto (as amended prior to the date hereof, the “</w:t>
      </w:r>
      <w:r>
        <w:rPr>
          <w:rFonts w:ascii="sans-serif" w:hAnsi="sans-serif"/>
          <w:color w:val="000000"/>
          <w:sz w:val="20"/>
          <w:u w:val="single"/>
        </w:rPr>
        <w:t>Credit Agreement</w:t>
      </w:r>
      <w:r>
        <w:rPr>
          <w:rFonts w:ascii="Times New Roman" w:hAnsi="Times New Roman"/>
          <w:color w:val="000000"/>
          <w:sz w:val="20"/>
        </w:rPr>
        <w:t xml:space="preserve">” </w:t>
      </w:r>
      <w:r>
        <w:rPr>
          <w:rFonts w:ascii="sans-serif" w:hAnsi="sans-serif"/>
          <w:color w:val="000000"/>
          <w:sz w:val="20"/>
        </w:rPr>
        <w:t>and the Credit Agreement, as amended by this Amendment, the “</w:t>
      </w:r>
      <w:r>
        <w:rPr>
          <w:rFonts w:ascii="sans-serif" w:hAnsi="sans-serif"/>
          <w:color w:val="000000"/>
          <w:sz w:val="20"/>
          <w:u w:val="single"/>
        </w:rPr>
        <w:t>Amended Credit Agreement</w:t>
      </w:r>
      <w:r>
        <w:rPr>
          <w:rFonts w:ascii="Times New Roman" w:hAnsi="Times New Roman"/>
          <w:color w:val="000000"/>
          <w:sz w:val="20"/>
        </w:rPr>
        <w:t>”</w:t>
      </w:r>
      <w:r>
        <w:rPr>
          <w:rFonts w:ascii="sans-serif" w:hAnsi="sans-serif"/>
          <w:color w:val="000000"/>
          <w:sz w:val="20"/>
        </w:rPr>
        <w:t>). Terms defined in the Credit Agreement and used herein shall have the meanings given to them in the Credit Agreement unless otherwise defined herein.</w:t>
      </w:r>
    </w:p>
    <w:p>
      <w:pPr>
        <w:pStyle w:val="TextBody"/>
        <w:bidi w:val="0"/>
        <w:spacing w:before="0" w:after="120"/>
        <w:jc w:val="center"/>
        <w:rPr>
          <w:rFonts w:ascii="Times New Roman" w:hAnsi="Times New Roman"/>
          <w:sz w:val="20"/>
        </w:rPr>
      </w:pPr>
      <w:r>
        <w:rPr>
          <w:rFonts w:ascii="sans-serif" w:hAnsi="sans-serif"/>
          <w:color w:val="000000"/>
          <w:sz w:val="20"/>
          <w:u w:val="single"/>
        </w:rPr>
        <w:t>WITNESSETH</w:t>
      </w:r>
      <w:r>
        <w:rPr>
          <w:rFonts w:ascii="sans-serif" w:hAnsi="sans-serif"/>
          <w:color w:val="000000"/>
          <w:sz w:val="20"/>
        </w:rPr>
        <w:t>:</w:t>
      </w:r>
    </w:p>
    <w:p>
      <w:pPr>
        <w:pStyle w:val="TextBody"/>
        <w:bidi w:val="0"/>
        <w:spacing w:before="0" w:after="120"/>
        <w:jc w:val="left"/>
        <w:rPr>
          <w:rFonts w:ascii="sans-serif" w:hAnsi="sans-serif"/>
          <w:color w:val="000000"/>
          <w:sz w:val="20"/>
        </w:rPr>
      </w:pPr>
      <w:r>
        <w:rPr>
          <w:rFonts w:ascii="sans-serif" w:hAnsi="sans-serif"/>
          <w:color w:val="000000"/>
          <w:sz w:val="20"/>
        </w:rPr>
        <w:t>WHEREAS, the Borrower desires to amend the Credit Agreement on the terms set forth herein;</w:t>
      </w:r>
    </w:p>
    <w:p>
      <w:pPr>
        <w:pStyle w:val="TextBody"/>
        <w:bidi w:val="0"/>
        <w:spacing w:before="0" w:after="120"/>
        <w:jc w:val="both"/>
        <w:rPr>
          <w:rFonts w:ascii="sans-serif" w:hAnsi="sans-serif"/>
          <w:color w:val="000000"/>
          <w:sz w:val="20"/>
        </w:rPr>
      </w:pPr>
      <w:r>
        <w:rPr>
          <w:rFonts w:ascii="sans-serif" w:hAnsi="sans-serif"/>
          <w:color w:val="000000"/>
          <w:sz w:val="20"/>
        </w:rPr>
        <w:t>WHEREAS, the Borrower has requested that the Required Revolving Lenders increase the Letter of Credit Sublimit from $10,000,000 to $25,000,000 and that the Consenting Issuing Banks (as defined below) increase their Fronting Exposure Cap and their Letter of Credit Commitment accordingly; and</w:t>
      </w:r>
    </w:p>
    <w:p>
      <w:pPr>
        <w:pStyle w:val="TextBody"/>
        <w:bidi w:val="0"/>
        <w:spacing w:before="0" w:after="120"/>
        <w:jc w:val="both"/>
        <w:rPr>
          <w:rFonts w:ascii="Times New Roman" w:hAnsi="Times New Roman"/>
          <w:sz w:val="20"/>
        </w:rPr>
      </w:pPr>
      <w:r>
        <w:rPr>
          <w:rFonts w:ascii="sans-serif" w:hAnsi="sans-serif"/>
          <w:color w:val="000000"/>
          <w:sz w:val="20"/>
        </w:rPr>
        <w:t>WHEREAS, the Borrower, the Revolving Lenders party hereto (each a “</w:t>
      </w:r>
      <w:r>
        <w:rPr>
          <w:rFonts w:ascii="sans-serif" w:hAnsi="sans-serif"/>
          <w:color w:val="000000"/>
          <w:sz w:val="20"/>
          <w:u w:val="single"/>
        </w:rPr>
        <w:t>Consenting Revolving Lender</w:t>
      </w:r>
      <w:r>
        <w:rPr>
          <w:rFonts w:ascii="Times New Roman" w:hAnsi="Times New Roman"/>
          <w:color w:val="000000"/>
          <w:sz w:val="20"/>
        </w:rPr>
        <w:t>”</w:t>
      </w:r>
      <w:r>
        <w:rPr>
          <w:rFonts w:ascii="sans-serif" w:hAnsi="sans-serif"/>
          <w:color w:val="000000"/>
          <w:sz w:val="20"/>
        </w:rPr>
        <w:t>) and each Issuing Bank party hereto (each a “</w:t>
      </w:r>
      <w:r>
        <w:rPr>
          <w:rFonts w:ascii="sans-serif" w:hAnsi="sans-serif"/>
          <w:color w:val="000000"/>
          <w:sz w:val="20"/>
          <w:u w:val="single"/>
        </w:rPr>
        <w:t>Consenting Issuing Bank</w:t>
      </w:r>
      <w:r>
        <w:rPr>
          <w:rFonts w:ascii="Times New Roman" w:hAnsi="Times New Roman"/>
          <w:color w:val="000000"/>
          <w:sz w:val="20"/>
        </w:rPr>
        <w:t>”</w:t>
      </w:r>
      <w:r>
        <w:rPr>
          <w:rFonts w:ascii="sans-serif" w:hAnsi="sans-serif"/>
          <w:color w:val="000000"/>
          <w:sz w:val="20"/>
        </w:rPr>
        <w:t>) have agreed to amend the Credit Agreement pursuant to Section 9.02(b) of the Credit Agreement as set forth herein.</w:t>
      </w:r>
    </w:p>
    <w:p>
      <w:pPr>
        <w:pStyle w:val="TextBody"/>
        <w:bidi w:val="0"/>
        <w:spacing w:before="0" w:after="120"/>
        <w:jc w:val="left"/>
        <w:rPr>
          <w:rFonts w:ascii="sans-serif" w:hAnsi="sans-serif"/>
          <w:color w:val="000000"/>
          <w:sz w:val="20"/>
        </w:rPr>
      </w:pPr>
      <w:r>
        <w:rPr>
          <w:rFonts w:ascii="sans-serif" w:hAnsi="sans-serif"/>
          <w:color w:val="000000"/>
          <w:sz w:val="20"/>
        </w:rPr>
        <w:t>NOW, THEREFORE, the parties hereto hereby agree as follows:</w:t>
      </w:r>
    </w:p>
    <w:p>
      <w:pPr>
        <w:pStyle w:val="TextBody"/>
        <w:bidi w:val="0"/>
        <w:spacing w:before="0" w:after="120"/>
        <w:jc w:val="center"/>
        <w:rPr>
          <w:rFonts w:ascii="sans-serif" w:hAnsi="sans-serif"/>
          <w:color w:val="000000"/>
          <w:sz w:val="20"/>
        </w:rPr>
      </w:pPr>
      <w:r>
        <w:rPr>
          <w:rFonts w:ascii="sans-serif" w:hAnsi="sans-serif"/>
          <w:color w:val="000000"/>
          <w:sz w:val="20"/>
        </w:rPr>
        <w:t>ARTICLE I</w:t>
      </w:r>
    </w:p>
    <w:p>
      <w:pPr>
        <w:pStyle w:val="TextBody"/>
        <w:bidi w:val="0"/>
        <w:spacing w:before="0" w:after="120"/>
        <w:jc w:val="center"/>
        <w:rPr>
          <w:rFonts w:ascii="sans-serif" w:hAnsi="sans-serif"/>
          <w:color w:val="000000"/>
          <w:sz w:val="20"/>
          <w:u w:val="single"/>
        </w:rPr>
      </w:pPr>
      <w:r>
        <w:rPr>
          <w:rFonts w:ascii="sans-serif" w:hAnsi="sans-serif"/>
          <w:color w:val="000000"/>
          <w:sz w:val="20"/>
          <w:u w:val="single"/>
        </w:rPr>
        <w:t>Amendments</w:t>
      </w:r>
    </w:p>
    <w:p>
      <w:pPr>
        <w:pStyle w:val="TextBody"/>
        <w:bidi w:val="0"/>
        <w:spacing w:before="0" w:after="120"/>
        <w:jc w:val="both"/>
        <w:rPr>
          <w:rFonts w:ascii="Times New Roman" w:hAnsi="Times New Roman"/>
          <w:sz w:val="20"/>
        </w:rPr>
      </w:pPr>
      <w:r>
        <w:rPr>
          <w:rFonts w:ascii="sans-serif" w:hAnsi="sans-serif"/>
          <w:color w:val="000000"/>
          <w:sz w:val="20"/>
        </w:rPr>
        <w:t xml:space="preserve">Section 1.1. </w:t>
      </w:r>
      <w:r>
        <w:rPr>
          <w:rFonts w:ascii="sans-serif" w:hAnsi="sans-serif"/>
          <w:color w:val="000000"/>
          <w:sz w:val="20"/>
          <w:u w:val="single"/>
        </w:rPr>
        <w:t>Amendments</w:t>
      </w:r>
      <w:r>
        <w:rPr>
          <w:rFonts w:ascii="sans-serif" w:hAnsi="sans-serif"/>
          <w:color w:val="000000"/>
          <w:sz w:val="20"/>
        </w:rPr>
        <w:t>. Subject to satisfaction of the conditions set forth in Article II hereof, on the Amendment No. 7 Effective Date(as defined below), the Credit Agreement is hereby amended as follows:</w:t>
      </w:r>
    </w:p>
    <w:p>
      <w:pPr>
        <w:pStyle w:val="TextBody"/>
        <w:bidi w:val="0"/>
        <w:spacing w:before="0" w:after="120"/>
        <w:jc w:val="both"/>
        <w:rPr>
          <w:rFonts w:ascii="sans-serif" w:hAnsi="sans-serif"/>
          <w:color w:val="000000"/>
          <w:sz w:val="20"/>
        </w:rPr>
      </w:pPr>
      <w:r>
        <w:rPr>
          <w:rFonts w:ascii="sans-serif" w:hAnsi="sans-serif"/>
          <w:color w:val="000000"/>
          <w:sz w:val="20"/>
        </w:rPr>
        <w:t>a)</w:t>
      </w:r>
    </w:p>
    <w:p>
      <w:pPr>
        <w:pStyle w:val="TextBody"/>
        <w:bidi w:val="0"/>
        <w:spacing w:before="0" w:after="120"/>
        <w:jc w:val="both"/>
        <w:rPr>
          <w:rFonts w:ascii="sans-serif" w:hAnsi="sans-serif"/>
          <w:color w:val="000000"/>
          <w:sz w:val="20"/>
        </w:rPr>
      </w:pPr>
      <w:r>
        <w:rPr>
          <w:rFonts w:ascii="sans-serif" w:hAnsi="sans-serif"/>
          <w:color w:val="000000"/>
          <w:sz w:val="20"/>
        </w:rPr>
        <w:t>the definition of the term “Letter of Credit Sublimit” in Section 1.01 of the Credit Agreement shall be amended and restated in full as follows:</w:t>
      </w:r>
    </w:p>
    <w:p>
      <w:pPr>
        <w:pStyle w:val="TextBody"/>
        <w:bidi w:val="0"/>
        <w:spacing w:before="0" w:after="120"/>
        <w:jc w:val="both"/>
        <w:rPr/>
      </w:pPr>
      <w:r>
        <w:rPr>
          <w:color w:val="000000"/>
        </w:rPr>
        <w:t>““</w:t>
      </w:r>
      <w:r>
        <w:rPr>
          <w:rFonts w:ascii="sans-serif" w:hAnsi="sans-serif"/>
          <w:color w:val="000000"/>
          <w:sz w:val="20"/>
          <w:u w:val="single"/>
        </w:rPr>
        <w:t>Letter of Credit Sublimit</w:t>
      </w:r>
      <w:r>
        <w:rPr>
          <w:rFonts w:ascii="Times New Roman" w:hAnsi="Times New Roman"/>
          <w:color w:val="000000"/>
          <w:sz w:val="20"/>
        </w:rPr>
        <w:t xml:space="preserve">” </w:t>
      </w:r>
      <w:r>
        <w:rPr>
          <w:rFonts w:ascii="sans-serif" w:hAnsi="sans-serif"/>
          <w:color w:val="000000"/>
          <w:sz w:val="20"/>
        </w:rPr>
        <w:t>means $25,000,000.”;</w:t>
      </w:r>
    </w:p>
    <w:p>
      <w:pPr>
        <w:pStyle w:val="TextBody"/>
        <w:bidi w:val="0"/>
        <w:spacing w:before="0" w:after="120"/>
        <w:jc w:val="both"/>
        <w:rPr>
          <w:rFonts w:ascii="sans-serif" w:hAnsi="sans-serif"/>
          <w:color w:val="000000"/>
          <w:sz w:val="20"/>
        </w:rPr>
      </w:pPr>
      <w:r>
        <w:rPr>
          <w:rFonts w:ascii="sans-serif" w:hAnsi="sans-serif"/>
          <w:color w:val="000000"/>
          <w:sz w:val="20"/>
        </w:rPr>
        <w:t>b)</w:t>
      </w:r>
    </w:p>
    <w:p>
      <w:pPr>
        <w:pStyle w:val="TextBody"/>
        <w:bidi w:val="0"/>
        <w:spacing w:before="0" w:after="120"/>
        <w:jc w:val="both"/>
        <w:rPr>
          <w:rFonts w:ascii="sans-serif" w:hAnsi="sans-serif"/>
          <w:color w:val="000000"/>
          <w:sz w:val="20"/>
        </w:rPr>
      </w:pPr>
      <w:r>
        <w:rPr>
          <w:rFonts w:ascii="sans-serif" w:hAnsi="sans-serif"/>
          <w:color w:val="000000"/>
          <w:sz w:val="20"/>
        </w:rPr>
        <w:t>the definition of the term “Fronting Exposure Cap” in Section 1.01 of the Credit Agreement shall be amended and restated in full as follows:</w:t>
      </w:r>
    </w:p>
    <w:p>
      <w:pPr>
        <w:pStyle w:val="TextBody"/>
        <w:bidi w:val="0"/>
        <w:spacing w:before="0" w:after="120"/>
        <w:jc w:val="both"/>
        <w:rPr/>
      </w:pPr>
      <w:r>
        <w:rPr>
          <w:color w:val="000000"/>
        </w:rPr>
        <w:t>““</w:t>
      </w:r>
      <w:r>
        <w:rPr>
          <w:rFonts w:ascii="sans-serif" w:hAnsi="sans-serif"/>
          <w:color w:val="000000"/>
          <w:sz w:val="20"/>
          <w:u w:val="single"/>
        </w:rPr>
        <w:t>Fronting Exposure Cap</w:t>
      </w:r>
      <w:r>
        <w:rPr>
          <w:rFonts w:ascii="Times New Roman" w:hAnsi="Times New Roman"/>
          <w:color w:val="000000"/>
          <w:sz w:val="20"/>
        </w:rPr>
        <w:t xml:space="preserve">” </w:t>
      </w:r>
      <w:r>
        <w:rPr>
          <w:rFonts w:ascii="sans-serif" w:hAnsi="sans-serif"/>
          <w:color w:val="000000"/>
          <w:sz w:val="20"/>
        </w:rPr>
        <w:t>means, as of the Amendment No. 7 Effective Date, with respect to each Issuing Bank, the amount of each Issuing Bank’s Fronting Exposure Cap set out beside such Issuing Bank’s name on Schedule 2.01, as amended by Amendment No. 7.”;</w:t>
      </w:r>
    </w:p>
    <w:p>
      <w:pPr>
        <w:pStyle w:val="TextBody"/>
        <w:bidi w:val="0"/>
        <w:spacing w:before="0" w:after="120"/>
        <w:jc w:val="both"/>
        <w:rPr>
          <w:rFonts w:ascii="sans-serif" w:hAnsi="sans-serif"/>
          <w:color w:val="000000"/>
          <w:sz w:val="20"/>
        </w:rPr>
      </w:pPr>
      <w:r>
        <w:rPr>
          <w:rFonts w:ascii="sans-serif" w:hAnsi="sans-serif"/>
          <w:color w:val="000000"/>
          <w:sz w:val="20"/>
        </w:rPr>
        <w:t>c)</w:t>
      </w:r>
    </w:p>
    <w:p>
      <w:pPr>
        <w:pStyle w:val="TextBody"/>
        <w:bidi w:val="0"/>
        <w:spacing w:before="0" w:after="120"/>
        <w:jc w:val="both"/>
        <w:rPr>
          <w:rFonts w:ascii="sans-serif" w:hAnsi="sans-serif"/>
          <w:color w:val="000000"/>
          <w:sz w:val="20"/>
        </w:rPr>
      </w:pPr>
      <w:r>
        <w:rPr>
          <w:rFonts w:ascii="sans-serif" w:hAnsi="sans-serif"/>
          <w:color w:val="000000"/>
          <w:sz w:val="20"/>
        </w:rPr>
        <w:t>the following term shall be added in Section 1.01 of the Credit Agreement in the appropriate alphabetical order:</w:t>
      </w:r>
    </w:p>
    <w:p>
      <w:pPr>
        <w:pStyle w:val="TextBody"/>
        <w:bidi w:val="0"/>
        <w:spacing w:before="0" w:after="120"/>
        <w:jc w:val="both"/>
        <w:rPr/>
      </w:pPr>
      <w:r>
        <w:rPr>
          <w:color w:val="000000"/>
        </w:rPr>
        <w:t>““</w:t>
      </w:r>
      <w:r>
        <w:rPr>
          <w:rFonts w:ascii="sans-serif" w:hAnsi="sans-serif"/>
          <w:color w:val="000000"/>
          <w:sz w:val="20"/>
          <w:u w:val="single"/>
        </w:rPr>
        <w:t>Amendment No. 7</w:t>
      </w:r>
      <w:r>
        <w:rPr>
          <w:rFonts w:ascii="Times New Roman" w:hAnsi="Times New Roman"/>
          <w:color w:val="000000"/>
          <w:sz w:val="20"/>
        </w:rPr>
        <w:t xml:space="preserve">” </w:t>
      </w:r>
      <w:r>
        <w:rPr>
          <w:rFonts w:ascii="sans-serif" w:hAnsi="sans-serif"/>
          <w:color w:val="000000"/>
          <w:sz w:val="20"/>
        </w:rPr>
        <w:t>means, that certain Amendment No. 7 to First Lien Credit Agreement, dated as of the Amendment No. 7 Effective Date, by and among Holdings, the Borrower, the Administrative Agent and the other parties party thereto.”;</w:t>
      </w:r>
    </w:p>
    <w:p>
      <w:pPr>
        <w:pStyle w:val="TextBody"/>
        <w:bidi w:val="0"/>
        <w:spacing w:before="0" w:after="120"/>
        <w:jc w:val="both"/>
        <w:rPr>
          <w:rFonts w:ascii="sans-serif" w:hAnsi="sans-serif"/>
          <w:color w:val="000000"/>
          <w:sz w:val="20"/>
        </w:rPr>
      </w:pPr>
      <w:r>
        <w:rPr>
          <w:rFonts w:ascii="sans-serif" w:hAnsi="sans-serif"/>
          <w:color w:val="000000"/>
          <w:sz w:val="20"/>
        </w:rPr>
        <w:t>d)</w:t>
      </w:r>
    </w:p>
    <w:p>
      <w:pPr>
        <w:pStyle w:val="TextBody"/>
        <w:bidi w:val="0"/>
        <w:spacing w:before="0" w:after="120"/>
        <w:jc w:val="both"/>
        <w:rPr>
          <w:rFonts w:ascii="sans-serif" w:hAnsi="sans-serif"/>
          <w:color w:val="000000"/>
          <w:sz w:val="20"/>
        </w:rPr>
      </w:pPr>
      <w:r>
        <w:rPr>
          <w:rFonts w:ascii="sans-serif" w:hAnsi="sans-serif"/>
          <w:color w:val="000000"/>
          <w:sz w:val="20"/>
        </w:rPr>
        <w:t>the following term shall be added in Section 1.01 of the Credit Agreement in the appropriate alphabetical order:</w:t>
      </w:r>
    </w:p>
    <w:p>
      <w:pPr>
        <w:pStyle w:val="TextBody"/>
        <w:bidi w:val="0"/>
        <w:spacing w:before="0" w:after="120"/>
        <w:jc w:val="both"/>
        <w:rPr/>
      </w:pPr>
      <w:r>
        <w:rPr>
          <w:color w:val="000000"/>
        </w:rPr>
        <w:t>““</w:t>
      </w:r>
      <w:r>
        <w:rPr>
          <w:rFonts w:ascii="sans-serif" w:hAnsi="sans-serif"/>
          <w:color w:val="000000"/>
          <w:sz w:val="20"/>
          <w:u w:val="single"/>
        </w:rPr>
        <w:t>Amendment No. 7 Effective Date</w:t>
      </w:r>
      <w:r>
        <w:rPr>
          <w:rFonts w:ascii="Times New Roman" w:hAnsi="Times New Roman"/>
          <w:color w:val="000000"/>
          <w:sz w:val="20"/>
        </w:rPr>
        <w:t xml:space="preserve">” </w:t>
      </w:r>
      <w:r>
        <w:rPr>
          <w:rFonts w:ascii="sans-serif" w:hAnsi="sans-serif"/>
          <w:color w:val="000000"/>
          <w:sz w:val="20"/>
        </w:rPr>
        <w:t>means June 23, 2026, the date of effectiveness of Amendment No. 7.”;</w:t>
      </w:r>
    </w:p>
    <w:p>
      <w:pPr>
        <w:pStyle w:val="TextBody"/>
        <w:bidi w:val="0"/>
        <w:spacing w:before="0" w:after="120"/>
        <w:jc w:val="both"/>
        <w:rPr>
          <w:rFonts w:ascii="sans-serif" w:hAnsi="sans-serif"/>
          <w:color w:val="000000"/>
          <w:sz w:val="20"/>
        </w:rPr>
      </w:pPr>
      <w:r>
        <w:rPr>
          <w:rFonts w:ascii="sans-serif" w:hAnsi="sans-serif"/>
          <w:color w:val="000000"/>
          <w:sz w:val="20"/>
        </w:rPr>
        <w:t>e)</w:t>
      </w:r>
    </w:p>
    <w:p>
      <w:pPr>
        <w:pStyle w:val="TextBody"/>
        <w:bidi w:val="0"/>
        <w:spacing w:before="0" w:after="120"/>
        <w:jc w:val="both"/>
        <w:rPr/>
      </w:pPr>
      <w:r>
        <w:rPr>
          <w:rFonts w:ascii="sans-serif" w:hAnsi="sans-serif"/>
          <w:color w:val="000000"/>
          <w:sz w:val="20"/>
        </w:rPr>
        <w:t xml:space="preserve">The “Fronting Exposure” section of Schedule 2.01 to the Credit Agreement is hereby amended and restated in its entirety as set forth on </w:t>
      </w:r>
      <w:r>
        <w:rPr>
          <w:rFonts w:ascii="sans-serif" w:hAnsi="sans-serif"/>
          <w:color w:val="000000"/>
          <w:sz w:val="20"/>
          <w:u w:val="single"/>
        </w:rPr>
        <w:t>Annex A</w:t>
      </w:r>
      <w:r>
        <w:rPr>
          <w:color w:val="000000"/>
        </w:rPr>
        <w:t xml:space="preserve"> </w:t>
      </w:r>
      <w:r>
        <w:rPr>
          <w:rFonts w:ascii="sans-serif" w:hAnsi="sans-serif"/>
          <w:color w:val="000000"/>
          <w:sz w:val="20"/>
        </w:rPr>
        <w:t>hereto; and</w:t>
      </w:r>
    </w:p>
    <w:p>
      <w:pPr>
        <w:pStyle w:val="TextBody"/>
        <w:bidi w:val="0"/>
        <w:spacing w:before="0" w:after="120"/>
        <w:jc w:val="both"/>
        <w:rPr>
          <w:rFonts w:ascii="sans-serif" w:hAnsi="sans-serif"/>
          <w:color w:val="000000"/>
          <w:sz w:val="20"/>
        </w:rPr>
      </w:pPr>
      <w:r>
        <w:rPr>
          <w:rFonts w:ascii="sans-serif" w:hAnsi="sans-serif"/>
          <w:color w:val="000000"/>
          <w:sz w:val="20"/>
        </w:rPr>
        <w:t>f)</w:t>
      </w:r>
    </w:p>
    <w:p>
      <w:pPr>
        <w:pStyle w:val="TextBody"/>
        <w:bidi w:val="0"/>
        <w:spacing w:before="0" w:after="120"/>
        <w:jc w:val="both"/>
        <w:rPr/>
      </w:pPr>
      <w:r>
        <w:rPr>
          <w:rFonts w:ascii="sans-serif" w:hAnsi="sans-serif"/>
          <w:color w:val="000000"/>
          <w:sz w:val="20"/>
        </w:rPr>
        <w:t xml:space="preserve">Schedule 2.05 to the Credit Agreement is hereby amended and restated in its entirety as set forth on </w:t>
      </w:r>
      <w:r>
        <w:rPr>
          <w:rFonts w:ascii="sans-serif" w:hAnsi="sans-serif"/>
          <w:color w:val="000000"/>
          <w:sz w:val="20"/>
          <w:u w:val="single"/>
        </w:rPr>
        <w:t>Annex B</w:t>
      </w:r>
      <w:r>
        <w:rPr>
          <w:color w:val="000000"/>
        </w:rPr>
        <w:t xml:space="preserve"> </w:t>
      </w:r>
      <w:r>
        <w:rPr>
          <w:rFonts w:ascii="sans-serif" w:hAnsi="sans-serif"/>
          <w:color w:val="000000"/>
          <w:sz w:val="20"/>
        </w:rPr>
        <w:t>hereto.</w:t>
      </w:r>
    </w:p>
    <w:p>
      <w:pPr>
        <w:pStyle w:val="TextBody"/>
        <w:bidi w:val="0"/>
        <w:spacing w:before="0" w:after="120"/>
        <w:jc w:val="center"/>
        <w:rPr>
          <w:rFonts w:ascii="sans-serif" w:hAnsi="sans-serif"/>
          <w:color w:val="000000"/>
          <w:sz w:val="20"/>
        </w:rPr>
      </w:pPr>
      <w:r>
        <w:rPr>
          <w:rFonts w:ascii="sans-serif" w:hAnsi="sans-serif"/>
          <w:color w:val="000000"/>
          <w:sz w:val="20"/>
        </w:rPr>
        <w:t>ARTICLE II</w:t>
      </w:r>
    </w:p>
    <w:p>
      <w:pPr>
        <w:pStyle w:val="TextBody"/>
        <w:bidi w:val="0"/>
        <w:spacing w:before="0" w:after="120"/>
        <w:jc w:val="center"/>
        <w:rPr>
          <w:rFonts w:ascii="sans-serif" w:hAnsi="sans-serif"/>
          <w:color w:val="000000"/>
          <w:sz w:val="20"/>
          <w:u w:val="single"/>
        </w:rPr>
      </w:pPr>
      <w:r>
        <w:rPr>
          <w:rFonts w:ascii="sans-serif" w:hAnsi="sans-serif"/>
          <w:color w:val="000000"/>
          <w:sz w:val="20"/>
          <w:u w:val="single"/>
        </w:rPr>
        <w:t>Conditions to Effectiveness</w:t>
      </w:r>
    </w:p>
    <w:p>
      <w:pPr>
        <w:pStyle w:val="TextBody"/>
        <w:bidi w:val="0"/>
        <w:spacing w:before="0" w:after="120"/>
        <w:jc w:val="both"/>
        <w:rPr>
          <w:rFonts w:ascii="Times New Roman" w:hAnsi="Times New Roman"/>
          <w:sz w:val="20"/>
        </w:rPr>
      </w:pPr>
      <w:r>
        <w:rPr>
          <w:rFonts w:ascii="sans-serif" w:hAnsi="sans-serif"/>
          <w:color w:val="000000"/>
          <w:sz w:val="20"/>
        </w:rPr>
        <w:t xml:space="preserve">Section 2.1. </w:t>
      </w:r>
      <w:r>
        <w:rPr>
          <w:rFonts w:ascii="sans-serif" w:hAnsi="sans-serif"/>
          <w:color w:val="000000"/>
          <w:sz w:val="20"/>
          <w:u w:val="single"/>
        </w:rPr>
        <w:t>Conditions to Effectiveness</w:t>
      </w:r>
      <w:r>
        <w:rPr>
          <w:rFonts w:ascii="sans-serif" w:hAnsi="sans-serif"/>
          <w:color w:val="000000"/>
          <w:sz w:val="20"/>
        </w:rPr>
        <w:t>. This Amendment shall become effective on the date (the “</w:t>
      </w:r>
      <w:r>
        <w:rPr>
          <w:rFonts w:ascii="sans-serif" w:hAnsi="sans-serif"/>
          <w:color w:val="000000"/>
          <w:sz w:val="20"/>
          <w:u w:val="single"/>
        </w:rPr>
        <w:t>Amendment No. 7 Effective Date</w:t>
      </w:r>
      <w:r>
        <w:rPr>
          <w:rFonts w:ascii="Times New Roman" w:hAnsi="Times New Roman"/>
          <w:color w:val="000000"/>
          <w:sz w:val="20"/>
        </w:rPr>
        <w:t>”</w:t>
      </w:r>
      <w:r>
        <w:rPr>
          <w:rFonts w:ascii="sans-serif" w:hAnsi="sans-serif"/>
          <w:color w:val="000000"/>
          <w:sz w:val="20"/>
        </w:rPr>
        <w:t>) on which the following conditions precedent are satisfied:</w:t>
      </w:r>
    </w:p>
    <w:p>
      <w:pPr>
        <w:pStyle w:val="TextBody"/>
        <w:bidi w:val="0"/>
        <w:spacing w:before="0" w:after="120"/>
        <w:jc w:val="both"/>
        <w:rPr>
          <w:rFonts w:ascii="sans-serif" w:hAnsi="sans-serif"/>
          <w:color w:val="000000"/>
          <w:sz w:val="20"/>
        </w:rPr>
      </w:pPr>
      <w:r>
        <w:rPr>
          <w:rFonts w:ascii="sans-serif" w:hAnsi="sans-serif"/>
          <w:color w:val="000000"/>
          <w:sz w:val="20"/>
        </w:rPr>
        <w:t>a)</w:t>
      </w:r>
    </w:p>
    <w:p>
      <w:pPr>
        <w:pStyle w:val="TextBody"/>
        <w:bidi w:val="0"/>
        <w:spacing w:before="0" w:after="120"/>
        <w:jc w:val="both"/>
        <w:rPr>
          <w:rFonts w:ascii="sans-serif" w:hAnsi="sans-serif"/>
          <w:color w:val="000000"/>
          <w:sz w:val="20"/>
        </w:rPr>
      </w:pPr>
      <w:r>
        <w:rPr>
          <w:rFonts w:ascii="sans-serif" w:hAnsi="sans-serif"/>
          <w:color w:val="000000"/>
          <w:sz w:val="20"/>
        </w:rPr>
        <w:t xml:space="preserve">The Administrative Agent (or its counsel) shall have received from (i) the Administrative Agent, (ii) each Consenting Revolving Lender, (iii) each Consenting Issuing Bank and (iv) each Loan Party, (x) a counterpart of this Amendment signed on behalf of such party or (y) written evidence reasonably satisfactory to the Administrative Agent (which may include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sans-serif" w:hAnsi="sans-serif"/>
          <w:color w:val="000000"/>
          <w:sz w:val="20"/>
        </w:rPr>
      </w:pPr>
      <w:r>
        <w:rPr>
          <w:rFonts w:ascii="sans-serif" w:hAnsi="sans-serif"/>
          <w:color w:val="000000"/>
          <w:sz w:val="20"/>
        </w:rPr>
        <w:t>telecopy or other electronic transmission of a signed signature page of this Agreement) that such party has signed a counterpart of this Agreement.</w:t>
      </w:r>
    </w:p>
    <w:p>
      <w:pPr>
        <w:pStyle w:val="TextBody"/>
        <w:bidi w:val="0"/>
        <w:spacing w:before="0" w:after="120"/>
        <w:jc w:val="both"/>
        <w:rPr>
          <w:rFonts w:ascii="sans-serif" w:hAnsi="sans-serif"/>
          <w:color w:val="000000"/>
          <w:sz w:val="20"/>
        </w:rPr>
      </w:pPr>
      <w:r>
        <w:rPr>
          <w:rFonts w:ascii="sans-serif" w:hAnsi="sans-serif"/>
          <w:color w:val="000000"/>
          <w:sz w:val="20"/>
        </w:rPr>
        <w:t>b)</w:t>
      </w:r>
    </w:p>
    <w:p>
      <w:pPr>
        <w:pStyle w:val="TextBody"/>
        <w:bidi w:val="0"/>
        <w:spacing w:before="0" w:after="120"/>
        <w:jc w:val="both"/>
        <w:rPr>
          <w:rFonts w:ascii="sans-serif" w:hAnsi="sans-serif"/>
          <w:color w:val="000000"/>
          <w:sz w:val="20"/>
        </w:rPr>
      </w:pPr>
      <w:r>
        <w:rPr>
          <w:rFonts w:ascii="sans-serif" w:hAnsi="sans-serif"/>
          <w:color w:val="000000"/>
          <w:sz w:val="20"/>
        </w:rPr>
        <w:t>The Administrative Agent shall have received (i) such customary resolutions or other action of Holdings and the Borrower as the Administrative Agent may reasonably require evidencing the authority and capacity of each Responsible Officer thereof authorized to act as a Responsible Officer in connection with this Amendment, (ii) such documents and certifications (including, without limitation, incumbency certificates, Organization Documents and, if applicable, good standing certificates) as the Administrative Agent may reasonably require to evidence that each of Holdings and the Borrower is duly organized or formed, and that each of Holdings and the Borrower is validly existing and in good standing and (iii) bring down good standing certificates of Holdings and the Borrower dated as of a recent date.</w:t>
      </w:r>
    </w:p>
    <w:p>
      <w:pPr>
        <w:pStyle w:val="TextBody"/>
        <w:bidi w:val="0"/>
        <w:spacing w:before="0" w:after="120"/>
        <w:jc w:val="both"/>
        <w:rPr>
          <w:rFonts w:ascii="sans-serif" w:hAnsi="sans-serif"/>
          <w:color w:val="000000"/>
          <w:sz w:val="20"/>
        </w:rPr>
      </w:pPr>
      <w:r>
        <w:rPr>
          <w:rFonts w:ascii="sans-serif" w:hAnsi="sans-serif"/>
          <w:color w:val="000000"/>
          <w:sz w:val="20"/>
        </w:rPr>
        <w:t>c)</w:t>
      </w:r>
    </w:p>
    <w:p>
      <w:pPr>
        <w:pStyle w:val="TextBody"/>
        <w:bidi w:val="0"/>
        <w:spacing w:before="0" w:after="120"/>
        <w:jc w:val="both"/>
        <w:rPr>
          <w:rFonts w:ascii="sans-serif" w:hAnsi="sans-serif"/>
          <w:color w:val="000000"/>
          <w:sz w:val="20"/>
        </w:rPr>
      </w:pPr>
      <w:r>
        <w:rPr>
          <w:rFonts w:ascii="sans-serif" w:hAnsi="sans-serif"/>
          <w:color w:val="000000"/>
          <w:sz w:val="20"/>
        </w:rPr>
        <w:t>The Borrower shall have provided the documentation and other information, solely with respect to the Borrower, reasonably requested in writing prior to the Amendment No. 7 Effective Date by the Administrative Agent (or the Revolving Lenders through the Administrative Agent) as is required by regulatory authorities in connection with applicable “know your customer” and anti-money-laundering rules and regulations, including, without limitation, the PATRIOT Act and, to the extent the Borrower qualifies as a “legal entity customer” under 31 C.F.R. § 1010.230, a certification regarding beneficial ownership).</w:t>
      </w:r>
    </w:p>
    <w:p>
      <w:pPr>
        <w:pStyle w:val="TextBody"/>
        <w:bidi w:val="0"/>
        <w:spacing w:before="0" w:after="120"/>
        <w:jc w:val="both"/>
        <w:rPr>
          <w:rFonts w:ascii="sans-serif" w:hAnsi="sans-serif"/>
          <w:color w:val="000000"/>
          <w:sz w:val="20"/>
        </w:rPr>
      </w:pPr>
      <w:r>
        <w:rPr>
          <w:rFonts w:ascii="sans-serif" w:hAnsi="sans-serif"/>
          <w:color w:val="000000"/>
          <w:sz w:val="20"/>
        </w:rPr>
        <w:t>d)</w:t>
      </w:r>
    </w:p>
    <w:p>
      <w:pPr>
        <w:pStyle w:val="TextBody"/>
        <w:bidi w:val="0"/>
        <w:spacing w:before="0" w:after="120"/>
        <w:jc w:val="both"/>
        <w:rPr>
          <w:rFonts w:ascii="sans-serif" w:hAnsi="sans-serif"/>
          <w:color w:val="000000"/>
          <w:sz w:val="20"/>
        </w:rPr>
      </w:pPr>
      <w:r>
        <w:rPr>
          <w:rFonts w:ascii="sans-serif" w:hAnsi="sans-serif"/>
          <w:color w:val="000000"/>
          <w:sz w:val="20"/>
        </w:rPr>
        <w:t>[reserved].</w:t>
      </w:r>
    </w:p>
    <w:p>
      <w:pPr>
        <w:pStyle w:val="TextBody"/>
        <w:bidi w:val="0"/>
        <w:spacing w:before="0" w:after="120"/>
        <w:jc w:val="both"/>
        <w:rPr>
          <w:rFonts w:ascii="sans-serif" w:hAnsi="sans-serif"/>
          <w:color w:val="000000"/>
          <w:sz w:val="20"/>
        </w:rPr>
      </w:pPr>
      <w:r>
        <w:rPr>
          <w:rFonts w:ascii="sans-serif" w:hAnsi="sans-serif"/>
          <w:color w:val="000000"/>
          <w:sz w:val="20"/>
        </w:rPr>
        <w:t>e)</w:t>
      </w:r>
    </w:p>
    <w:p>
      <w:pPr>
        <w:pStyle w:val="TextBody"/>
        <w:bidi w:val="0"/>
        <w:spacing w:before="0" w:after="120"/>
        <w:jc w:val="both"/>
        <w:rPr>
          <w:rFonts w:ascii="sans-serif" w:hAnsi="sans-serif"/>
          <w:color w:val="000000"/>
          <w:sz w:val="20"/>
        </w:rPr>
      </w:pPr>
      <w:r>
        <w:rPr>
          <w:rFonts w:ascii="sans-serif" w:hAnsi="sans-serif"/>
          <w:color w:val="000000"/>
          <w:sz w:val="20"/>
        </w:rPr>
        <w:t>(i) On the date hereof, immediately after giving effect to this Amendment and the transactions contemplated hereby, the representations and warranties of the Borrower and each other Loan Party contained in Article III of the Credit Agreement and each other Loan Document are true and correct in all material respects (and in all respects if any such representation or warranty is already qualified by materiality) on and as of the Amendment No. 7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(ii) on the date hereof and immediately after giving effect to this Amendment and the transactions contemplated hereby, no Default or Event of Default exists. A Responsible Officer of the Borrower shall have delivered a certificate certifying as to the matters set forth in this clause (e).</w:t>
      </w:r>
    </w:p>
    <w:p>
      <w:pPr>
        <w:pStyle w:val="TextBody"/>
        <w:bidi w:val="0"/>
        <w:spacing w:before="0" w:after="120"/>
        <w:jc w:val="both"/>
        <w:rPr>
          <w:rFonts w:ascii="Times New Roman" w:hAnsi="Times New Roman"/>
          <w:sz w:val="20"/>
        </w:rPr>
      </w:pPr>
      <w:r>
        <w:rPr>
          <w:rFonts w:ascii="sans-serif" w:hAnsi="sans-serif"/>
          <w:color w:val="000000"/>
          <w:sz w:val="20"/>
        </w:rPr>
        <w:t xml:space="preserve">Section 2.2. </w:t>
      </w:r>
      <w:r>
        <w:rPr>
          <w:rFonts w:ascii="sans-serif" w:hAnsi="sans-serif"/>
          <w:color w:val="000000"/>
          <w:sz w:val="20"/>
          <w:u w:val="single"/>
        </w:rPr>
        <w:t>Condition Subsequent</w:t>
      </w:r>
      <w:r>
        <w:rPr>
          <w:rFonts w:ascii="sans-serif" w:hAnsi="sans-serif"/>
          <w:color w:val="000000"/>
          <w:sz w:val="20"/>
        </w:rPr>
        <w:t>. Unless otherwise agreed between the Borrower and the Administrative Agent, all costs, fees and expenses (including, without limitation, legal fees and expenses) incurred by the Administrative Agent and the Revolving Lenders prior to the Amendment No. 7 Effective Date that are due and payable by the Loan Parties pursuant to Section 9.03 of the Credit Agreement shall be paid on July 1, 2026, to the extent invoiced as least three (3) Business Days prior to July 1, 2026.</w:t>
      </w:r>
    </w:p>
    <w:p>
      <w:pPr>
        <w:pStyle w:val="TextBody"/>
        <w:bidi w:val="0"/>
        <w:spacing w:before="0" w:after="120"/>
        <w:jc w:val="center"/>
        <w:rPr>
          <w:rFonts w:ascii="sans-serif" w:hAnsi="sans-serif"/>
          <w:color w:val="000000"/>
          <w:sz w:val="20"/>
        </w:rPr>
      </w:pPr>
      <w:r>
        <w:rPr>
          <w:rFonts w:ascii="sans-serif" w:hAnsi="sans-serif"/>
          <w:color w:val="000000"/>
          <w:sz w:val="20"/>
        </w:rPr>
        <w:t>ARTICLE III</w:t>
      </w:r>
    </w:p>
    <w:p>
      <w:pPr>
        <w:pStyle w:val="TextBody"/>
        <w:bidi w:val="0"/>
        <w:spacing w:before="0" w:after="120"/>
        <w:jc w:val="center"/>
        <w:rPr>
          <w:rFonts w:ascii="sans-serif" w:hAnsi="sans-serif"/>
          <w:color w:val="000000"/>
          <w:sz w:val="20"/>
          <w:u w:val="single"/>
        </w:rPr>
      </w:pPr>
      <w:r>
        <w:rPr>
          <w:rFonts w:ascii="sans-serif" w:hAnsi="sans-serif"/>
          <w:color w:val="000000"/>
          <w:sz w:val="20"/>
          <w:u w:val="single"/>
        </w:rPr>
        <w:t>Miscellaneous</w:t>
      </w:r>
    </w:p>
    <w:p>
      <w:pPr>
        <w:pStyle w:val="TextBody"/>
        <w:bidi w:val="0"/>
        <w:spacing w:before="0" w:after="120"/>
        <w:jc w:val="both"/>
        <w:rPr>
          <w:rFonts w:ascii="Times New Roman" w:hAnsi="Times New Roman"/>
          <w:sz w:val="20"/>
        </w:rPr>
      </w:pPr>
      <w:r>
        <w:rPr>
          <w:rFonts w:ascii="sans-serif" w:hAnsi="sans-serif"/>
          <w:color w:val="000000"/>
          <w:sz w:val="20"/>
        </w:rPr>
        <w:t xml:space="preserve">Section 3.1. </w:t>
      </w:r>
      <w:r>
        <w:rPr>
          <w:rFonts w:ascii="sans-serif" w:hAnsi="sans-serif"/>
          <w:color w:val="000000"/>
          <w:sz w:val="20"/>
          <w:u w:val="single"/>
        </w:rPr>
        <w:t xml:space="preserve">Continuing Effect; No Other Amendments or Waivers. </w:t>
      </w:r>
      <w:r>
        <w:rPr>
          <w:rFonts w:ascii="sans-serif" w:hAnsi="sans-serif"/>
          <w:color w:val="000000"/>
          <w:sz w:val="20"/>
        </w:rPr>
        <w:t>Except as expressly set forth herein, this Amendment shall not by implication or otherwise limit, impair, constitute a waiver of or otherwise affect the rights and remedies of the Lenders or the Agent sunder the Credit Agreement or any other Loan Document, and shall not alter, modify, amend or in any way affect any of the terms, conditions, obligations, covenants or agreements contained in the Credit Agreement or any other provision of the Credit Agreement or any other Loan Document, all of which are hereby ratified and affirmed in all respects and shall continue in full force and effect. Except as expressly waived hereby, the provisions of the Credit Agreement and the other Loan Documents are and shall remain in full force and effect in accordance with their terms.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Amendment No. 7 Effective Date. This Amendment shall constitute a “Loan Document” for all purposes of the Credit Agreement and the other Loan Documents. All references to the Credit Agreement in any document, instrument, agreement or writing shall, from and after the Amendment No. 7 Effective Date, be deemed to refer to the Credit Agreement as amended hereby, and, as used in the Credit Agreement, the terms “Agreement,” “herein,” “hereafter,” “hereunder,” “hereto” and words of similar import shall mean, from and after the Amendment No. 7 Effective Date, the Credit Agreement as amended hereby.</w:t>
      </w:r>
    </w:p>
    <w:p>
      <w:pPr>
        <w:pStyle w:val="TextBody"/>
        <w:bidi w:val="0"/>
        <w:spacing w:before="0" w:after="120"/>
        <w:jc w:val="both"/>
        <w:rPr>
          <w:rFonts w:ascii="Times New Roman" w:hAnsi="Times New Roman"/>
          <w:sz w:val="20"/>
        </w:rPr>
      </w:pPr>
      <w:r>
        <w:rPr>
          <w:rFonts w:ascii="sans-serif" w:hAnsi="sans-serif"/>
          <w:color w:val="000000"/>
          <w:sz w:val="20"/>
        </w:rPr>
        <w:t xml:space="preserve">Section 3.2. </w:t>
      </w:r>
      <w:r>
        <w:rPr>
          <w:rFonts w:ascii="sans-serif" w:hAnsi="sans-serif"/>
          <w:color w:val="000000"/>
          <w:sz w:val="20"/>
          <w:u w:val="single"/>
        </w:rPr>
        <w:t>[reserved]</w:t>
      </w:r>
      <w:r>
        <w:rPr>
          <w:rFonts w:ascii="sans-serif" w:hAnsi="sans-serif"/>
          <w:color w:val="000000"/>
          <w:sz w:val="20"/>
        </w:rPr>
        <w:t>.</w:t>
      </w:r>
    </w:p>
    <w:p>
      <w:pPr>
        <w:pStyle w:val="TextBody"/>
        <w:bidi w:val="0"/>
        <w:spacing w:before="0" w:after="120"/>
        <w:jc w:val="both"/>
        <w:rPr>
          <w:rFonts w:ascii="Times New Roman" w:hAnsi="Times New Roman"/>
          <w:sz w:val="20"/>
        </w:rPr>
      </w:pPr>
      <w:r>
        <w:rPr>
          <w:rFonts w:ascii="sans-serif" w:hAnsi="sans-serif"/>
          <w:color w:val="000000"/>
          <w:sz w:val="20"/>
        </w:rPr>
        <w:t xml:space="preserve">Section 3.3. </w:t>
      </w:r>
      <w:r>
        <w:rPr>
          <w:rFonts w:ascii="sans-serif" w:hAnsi="sans-serif"/>
          <w:color w:val="000000"/>
          <w:sz w:val="20"/>
          <w:u w:val="single"/>
        </w:rPr>
        <w:t>Counterparts.</w:t>
      </w:r>
      <w:r>
        <w:rPr>
          <w:rFonts w:ascii="Times New Roman" w:hAnsi="Times New Roman"/>
          <w:color w:val="000000"/>
          <w:sz w:val="20"/>
        </w:rPr>
        <w:t xml:space="preserve"> </w:t>
      </w:r>
      <w:r>
        <w:rPr>
          <w:rFonts w:ascii="sans-serif" w:hAnsi="sans-serif"/>
          <w:color w:val="000000"/>
          <w:sz w:val="20"/>
        </w:rPr>
        <w:t>This Amendment may be executed in any number of separate counterparts by the parties hereto (including by telecopy or via electronic mail), each of which counterparts when so executed shall be an original, but all the counterparts shall together constitute one and the same instrument.</w:t>
      </w:r>
    </w:p>
    <w:p>
      <w:pPr>
        <w:pStyle w:val="TextBody"/>
        <w:bidi w:val="0"/>
        <w:spacing w:before="0" w:after="120"/>
        <w:jc w:val="both"/>
        <w:rPr>
          <w:rFonts w:ascii="Times New Roman" w:hAnsi="Times New Roman"/>
          <w:sz w:val="20"/>
        </w:rPr>
      </w:pPr>
      <w:r>
        <w:rPr>
          <w:rFonts w:ascii="sans-serif" w:hAnsi="sans-serif"/>
          <w:color w:val="000000"/>
          <w:sz w:val="20"/>
        </w:rPr>
        <w:t xml:space="preserve">Section 3.4. </w:t>
      </w:r>
      <w:r>
        <w:rPr>
          <w:rFonts w:ascii="sans-serif" w:hAnsi="sans-serif"/>
          <w:color w:val="000000"/>
          <w:sz w:val="20"/>
          <w:u w:val="single"/>
        </w:rPr>
        <w:t>GOVERNING LAW</w:t>
      </w:r>
      <w:r>
        <w:rPr>
          <w:rFonts w:ascii="sans-serif" w:hAnsi="sans-serif"/>
          <w:color w:val="000000"/>
          <w:sz w:val="20"/>
        </w:rPr>
        <w:t>. THIS AMENDMENT AND ALL MATTERS ARISING OUT OF OR RELATING IN ANY WAY WHATSOEVER TO THIS AMENDMENT (WHETHER IN CONTRACT, TORT OR OTHERWISE) SHALL BE GOVERNED BY, AND CONSTRUED AND INTERPRETED IN ACCORDANCE WITH, THE LAW OF THE STATE OF NEW YORK.</w:t>
      </w:r>
    </w:p>
    <w:p>
      <w:pPr>
        <w:pStyle w:val="TextBody"/>
        <w:bidi w:val="0"/>
        <w:spacing w:before="12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sans-serif" w:hAnsi="sans-serif"/>
          <w:color w:val="000000"/>
          <w:sz w:val="20"/>
        </w:rPr>
        <w:t xml:space="preserve">Section 3.5. </w:t>
      </w:r>
      <w:r>
        <w:rPr>
          <w:rFonts w:ascii="sans-serif" w:hAnsi="sans-serif"/>
          <w:color w:val="000000"/>
          <w:sz w:val="20"/>
          <w:u w:val="single"/>
        </w:rPr>
        <w:t>Reaffirmation</w:t>
      </w:r>
      <w:r>
        <w:rPr>
          <w:rFonts w:ascii="sans-serif" w:hAnsi="sans-serif"/>
          <w:color w:val="000000"/>
          <w:sz w:val="20"/>
        </w:rPr>
        <w:t>. Each Loan Party hereto expressly acknowledges the terms of this Amendment and reaffirms, as of the date hereof and on the Amendment No. 7 Effective Date, that its guarantee of the Obligations under the Guarantee Agreement and its grant of Liens on the Collateral to secure the Obligations pursuant to each Collateral Agreement to which it is a party, in each case, continues in full force and effect and extends to the obligations of the Loan Parties under the Loan Documents (including the Credit Agreement as amended hereby) subject to any limitations set out in the Credit Agreement (as so amended) and any other Loan Document applicable to that Loan Party. Neither the execution, delivery, performance or effectiveness of this Amendment nor the modification of the Credit Agreement effected pursuant hereto: (i) impairs the validity, effectiveness or priority of the Liens granted pursuant to any Loan Document, and such Liens continue unimpaired with the same priority to secure repayment of all Obligations, whether heretofore or hereafter incurred; or (ii) requires that any new filings be made or other action be taken to perfect or to maintain the perfection of such Liens.</w:t>
      </w:r>
    </w:p>
    <w:p>
      <w:pPr>
        <w:pStyle w:val="TextBody"/>
        <w:bidi w:val="0"/>
        <w:spacing w:before="0" w:after="120"/>
        <w:jc w:val="both"/>
        <w:rPr>
          <w:rFonts w:ascii="Times New Roman" w:hAnsi="Times New Roman"/>
          <w:sz w:val="20"/>
        </w:rPr>
      </w:pPr>
      <w:r>
        <w:rPr>
          <w:rFonts w:ascii="sans-serif" w:hAnsi="sans-serif"/>
          <w:color w:val="000000"/>
          <w:sz w:val="20"/>
        </w:rPr>
        <w:t xml:space="preserve">Section 3.6. </w:t>
      </w:r>
      <w:r>
        <w:rPr>
          <w:rFonts w:ascii="sans-serif" w:hAnsi="sans-serif"/>
          <w:color w:val="000000"/>
          <w:sz w:val="20"/>
          <w:u w:val="single"/>
        </w:rPr>
        <w:t>Indemnification</w:t>
      </w:r>
      <w:r>
        <w:rPr>
          <w:rFonts w:ascii="sans-serif" w:hAnsi="sans-serif"/>
          <w:color w:val="000000"/>
          <w:sz w:val="20"/>
        </w:rPr>
        <w:t xml:space="preserve">. Section 9.03(b) of the Credit Agreement is incorporated herein by reference </w:t>
      </w:r>
      <w:r>
        <w:rPr>
          <w:rFonts w:ascii="sans-serif" w:hAnsi="sans-serif"/>
          <w:i/>
          <w:color w:val="000000"/>
          <w:sz w:val="20"/>
        </w:rPr>
        <w:t>mutatis mutand</w:t>
      </w:r>
      <w:r>
        <w:rPr>
          <w:rFonts w:ascii="sans-serif" w:hAnsi="sans-serif"/>
          <w:i/>
          <w:color w:val="000000"/>
          <w:sz w:val="20"/>
          <w:u w:val="single"/>
        </w:rPr>
        <w:t>is</w:t>
      </w:r>
      <w:r>
        <w:rPr>
          <w:rFonts w:ascii="sans-serif" w:hAnsi="sans-serif"/>
          <w:color w:val="000000"/>
          <w:sz w:val="20"/>
          <w:u w:val="single"/>
        </w:rPr>
        <w:t>.</w:t>
      </w:r>
    </w:p>
    <w:p>
      <w:pPr>
        <w:pStyle w:val="TextBody"/>
        <w:bidi w:val="0"/>
        <w:spacing w:before="0" w:after="120"/>
        <w:jc w:val="both"/>
        <w:rPr>
          <w:rFonts w:ascii="Times New Roman" w:hAnsi="Times New Roman"/>
          <w:sz w:val="20"/>
        </w:rPr>
      </w:pPr>
      <w:r>
        <w:rPr>
          <w:rFonts w:ascii="sans-serif" w:hAnsi="sans-serif"/>
          <w:color w:val="000000"/>
          <w:sz w:val="20"/>
        </w:rPr>
        <w:t xml:space="preserve">Section 3.7. </w:t>
      </w:r>
      <w:r>
        <w:rPr>
          <w:rFonts w:ascii="sans-serif" w:hAnsi="sans-serif"/>
          <w:color w:val="000000"/>
          <w:sz w:val="20"/>
          <w:u w:val="single"/>
        </w:rPr>
        <w:t>Jurisdiction; Service of Process; WAIVER OF JURY TRIAL</w:t>
      </w:r>
      <w:r>
        <w:rPr>
          <w:rFonts w:ascii="sans-serif" w:hAnsi="sans-serif"/>
          <w:color w:val="000000"/>
          <w:sz w:val="20"/>
        </w:rPr>
        <w:t xml:space="preserve">. Sections 9.09(b), 9.09(c), 9.09(d) and 9.10 of the Credit Agreement are incorporated herein by reference </w:t>
      </w:r>
      <w:r>
        <w:rPr>
          <w:rFonts w:ascii="sans-serif" w:hAnsi="sans-serif"/>
          <w:i/>
          <w:color w:val="000000"/>
          <w:sz w:val="20"/>
        </w:rPr>
        <w:t>mutatis mutandis</w:t>
      </w:r>
      <w:r>
        <w:rPr>
          <w:rFonts w:ascii="sans-serif" w:hAnsi="sans-serif"/>
          <w:color w:val="000000"/>
          <w:sz w:val="20"/>
        </w:rPr>
        <w:t>.</w:t>
      </w:r>
    </w:p>
    <w:p>
      <w:pPr>
        <w:pStyle w:val="TextBody"/>
        <w:bidi w:val="0"/>
        <w:spacing w:before="0" w:after="120"/>
        <w:jc w:val="center"/>
        <w:rPr>
          <w:rFonts w:ascii="sans-serif" w:hAnsi="sans-serif"/>
          <w:color w:val="000000"/>
          <w:sz w:val="20"/>
        </w:rPr>
      </w:pPr>
      <w:r>
        <w:rPr>
          <w:rFonts w:ascii="sans-serif" w:hAnsi="sans-serif"/>
          <w:color w:val="000000"/>
          <w:sz w:val="20"/>
        </w:rPr>
        <w:t>[Signature Pages Follow]</w:t>
      </w:r>
    </w:p>
    <w:p>
      <w:pPr>
        <w:pStyle w:val="TextBody"/>
        <w:bidi w:val="0"/>
        <w:spacing w:before="12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0"/>
        </w:rPr>
      </w:pPr>
      <w:r>
        <w:rPr>
          <w:rFonts w:ascii="sans-serif" w:hAnsi="sans-serif"/>
          <w:color w:val="000000"/>
          <w:sz w:val="20"/>
        </w:rPr>
        <w:t>IN WITNESS WHEREOF, the parties hereto have caused this Amendment to be executed and delivered by their respective duly authorized officers as of the date first above written.</w:t>
      </w:r>
    </w:p>
    <w:p>
      <w:pPr>
        <w:pStyle w:val="TextBody"/>
        <w:bidi w:val="0"/>
        <w:spacing w:before="0" w:after="120"/>
        <w:jc w:val="left"/>
        <w:rPr>
          <w:rFonts w:ascii="sans-serif" w:hAnsi="sans-serif"/>
          <w:b/>
          <w:color w:val="000000"/>
          <w:sz w:val="20"/>
        </w:rPr>
      </w:pPr>
      <w:r>
        <w:rPr>
          <w:rFonts w:ascii="sans-serif" w:hAnsi="sans-serif"/>
          <w:b/>
          <w:color w:val="000000"/>
          <w:sz w:val="20"/>
        </w:rPr>
        <w:t>HOYA MIDCO,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HOYA INTERMEDIATE,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VIVID SEATS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ACTCO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TICKET WEBSITE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ACTIVE TICKET COMPANY LP</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VIVID HOSPITALITY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WORLD TICKET SOURCE,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w:t>
      </w:r>
    </w:p>
    <w:p>
      <w:pPr>
        <w:pStyle w:val="TextBody"/>
        <w:bidi w:val="0"/>
        <w:spacing w:before="0" w:after="120"/>
        <w:jc w:val="left"/>
        <w:rPr>
          <w:rFonts w:ascii="sans-serif" w:hAnsi="sans-serif"/>
          <w:b/>
          <w:color w:val="000000"/>
          <w:sz w:val="20"/>
        </w:rPr>
      </w:pPr>
      <w:r>
        <w:rPr>
          <w:rFonts w:ascii="sans-serif" w:hAnsi="sans-serif"/>
          <w:b/>
          <w:color w:val="000000"/>
          <w:sz w:val="20"/>
        </w:rPr>
        <w:t>SKYBOX TICKET RESALE PLATFORM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TICKET FULFILLMENT SERVICES LP</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120" w:after="283"/>
        <w:jc w:val="center"/>
        <w:rPr>
          <w:rFonts w:ascii="sans-serif" w:hAnsi="sans-serif"/>
          <w:i/>
          <w:color w:val="000000"/>
          <w:sz w:val="20"/>
        </w:rPr>
      </w:pPr>
      <w:r>
        <w:rPr>
          <w:rFonts w:ascii="sans-serif" w:hAnsi="sans-serif"/>
          <w:i/>
          <w:color w:val="000000"/>
          <w:sz w:val="20"/>
        </w:rPr>
        <w:t>[Signature Page to Amendment No. 7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b/>
          <w:color w:val="000000"/>
          <w:sz w:val="20"/>
        </w:rPr>
      </w:pPr>
      <w:r>
        <w:rPr>
          <w:rFonts w:ascii="sans-serif" w:hAnsi="sans-serif"/>
          <w:b/>
          <w:color w:val="000000"/>
          <w:sz w:val="20"/>
        </w:rPr>
        <w:t>VIVID PICKS,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VIVID VDC,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INTERNATIONAL TICKETS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0" w:after="120"/>
        <w:jc w:val="left"/>
        <w:rPr>
          <w:rFonts w:ascii="sans-serif" w:hAnsi="sans-serif"/>
          <w:b/>
          <w:color w:val="000000"/>
          <w:sz w:val="20"/>
        </w:rPr>
      </w:pPr>
      <w:r>
        <w:rPr>
          <w:rFonts w:ascii="sans-serif" w:hAnsi="sans-serif"/>
          <w:b/>
          <w:color w:val="000000"/>
          <w:sz w:val="20"/>
        </w:rPr>
        <w:t>VIVID SEATS INTERNATIONAL LLC</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Lawrence Fey </w:t>
      </w:r>
    </w:p>
    <w:p>
      <w:pPr>
        <w:pStyle w:val="TextBody"/>
        <w:bidi w:val="0"/>
        <w:jc w:val="left"/>
        <w:rPr>
          <w:rFonts w:ascii="sans-serif" w:hAnsi="sans-serif"/>
          <w:color w:val="000000"/>
          <w:sz w:val="20"/>
        </w:rPr>
      </w:pPr>
      <w:r>
        <w:rPr>
          <w:rFonts w:ascii="sans-serif" w:hAnsi="sans-serif"/>
          <w:color w:val="000000"/>
          <w:sz w:val="20"/>
        </w:rPr>
        <w:t>Name: Lawrence Fey</w:t>
      </w:r>
    </w:p>
    <w:p>
      <w:pPr>
        <w:pStyle w:val="TextBody"/>
        <w:bidi w:val="0"/>
        <w:spacing w:before="0" w:after="120"/>
        <w:jc w:val="left"/>
        <w:rPr>
          <w:rFonts w:ascii="sans-serif" w:hAnsi="sans-serif"/>
          <w:color w:val="000000"/>
          <w:sz w:val="20"/>
        </w:rPr>
      </w:pPr>
      <w:r>
        <w:rPr>
          <w:rFonts w:ascii="sans-serif" w:hAnsi="sans-serif"/>
          <w:color w:val="000000"/>
          <w:sz w:val="20"/>
        </w:rPr>
        <w:t>Title: President and Chief Executive Officer</w:t>
      </w:r>
    </w:p>
    <w:p>
      <w:pPr>
        <w:pStyle w:val="TextBody"/>
        <w:bidi w:val="0"/>
        <w:spacing w:before="120" w:after="283"/>
        <w:jc w:val="center"/>
        <w:rPr>
          <w:rFonts w:ascii="sans-serif" w:hAnsi="sans-serif"/>
          <w:i/>
          <w:color w:val="000000"/>
          <w:sz w:val="20"/>
        </w:rPr>
      </w:pPr>
      <w:r>
        <w:rPr>
          <w:rFonts w:ascii="sans-serif" w:hAnsi="sans-serif"/>
          <w:i/>
          <w:color w:val="000000"/>
          <w:sz w:val="20"/>
        </w:rPr>
        <w:t>[Signature Page to Amendment No. 7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sans-serif" w:hAnsi="sans-serif"/>
          <w:b/>
          <w:color w:val="000000"/>
          <w:sz w:val="20"/>
        </w:rPr>
        <w:t>BARCLAYS BANK PLC</w:t>
      </w:r>
      <w:r>
        <w:rPr>
          <w:rFonts w:ascii="sans-serif" w:hAnsi="sans-serif"/>
          <w:color w:val="000000"/>
          <w:sz w:val="20"/>
        </w:rPr>
        <w:t>, as Administrative Agent, an Issuing Bank and a Revolving Lender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Sean Duggan </w:t>
      </w:r>
    </w:p>
    <w:p>
      <w:pPr>
        <w:pStyle w:val="TextBody"/>
        <w:bidi w:val="0"/>
        <w:jc w:val="left"/>
        <w:rPr>
          <w:rFonts w:ascii="sans-serif" w:hAnsi="sans-serif"/>
          <w:color w:val="000000"/>
          <w:sz w:val="20"/>
        </w:rPr>
      </w:pPr>
      <w:r>
        <w:rPr>
          <w:rFonts w:ascii="sans-serif" w:hAnsi="sans-serif"/>
          <w:color w:val="000000"/>
          <w:sz w:val="20"/>
        </w:rPr>
        <w:t>Name: Sean Duggan</w:t>
      </w:r>
    </w:p>
    <w:p>
      <w:pPr>
        <w:pStyle w:val="TextBody"/>
        <w:bidi w:val="0"/>
        <w:spacing w:before="0" w:after="120"/>
        <w:jc w:val="left"/>
        <w:rPr>
          <w:rFonts w:ascii="sans-serif" w:hAnsi="sans-serif"/>
          <w:color w:val="000000"/>
          <w:sz w:val="20"/>
        </w:rPr>
      </w:pPr>
      <w:r>
        <w:rPr>
          <w:rFonts w:ascii="sans-serif" w:hAnsi="sans-serif"/>
          <w:color w:val="000000"/>
          <w:sz w:val="20"/>
        </w:rPr>
        <w:t>Title: Director</w:t>
      </w:r>
    </w:p>
    <w:p>
      <w:pPr>
        <w:pStyle w:val="TextBody"/>
        <w:bidi w:val="0"/>
        <w:spacing w:before="0" w:after="120"/>
        <w:jc w:val="both"/>
        <w:rPr>
          <w:rFonts w:ascii="Times New Roman" w:hAnsi="Times New Roman"/>
          <w:sz w:val="20"/>
        </w:rPr>
      </w:pPr>
      <w:r>
        <w:rPr>
          <w:rFonts w:ascii="sans-serif" w:hAnsi="sans-serif"/>
          <w:b/>
          <w:color w:val="000000"/>
          <w:sz w:val="20"/>
        </w:rPr>
        <w:t>CITIBANK, N.A.</w:t>
      </w:r>
      <w:r>
        <w:rPr>
          <w:rFonts w:ascii="sans-serif" w:hAnsi="sans-serif"/>
          <w:color w:val="000000"/>
          <w:sz w:val="20"/>
        </w:rPr>
        <w:t>, as an Issuing Bank and a Revolving Lender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Stella Zhang </w:t>
      </w:r>
    </w:p>
    <w:p>
      <w:pPr>
        <w:pStyle w:val="TextBody"/>
        <w:bidi w:val="0"/>
        <w:jc w:val="left"/>
        <w:rPr>
          <w:rFonts w:ascii="sans-serif" w:hAnsi="sans-serif"/>
          <w:color w:val="000000"/>
          <w:sz w:val="20"/>
        </w:rPr>
      </w:pPr>
      <w:r>
        <w:rPr>
          <w:rFonts w:ascii="sans-serif" w:hAnsi="sans-serif"/>
          <w:color w:val="000000"/>
          <w:sz w:val="20"/>
        </w:rPr>
        <w:t>Name: Stella Zhang</w:t>
      </w:r>
    </w:p>
    <w:p>
      <w:pPr>
        <w:pStyle w:val="TextBody"/>
        <w:bidi w:val="0"/>
        <w:spacing w:before="0" w:after="120"/>
        <w:jc w:val="left"/>
        <w:rPr>
          <w:rFonts w:ascii="sans-serif" w:hAnsi="sans-serif"/>
          <w:color w:val="000000"/>
          <w:sz w:val="20"/>
        </w:rPr>
      </w:pPr>
      <w:r>
        <w:rPr>
          <w:rFonts w:ascii="sans-serif" w:hAnsi="sans-serif"/>
          <w:color w:val="000000"/>
          <w:sz w:val="20"/>
        </w:rPr>
        <w:t>Title: Vice President</w:t>
      </w:r>
    </w:p>
    <w:p>
      <w:pPr>
        <w:pStyle w:val="TextBody"/>
        <w:bidi w:val="0"/>
        <w:spacing w:before="0" w:after="120"/>
        <w:jc w:val="left"/>
        <w:rPr>
          <w:rFonts w:ascii="Times New Roman" w:hAnsi="Times New Roman"/>
          <w:sz w:val="20"/>
        </w:rPr>
      </w:pPr>
      <w:r>
        <w:rPr>
          <w:rFonts w:ascii="sans-serif" w:hAnsi="sans-serif"/>
          <w:b/>
          <w:color w:val="000000"/>
          <w:sz w:val="20"/>
        </w:rPr>
        <w:t>DEUTSCHE BANK AG NEW YORK BRANCH</w:t>
      </w:r>
      <w:r>
        <w:rPr>
          <w:rFonts w:ascii="sans-serif" w:hAnsi="sans-serif"/>
          <w:color w:val="000000"/>
          <w:sz w:val="20"/>
        </w:rPr>
        <w:t>, as an Issuing Bank and a Revolving Lender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Philip Tancorra </w:t>
      </w:r>
    </w:p>
    <w:p>
      <w:pPr>
        <w:pStyle w:val="TextBody"/>
        <w:bidi w:val="0"/>
        <w:jc w:val="left"/>
        <w:rPr>
          <w:rFonts w:ascii="sans-serif" w:hAnsi="sans-serif"/>
          <w:color w:val="000000"/>
          <w:sz w:val="20"/>
        </w:rPr>
      </w:pPr>
      <w:r>
        <w:rPr>
          <w:rFonts w:ascii="sans-serif" w:hAnsi="sans-serif"/>
          <w:color w:val="000000"/>
          <w:sz w:val="20"/>
        </w:rPr>
        <w:t>Name: Philip Tancorra</w:t>
      </w:r>
    </w:p>
    <w:p>
      <w:pPr>
        <w:pStyle w:val="TextBody"/>
        <w:bidi w:val="0"/>
        <w:spacing w:before="0" w:after="120"/>
        <w:jc w:val="left"/>
        <w:rPr>
          <w:rFonts w:ascii="sans-serif" w:hAnsi="sans-serif"/>
          <w:color w:val="000000"/>
          <w:sz w:val="20"/>
        </w:rPr>
      </w:pPr>
      <w:r>
        <w:rPr>
          <w:rFonts w:ascii="sans-serif" w:hAnsi="sans-serif"/>
          <w:color w:val="000000"/>
          <w:sz w:val="20"/>
        </w:rPr>
        <w:t>Title: Director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Craig Cheverko </w:t>
      </w:r>
    </w:p>
    <w:p>
      <w:pPr>
        <w:pStyle w:val="TextBody"/>
        <w:bidi w:val="0"/>
        <w:jc w:val="left"/>
        <w:rPr>
          <w:rFonts w:ascii="sans-serif" w:hAnsi="sans-serif"/>
          <w:color w:val="000000"/>
          <w:sz w:val="20"/>
        </w:rPr>
      </w:pPr>
      <w:r>
        <w:rPr>
          <w:rFonts w:ascii="sans-serif" w:hAnsi="sans-serif"/>
          <w:color w:val="000000"/>
          <w:sz w:val="20"/>
        </w:rPr>
        <w:t>Name: Craig Cheverko</w:t>
      </w:r>
    </w:p>
    <w:p>
      <w:pPr>
        <w:pStyle w:val="TextBody"/>
        <w:bidi w:val="0"/>
        <w:spacing w:before="0" w:after="120"/>
        <w:jc w:val="left"/>
        <w:rPr>
          <w:rFonts w:ascii="sans-serif" w:hAnsi="sans-serif"/>
          <w:color w:val="000000"/>
          <w:sz w:val="20"/>
        </w:rPr>
      </w:pPr>
      <w:r>
        <w:rPr>
          <w:rFonts w:ascii="sans-serif" w:hAnsi="sans-serif"/>
          <w:color w:val="000000"/>
          <w:sz w:val="20"/>
        </w:rPr>
        <w:t>Title: Vice President</w:t>
      </w:r>
    </w:p>
    <w:p>
      <w:pPr>
        <w:pStyle w:val="TextBody"/>
        <w:bidi w:val="0"/>
        <w:spacing w:before="0" w:after="120"/>
        <w:jc w:val="both"/>
        <w:rPr>
          <w:rFonts w:ascii="Times New Roman" w:hAnsi="Times New Roman"/>
          <w:sz w:val="20"/>
        </w:rPr>
      </w:pPr>
      <w:r>
        <w:rPr>
          <w:rFonts w:ascii="sans-serif" w:hAnsi="sans-serif"/>
          <w:b/>
          <w:color w:val="000000"/>
          <w:sz w:val="20"/>
        </w:rPr>
        <w:t>MIZUHO BANK, LTD.</w:t>
      </w:r>
      <w:r>
        <w:rPr>
          <w:rFonts w:ascii="sans-serif" w:hAnsi="sans-serif"/>
          <w:color w:val="000000"/>
          <w:sz w:val="20"/>
        </w:rPr>
        <w:t>, as an Issuing Bank and a Revolving Lender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Jonathan Lasner </w:t>
      </w:r>
    </w:p>
    <w:p>
      <w:pPr>
        <w:pStyle w:val="TextBody"/>
        <w:bidi w:val="0"/>
        <w:jc w:val="left"/>
        <w:rPr>
          <w:rFonts w:ascii="sans-serif" w:hAnsi="sans-serif"/>
          <w:color w:val="000000"/>
          <w:sz w:val="20"/>
        </w:rPr>
      </w:pPr>
      <w:r>
        <w:rPr>
          <w:rFonts w:ascii="sans-serif" w:hAnsi="sans-serif"/>
          <w:color w:val="000000"/>
          <w:sz w:val="20"/>
        </w:rPr>
        <w:t>Name: Jonathan Lasner</w:t>
      </w:r>
    </w:p>
    <w:p>
      <w:pPr>
        <w:pStyle w:val="TextBody"/>
        <w:bidi w:val="0"/>
        <w:spacing w:before="0" w:after="120"/>
        <w:jc w:val="left"/>
        <w:rPr>
          <w:rFonts w:ascii="sans-serif" w:hAnsi="sans-serif"/>
          <w:color w:val="000000"/>
          <w:sz w:val="20"/>
        </w:rPr>
      </w:pPr>
      <w:r>
        <w:rPr>
          <w:rFonts w:ascii="sans-serif" w:hAnsi="sans-serif"/>
          <w:color w:val="000000"/>
          <w:sz w:val="20"/>
        </w:rPr>
        <w:t>Title: Managing Director</w:t>
      </w:r>
    </w:p>
    <w:p>
      <w:pPr>
        <w:pStyle w:val="TextBody"/>
        <w:bidi w:val="0"/>
        <w:spacing w:before="0" w:after="120"/>
        <w:jc w:val="left"/>
        <w:rPr>
          <w:rFonts w:ascii="Times New Roman" w:hAnsi="Times New Roman"/>
          <w:sz w:val="20"/>
        </w:rPr>
      </w:pPr>
      <w:r>
        <w:rPr>
          <w:rFonts w:ascii="sans-serif" w:hAnsi="sans-serif"/>
          <w:b/>
          <w:color w:val="000000"/>
          <w:sz w:val="20"/>
        </w:rPr>
        <w:t>MORGAN STANLEY SENIOR FUNDING, INC.</w:t>
      </w:r>
      <w:r>
        <w:rPr>
          <w:rFonts w:ascii="sans-serif" w:hAnsi="sans-serif"/>
          <w:color w:val="000000"/>
          <w:sz w:val="20"/>
        </w:rPr>
        <w:t>, as an Issuing Bank and a Revolving Lender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Roberto Ellinghaus </w:t>
      </w:r>
    </w:p>
    <w:p>
      <w:pPr>
        <w:pStyle w:val="TextBody"/>
        <w:bidi w:val="0"/>
        <w:jc w:val="left"/>
        <w:rPr>
          <w:rFonts w:ascii="sans-serif" w:hAnsi="sans-serif"/>
          <w:color w:val="000000"/>
          <w:sz w:val="20"/>
        </w:rPr>
      </w:pPr>
      <w:r>
        <w:rPr>
          <w:rFonts w:ascii="sans-serif" w:hAnsi="sans-serif"/>
          <w:color w:val="000000"/>
          <w:sz w:val="20"/>
        </w:rPr>
        <w:t>Name: Roberto Ellinghaus</w:t>
      </w:r>
    </w:p>
    <w:p>
      <w:pPr>
        <w:pStyle w:val="TextBody"/>
        <w:bidi w:val="0"/>
        <w:spacing w:before="0" w:after="120"/>
        <w:jc w:val="left"/>
        <w:rPr>
          <w:rFonts w:ascii="sans-serif" w:hAnsi="sans-serif"/>
          <w:color w:val="000000"/>
          <w:sz w:val="20"/>
        </w:rPr>
      </w:pPr>
      <w:r>
        <w:rPr>
          <w:rFonts w:ascii="sans-serif" w:hAnsi="sans-serif"/>
          <w:color w:val="000000"/>
          <w:sz w:val="20"/>
        </w:rPr>
        <w:t>Title: Vice President</w:t>
      </w:r>
    </w:p>
    <w:p>
      <w:pPr>
        <w:pStyle w:val="TextBody"/>
        <w:bidi w:val="0"/>
        <w:spacing w:before="0" w:after="120"/>
        <w:jc w:val="left"/>
        <w:rPr>
          <w:rFonts w:ascii="Times New Roman" w:hAnsi="Times New Roman"/>
          <w:sz w:val="20"/>
        </w:rPr>
      </w:pPr>
      <w:r>
        <w:rPr>
          <w:rFonts w:ascii="sans-serif" w:hAnsi="sans-serif"/>
          <w:b/>
          <w:color w:val="000000"/>
          <w:sz w:val="20"/>
        </w:rPr>
        <w:t>ROYAL BANK OF CANADA</w:t>
      </w:r>
      <w:r>
        <w:rPr>
          <w:rFonts w:ascii="sans-serif" w:hAnsi="sans-serif"/>
          <w:color w:val="000000"/>
          <w:sz w:val="20"/>
        </w:rPr>
        <w:t>, as an Issuing Bank and a Revolving Lender</w:t>
      </w:r>
    </w:p>
    <w:p>
      <w:pPr>
        <w:pStyle w:val="TextBody"/>
        <w:bidi w:val="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 Hao (Alan) Wen </w:t>
      </w:r>
    </w:p>
    <w:p>
      <w:pPr>
        <w:pStyle w:val="TextBody"/>
        <w:bidi w:val="0"/>
        <w:jc w:val="left"/>
        <w:rPr>
          <w:rFonts w:ascii="sans-serif" w:hAnsi="sans-serif"/>
          <w:color w:val="000000"/>
          <w:sz w:val="20"/>
        </w:rPr>
      </w:pPr>
      <w:r>
        <w:rPr>
          <w:rFonts w:ascii="sans-serif" w:hAnsi="sans-serif"/>
          <w:color w:val="000000"/>
          <w:sz w:val="20"/>
        </w:rPr>
        <w:t>Name: Hao (Alan) Wen</w:t>
      </w:r>
    </w:p>
    <w:p>
      <w:pPr>
        <w:pStyle w:val="TextBody"/>
        <w:bidi w:val="0"/>
        <w:jc w:val="left"/>
        <w:rPr>
          <w:rFonts w:ascii="sans-serif" w:hAnsi="sans-serif"/>
          <w:color w:val="000000"/>
          <w:sz w:val="20"/>
        </w:rPr>
      </w:pPr>
      <w:r>
        <w:rPr>
          <w:rFonts w:ascii="sans-serif" w:hAnsi="sans-serif"/>
          <w:color w:val="000000"/>
          <w:sz w:val="20"/>
        </w:rPr>
        <w:t>Title: Authorized Signatory</w:t>
      </w:r>
    </w:p>
    <w:p>
      <w:pPr>
        <w:pStyle w:val="TextBody"/>
        <w:bidi w:val="0"/>
        <w:spacing w:before="120" w:after="283"/>
        <w:jc w:val="center"/>
        <w:rPr>
          <w:rFonts w:ascii="sans-serif" w:hAnsi="sans-serif"/>
          <w:i/>
          <w:color w:val="000000"/>
          <w:sz w:val="20"/>
        </w:rPr>
      </w:pPr>
      <w:r>
        <w:rPr>
          <w:rFonts w:ascii="sans-serif" w:hAnsi="sans-serif"/>
          <w:i/>
          <w:color w:val="000000"/>
          <w:sz w:val="20"/>
        </w:rPr>
        <w:t>[Signature Page to Amendment No. 7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sans-serif" w:hAnsi="sans-serif"/>
          <w:b/>
          <w:color w:val="000000"/>
          <w:sz w:val="20"/>
          <w:u w:val="single"/>
        </w:rPr>
      </w:pPr>
      <w:r>
        <w:rPr>
          <w:rFonts w:ascii="sans-serif" w:hAnsi="sans-serif"/>
          <w:b/>
          <w:color w:val="000000"/>
          <w:sz w:val="20"/>
          <w:u w:val="single"/>
        </w:rPr>
        <w:t>Annex A</w:t>
      </w:r>
    </w:p>
    <w:p>
      <w:pPr>
        <w:pStyle w:val="TextBody"/>
        <w:bidi w:val="0"/>
        <w:spacing w:before="0" w:after="120"/>
        <w:jc w:val="center"/>
        <w:rPr>
          <w:rFonts w:ascii="sans-serif" w:hAnsi="sans-serif"/>
          <w:b/>
          <w:color w:val="000000"/>
          <w:sz w:val="20"/>
          <w:u w:val="single"/>
        </w:rPr>
      </w:pPr>
      <w:r>
        <w:rPr>
          <w:rFonts w:ascii="sans-serif" w:hAnsi="sans-serif"/>
          <w:b/>
          <w:color w:val="000000"/>
          <w:sz w:val="20"/>
          <w:u w:val="single"/>
        </w:rPr>
        <w:t>Commitments and Loans</w:t>
      </w:r>
    </w:p>
    <w:p>
      <w:pPr>
        <w:pStyle w:val="TextBody"/>
        <w:bidi w:val="0"/>
        <w:spacing w:before="0" w:after="120"/>
        <w:jc w:val="center"/>
        <w:rPr>
          <w:rFonts w:ascii="sans-serif" w:hAnsi="sans-serif"/>
          <w:color w:val="000000"/>
          <w:sz w:val="20"/>
        </w:rPr>
      </w:pPr>
      <w:r>
        <w:rPr>
          <w:rFonts w:ascii="sans-serif" w:hAnsi="sans-serif"/>
          <w:color w:val="000000"/>
          <w:sz w:val="20"/>
        </w:rPr>
        <w:t>(as of the Amendment No. 7 Effective Date)</w:t>
      </w:r>
    </w:p>
    <w:p>
      <w:pPr>
        <w:pStyle w:val="TextBody"/>
        <w:bidi w:val="0"/>
        <w:spacing w:before="0" w:after="120"/>
        <w:jc w:val="center"/>
        <w:rPr>
          <w:rFonts w:ascii="sans-serif" w:hAnsi="sans-serif"/>
          <w:b/>
          <w:color w:val="000000"/>
          <w:sz w:val="20"/>
        </w:rPr>
      </w:pPr>
      <w:r>
        <w:rPr>
          <w:rFonts w:ascii="sans-serif" w:hAnsi="sans-serif"/>
          <w:b/>
          <w:color w:val="000000"/>
          <w:sz w:val="20"/>
        </w:rPr>
        <w:t>Fronting Exposure</w:t>
      </w:r>
    </w:p>
    <w:tbl>
      <w:tblPr>
        <w:tblW w:w="6366" w:type="dxa"/>
        <w:jc w:val="left"/>
        <w:tblInd w:w="0" w:type="dxa"/>
        <w:tblLayout w:type="fixed"/>
        <w:tblCellMar>
          <w:top w:w="28" w:type="dxa"/>
          <w:left w:w="28" w:type="dxa"/>
          <w:bottom w:w="28" w:type="dxa"/>
          <w:right w:w="28" w:type="dxa"/>
        </w:tblCellMar>
      </w:tblPr>
      <w:tblGrid>
        <w:gridCol w:w="3715"/>
        <w:gridCol w:w="2651"/>
      </w:tblGrid>
      <w:tr>
        <w:trPr/>
        <w:tc>
          <w:tcPr>
            <w:tcW w:w="3715"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3715" w:type="dxa"/>
            <w:tcBorders>
              <w:top w:val="single" w:sz="4" w:space="0" w:color="000000"/>
              <w:left w:val="single" w:sz="4" w:space="0" w:color="000000"/>
              <w:bottom w:val="single" w:sz="8" w:space="0" w:color="000000"/>
              <w:right w:val="single" w:sz="6" w:space="0" w:color="000000"/>
            </w:tcBorders>
            <w:shd w:fill="D9D9D9" w:val="clear"/>
            <w:tcMar>
              <w:top w:w="58" w:type="dxa"/>
              <w:left w:w="101" w:type="dxa"/>
              <w:right w:w="115" w:type="dxa"/>
            </w:tcMar>
            <w:vAlign w:val="center"/>
          </w:tcPr>
          <w:p>
            <w:pPr>
              <w:pStyle w:val="TableContents"/>
              <w:bidi w:val="0"/>
              <w:spacing w:before="60" w:after="60"/>
              <w:ind w:left="0" w:right="0" w:firstLine="1"/>
              <w:jc w:val="center"/>
              <w:rPr>
                <w:rFonts w:ascii="sans-serif" w:hAnsi="sans-serif"/>
                <w:b/>
                <w:color w:val="000000"/>
                <w:sz w:val="20"/>
              </w:rPr>
            </w:pPr>
            <w:r>
              <w:rPr>
                <w:rFonts w:ascii="sans-serif" w:hAnsi="sans-serif"/>
                <w:b/>
                <w:color w:val="000000"/>
                <w:sz w:val="20"/>
              </w:rPr>
              <w:t>Issuing Bank</w:t>
            </w:r>
          </w:p>
        </w:tc>
        <w:tc>
          <w:tcPr>
            <w:tcW w:w="2651" w:type="dxa"/>
            <w:tcBorders>
              <w:top w:val="single" w:sz="4" w:space="0" w:color="000000"/>
              <w:bottom w:val="single" w:sz="8" w:space="0" w:color="000000"/>
              <w:right w:val="single" w:sz="4" w:space="0" w:color="000000"/>
            </w:tcBorders>
            <w:shd w:fill="D9D9D9" w:val="clear"/>
            <w:tcMar>
              <w:top w:w="58" w:type="dxa"/>
              <w:left w:w="0" w:type="dxa"/>
              <w:right w:w="115" w:type="dxa"/>
            </w:tcMar>
            <w:vAlign w:val="center"/>
          </w:tcPr>
          <w:p>
            <w:pPr>
              <w:pStyle w:val="TableContents"/>
              <w:bidi w:val="0"/>
              <w:spacing w:before="60" w:after="60"/>
              <w:ind w:left="0" w:right="0" w:firstLine="10"/>
              <w:jc w:val="center"/>
              <w:rPr>
                <w:rFonts w:ascii="sans-serif" w:hAnsi="sans-serif"/>
                <w:b/>
                <w:color w:val="000000"/>
                <w:sz w:val="20"/>
              </w:rPr>
            </w:pPr>
            <w:r>
              <w:rPr>
                <w:rFonts w:ascii="sans-serif" w:hAnsi="sans-serif"/>
                <w:b/>
                <w:color w:val="000000"/>
                <w:sz w:val="20"/>
              </w:rPr>
              <w:t>Fronting Exposure Cap</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color w:val="000000"/>
                <w:sz w:val="20"/>
              </w:rPr>
              <w:t>Barclays Bank PLC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6"/>
              <w:jc w:val="center"/>
              <w:rPr>
                <w:rFonts w:ascii="Times New Roman" w:hAnsi="Times New Roman"/>
                <w:sz w:val="20"/>
              </w:rPr>
            </w:pPr>
            <w:r>
              <w:rPr>
                <w:rFonts w:ascii="sans-serif" w:hAnsi="sans-serif"/>
                <w:color w:val="000000"/>
                <w:sz w:val="20"/>
              </w:rPr>
              <w:t>$3,571,428.57</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6"/>
              <w:jc w:val="center"/>
              <w:rPr>
                <w:rFonts w:ascii="Times New Roman" w:hAnsi="Times New Roman"/>
                <w:sz w:val="20"/>
              </w:rPr>
            </w:pPr>
            <w:r>
              <w:rPr>
                <w:rFonts w:ascii="sans-serif" w:hAnsi="sans-serif"/>
                <w:color w:val="000000"/>
                <w:sz w:val="20"/>
              </w:rPr>
              <w:t>Bank of America, N.A.</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color w:val="000000"/>
                <w:sz w:val="20"/>
              </w:rPr>
              <w:t>$1,428,571.42</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color w:val="000000"/>
                <w:sz w:val="20"/>
              </w:rPr>
              <w:t>Citibank, N.A.</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8"/>
              <w:jc w:val="center"/>
              <w:rPr>
                <w:rFonts w:ascii="Times New Roman" w:hAnsi="Times New Roman"/>
                <w:sz w:val="20"/>
              </w:rPr>
            </w:pPr>
            <w:r>
              <w:rPr>
                <w:rFonts w:ascii="sans-serif" w:hAnsi="sans-serif"/>
                <w:color w:val="000000"/>
                <w:sz w:val="20"/>
              </w:rPr>
              <w:t>$3,571,428.57</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8"/>
              <w:jc w:val="center"/>
              <w:rPr>
                <w:rFonts w:ascii="Times New Roman" w:hAnsi="Times New Roman"/>
                <w:sz w:val="20"/>
              </w:rPr>
            </w:pPr>
            <w:r>
              <w:rPr>
                <w:rFonts w:ascii="sans-serif" w:hAnsi="sans-serif"/>
                <w:color w:val="000000"/>
                <w:sz w:val="20"/>
              </w:rPr>
              <w:t>Mizuho Bank, Ltd.</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color w:val="000000"/>
                <w:sz w:val="20"/>
              </w:rPr>
              <w:t>$3,571,428.57</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color w:val="000000"/>
                <w:sz w:val="20"/>
              </w:rPr>
              <w:t>Deutsche Bank AG New York Branch</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5"/>
              <w:jc w:val="center"/>
              <w:rPr>
                <w:rFonts w:ascii="Times New Roman" w:hAnsi="Times New Roman"/>
                <w:sz w:val="20"/>
              </w:rPr>
            </w:pPr>
            <w:r>
              <w:rPr>
                <w:rFonts w:ascii="sans-serif" w:hAnsi="sans-serif"/>
                <w:color w:val="000000"/>
                <w:sz w:val="20"/>
              </w:rPr>
              <w:t>$3,571,428.57</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5"/>
              <w:jc w:val="center"/>
              <w:rPr>
                <w:rFonts w:ascii="Times New Roman" w:hAnsi="Times New Roman"/>
                <w:sz w:val="20"/>
              </w:rPr>
            </w:pPr>
            <w:r>
              <w:rPr>
                <w:rFonts w:ascii="sans-serif" w:hAnsi="sans-serif"/>
                <w:color w:val="000000"/>
                <w:sz w:val="20"/>
              </w:rPr>
              <w:t>Morgan Stanley Senior Funding,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8"/>
              <w:jc w:val="center"/>
              <w:rPr>
                <w:rFonts w:ascii="Times New Roman" w:hAnsi="Times New Roman"/>
                <w:sz w:val="20"/>
              </w:rPr>
            </w:pPr>
            <w:r>
              <w:rPr>
                <w:rFonts w:ascii="sans-serif" w:hAnsi="sans-serif"/>
                <w:color w:val="000000"/>
                <w:sz w:val="20"/>
              </w:rPr>
              <w:t>$3,571,428.57</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8"/>
              <w:jc w:val="center"/>
              <w:rPr>
                <w:rFonts w:ascii="Times New Roman" w:hAnsi="Times New Roman"/>
                <w:sz w:val="20"/>
              </w:rPr>
            </w:pPr>
            <w:r>
              <w:rPr>
                <w:rFonts w:ascii="sans-serif" w:hAnsi="sans-serif"/>
                <w:color w:val="000000"/>
                <w:sz w:val="20"/>
              </w:rPr>
              <w:t>Royal Bank of Canada</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5"/>
              <w:jc w:val="center"/>
              <w:rPr>
                <w:rFonts w:ascii="Times New Roman" w:hAnsi="Times New Roman"/>
                <w:sz w:val="20"/>
              </w:rPr>
            </w:pPr>
            <w:r>
              <w:rPr>
                <w:rFonts w:ascii="sans-serif" w:hAnsi="sans-serif"/>
                <w:color w:val="000000"/>
                <w:sz w:val="20"/>
              </w:rPr>
              <w:t>$3,571,428.57</w:t>
            </w:r>
            <w:r>
              <w:rPr>
                <w:rFonts w:ascii="Times New Roman" w:hAnsi="Times New Roman"/>
                <w:color w:val="000000"/>
                <w:sz w:val="20"/>
              </w:rPr>
              <w:t xml:space="preserve"> </w:t>
            </w:r>
          </w:p>
        </w:tc>
      </w:tr>
      <w:tr>
        <w:trPr/>
        <w:tc>
          <w:tcPr>
            <w:tcW w:w="3715"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b/>
                <w:color w:val="000000"/>
                <w:sz w:val="20"/>
              </w:rPr>
              <w:t>Total</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9"/>
              <w:jc w:val="center"/>
              <w:rPr>
                <w:rFonts w:ascii="Times New Roman" w:hAnsi="Times New Roman"/>
                <w:sz w:val="20"/>
              </w:rPr>
            </w:pPr>
            <w:r>
              <w:rPr>
                <w:rFonts w:ascii="sans-serif" w:hAnsi="sans-serif"/>
                <w:b/>
                <w:color w:val="000000"/>
                <w:sz w:val="20"/>
              </w:rPr>
              <w:t>$22,857,142.84</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0" w:after="120"/>
        <w:jc w:val="both"/>
        <w:rPr/>
      </w:pPr>
      <w:r>
        <w:rPr/>
        <w:t> </w:t>
      </w:r>
    </w:p>
    <w:p>
      <w:pPr>
        <w:pStyle w:val="TextBody"/>
        <w:bidi w:val="0"/>
        <w:jc w:val="left"/>
        <w:rPr/>
      </w:pPr>
      <w:r>
        <w:rPr/>
        <w:t> </w:t>
      </w:r>
    </w:p>
    <w:p>
      <w:pPr>
        <w:pStyle w:val="TextBody"/>
        <w:bidi w:val="0"/>
        <w:spacing w:before="0" w:after="120"/>
        <w:jc w:val="both"/>
        <w:rPr/>
      </w:pPr>
      <w:r>
        <w:rPr/>
        <w:t> </w:t>
      </w:r>
    </w:p>
    <w:p>
      <w:pPr>
        <w:pStyle w:val="TextBody"/>
        <w:bidi w:val="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20"/>
        <w:jc w:val="center"/>
        <w:rPr>
          <w:rFonts w:ascii="sans-serif" w:hAnsi="sans-serif"/>
          <w:b/>
          <w:color w:val="000000"/>
          <w:sz w:val="20"/>
          <w:u w:val="single"/>
        </w:rPr>
      </w:pPr>
      <w:r>
        <w:rPr>
          <w:rFonts w:ascii="sans-serif" w:hAnsi="sans-serif"/>
          <w:b/>
          <w:color w:val="000000"/>
          <w:sz w:val="20"/>
          <w:u w:val="single"/>
        </w:rPr>
        <w:t>Annex B</w:t>
      </w:r>
    </w:p>
    <w:p>
      <w:pPr>
        <w:pStyle w:val="TextBody"/>
        <w:bidi w:val="0"/>
        <w:spacing w:before="0" w:after="120"/>
        <w:jc w:val="center"/>
        <w:rPr>
          <w:rFonts w:ascii="sans-serif" w:hAnsi="sans-serif"/>
          <w:b/>
          <w:color w:val="000000"/>
          <w:sz w:val="20"/>
          <w:u w:val="single"/>
        </w:rPr>
      </w:pPr>
      <w:r>
        <w:rPr>
          <w:rFonts w:ascii="sans-serif" w:hAnsi="sans-serif"/>
          <w:b/>
          <w:color w:val="000000"/>
          <w:sz w:val="20"/>
          <w:u w:val="single"/>
        </w:rPr>
        <w:t>Letter of Credit Commitments</w:t>
      </w:r>
    </w:p>
    <w:p>
      <w:pPr>
        <w:pStyle w:val="TextBody"/>
        <w:bidi w:val="0"/>
        <w:spacing w:before="0" w:after="120"/>
        <w:jc w:val="center"/>
        <w:rPr>
          <w:rFonts w:ascii="sans-serif" w:hAnsi="sans-serif"/>
          <w:color w:val="000000"/>
          <w:sz w:val="20"/>
        </w:rPr>
      </w:pPr>
      <w:r>
        <w:rPr>
          <w:rFonts w:ascii="sans-serif" w:hAnsi="sans-serif"/>
          <w:color w:val="000000"/>
          <w:sz w:val="20"/>
        </w:rPr>
        <w:t>(as of the Amendment No. 7 Effective Date)</w:t>
      </w:r>
    </w:p>
    <w:tbl>
      <w:tblPr>
        <w:tblW w:w="7026" w:type="dxa"/>
        <w:jc w:val="left"/>
        <w:tblInd w:w="0" w:type="dxa"/>
        <w:tblLayout w:type="fixed"/>
        <w:tblCellMar>
          <w:top w:w="28" w:type="dxa"/>
          <w:left w:w="28" w:type="dxa"/>
          <w:bottom w:w="28" w:type="dxa"/>
          <w:right w:w="28" w:type="dxa"/>
        </w:tblCellMar>
      </w:tblPr>
      <w:tblGrid>
        <w:gridCol w:w="3670"/>
        <w:gridCol w:w="3356"/>
      </w:tblGrid>
      <w:tr>
        <w:trPr/>
        <w:tc>
          <w:tcPr>
            <w:tcW w:w="3670" w:type="dxa"/>
            <w:tcBorders/>
            <w:vAlign w:val="center"/>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3670" w:type="dxa"/>
            <w:tcBorders>
              <w:top w:val="single" w:sz="4" w:space="0" w:color="000000"/>
              <w:left w:val="single" w:sz="4" w:space="0" w:color="000000"/>
              <w:bottom w:val="single" w:sz="8" w:space="0" w:color="000000"/>
              <w:right w:val="single" w:sz="6" w:space="0" w:color="000000"/>
            </w:tcBorders>
            <w:shd w:fill="D9D9D9" w:val="clear"/>
            <w:tcMar>
              <w:top w:w="58" w:type="dxa"/>
              <w:left w:w="101" w:type="dxa"/>
              <w:right w:w="115" w:type="dxa"/>
            </w:tcMar>
            <w:vAlign w:val="center"/>
          </w:tcPr>
          <w:p>
            <w:pPr>
              <w:pStyle w:val="TableContents"/>
              <w:bidi w:val="0"/>
              <w:spacing w:before="60" w:after="60"/>
              <w:ind w:left="0" w:right="0" w:firstLine="1"/>
              <w:jc w:val="center"/>
              <w:rPr>
                <w:rFonts w:ascii="sans-serif" w:hAnsi="sans-serif"/>
                <w:b/>
                <w:color w:val="000000"/>
                <w:sz w:val="20"/>
              </w:rPr>
            </w:pPr>
            <w:r>
              <w:rPr>
                <w:rFonts w:ascii="sans-serif" w:hAnsi="sans-serif"/>
                <w:b/>
                <w:color w:val="000000"/>
                <w:sz w:val="20"/>
              </w:rPr>
              <w:t>Issuing Bank</w:t>
            </w:r>
          </w:p>
        </w:tc>
        <w:tc>
          <w:tcPr>
            <w:tcW w:w="3356" w:type="dxa"/>
            <w:tcBorders>
              <w:top w:val="single" w:sz="4" w:space="0" w:color="000000"/>
              <w:bottom w:val="single" w:sz="8" w:space="0" w:color="000000"/>
              <w:right w:val="single" w:sz="4" w:space="0" w:color="000000"/>
            </w:tcBorders>
            <w:shd w:fill="D9D9D9" w:val="clear"/>
            <w:tcMar>
              <w:top w:w="58" w:type="dxa"/>
              <w:left w:w="0" w:type="dxa"/>
              <w:right w:w="115" w:type="dxa"/>
            </w:tcMar>
            <w:vAlign w:val="center"/>
          </w:tcPr>
          <w:p>
            <w:pPr>
              <w:pStyle w:val="TableContents"/>
              <w:bidi w:val="0"/>
              <w:spacing w:before="60" w:after="60"/>
              <w:ind w:left="0" w:right="0" w:firstLine="10"/>
              <w:jc w:val="center"/>
              <w:rPr>
                <w:rFonts w:ascii="sans-serif" w:hAnsi="sans-serif"/>
                <w:b/>
                <w:color w:val="000000"/>
                <w:sz w:val="20"/>
              </w:rPr>
            </w:pPr>
            <w:r>
              <w:rPr>
                <w:rFonts w:ascii="sans-serif" w:hAnsi="sans-serif"/>
                <w:b/>
                <w:color w:val="000000"/>
                <w:sz w:val="20"/>
              </w:rPr>
              <w:t>Letter of Credit Commitment</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sans-serif" w:hAnsi="sans-serif"/>
                <w:color w:val="000000"/>
                <w:sz w:val="20"/>
              </w:rPr>
            </w:pPr>
            <w:r>
              <w:rPr>
                <w:rFonts w:ascii="sans-serif" w:hAnsi="sans-serif"/>
                <w:color w:val="000000"/>
                <w:sz w:val="20"/>
              </w:rPr>
              <w:t>Barclays Bank PLC</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6"/>
              <w:jc w:val="center"/>
              <w:rPr>
                <w:rFonts w:ascii="sans-serif" w:hAnsi="sans-serif"/>
                <w:color w:val="000000"/>
                <w:sz w:val="20"/>
              </w:rPr>
            </w:pPr>
            <w:r>
              <w:rPr>
                <w:rFonts w:ascii="sans-serif" w:hAnsi="sans-serif"/>
                <w:color w:val="000000"/>
                <w:sz w:val="20"/>
              </w:rPr>
              <w:t>$3,571,428.57</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6"/>
              <w:jc w:val="center"/>
              <w:rPr>
                <w:rFonts w:ascii="sans-serif" w:hAnsi="sans-serif"/>
                <w:color w:val="000000"/>
                <w:sz w:val="20"/>
              </w:rPr>
            </w:pPr>
            <w:r>
              <w:rPr>
                <w:rFonts w:ascii="sans-serif" w:hAnsi="sans-serif"/>
                <w:color w:val="000000"/>
                <w:sz w:val="20"/>
              </w:rPr>
              <w:t>Bank of America, N.A.</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9"/>
              <w:jc w:val="center"/>
              <w:rPr>
                <w:rFonts w:ascii="sans-serif" w:hAnsi="sans-serif"/>
                <w:color w:val="000000"/>
                <w:sz w:val="20"/>
              </w:rPr>
            </w:pPr>
            <w:r>
              <w:rPr>
                <w:rFonts w:ascii="sans-serif" w:hAnsi="sans-serif"/>
                <w:color w:val="000000"/>
                <w:sz w:val="20"/>
              </w:rPr>
              <w:t>$1,428,571.42</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sans-serif" w:hAnsi="sans-serif"/>
                <w:color w:val="000000"/>
                <w:sz w:val="20"/>
              </w:rPr>
            </w:pPr>
            <w:r>
              <w:rPr>
                <w:rFonts w:ascii="sans-serif" w:hAnsi="sans-serif"/>
                <w:color w:val="000000"/>
                <w:sz w:val="20"/>
              </w:rPr>
              <w:t>Citibank, N.A.</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8"/>
              <w:jc w:val="center"/>
              <w:rPr>
                <w:rFonts w:ascii="sans-serif" w:hAnsi="sans-serif"/>
                <w:color w:val="000000"/>
                <w:sz w:val="20"/>
              </w:rPr>
            </w:pPr>
            <w:r>
              <w:rPr>
                <w:rFonts w:ascii="sans-serif" w:hAnsi="sans-serif"/>
                <w:color w:val="000000"/>
                <w:sz w:val="20"/>
              </w:rPr>
              <w:t>$3,571,428.57</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8"/>
              <w:jc w:val="center"/>
              <w:rPr>
                <w:rFonts w:ascii="sans-serif" w:hAnsi="sans-serif"/>
                <w:color w:val="000000"/>
                <w:sz w:val="20"/>
              </w:rPr>
            </w:pPr>
            <w:r>
              <w:rPr>
                <w:rFonts w:ascii="sans-serif" w:hAnsi="sans-serif"/>
                <w:color w:val="000000"/>
                <w:sz w:val="20"/>
              </w:rPr>
              <w:t>Mizuho Bank, Ltd.</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9"/>
              <w:jc w:val="center"/>
              <w:rPr>
                <w:rFonts w:ascii="sans-serif" w:hAnsi="sans-serif"/>
                <w:color w:val="000000"/>
                <w:sz w:val="20"/>
              </w:rPr>
            </w:pPr>
            <w:r>
              <w:rPr>
                <w:rFonts w:ascii="sans-serif" w:hAnsi="sans-serif"/>
                <w:color w:val="000000"/>
                <w:sz w:val="20"/>
              </w:rPr>
              <w:t>$3,571,428.57</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sans-serif" w:hAnsi="sans-serif"/>
                <w:color w:val="000000"/>
                <w:sz w:val="20"/>
              </w:rPr>
            </w:pPr>
            <w:r>
              <w:rPr>
                <w:rFonts w:ascii="sans-serif" w:hAnsi="sans-serif"/>
                <w:color w:val="000000"/>
                <w:sz w:val="20"/>
              </w:rPr>
              <w:t>Deutsche Bank AG New York Branch</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5"/>
              <w:jc w:val="center"/>
              <w:rPr>
                <w:rFonts w:ascii="sans-serif" w:hAnsi="sans-serif"/>
                <w:color w:val="000000"/>
                <w:sz w:val="20"/>
              </w:rPr>
            </w:pPr>
            <w:r>
              <w:rPr>
                <w:rFonts w:ascii="sans-serif" w:hAnsi="sans-serif"/>
                <w:color w:val="000000"/>
                <w:sz w:val="20"/>
              </w:rPr>
              <w:t>$3,571,428.57</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5"/>
              <w:jc w:val="center"/>
              <w:rPr>
                <w:rFonts w:ascii="sans-serif" w:hAnsi="sans-serif"/>
                <w:color w:val="000000"/>
                <w:sz w:val="20"/>
              </w:rPr>
            </w:pPr>
            <w:r>
              <w:rPr>
                <w:rFonts w:ascii="sans-serif" w:hAnsi="sans-serif"/>
                <w:color w:val="000000"/>
                <w:sz w:val="20"/>
              </w:rPr>
              <w:t>Morgan Stanley Senior Funding, Inc.</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8"/>
              <w:jc w:val="center"/>
              <w:rPr>
                <w:rFonts w:ascii="sans-serif" w:hAnsi="sans-serif"/>
                <w:color w:val="000000"/>
                <w:sz w:val="20"/>
              </w:rPr>
            </w:pPr>
            <w:r>
              <w:rPr>
                <w:rFonts w:ascii="sans-serif" w:hAnsi="sans-serif"/>
                <w:color w:val="000000"/>
                <w:sz w:val="20"/>
              </w:rPr>
              <w:t>$3,571,428.57</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8"/>
              <w:jc w:val="center"/>
              <w:rPr>
                <w:rFonts w:ascii="sans-serif" w:hAnsi="sans-serif"/>
                <w:color w:val="000000"/>
                <w:sz w:val="20"/>
              </w:rPr>
            </w:pPr>
            <w:r>
              <w:rPr>
                <w:rFonts w:ascii="sans-serif" w:hAnsi="sans-serif"/>
                <w:color w:val="000000"/>
                <w:sz w:val="20"/>
              </w:rPr>
              <w:t>Royal Bank of Canada</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5"/>
              <w:jc w:val="center"/>
              <w:rPr>
                <w:rFonts w:ascii="sans-serif" w:hAnsi="sans-serif"/>
                <w:color w:val="000000"/>
                <w:sz w:val="20"/>
              </w:rPr>
            </w:pPr>
            <w:r>
              <w:rPr>
                <w:rFonts w:ascii="sans-serif" w:hAnsi="sans-serif"/>
                <w:color w:val="000000"/>
                <w:sz w:val="20"/>
              </w:rPr>
              <w:t>$3,571,428.57</w:t>
            </w:r>
          </w:p>
        </w:tc>
      </w:tr>
      <w:tr>
        <w:trPr/>
        <w:tc>
          <w:tcPr>
            <w:tcW w:w="3670" w:type="dxa"/>
            <w:tcBorders>
              <w:left w:val="single" w:sz="4" w:space="0" w:color="000000"/>
              <w:bottom w:val="single" w:sz="4" w:space="0" w:color="000000"/>
              <w:right w:val="single" w:sz="6" w:space="0" w:color="000000"/>
            </w:tcBorders>
            <w:tcMar>
              <w:top w:w="0" w:type="dxa"/>
              <w:left w:w="101" w:type="dxa"/>
              <w:right w:w="115" w:type="dxa"/>
            </w:tcMar>
            <w:vAlign w:val="center"/>
          </w:tcPr>
          <w:p>
            <w:pPr>
              <w:pStyle w:val="TableContents"/>
              <w:bidi w:val="0"/>
              <w:spacing w:before="60" w:after="60"/>
              <w:ind w:left="0" w:right="0" w:firstLine="9"/>
              <w:jc w:val="center"/>
              <w:rPr>
                <w:rFonts w:ascii="sans-serif" w:hAnsi="sans-serif"/>
                <w:b/>
                <w:color w:val="000000"/>
                <w:sz w:val="20"/>
              </w:rPr>
            </w:pPr>
            <w:r>
              <w:rPr>
                <w:rFonts w:ascii="sans-serif" w:hAnsi="sans-serif"/>
                <w:b/>
                <w:color w:val="000000"/>
                <w:sz w:val="20"/>
              </w:rPr>
              <w:t>Total</w:t>
            </w:r>
          </w:p>
        </w:tc>
        <w:tc>
          <w:tcPr>
            <w:tcW w:w="33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9"/>
              <w:jc w:val="center"/>
              <w:rPr>
                <w:rFonts w:ascii="sans-serif" w:hAnsi="sans-serif"/>
                <w:b/>
                <w:color w:val="000000"/>
                <w:sz w:val="20"/>
              </w:rPr>
            </w:pPr>
            <w:r>
              <w:rPr>
                <w:rFonts w:ascii="sans-serif" w:hAnsi="sans-serif"/>
                <w:b/>
                <w:color w:val="000000"/>
                <w:sz w:val="20"/>
              </w:rPr>
              <w:t>$22,857,142.84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pPr>
      <w:bookmarkStart w:id="25" w:name="seat-ex10_2.htm"/>
      <w:bookmarkStart w:id="26" w:name="ksseatex10_2"/>
      <w:bookmarkEnd w:id="25"/>
      <w:bookmarkEnd w:id="26"/>
      <w:r>
        <w:rPr/>
        <w:t> </w:t>
      </w:r>
      <w:r>
        <w:br w:type="page"/>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CREDIT AGREEMENT</w:t>
      </w:r>
    </w:p>
    <w:p>
      <w:pPr>
        <w:pStyle w:val="TextBody"/>
        <w:bidi w:val="0"/>
        <w:spacing w:before="0" w:after="240"/>
        <w:jc w:val="center"/>
        <w:rPr>
          <w:rFonts w:ascii="Times New Roman" w:hAnsi="Times New Roman"/>
          <w:sz w:val="20"/>
        </w:rPr>
      </w:pPr>
      <w:r>
        <w:rPr>
          <w:rFonts w:ascii="Times New Roman" w:hAnsi="Times New Roman"/>
          <w:color w:val="000000"/>
          <w:sz w:val="24"/>
        </w:rPr>
        <w:t>dated as of</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August 3, 2026</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among</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VDC-MGG HOLDINGS, LLC,</w:t>
        <w:br/>
        <w:t>as Holdings,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VEGAS.COM, LLC,</w:t>
        <w:br/>
        <w:t>as Borrower,</w:t>
      </w:r>
    </w:p>
    <w:p>
      <w:pPr>
        <w:pStyle w:val="TextBody"/>
        <w:bidi w:val="0"/>
        <w:spacing w:before="0" w:after="240"/>
        <w:jc w:val="center"/>
        <w:rPr>
          <w:rFonts w:ascii="Times New Roman" w:hAnsi="Times New Roman"/>
          <w:sz w:val="20"/>
        </w:rPr>
      </w:pPr>
      <w:r>
        <w:rPr>
          <w:rFonts w:ascii="Times New Roman" w:hAnsi="Times New Roman"/>
          <w:color w:val="000000"/>
          <w:sz w:val="24"/>
        </w:rPr>
        <w:t>the Lenders and Issuing Banks party hereto</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BARCLAYS BANK PLC,</w:t>
        <w:br/>
        <w:t>as Administrative Agent, Collateral Agent, an Issuing Bank and Swing Line Lender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BARCLAYS BANK PLC, BANK OF AMERICA, N.A., CITIBANK, N.A., DEUTSCHE BANK AG NEW YORK BRANCH, MIZUHO BANK, LTD., MORGAN STANLEY SENIOR FUNDING, INC. and ROYAL BANK OF CANADA,</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Joint Lead Arrangers and Joint Bookrunners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Page</w:t>
      </w:r>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I — DEFINITIONS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1.01</w:t>
            </w:r>
            <w:r>
              <w:rPr>
                <w:rFonts w:ascii="Times New Roman" w:hAnsi="Times New Roman"/>
                <w:color w:val="000000"/>
                <w:sz w:val="24"/>
              </w:rPr>
              <w:t> Defined Terms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1.02</w:t>
            </w:r>
            <w:r>
              <w:rPr>
                <w:rFonts w:ascii="Times New Roman" w:hAnsi="Times New Roman"/>
                <w:color w:val="000000"/>
                <w:sz w:val="24"/>
              </w:rPr>
              <w:t> Classification of Loans and Borrowings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79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1.03</w:t>
            </w:r>
            <w:r>
              <w:rPr>
                <w:rFonts w:ascii="Times New Roman" w:hAnsi="Times New Roman"/>
                <w:color w:val="000000"/>
                <w:sz w:val="24"/>
              </w:rPr>
              <w:t> Terms Generally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79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1.04</w:t>
            </w:r>
            <w:r>
              <w:rPr>
                <w:rFonts w:ascii="Times New Roman" w:hAnsi="Times New Roman"/>
                <w:color w:val="000000"/>
                <w:sz w:val="24"/>
              </w:rPr>
              <w:t> Accounting Terms; GAAP</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79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1.05</w:t>
            </w:r>
            <w:r>
              <w:rPr>
                <w:rFonts w:ascii="Times New Roman" w:hAnsi="Times New Roman"/>
                <w:color w:val="000000"/>
                <w:sz w:val="24"/>
              </w:rPr>
              <w:t> Effectuation of Transactions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1.06</w:t>
            </w:r>
            <w:r>
              <w:rPr>
                <w:rFonts w:ascii="Times New Roman" w:hAnsi="Times New Roman"/>
                <w:color w:val="000000"/>
                <w:sz w:val="24"/>
              </w:rPr>
              <w:t> [Reserved]</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1.07</w:t>
            </w:r>
            <w:r>
              <w:rPr>
                <w:rFonts w:ascii="Times New Roman" w:hAnsi="Times New Roman"/>
                <w:color w:val="000000"/>
                <w:sz w:val="24"/>
              </w:rPr>
              <w:t> Currency Equivalents Generally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1.08</w:t>
            </w:r>
            <w:r>
              <w:rPr>
                <w:rFonts w:ascii="Times New Roman" w:hAnsi="Times New Roman"/>
                <w:color w:val="000000"/>
                <w:sz w:val="24"/>
              </w:rPr>
              <w:t> Times of Day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1.09</w:t>
            </w:r>
            <w:r>
              <w:rPr>
                <w:rFonts w:ascii="Times New Roman" w:hAnsi="Times New Roman"/>
                <w:color w:val="000000"/>
                <w:sz w:val="24"/>
              </w:rPr>
              <w:t> Timing of Payment or Performance</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1.10</w:t>
            </w:r>
            <w:r>
              <w:rPr>
                <w:rFonts w:ascii="Times New Roman" w:hAnsi="Times New Roman"/>
                <w:color w:val="000000"/>
                <w:sz w:val="24"/>
              </w:rPr>
              <w:t> Certifications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1.11</w:t>
            </w:r>
            <w:r>
              <w:rPr>
                <w:rFonts w:ascii="Times New Roman" w:hAnsi="Times New Roman"/>
                <w:color w:val="000000"/>
                <w:sz w:val="24"/>
              </w:rPr>
              <w:t> Effect of Benchmark Transition Event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1.12</w:t>
            </w:r>
            <w:r>
              <w:rPr>
                <w:rFonts w:ascii="Times New Roman" w:hAnsi="Times New Roman"/>
                <w:color w:val="000000"/>
                <w:sz w:val="24"/>
              </w:rPr>
              <w:t> Compliance with Certain Sections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1.13</w:t>
            </w:r>
            <w:r>
              <w:rPr>
                <w:rFonts w:ascii="Times New Roman" w:hAnsi="Times New Roman"/>
                <w:color w:val="000000"/>
                <w:sz w:val="24"/>
              </w:rPr>
              <w:t> Divisions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84</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II — THE CREDITS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84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2.01</w:t>
            </w:r>
            <w:r>
              <w:rPr>
                <w:rFonts w:ascii="Times New Roman" w:hAnsi="Times New Roman"/>
                <w:color w:val="000000"/>
                <w:sz w:val="24"/>
              </w:rPr>
              <w:t> Commitments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2.02</w:t>
            </w:r>
            <w:r>
              <w:rPr>
                <w:rFonts w:ascii="Times New Roman" w:hAnsi="Times New Roman"/>
                <w:color w:val="000000"/>
                <w:sz w:val="24"/>
              </w:rPr>
              <w:t> Loans and Borrowings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2.03</w:t>
            </w:r>
            <w:r>
              <w:rPr>
                <w:rFonts w:ascii="Times New Roman" w:hAnsi="Times New Roman"/>
                <w:color w:val="000000"/>
                <w:sz w:val="24"/>
              </w:rPr>
              <w:t> Requests for Borrowings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2.04</w:t>
            </w:r>
            <w:r>
              <w:rPr>
                <w:rFonts w:ascii="Times New Roman" w:hAnsi="Times New Roman"/>
                <w:color w:val="000000"/>
                <w:sz w:val="24"/>
              </w:rPr>
              <w:t> Swing Line Loans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2.05</w:t>
            </w:r>
            <w:r>
              <w:rPr>
                <w:rFonts w:ascii="Times New Roman" w:hAnsi="Times New Roman"/>
                <w:color w:val="000000"/>
                <w:sz w:val="24"/>
              </w:rPr>
              <w:t> Letters of Credit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89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2.06</w:t>
            </w:r>
            <w:r>
              <w:rPr>
                <w:rFonts w:ascii="Times New Roman" w:hAnsi="Times New Roman"/>
                <w:color w:val="000000"/>
                <w:sz w:val="24"/>
              </w:rPr>
              <w:t> Funding of Borrowings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96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2.07</w:t>
            </w:r>
            <w:r>
              <w:rPr>
                <w:rFonts w:ascii="Times New Roman" w:hAnsi="Times New Roman"/>
                <w:color w:val="000000"/>
                <w:sz w:val="24"/>
              </w:rPr>
              <w:t> Interest Elections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97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2.08</w:t>
            </w:r>
            <w:r>
              <w:rPr>
                <w:rFonts w:ascii="Times New Roman" w:hAnsi="Times New Roman"/>
                <w:color w:val="000000"/>
                <w:sz w:val="24"/>
              </w:rPr>
              <w:t> Termination and Reduction of Commitments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98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2.09</w:t>
            </w:r>
            <w:r>
              <w:rPr>
                <w:rFonts w:ascii="Times New Roman" w:hAnsi="Times New Roman"/>
                <w:color w:val="000000"/>
                <w:sz w:val="24"/>
              </w:rPr>
              <w:t> Repayment of Loans; Evidence of Debt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99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2.10</w:t>
            </w:r>
            <w:r>
              <w:rPr>
                <w:rFonts w:ascii="Times New Roman" w:hAnsi="Times New Roman"/>
                <w:color w:val="000000"/>
                <w:sz w:val="24"/>
              </w:rPr>
              <w:t> [Reserved]</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2.11</w:t>
            </w:r>
            <w:r>
              <w:rPr>
                <w:rFonts w:ascii="Times New Roman" w:hAnsi="Times New Roman"/>
                <w:color w:val="000000"/>
                <w:sz w:val="24"/>
              </w:rPr>
              <w:t> Prepayment of Loans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2.12</w:t>
            </w:r>
            <w:r>
              <w:rPr>
                <w:rFonts w:ascii="Times New Roman" w:hAnsi="Times New Roman"/>
                <w:color w:val="000000"/>
                <w:sz w:val="24"/>
              </w:rPr>
              <w:t> Fees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2.13</w:t>
            </w:r>
            <w:r>
              <w:rPr>
                <w:rFonts w:ascii="Times New Roman" w:hAnsi="Times New Roman"/>
                <w:color w:val="000000"/>
                <w:sz w:val="24"/>
              </w:rPr>
              <w:t> Interest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2.14</w:t>
            </w:r>
            <w:r>
              <w:rPr>
                <w:rFonts w:ascii="Times New Roman" w:hAnsi="Times New Roman"/>
                <w:color w:val="000000"/>
                <w:sz w:val="24"/>
              </w:rPr>
              <w:t> Alternate Rate of Interest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2.15</w:t>
            </w:r>
            <w:r>
              <w:rPr>
                <w:rFonts w:ascii="Times New Roman" w:hAnsi="Times New Roman"/>
                <w:color w:val="000000"/>
                <w:sz w:val="24"/>
              </w:rPr>
              <w:t> Increased Costs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2.16</w:t>
            </w:r>
            <w:r>
              <w:rPr>
                <w:rFonts w:ascii="Times New Roman" w:hAnsi="Times New Roman"/>
                <w:color w:val="000000"/>
                <w:sz w:val="24"/>
              </w:rPr>
              <w:t> Break Funding Payments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2.17</w:t>
            </w:r>
            <w:r>
              <w:rPr>
                <w:rFonts w:ascii="Times New Roman" w:hAnsi="Times New Roman"/>
                <w:color w:val="000000"/>
                <w:sz w:val="24"/>
              </w:rPr>
              <w:t> Taxes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108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2.18</w:t>
            </w:r>
            <w:r>
              <w:rPr>
                <w:rFonts w:ascii="Times New Roman" w:hAnsi="Times New Roman"/>
                <w:color w:val="000000"/>
                <w:sz w:val="24"/>
              </w:rPr>
              <w:t> Payments Generally; Pro Rata Treatment; Sharing of Setoffs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112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2.19</w:t>
            </w:r>
            <w:r>
              <w:rPr>
                <w:rFonts w:ascii="Times New Roman" w:hAnsi="Times New Roman"/>
                <w:color w:val="000000"/>
                <w:sz w:val="24"/>
              </w:rPr>
              <w:t> Mitigation Obligations; Replacement of Lenders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114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2.20</w:t>
            </w:r>
            <w:r>
              <w:rPr>
                <w:rFonts w:ascii="Times New Roman" w:hAnsi="Times New Roman"/>
                <w:color w:val="000000"/>
                <w:sz w:val="24"/>
              </w:rPr>
              <w:t> Incremental Credit Extensions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116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2.21</w:t>
            </w:r>
            <w:r>
              <w:rPr>
                <w:rFonts w:ascii="Times New Roman" w:hAnsi="Times New Roman"/>
                <w:color w:val="000000"/>
                <w:sz w:val="24"/>
              </w:rPr>
              <w:t> Refinancing Amendments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2.22</w:t>
            </w:r>
            <w:r>
              <w:rPr>
                <w:rFonts w:ascii="Times New Roman" w:hAnsi="Times New Roman"/>
                <w:color w:val="000000"/>
                <w:sz w:val="24"/>
              </w:rPr>
              <w:t> Defaulting Lenders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2.23</w:t>
            </w:r>
            <w:r>
              <w:rPr>
                <w:rFonts w:ascii="Times New Roman" w:hAnsi="Times New Roman"/>
                <w:color w:val="000000"/>
                <w:sz w:val="24"/>
              </w:rPr>
              <w:t> Illegality</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124</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III — REPRESENTATIONS AND WARRANTIES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125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3.01</w:t>
            </w:r>
            <w:r>
              <w:rPr>
                <w:rFonts w:ascii="Times New Roman" w:hAnsi="Times New Roman"/>
                <w:color w:val="000000"/>
                <w:sz w:val="24"/>
              </w:rPr>
              <w:t> Organization; Powers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3.02</w:t>
            </w:r>
            <w:r>
              <w:rPr>
                <w:rFonts w:ascii="Times New Roman" w:hAnsi="Times New Roman"/>
                <w:color w:val="000000"/>
                <w:sz w:val="24"/>
              </w:rPr>
              <w:t> Authorization; Enforceability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3.03</w:t>
            </w:r>
            <w:r>
              <w:rPr>
                <w:rFonts w:ascii="Times New Roman" w:hAnsi="Times New Roman"/>
                <w:color w:val="000000"/>
                <w:sz w:val="24"/>
              </w:rPr>
              <w:t> Governmental Approvals; No Conflicts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3.04</w:t>
            </w:r>
            <w:r>
              <w:rPr>
                <w:rFonts w:ascii="Times New Roman" w:hAnsi="Times New Roman"/>
                <w:color w:val="000000"/>
                <w:sz w:val="24"/>
              </w:rPr>
              <w:t> No Material Adverse Effect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3.05</w:t>
            </w:r>
            <w:r>
              <w:rPr>
                <w:rFonts w:ascii="Times New Roman" w:hAnsi="Times New Roman"/>
                <w:color w:val="000000"/>
                <w:sz w:val="24"/>
              </w:rPr>
              <w:t> Properties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3.06</w:t>
            </w:r>
            <w:r>
              <w:rPr>
                <w:rFonts w:ascii="Times New Roman" w:hAnsi="Times New Roman"/>
                <w:color w:val="000000"/>
                <w:sz w:val="24"/>
              </w:rPr>
              <w:t> Litigation and Environmental Matters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3.07</w:t>
            </w:r>
            <w:r>
              <w:rPr>
                <w:rFonts w:ascii="Times New Roman" w:hAnsi="Times New Roman"/>
                <w:color w:val="000000"/>
                <w:sz w:val="24"/>
              </w:rPr>
              <w:t> Compliance with Laws and Agreements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3.08</w:t>
            </w:r>
            <w:r>
              <w:rPr>
                <w:rFonts w:ascii="Times New Roman" w:hAnsi="Times New Roman"/>
                <w:color w:val="000000"/>
                <w:sz w:val="24"/>
              </w:rPr>
              <w:t> Investment Company Status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3.09</w:t>
            </w:r>
            <w:r>
              <w:rPr>
                <w:rFonts w:ascii="Times New Roman" w:hAnsi="Times New Roman"/>
                <w:color w:val="000000"/>
                <w:sz w:val="24"/>
              </w:rPr>
              <w:t> Taxes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3.10</w:t>
            </w:r>
            <w:r>
              <w:rPr>
                <w:rFonts w:ascii="Times New Roman" w:hAnsi="Times New Roman"/>
                <w:color w:val="000000"/>
                <w:sz w:val="24"/>
              </w:rPr>
              <w:t> ERISA</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3.11</w:t>
            </w:r>
            <w:r>
              <w:rPr>
                <w:rFonts w:ascii="Times New Roman" w:hAnsi="Times New Roman"/>
                <w:color w:val="000000"/>
                <w:sz w:val="24"/>
              </w:rPr>
              <w:t> Disclosure</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3.12</w:t>
            </w:r>
            <w:r>
              <w:rPr>
                <w:rFonts w:ascii="Times New Roman" w:hAnsi="Times New Roman"/>
                <w:color w:val="000000"/>
                <w:sz w:val="24"/>
              </w:rPr>
              <w:t> Subsidiaries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3.13</w:t>
            </w:r>
            <w:r>
              <w:rPr>
                <w:rFonts w:ascii="Times New Roman" w:hAnsi="Times New Roman"/>
                <w:color w:val="000000"/>
                <w:sz w:val="24"/>
              </w:rPr>
              <w:t> Intellectual Property; Licenses, Etc</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3.14</w:t>
            </w:r>
            <w:r>
              <w:rPr>
                <w:rFonts w:ascii="Times New Roman" w:hAnsi="Times New Roman"/>
                <w:color w:val="000000"/>
                <w:sz w:val="24"/>
              </w:rPr>
              <w:t> Solvency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3.15</w:t>
            </w:r>
            <w:r>
              <w:rPr>
                <w:rFonts w:ascii="Times New Roman" w:hAnsi="Times New Roman"/>
                <w:color w:val="000000"/>
                <w:sz w:val="24"/>
              </w:rPr>
              <w:t> Federal Reserve Regulations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3.16</w:t>
            </w:r>
            <w:r>
              <w:rPr>
                <w:rFonts w:ascii="Times New Roman" w:hAnsi="Times New Roman"/>
                <w:color w:val="000000"/>
                <w:sz w:val="24"/>
              </w:rPr>
              <w:t> USA PATRIOT Act; OFAC and Anti</w:t>
              <w:noBreakHyphen/>
              <w:t>Corruption</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129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3.17</w:t>
            </w:r>
            <w:r>
              <w:rPr>
                <w:rFonts w:ascii="Times New Roman" w:hAnsi="Times New Roman"/>
                <w:color w:val="000000"/>
                <w:sz w:val="24"/>
              </w:rPr>
              <w:t> Security Documents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3.18</w:t>
            </w:r>
            <w:r>
              <w:rPr>
                <w:rFonts w:ascii="Times New Roman" w:hAnsi="Times New Roman"/>
                <w:color w:val="000000"/>
                <w:sz w:val="24"/>
              </w:rPr>
              <w:t> [Reserved]</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3.19</w:t>
            </w:r>
            <w:r>
              <w:rPr>
                <w:rFonts w:ascii="Times New Roman" w:hAnsi="Times New Roman"/>
                <w:color w:val="000000"/>
                <w:sz w:val="24"/>
              </w:rPr>
              <w:t> Use of Proceeds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130</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IV — CONDITIONS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131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4.01</w:t>
            </w:r>
            <w:r>
              <w:rPr>
                <w:rFonts w:ascii="Times New Roman" w:hAnsi="Times New Roman"/>
                <w:color w:val="000000"/>
                <w:sz w:val="24"/>
              </w:rPr>
              <w:t> Effective Date</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4.02</w:t>
            </w:r>
            <w:r>
              <w:rPr>
                <w:rFonts w:ascii="Times New Roman" w:hAnsi="Times New Roman"/>
                <w:color w:val="000000"/>
                <w:sz w:val="24"/>
              </w:rPr>
              <w:t> Each Credit Event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133</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V — AFFIRMATIVE COVENANTS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134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5.01</w:t>
            </w:r>
            <w:r>
              <w:rPr>
                <w:rFonts w:ascii="Times New Roman" w:hAnsi="Times New Roman"/>
                <w:color w:val="000000"/>
                <w:sz w:val="24"/>
              </w:rPr>
              <w:t> Financial Statements and Other Information</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5.02</w:t>
            </w:r>
            <w:r>
              <w:rPr>
                <w:rFonts w:ascii="Times New Roman" w:hAnsi="Times New Roman"/>
                <w:color w:val="000000"/>
                <w:sz w:val="24"/>
              </w:rPr>
              <w:t> Notices of Material Events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5.03</w:t>
            </w:r>
            <w:r>
              <w:rPr>
                <w:rFonts w:ascii="Times New Roman" w:hAnsi="Times New Roman"/>
                <w:color w:val="000000"/>
                <w:sz w:val="24"/>
              </w:rPr>
              <w:t> Information Regarding Collateral</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5.04</w:t>
            </w:r>
            <w:r>
              <w:rPr>
                <w:rFonts w:ascii="Times New Roman" w:hAnsi="Times New Roman"/>
                <w:color w:val="000000"/>
                <w:sz w:val="24"/>
              </w:rPr>
              <w:t> Existence; Conduct of Business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139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5.05</w:t>
            </w:r>
            <w:r>
              <w:rPr>
                <w:rFonts w:ascii="Times New Roman" w:hAnsi="Times New Roman"/>
                <w:color w:val="000000"/>
                <w:sz w:val="24"/>
              </w:rPr>
              <w:t> Payment of Taxes, etc</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5.06</w:t>
            </w:r>
            <w:r>
              <w:rPr>
                <w:rFonts w:ascii="Times New Roman" w:hAnsi="Times New Roman"/>
                <w:color w:val="000000"/>
                <w:sz w:val="24"/>
              </w:rPr>
              <w:t> Maintenance of Properties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5.07</w:t>
            </w:r>
            <w:r>
              <w:rPr>
                <w:rFonts w:ascii="Times New Roman" w:hAnsi="Times New Roman"/>
                <w:color w:val="000000"/>
                <w:sz w:val="24"/>
              </w:rPr>
              <w:t> Insurance</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5.08</w:t>
            </w:r>
            <w:r>
              <w:rPr>
                <w:rFonts w:ascii="Times New Roman" w:hAnsi="Times New Roman"/>
                <w:color w:val="000000"/>
                <w:sz w:val="24"/>
              </w:rPr>
              <w:t> Books and Records; Inspection and Audit Rights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5.09</w:t>
            </w:r>
            <w:r>
              <w:rPr>
                <w:rFonts w:ascii="Times New Roman" w:hAnsi="Times New Roman"/>
                <w:color w:val="000000"/>
                <w:sz w:val="24"/>
              </w:rPr>
              <w:t> Compliance with Laws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5.10</w:t>
            </w:r>
            <w:r>
              <w:rPr>
                <w:rFonts w:ascii="Times New Roman" w:hAnsi="Times New Roman"/>
                <w:color w:val="000000"/>
                <w:sz w:val="24"/>
              </w:rPr>
              <w:t> Use of Proceeds and Letters of Credit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5.11</w:t>
            </w:r>
            <w:r>
              <w:rPr>
                <w:rFonts w:ascii="Times New Roman" w:hAnsi="Times New Roman"/>
                <w:color w:val="000000"/>
                <w:sz w:val="24"/>
              </w:rPr>
              <w:t> Additional Collateral; Additional Guarantors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5.12</w:t>
            </w:r>
            <w:r>
              <w:rPr>
                <w:rFonts w:ascii="Times New Roman" w:hAnsi="Times New Roman"/>
                <w:color w:val="000000"/>
                <w:sz w:val="24"/>
              </w:rPr>
              <w:t> Further Assurances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5.13</w:t>
            </w:r>
            <w:r>
              <w:rPr>
                <w:rFonts w:ascii="Times New Roman" w:hAnsi="Times New Roman"/>
                <w:color w:val="000000"/>
                <w:sz w:val="24"/>
              </w:rPr>
              <w:t> Designation of Subsidiaries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5.14</w:t>
            </w:r>
            <w:r>
              <w:rPr>
                <w:rFonts w:ascii="Times New Roman" w:hAnsi="Times New Roman"/>
                <w:color w:val="000000"/>
                <w:sz w:val="24"/>
              </w:rPr>
              <w:t> Certain Post</w:t>
              <w:noBreakHyphen/>
              <w:t>Closing Obligations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5.15</w:t>
            </w:r>
            <w:r>
              <w:rPr>
                <w:rFonts w:ascii="Times New Roman" w:hAnsi="Times New Roman"/>
                <w:color w:val="000000"/>
                <w:sz w:val="24"/>
              </w:rPr>
              <w:t> Control Agreements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5.16</w:t>
            </w:r>
            <w:r>
              <w:rPr>
                <w:rFonts w:ascii="Times New Roman" w:hAnsi="Times New Roman"/>
                <w:color w:val="000000"/>
                <w:sz w:val="24"/>
              </w:rPr>
              <w:t> Lines of Business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5.17</w:t>
            </w:r>
            <w:r>
              <w:rPr>
                <w:rFonts w:ascii="Times New Roman" w:hAnsi="Times New Roman"/>
                <w:color w:val="000000"/>
                <w:sz w:val="24"/>
              </w:rPr>
              <w:t> Fiscal Periods</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144</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ind w:left="0" w:right="0" w:firstLine="2410"/>
              <w:jc w:val="left"/>
              <w:rPr>
                <w:sz w:val="4"/>
                <w:szCs w:val="4"/>
              </w:rPr>
            </w:pPr>
            <w:r>
              <w:rPr>
                <w:sz w:val="4"/>
                <w:szCs w:val="4"/>
              </w:rPr>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5.18</w:t>
            </w:r>
            <w:r>
              <w:rPr>
                <w:rFonts w:ascii="Times New Roman" w:hAnsi="Times New Roman"/>
                <w:color w:val="000000"/>
                <w:sz w:val="24"/>
              </w:rPr>
              <w:t> Lender Calls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144</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VI — NEGATIVE COVENANTS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145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6.01</w:t>
            </w:r>
            <w:r>
              <w:rPr>
                <w:rFonts w:ascii="Times New Roman" w:hAnsi="Times New Roman"/>
                <w:color w:val="000000"/>
                <w:sz w:val="24"/>
              </w:rPr>
              <w:t> Indebtedness; Certain Equity Securities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6.02</w:t>
            </w:r>
            <w:r>
              <w:rPr>
                <w:rFonts w:ascii="Times New Roman" w:hAnsi="Times New Roman"/>
                <w:color w:val="000000"/>
                <w:sz w:val="24"/>
              </w:rPr>
              <w:t> Liens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149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6.03</w:t>
            </w:r>
            <w:r>
              <w:rPr>
                <w:rFonts w:ascii="Times New Roman" w:hAnsi="Times New Roman"/>
                <w:color w:val="000000"/>
                <w:sz w:val="24"/>
              </w:rPr>
              <w:t> Fundamental Changes; Holdings Covenant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154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6.04</w:t>
            </w:r>
            <w:r>
              <w:rPr>
                <w:rFonts w:ascii="Times New Roman" w:hAnsi="Times New Roman"/>
                <w:color w:val="000000"/>
                <w:sz w:val="24"/>
              </w:rPr>
              <w:t> Investments, Loans, Advances, Guarantees and Acquisitions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156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6.05</w:t>
            </w:r>
            <w:r>
              <w:rPr>
                <w:rFonts w:ascii="Times New Roman" w:hAnsi="Times New Roman"/>
                <w:color w:val="000000"/>
                <w:sz w:val="24"/>
              </w:rPr>
              <w:t> Asset Sales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159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6.06</w:t>
            </w:r>
            <w:r>
              <w:rPr>
                <w:rFonts w:ascii="Times New Roman" w:hAnsi="Times New Roman"/>
                <w:color w:val="000000"/>
                <w:sz w:val="24"/>
              </w:rPr>
              <w:t> Material Property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162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6.07</w:t>
            </w:r>
            <w:r>
              <w:rPr>
                <w:rFonts w:ascii="Times New Roman" w:hAnsi="Times New Roman"/>
                <w:color w:val="000000"/>
                <w:sz w:val="24"/>
              </w:rPr>
              <w:t> Restricted Payments; Certain Payments of Indebtedness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162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6.08</w:t>
            </w:r>
            <w:r>
              <w:rPr>
                <w:rFonts w:ascii="Times New Roman" w:hAnsi="Times New Roman"/>
                <w:color w:val="000000"/>
                <w:sz w:val="24"/>
              </w:rPr>
              <w:t> Transactions with Affiliates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166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6.09</w:t>
            </w:r>
            <w:r>
              <w:rPr>
                <w:rFonts w:ascii="Times New Roman" w:hAnsi="Times New Roman"/>
                <w:color w:val="000000"/>
                <w:sz w:val="24"/>
              </w:rPr>
              <w:t> Restrictive Agreements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167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6.10</w:t>
            </w:r>
            <w:r>
              <w:rPr>
                <w:rFonts w:ascii="Times New Roman" w:hAnsi="Times New Roman"/>
                <w:color w:val="000000"/>
                <w:sz w:val="24"/>
              </w:rPr>
              <w:t> Amendment of Junior Financing; RemainCo Intercompany Loan; Modifications of Organizational Documents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169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6.11</w:t>
            </w:r>
            <w:r>
              <w:rPr>
                <w:rFonts w:ascii="Times New Roman" w:hAnsi="Times New Roman"/>
                <w:color w:val="000000"/>
                <w:sz w:val="24"/>
              </w:rPr>
              <w:t> Financial Performance Covenant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6.12 L</w:t>
            </w:r>
            <w:r>
              <w:rPr>
                <w:rFonts w:ascii="Times New Roman" w:hAnsi="Times New Roman"/>
                <w:color w:val="000000"/>
                <w:sz w:val="24"/>
              </w:rPr>
              <w:t>iability Management Transaction</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170</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VII — EVENTS OF DEFAULT</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170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7.01</w:t>
            </w:r>
            <w:r>
              <w:rPr>
                <w:rFonts w:ascii="Times New Roman" w:hAnsi="Times New Roman"/>
                <w:color w:val="000000"/>
                <w:sz w:val="24"/>
              </w:rPr>
              <w:t> Events of Default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7.02</w:t>
            </w:r>
            <w:r>
              <w:rPr>
                <w:rFonts w:ascii="Times New Roman" w:hAnsi="Times New Roman"/>
                <w:color w:val="000000"/>
                <w:sz w:val="24"/>
              </w:rPr>
              <w:t> Right to Cure</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7.03</w:t>
            </w:r>
            <w:r>
              <w:rPr>
                <w:rFonts w:ascii="Times New Roman" w:hAnsi="Times New Roman"/>
                <w:color w:val="000000"/>
                <w:sz w:val="24"/>
              </w:rPr>
              <w:t> Application of Proceeds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175</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VIII — ADMINISTRATIVE AGENT</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177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8.01</w:t>
            </w:r>
            <w:r>
              <w:rPr>
                <w:rFonts w:ascii="Times New Roman" w:hAnsi="Times New Roman"/>
                <w:color w:val="000000"/>
                <w:sz w:val="24"/>
              </w:rPr>
              <w:t> Appointment and Authority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8.02</w:t>
            </w:r>
            <w:r>
              <w:rPr>
                <w:rFonts w:ascii="Times New Roman" w:hAnsi="Times New Roman"/>
                <w:color w:val="000000"/>
                <w:sz w:val="24"/>
              </w:rPr>
              <w:t> Rights as a Lender</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8.03</w:t>
            </w:r>
            <w:r>
              <w:rPr>
                <w:rFonts w:ascii="Times New Roman" w:hAnsi="Times New Roman"/>
                <w:color w:val="000000"/>
                <w:sz w:val="24"/>
              </w:rPr>
              <w:t> Exculpatory Provisions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8.04</w:t>
            </w:r>
            <w:r>
              <w:rPr>
                <w:rFonts w:ascii="Times New Roman" w:hAnsi="Times New Roman"/>
                <w:color w:val="000000"/>
                <w:sz w:val="24"/>
              </w:rPr>
              <w:t> Reliance by Administrative Agent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179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8.05</w:t>
            </w:r>
            <w:r>
              <w:rPr>
                <w:rFonts w:ascii="Times New Roman" w:hAnsi="Times New Roman"/>
                <w:color w:val="000000"/>
                <w:sz w:val="24"/>
              </w:rPr>
              <w:t> Delegation of Duties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8.06</w:t>
            </w:r>
            <w:r>
              <w:rPr>
                <w:rFonts w:ascii="Times New Roman" w:hAnsi="Times New Roman"/>
                <w:color w:val="000000"/>
                <w:sz w:val="24"/>
              </w:rPr>
              <w:t> Resignation of Administrative Agent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8.07</w:t>
            </w:r>
            <w:r>
              <w:rPr>
                <w:rFonts w:ascii="Times New Roman" w:hAnsi="Times New Roman"/>
                <w:color w:val="000000"/>
                <w:sz w:val="24"/>
              </w:rPr>
              <w:t> Non</w:t>
              <w:noBreakHyphen/>
              <w:t>Reliance on Administrative Agent and Other Lenders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8.08</w:t>
            </w:r>
            <w:r>
              <w:rPr>
                <w:rFonts w:ascii="Times New Roman" w:hAnsi="Times New Roman"/>
                <w:color w:val="000000"/>
                <w:sz w:val="24"/>
              </w:rPr>
              <w:t> No Other Duties, Etc</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182</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8.09</w:t>
            </w:r>
            <w:r>
              <w:rPr>
                <w:rFonts w:ascii="Times New Roman" w:hAnsi="Times New Roman"/>
                <w:color w:val="000000"/>
                <w:sz w:val="24"/>
              </w:rPr>
              <w:t> Administrative Agent May File Proofs of Claim</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8.10</w:t>
            </w:r>
            <w:r>
              <w:rPr>
                <w:rFonts w:ascii="Times New Roman" w:hAnsi="Times New Roman"/>
                <w:color w:val="000000"/>
                <w:sz w:val="24"/>
              </w:rPr>
              <w:t> No Waiver; Cumulative Remedies; Enforcement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8.11</w:t>
            </w:r>
            <w:r>
              <w:rPr>
                <w:rFonts w:ascii="Times New Roman" w:hAnsi="Times New Roman"/>
                <w:color w:val="000000"/>
                <w:sz w:val="24"/>
              </w:rPr>
              <w:t> Status of Administrative Agent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8.12</w:t>
            </w:r>
            <w:r>
              <w:rPr>
                <w:rFonts w:ascii="Times New Roman" w:hAnsi="Times New Roman"/>
                <w:color w:val="000000"/>
                <w:sz w:val="24"/>
              </w:rPr>
              <w:t> Erroneous Payments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184</w:t>
            </w:r>
          </w:p>
        </w:tc>
      </w:tr>
      <w:tr>
        <w:trPr/>
        <w:tc>
          <w:tcPr>
            <w:tcW w:w="7284"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aps/>
                <w:color w:val="000000"/>
                <w:sz w:val="24"/>
              </w:rPr>
            </w:pPr>
            <w:r>
              <w:rPr>
                <w:rFonts w:ascii="Times New Roman" w:hAnsi="Times New Roman"/>
                <w:caps/>
                <w:color w:val="000000"/>
                <w:sz w:val="24"/>
              </w:rPr>
              <w:t>Article IX — MISCELLANEOUS</w:t>
            </w:r>
          </w:p>
        </w:tc>
        <w:tc>
          <w:tcPr>
            <w:tcW w:w="2921" w:type="dxa"/>
            <w:tcBorders/>
            <w:shd w:fill="FFFFFF" w:val="clear"/>
            <w:tcMar>
              <w:top w:w="0" w:type="dxa"/>
              <w:left w:w="0" w:type="dxa"/>
              <w:bottom w:w="0" w:type="dxa"/>
              <w:right w:w="0" w:type="dxa"/>
            </w:tcMar>
            <w:vAlign w:val="center"/>
          </w:tcPr>
          <w:p>
            <w:pPr>
              <w:pStyle w:val="TableContents"/>
              <w:bidi w:val="0"/>
              <w:spacing w:before="240" w:after="240"/>
              <w:ind w:left="0" w:right="0" w:firstLine="2410"/>
              <w:jc w:val="right"/>
              <w:rPr>
                <w:rFonts w:ascii="Times New Roman" w:hAnsi="Times New Roman"/>
                <w:caps/>
                <w:color w:val="000000"/>
                <w:sz w:val="24"/>
              </w:rPr>
            </w:pPr>
            <w:r>
              <w:rPr>
                <w:rFonts w:ascii="Times New Roman" w:hAnsi="Times New Roman"/>
                <w:caps/>
                <w:color w:val="000000"/>
                <w:sz w:val="24"/>
              </w:rPr>
              <w:t>187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9.01</w:t>
            </w:r>
            <w:r>
              <w:rPr>
                <w:rFonts w:ascii="Times New Roman" w:hAnsi="Times New Roman"/>
                <w:color w:val="000000"/>
                <w:sz w:val="24"/>
              </w:rPr>
              <w:t> Notices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9.02</w:t>
            </w:r>
            <w:r>
              <w:rPr>
                <w:rFonts w:ascii="Times New Roman" w:hAnsi="Times New Roman"/>
                <w:color w:val="000000"/>
                <w:sz w:val="24"/>
              </w:rPr>
              <w:t> Waivers; Amendments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189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9.03</w:t>
            </w:r>
            <w:r>
              <w:rPr>
                <w:rFonts w:ascii="Times New Roman" w:hAnsi="Times New Roman"/>
                <w:color w:val="000000"/>
                <w:sz w:val="24"/>
              </w:rPr>
              <w:t> Expenses; Indemnity; Damage Waiver</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196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9.04</w:t>
            </w:r>
            <w:r>
              <w:rPr>
                <w:rFonts w:ascii="Times New Roman" w:hAnsi="Times New Roman"/>
                <w:color w:val="000000"/>
                <w:sz w:val="24"/>
              </w:rPr>
              <w:t> Successors and Assigns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199</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9.05</w:t>
            </w:r>
            <w:r>
              <w:rPr>
                <w:rFonts w:ascii="Times New Roman" w:hAnsi="Times New Roman"/>
                <w:color w:val="000000"/>
                <w:sz w:val="24"/>
              </w:rPr>
              <w:t> Survival</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9.06</w:t>
            </w:r>
            <w:r>
              <w:rPr>
                <w:rFonts w:ascii="Times New Roman" w:hAnsi="Times New Roman"/>
                <w:color w:val="000000"/>
                <w:sz w:val="24"/>
              </w:rPr>
              <w:t> Counterparts; Integration; Effectiveness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9.07</w:t>
            </w:r>
            <w:r>
              <w:rPr>
                <w:rFonts w:ascii="Times New Roman" w:hAnsi="Times New Roman"/>
                <w:color w:val="000000"/>
                <w:sz w:val="24"/>
              </w:rPr>
              <w:t> Severability</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206</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ind w:left="0" w:right="0" w:firstLine="2410"/>
              <w:jc w:val="left"/>
              <w:rPr>
                <w:sz w:val="4"/>
                <w:szCs w:val="4"/>
              </w:rPr>
            </w:pPr>
            <w:r>
              <w:rPr>
                <w:sz w:val="4"/>
                <w:szCs w:val="4"/>
              </w:rPr>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9.08</w:t>
            </w:r>
            <w:r>
              <w:rPr>
                <w:rFonts w:ascii="Times New Roman" w:hAnsi="Times New Roman"/>
                <w:color w:val="000000"/>
                <w:sz w:val="24"/>
              </w:rPr>
              <w:t> Right of Setoff; Payment Set Aside</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206</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9.09</w:t>
            </w:r>
            <w:r>
              <w:rPr>
                <w:rFonts w:ascii="Times New Roman" w:hAnsi="Times New Roman"/>
                <w:color w:val="000000"/>
                <w:sz w:val="24"/>
              </w:rPr>
              <w:t> Governing Law; Jurisdiction; Consent to Service of Process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207</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9.10</w:t>
            </w:r>
            <w:r>
              <w:rPr>
                <w:rFonts w:ascii="Times New Roman" w:hAnsi="Times New Roman"/>
                <w:color w:val="000000"/>
                <w:sz w:val="24"/>
              </w:rPr>
              <w:t> WAIVER OF JURY TRIAL</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9.11</w:t>
            </w:r>
            <w:r>
              <w:rPr>
                <w:rFonts w:ascii="Times New Roman" w:hAnsi="Times New Roman"/>
                <w:color w:val="000000"/>
                <w:sz w:val="24"/>
              </w:rPr>
              <w:t> Headings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9.12</w:t>
            </w:r>
            <w:r>
              <w:rPr>
                <w:rFonts w:ascii="Times New Roman" w:hAnsi="Times New Roman"/>
                <w:color w:val="000000"/>
                <w:sz w:val="24"/>
              </w:rPr>
              <w:t> Confidentiality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208</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9.13</w:t>
            </w:r>
            <w:r>
              <w:rPr>
                <w:rFonts w:ascii="Times New Roman" w:hAnsi="Times New Roman"/>
                <w:color w:val="000000"/>
                <w:sz w:val="24"/>
              </w:rPr>
              <w:t> USA PATRIOT Act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210</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9.14</w:t>
            </w:r>
            <w:r>
              <w:rPr>
                <w:rFonts w:ascii="Times New Roman" w:hAnsi="Times New Roman"/>
                <w:color w:val="000000"/>
                <w:sz w:val="24"/>
              </w:rPr>
              <w:t> Release of Liens and Guarantees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211</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9.15</w:t>
            </w:r>
            <w:r>
              <w:rPr>
                <w:rFonts w:ascii="Times New Roman" w:hAnsi="Times New Roman"/>
                <w:color w:val="000000"/>
                <w:sz w:val="24"/>
              </w:rPr>
              <w:t> No Advisory or Fiduciary Responsibility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213</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9.16</w:t>
            </w:r>
            <w:r>
              <w:rPr>
                <w:rFonts w:ascii="Times New Roman" w:hAnsi="Times New Roman"/>
                <w:color w:val="000000"/>
                <w:sz w:val="24"/>
              </w:rPr>
              <w:t> Interest Rate Limitation</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9.17</w:t>
            </w:r>
            <w:r>
              <w:rPr>
                <w:rFonts w:ascii="Times New Roman" w:hAnsi="Times New Roman"/>
                <w:color w:val="000000"/>
                <w:sz w:val="24"/>
              </w:rPr>
              <w:t> Judgment Currency</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9.18</w:t>
            </w:r>
            <w:r>
              <w:rPr>
                <w:rFonts w:ascii="Times New Roman" w:hAnsi="Times New Roman"/>
                <w:color w:val="000000"/>
                <w:sz w:val="24"/>
              </w:rPr>
              <w:t> Intercreditor Agreement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214</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9.19</w:t>
            </w:r>
            <w:r>
              <w:rPr>
                <w:rFonts w:ascii="Times New Roman" w:hAnsi="Times New Roman"/>
                <w:color w:val="000000"/>
                <w:sz w:val="24"/>
              </w:rPr>
              <w:t> Cashless Settlement</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9.20</w:t>
            </w:r>
            <w:r>
              <w:rPr>
                <w:rFonts w:ascii="Times New Roman" w:hAnsi="Times New Roman"/>
                <w:color w:val="000000"/>
                <w:sz w:val="24"/>
              </w:rPr>
              <w:t> Acknowledgement and Consent to Bail</w:t>
              <w:noBreakHyphen/>
              <w:t>In of EEA Financial Institutions</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9.21</w:t>
            </w:r>
            <w:r>
              <w:rPr>
                <w:rFonts w:ascii="Times New Roman" w:hAnsi="Times New Roman"/>
                <w:color w:val="000000"/>
                <w:sz w:val="24"/>
              </w:rPr>
              <w:t> [Reserved]</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right"/>
              <w:rPr>
                <w:rFonts w:ascii="Times New Roman" w:hAnsi="Times New Roman"/>
                <w:color w:val="000000"/>
                <w:sz w:val="24"/>
              </w:rPr>
            </w:pPr>
            <w:r>
              <w:rPr>
                <w:rFonts w:ascii="Times New Roman" w:hAnsi="Times New Roman"/>
                <w:color w:val="000000"/>
                <w:sz w:val="24"/>
              </w:rPr>
              <w:t>215</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410"/>
              <w:jc w:val="both"/>
              <w:rPr>
                <w:rFonts w:ascii="Times New Roman" w:hAnsi="Times New Roman"/>
                <w:sz w:val="24"/>
              </w:rPr>
            </w:pPr>
            <w:r>
              <w:rPr>
                <w:rFonts w:ascii="Times New Roman" w:hAnsi="Times New Roman"/>
                <w:caps/>
                <w:color w:val="000000"/>
                <w:sz w:val="24"/>
              </w:rPr>
              <w:t>Section 9.22</w:t>
            </w:r>
            <w:r>
              <w:rPr>
                <w:rFonts w:ascii="Times New Roman" w:hAnsi="Times New Roman"/>
                <w:color w:val="000000"/>
                <w:sz w:val="24"/>
              </w:rPr>
              <w:t> Acknowledgement Regarding Any Supported QFC</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215</w:t>
            </w:r>
          </w:p>
        </w:tc>
      </w:tr>
    </w:tbl>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SCHEDULES:</w:t>
      </w:r>
    </w:p>
    <w:p>
      <w:pPr>
        <w:pStyle w:val="TextBody"/>
        <w:bidi w:val="0"/>
        <w:jc w:val="both"/>
        <w:rPr>
          <w:rFonts w:ascii="Times New Roman" w:hAnsi="Times New Roman"/>
          <w:sz w:val="20"/>
        </w:rPr>
      </w:pPr>
      <w:r>
        <w:rPr>
          <w:rFonts w:ascii="Times New Roman" w:hAnsi="Times New Roman"/>
          <w:color w:val="000000"/>
          <w:sz w:val="24"/>
        </w:rPr>
        <w:t>Schedule 1.01(a) — Effective Date Subsidiary Loan Parties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1.01(b) — Intercompany Services Agreements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1.02 — Existing Letters of Credit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Schedule 2.01 — Commitments and Loans</w:t>
      </w:r>
    </w:p>
    <w:p>
      <w:pPr>
        <w:pStyle w:val="TextBody"/>
        <w:bidi w:val="0"/>
        <w:jc w:val="both"/>
        <w:rPr>
          <w:rFonts w:ascii="Times New Roman" w:hAnsi="Times New Roman"/>
          <w:sz w:val="20"/>
        </w:rPr>
      </w:pPr>
      <w:r>
        <w:rPr>
          <w:rFonts w:ascii="Times New Roman" w:hAnsi="Times New Roman"/>
          <w:color w:val="000000"/>
          <w:sz w:val="24"/>
        </w:rPr>
        <w:t>Schedule 2.05 — Letter of Credit Commitments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3.03 — Government Approvals; No Conflicts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3.06 — Litigation and Environmental Matters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3.12 — Subsidiaries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5.14 — Certain Post</w:t>
        <w:noBreakHyphen/>
        <w:t>Closing Obligations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6.01 — Existing Indebtedness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6.02 — Existing Liens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6.04 — Existing Investments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6.08 — Existing Affiliate Transactions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6.09 — Existing Restrictions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Schedule 9.01 — Notices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EXHIBITS:</w:t>
      </w:r>
    </w:p>
    <w:p>
      <w:pPr>
        <w:pStyle w:val="TextBody"/>
        <w:bidi w:val="0"/>
        <w:jc w:val="both"/>
        <w:rPr>
          <w:rFonts w:ascii="Times New Roman" w:hAnsi="Times New Roman"/>
          <w:sz w:val="20"/>
        </w:rPr>
      </w:pPr>
      <w:r>
        <w:rPr>
          <w:rFonts w:ascii="Times New Roman" w:hAnsi="Times New Roman"/>
          <w:color w:val="000000"/>
          <w:sz w:val="24"/>
        </w:rPr>
        <w:t>Exhibit A — Form of Assignment and Assumption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B — Form of Guarantee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C</w:t>
        <w:noBreakHyphen/>
        <w:t>1 — Form of Borrowing Request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C</w:t>
        <w:noBreakHyphen/>
        <w:t>2 — Form of Interest Election Request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C</w:t>
        <w:noBreakHyphen/>
        <w:t>3 — Form of Swing Line Loan Notice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D — Form of Collateral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E</w:t>
        <w:noBreakHyphen/>
        <w:t>1 — Form of Pari Passu Intercreditor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E</w:t>
        <w:noBreakHyphen/>
        <w:t>2 — Form of Junior Intercreditor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F — Form of Intercompany Note</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Exhibit G — Form of Perfection Certificate</w:t>
      </w:r>
    </w:p>
    <w:p>
      <w:pPr>
        <w:pStyle w:val="TextBody"/>
        <w:bidi w:val="0"/>
        <w:jc w:val="both"/>
        <w:rPr>
          <w:rFonts w:ascii="Times New Roman" w:hAnsi="Times New Roman"/>
          <w:sz w:val="20"/>
        </w:rPr>
      </w:pPr>
      <w:r>
        <w:rPr>
          <w:rFonts w:ascii="Times New Roman" w:hAnsi="Times New Roman"/>
          <w:color w:val="000000"/>
          <w:sz w:val="24"/>
        </w:rPr>
        <w:t>Exhibit H</w:t>
        <w:noBreakHyphen/>
        <w:t>1 — Form of United States Tax Compliance Certificate 1</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H</w:t>
        <w:noBreakHyphen/>
        <w:t>2 — Form of United States Tax Compliance Certificate 2</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H</w:t>
        <w:noBreakHyphen/>
        <w:t>3 — Form of United States Tax Compliance Certificate 3</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H</w:t>
        <w:noBreakHyphen/>
        <w:t>4 — Form of United States Tax Compliance Certificate 4</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I — Form of Note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J — Form of Solvency Certificate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Exhibit K — Form of Letter of Credit Request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Exhibit L — Form of Compliance Certificate</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CREDIT AGREEMENT dated as of August 3, 2026 (as amended, restated, supplemented or otherwise modified from time to time,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among VDC-MGG Holdings, LLC, a Delaware limited liability company (“</w:t>
      </w:r>
      <w:r>
        <w:rPr>
          <w:rFonts w:ascii="Times New Roman" w:hAnsi="Times New Roman"/>
          <w:color w:val="000000"/>
          <w:sz w:val="24"/>
          <w:u w:val="single"/>
        </w:rPr>
        <w:t>Holdings</w:t>
      </w:r>
      <w:r>
        <w:rPr>
          <w:rFonts w:ascii="Times New Roman" w:hAnsi="Times New Roman"/>
          <w:color w:val="000000"/>
          <w:sz w:val="20"/>
        </w:rPr>
        <w:t>”</w:t>
      </w:r>
      <w:r>
        <w:rPr>
          <w:rFonts w:ascii="Times New Roman" w:hAnsi="Times New Roman"/>
          <w:color w:val="000000"/>
          <w:sz w:val="24"/>
        </w:rPr>
        <w:t>), Vegas.com, LLC, a Nevada limited liability company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and Issuing Banks party hereto and Barclays Bank PLC, in its capacity as Administrative Agent, Collateral Agent, an Issuing Bank and Swing Line Lender.</w:t>
      </w:r>
    </w:p>
    <w:p>
      <w:pPr>
        <w:pStyle w:val="TextBody"/>
        <w:bidi w:val="0"/>
        <w:spacing w:before="0" w:after="240"/>
        <w:jc w:val="center"/>
        <w:rPr>
          <w:rFonts w:ascii="Times New Roman" w:hAnsi="Times New Roman"/>
          <w:sz w:val="20"/>
        </w:rPr>
      </w:pPr>
      <w:r>
        <w:rPr>
          <w:rFonts w:ascii="Times New Roman" w:hAnsi="Times New Roman"/>
          <w:color w:val="000000"/>
          <w:sz w:val="24"/>
          <w:u w:val="single"/>
        </w:rPr>
        <w:t>Preliminary Statements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connection with the Transaction and to provide for the working capital needs and general corporate requirements (including to finance permitted Investments, acquisitions, capital expenditures and Restricted Payments and for other purposes not prohibited by this Agreement) of Holdings and its Restricted Subsidiaries, the Borrower has requested that the Lenders extend credit in the form of Revolving Loans at any time and from time to time prior to the Revolving Maturity Date in an aggregate principal amount of up to $75,000,000.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Issuing Banks issue Letters of Credit to support certain obligations incurred by Holdings, its Restricted Subsidiaries, and RemainCo (including to replace, backstop, or roll, as applicable, any letters of credit of the Hoya Group that are outstanding as of the Effective Date under the Hoya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Lenders and the Issuing Banks are willing to extend credit to the Borrower on the terms and subject to the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the parties hereto covenant and agree as follows:</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w:t>
      </w:r>
      <w:r>
        <w:rPr>
          <w:rFonts w:ascii="Times New Roman" w:hAnsi="Times New Roman"/>
          <w:b w:val="false"/>
          <w:caps/>
          <w:color w:val="000000"/>
          <w:sz w:val="24"/>
          <w:u w:val="single"/>
        </w:rPr>
        <w:br/>
        <w:t>DEFINITIONS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1.01 </w:t>
      </w:r>
      <w:r>
        <w:rPr>
          <w:rFonts w:ascii="Times New Roman" w:hAnsi="Times New Roman"/>
          <w:b w:val="false"/>
          <w:color w:val="000000"/>
          <w:sz w:val="24"/>
          <w:u w:val="single"/>
        </w:rPr>
        <w:t>Defined Terms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color w:val="000000"/>
          <w:sz w:val="24"/>
          <w:u w:val="single"/>
        </w:rPr>
        <w:t>ABR</w:t>
      </w:r>
      <w:r>
        <w:rPr>
          <w:rFonts w:ascii="Times New Roman" w:hAnsi="Times New Roman"/>
          <w:color w:val="000000"/>
          <w:sz w:val="20"/>
        </w:rPr>
        <w:t xml:space="preserve">” </w:t>
      </w:r>
      <w:r>
        <w:rPr>
          <w:rFonts w:ascii="Times New Roman" w:hAnsi="Times New Roman"/>
          <w:color w:val="000000"/>
          <w:sz w:val="24"/>
        </w:rPr>
        <w:t>when used in reference to any Loan or Borrowing, refers to whether such Loan, or the Loans comprising such Borrowing, are bearing interest at a rate determined by reference to the Alternate Base Rate.</w:t>
      </w:r>
    </w:p>
    <w:p>
      <w:pPr>
        <w:pStyle w:val="TextBody"/>
        <w:bidi w:val="0"/>
        <w:spacing w:before="0" w:after="240"/>
        <w:jc w:val="both"/>
        <w:rPr/>
      </w:pPr>
      <w:r>
        <w:rPr>
          <w:color w:val="000000"/>
        </w:rPr>
        <w:t>“</w:t>
      </w:r>
      <w:r>
        <w:rPr>
          <w:rFonts w:ascii="Times New Roman" w:hAnsi="Times New Roman"/>
          <w:color w:val="000000"/>
          <w:sz w:val="24"/>
          <w:u w:val="single"/>
        </w:rPr>
        <w:t>Acquired EBITDA</w:t>
      </w:r>
      <w:r>
        <w:rPr>
          <w:rFonts w:ascii="Times New Roman" w:hAnsi="Times New Roman"/>
          <w:color w:val="000000"/>
          <w:sz w:val="20"/>
        </w:rPr>
        <w:t xml:space="preserve">” </w:t>
      </w:r>
      <w:r>
        <w:rPr>
          <w:rFonts w:ascii="Times New Roman" w:hAnsi="Times New Roman"/>
          <w:color w:val="000000"/>
          <w:sz w:val="24"/>
        </w:rPr>
        <w:t>means, with respect to any Acquired Entity or Business (a “</w:t>
      </w:r>
      <w:r>
        <w:rPr>
          <w:rFonts w:ascii="Times New Roman" w:hAnsi="Times New Roman"/>
          <w:color w:val="000000"/>
          <w:sz w:val="24"/>
          <w:u w:val="single"/>
        </w:rPr>
        <w:t>Pro Forma Entity</w:t>
      </w:r>
      <w:r>
        <w:rPr>
          <w:rFonts w:ascii="Times New Roman" w:hAnsi="Times New Roman"/>
          <w:color w:val="000000"/>
          <w:sz w:val="20"/>
        </w:rPr>
        <w:t>”</w:t>
      </w:r>
      <w:r>
        <w:rPr>
          <w:rFonts w:ascii="Times New Roman" w:hAnsi="Times New Roman"/>
          <w:color w:val="000000"/>
          <w:sz w:val="24"/>
        </w:rPr>
        <w:t>) for any period, the amount for such period of Consolidated EBITDA of such Pro Forma Entity (determined as if references to Holdings, the Borrower and the Restricted Subsidiaries in the definition of “</w:t>
      </w:r>
      <w:r>
        <w:rPr>
          <w:rFonts w:ascii="Times New Roman" w:hAnsi="Times New Roman"/>
          <w:color w:val="000000"/>
          <w:sz w:val="24"/>
          <w:u w:val="single"/>
        </w:rPr>
        <w:t>Consolidated EBITDA</w:t>
      </w:r>
      <w:r>
        <w:rPr>
          <w:rFonts w:ascii="Times New Roman" w:hAnsi="Times New Roman"/>
          <w:color w:val="000000"/>
          <w:sz w:val="20"/>
        </w:rPr>
        <w:t xml:space="preserve">” </w:t>
      </w:r>
      <w:r>
        <w:rPr>
          <w:rFonts w:ascii="Times New Roman" w:hAnsi="Times New Roman"/>
          <w:color w:val="000000"/>
          <w:sz w:val="24"/>
        </w:rPr>
        <w:t>were references to such Pro Forma Entity and its subsidiaries that will become Restricted Subsidiaries), all as determined on a consolidated basis for such Pro Forma Entity.</w:t>
      </w:r>
    </w:p>
    <w:p>
      <w:pPr>
        <w:pStyle w:val="TextBody"/>
        <w:bidi w:val="0"/>
        <w:spacing w:before="0" w:after="240"/>
        <w:jc w:val="both"/>
        <w:rPr/>
      </w:pPr>
      <w:r>
        <w:rPr>
          <w:color w:val="000000"/>
        </w:rPr>
        <w:t>“</w:t>
      </w:r>
      <w:r>
        <w:rPr>
          <w:rFonts w:ascii="Times New Roman" w:hAnsi="Times New Roman"/>
          <w:color w:val="000000"/>
          <w:sz w:val="24"/>
          <w:u w:val="single"/>
        </w:rPr>
        <w:t>Acquired Entity or Business</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“Consolidated EBITDA”.</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Additional First Out Debt</w:t>
      </w:r>
      <w:r>
        <w:rPr>
          <w:rFonts w:ascii="Times New Roman" w:hAnsi="Times New Roman"/>
          <w:color w:val="000000"/>
          <w:sz w:val="20"/>
        </w:rPr>
        <w:t xml:space="preserve">” </w:t>
      </w:r>
      <w:r>
        <w:rPr>
          <w:rFonts w:ascii="Times New Roman" w:hAnsi="Times New Roman"/>
          <w:color w:val="000000"/>
          <w:sz w:val="24"/>
        </w:rPr>
        <w:t xml:space="preserve">means any Incremental Facility or Incremental Equivalent Debt (whether in the form of funded debt, a letter of credit (or similar) facility, or otherwise) that (x) is secured by all or a portion of the Collateral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basis (without regard to the control of remedies) with the Liens on such Collateral securing the Initial Revolving Facility and (y) ranks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basis in right of payment with the Secured Obligations in respect of the Initial Revolving Facility;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Additional First Out Debt (and proceeds thereof) may only be used for the purpose of satisfying reserves, collateral posting, prepayment or similar credit support requirements with payment processors, sellers, advertising partners and other similar counterparties, and (b) such Additional First Out Debt may not be voluntarily or mandatorily prepaid (each, a “</w:t>
      </w:r>
      <w:r>
        <w:rPr>
          <w:rFonts w:ascii="Times New Roman" w:hAnsi="Times New Roman"/>
          <w:color w:val="000000"/>
          <w:sz w:val="24"/>
          <w:u w:val="single"/>
        </w:rPr>
        <w:t>First Out Prepayment</w:t>
      </w:r>
      <w:r>
        <w:rPr>
          <w:rFonts w:ascii="Times New Roman" w:hAnsi="Times New Roman"/>
          <w:color w:val="000000"/>
          <w:sz w:val="20"/>
        </w:rPr>
        <w:t>”</w:t>
      </w:r>
      <w:r>
        <w:rPr>
          <w:rFonts w:ascii="Times New Roman" w:hAnsi="Times New Roman"/>
          <w:color w:val="000000"/>
          <w:sz w:val="24"/>
        </w:rPr>
        <w:t>) prior to the Revolving Maturity Date unless such prepayments are accompanied by equivalent pro rata repayments of the Revolving Loans then outstanding (if any) under the Initial Revolving Facility (but, for the avoidance of doubt, (x) there shall be no requirement to have a corresponding permanent reduction of Revolving Commitments as a result of any such prepayment of Revolving Loans, (y) the expiration, cancellation or termination of a letter of credit under any Additional First Out Debt shall not constitute a prepayment thereof and (z) if there are no Revolving Loans or Swing Line Loans outstanding at the time a First Out Prepayment is made, no prepayment of Revolving Loans shall be required in connection with or as a result of such First Out Prepayment).</w:t>
      </w:r>
    </w:p>
    <w:p>
      <w:pPr>
        <w:pStyle w:val="TextBody"/>
        <w:bidi w:val="0"/>
        <w:spacing w:before="0" w:after="240"/>
        <w:jc w:val="both"/>
        <w:rPr/>
      </w:pPr>
      <w:r>
        <w:rPr>
          <w:color w:val="000000"/>
        </w:rPr>
        <w:t>“</w:t>
      </w:r>
      <w:r>
        <w:rPr>
          <w:rFonts w:ascii="Times New Roman" w:hAnsi="Times New Roman"/>
          <w:color w:val="000000"/>
          <w:sz w:val="24"/>
          <w:u w:val="single"/>
        </w:rPr>
        <w:t>Additional Junior Lien Debt</w:t>
      </w:r>
      <w:r>
        <w:rPr>
          <w:rFonts w:ascii="Times New Roman" w:hAnsi="Times New Roman"/>
          <w:color w:val="000000"/>
          <w:sz w:val="20"/>
        </w:rPr>
        <w:t xml:space="preserve">” </w:t>
      </w:r>
      <w:r>
        <w:rPr>
          <w:rFonts w:ascii="Times New Roman" w:hAnsi="Times New Roman"/>
          <w:color w:val="000000"/>
          <w:sz w:val="24"/>
        </w:rPr>
        <w:t>means any Incremental Facility or Incremental Equivalent Debt that is secured by all or a portion of the Collateral on a junior basis to the Liens on such Collateral securing (x) the Initial Revolving Facility, (y) the Additional First Out Debt (if any) and (z) the Additional Second Out Debt (if any).</w:t>
      </w:r>
    </w:p>
    <w:p>
      <w:pPr>
        <w:pStyle w:val="TextBody"/>
        <w:bidi w:val="0"/>
        <w:spacing w:before="0" w:after="240"/>
        <w:jc w:val="both"/>
        <w:rPr/>
      </w:pPr>
      <w:r>
        <w:rPr>
          <w:color w:val="000000"/>
        </w:rPr>
        <w:t>“</w:t>
      </w:r>
      <w:r>
        <w:rPr>
          <w:rFonts w:ascii="Times New Roman" w:hAnsi="Times New Roman"/>
          <w:color w:val="000000"/>
          <w:sz w:val="24"/>
          <w:u w:val="single"/>
        </w:rPr>
        <w:t>Additional</w:t>
      </w:r>
      <w:r>
        <w:rPr>
          <w:rFonts w:ascii="Times New Roman" w:hAnsi="Times New Roman"/>
          <w:color w:val="000000"/>
          <w:sz w:val="20"/>
          <w:u w:val="single"/>
        </w:rPr>
        <w:t xml:space="preserve"> </w:t>
      </w:r>
      <w:r>
        <w:rPr>
          <w:rFonts w:ascii="Times New Roman" w:hAnsi="Times New Roman"/>
          <w:color w:val="000000"/>
          <w:sz w:val="24"/>
          <w:u w:val="single"/>
        </w:rPr>
        <w:t>Revolving</w:t>
      </w:r>
      <w:r>
        <w:rPr>
          <w:rFonts w:ascii="Times New Roman" w:hAnsi="Times New Roman"/>
          <w:color w:val="000000"/>
          <w:sz w:val="20"/>
          <w:u w:val="single"/>
        </w:rPr>
        <w:t xml:space="preserve"> </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institution 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institutional lender or</w:t>
      </w:r>
      <w:r>
        <w:rPr>
          <w:rFonts w:ascii="Times New Roman" w:hAnsi="Times New Roman"/>
          <w:color w:val="000000"/>
          <w:sz w:val="20"/>
        </w:rPr>
        <w:t xml:space="preserve"> </w:t>
      </w:r>
      <w:r>
        <w:rPr>
          <w:rFonts w:ascii="Times New Roman" w:hAnsi="Times New Roman"/>
          <w:color w:val="000000"/>
          <w:sz w:val="24"/>
        </w:rPr>
        <w:t>investor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 any</w:t>
      </w:r>
      <w:r>
        <w:rPr>
          <w:rFonts w:ascii="Times New Roman" w:hAnsi="Times New Roman"/>
          <w:color w:val="000000"/>
          <w:sz w:val="20"/>
        </w:rPr>
        <w:t xml:space="preserve"> </w:t>
      </w:r>
      <w:r>
        <w:rPr>
          <w:rFonts w:ascii="Times New Roman" w:hAnsi="Times New Roman"/>
          <w:color w:val="000000"/>
          <w:sz w:val="24"/>
        </w:rPr>
        <w:t>natural person)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agrees to provide</w:t>
      </w:r>
      <w:r>
        <w:rPr>
          <w:rFonts w:ascii="Times New Roman" w:hAnsi="Times New Roman"/>
          <w:color w:val="000000"/>
          <w:sz w:val="20"/>
        </w:rPr>
        <w:t xml:space="preserve"> </w:t>
      </w:r>
      <w:r>
        <w:rPr>
          <w:rFonts w:ascii="Times New Roman" w:hAnsi="Times New Roman"/>
          <w:color w:val="000000"/>
          <w:sz w:val="24"/>
        </w:rPr>
        <w:t xml:space="preserve">any portion of any (a) Incremental Revolving Commitment Increase pursuant to an Incremental Facility Amendment in accordance with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or (b) Credit Agreement Refinancing Indebtedness pursuant to a Refinancing Amendment in accordance with </w:t>
      </w:r>
      <w:r>
        <w:rPr>
          <w:rFonts w:ascii="Times New Roman" w:hAnsi="Times New Roman"/>
          <w:color w:val="000000"/>
          <w:sz w:val="24"/>
          <w:u w:val="single"/>
        </w:rPr>
        <w:t>Section 2.21</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each Additional Revolving Lender shall be subject to the approval of the Administrative Agent and, if such Additional Revolving Lender will provide an Incremental Revolving Commitment Increase, each Issuing Bank and the Swing Line Lender, in each case</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 xml:space="preserve">such consent would be required under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for an assignment of Revolving Loans or Revolving Commitments, as applicable, to such bank, financial institution or other institutional lender or investor (such approval in each case not to be unreasonably withheld, conditioned or delayed) and the Borrower.</w:t>
      </w:r>
    </w:p>
    <w:p>
      <w:pPr>
        <w:pStyle w:val="TextBody"/>
        <w:bidi w:val="0"/>
        <w:spacing w:before="0" w:after="240"/>
        <w:jc w:val="both"/>
        <w:rPr/>
      </w:pPr>
      <w:r>
        <w:rPr>
          <w:color w:val="000000"/>
        </w:rPr>
        <w:t>“</w:t>
      </w:r>
      <w:r>
        <w:rPr>
          <w:rFonts w:ascii="Times New Roman" w:hAnsi="Times New Roman"/>
          <w:color w:val="000000"/>
          <w:sz w:val="24"/>
          <w:u w:val="single"/>
        </w:rPr>
        <w:t>Additional Second Out Debt</w:t>
      </w:r>
      <w:r>
        <w:rPr>
          <w:rFonts w:ascii="Times New Roman" w:hAnsi="Times New Roman"/>
          <w:color w:val="000000"/>
          <w:sz w:val="20"/>
        </w:rPr>
        <w:t xml:space="preserve">” </w:t>
      </w:r>
      <w:r>
        <w:rPr>
          <w:rFonts w:ascii="Times New Roman" w:hAnsi="Times New Roman"/>
          <w:color w:val="000000"/>
          <w:sz w:val="24"/>
        </w:rPr>
        <w:t xml:space="preserve">means any Incremental Facility or Incremental Equivalent Debt that (x) is secured by all or a portion of the Collateral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basis (without regard to the control of remedies) with the Liens on such Collateral securing the Initial Revolving Facility and (y) ranks junior in right of payment to the Secured Obligations in respect of the Initial Revolving Facility (whether pursuant to “waterfall” provisions, an intercreditor agreement, or otherwise).</w:t>
      </w:r>
    </w:p>
    <w:p>
      <w:pPr>
        <w:pStyle w:val="TextBody"/>
        <w:bidi w:val="0"/>
        <w:spacing w:before="0" w:after="240"/>
        <w:jc w:val="both"/>
        <w:rPr/>
      </w:pPr>
      <w:r>
        <w:rPr>
          <w:color w:val="000000"/>
        </w:rPr>
        <w:t>“</w:t>
      </w:r>
      <w:r>
        <w:rPr>
          <w:rFonts w:ascii="Times New Roman" w:hAnsi="Times New Roman"/>
          <w:color w:val="000000"/>
          <w:sz w:val="24"/>
          <w:u w:val="single"/>
        </w:rPr>
        <w:t>Additional Term Lender</w:t>
      </w:r>
      <w:r>
        <w:rPr>
          <w:rFonts w:ascii="Times New Roman" w:hAnsi="Times New Roman"/>
          <w:color w:val="000000"/>
          <w:sz w:val="20"/>
        </w:rPr>
        <w:t xml:space="preserve">” </w:t>
      </w:r>
      <w:r>
        <w:rPr>
          <w:rFonts w:ascii="Times New Roman" w:hAnsi="Times New Roman"/>
          <w:color w:val="000000"/>
          <w:sz w:val="24"/>
        </w:rPr>
        <w:t>means, at any time, any bank, financial institution or other institutional lender or investor (other than any natural person) that agrees to provide any portion of any (a) Incremental Term Loans pursuant to an Incremental Facility Amendment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accordance with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2.20</w:t>
      </w:r>
      <w:r>
        <w:rPr>
          <w:rFonts w:ascii="Times New Roman" w:hAnsi="Times New Roman"/>
          <w:color w:val="000000"/>
          <w:sz w:val="20"/>
        </w:rPr>
        <w:t xml:space="preserve"> </w:t>
      </w:r>
      <w:r>
        <w:rPr>
          <w:rFonts w:ascii="Times New Roman" w:hAnsi="Times New Roman"/>
          <w:color w:val="000000"/>
          <w:sz w:val="24"/>
        </w:rPr>
        <w:t xml:space="preserve">or (b) Credit Agreement Refinancing Indebtedness pursuant to a Refinancing Amendment in accordance with </w:t>
      </w:r>
      <w:r>
        <w:rPr>
          <w:rFonts w:ascii="Times New Roman" w:hAnsi="Times New Roman"/>
          <w:color w:val="000000"/>
          <w:sz w:val="24"/>
          <w:u w:val="single"/>
        </w:rPr>
        <w:t>Section 2.21</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each Additional Term Lender shall be subject to the approval of the Administrative Agent if such consent would be required under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for an assignment of Revolving Loans or Revolving Commitments, as applicable, to such bank, financial institution or other institutional lender or investor (such approval in each case not to be unreasonably withheld, conditioned or delayed) and the Borrower.</w:t>
      </w:r>
    </w:p>
    <w:p>
      <w:pPr>
        <w:pStyle w:val="TextBody"/>
        <w:bidi w:val="0"/>
        <w:spacing w:before="0" w:after="240"/>
        <w:jc w:val="both"/>
        <w:rPr/>
      </w:pPr>
      <w:r>
        <w:rPr>
          <w:color w:val="000000"/>
        </w:rPr>
        <w:t>“</w:t>
      </w:r>
      <w:r>
        <w:rPr>
          <w:rFonts w:ascii="Times New Roman" w:hAnsi="Times New Roman"/>
          <w:color w:val="000000"/>
          <w:sz w:val="24"/>
          <w:u w:val="single"/>
        </w:rPr>
        <w:t>Additional Lender</w:t>
      </w:r>
      <w:r>
        <w:rPr>
          <w:rFonts w:ascii="Times New Roman" w:hAnsi="Times New Roman"/>
          <w:color w:val="000000"/>
          <w:sz w:val="20"/>
        </w:rPr>
        <w:t xml:space="preserve">” </w:t>
      </w:r>
      <w:r>
        <w:rPr>
          <w:rFonts w:ascii="Times New Roman" w:hAnsi="Times New Roman"/>
          <w:color w:val="000000"/>
          <w:sz w:val="24"/>
        </w:rPr>
        <w:t>means any Additional Revolving Lender or any Additional Term Lender, as applicable.</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 xml:space="preserve">means Barclays Bank PLC, in its capacity as administrative agent hereunder and under the other Loan Documents, and its successors in such capacity as provided in </w:t>
      </w:r>
      <w:r>
        <w:rPr>
          <w:rFonts w:ascii="Times New Roman" w:hAnsi="Times New Roman"/>
          <w:color w:val="000000"/>
          <w:sz w:val="24"/>
          <w:u w:val="single"/>
        </w:rPr>
        <w:t>Article VIII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Administrative Agent’s Office</w:t>
      </w:r>
      <w:r>
        <w:rPr>
          <w:rFonts w:ascii="Times New Roman" w:hAnsi="Times New Roman"/>
          <w:color w:val="000000"/>
          <w:sz w:val="20"/>
        </w:rPr>
        <w:t xml:space="preserve">” </w:t>
      </w:r>
      <w:r>
        <w:rPr>
          <w:rFonts w:ascii="Times New Roman" w:hAnsi="Times New Roman"/>
          <w:color w:val="000000"/>
          <w:sz w:val="24"/>
        </w:rPr>
        <w:t xml:space="preserve">means the Administrative Agent’s address and, as appropriate, account as set forth on </w:t>
      </w:r>
      <w:r>
        <w:rPr>
          <w:rFonts w:ascii="Times New Roman" w:hAnsi="Times New Roman"/>
          <w:color w:val="000000"/>
          <w:sz w:val="24"/>
          <w:u w:val="single"/>
        </w:rPr>
        <w:t>Schedule 9.01</w:t>
      </w:r>
      <w:r>
        <w:rPr>
          <w:rFonts w:ascii="Times New Roman" w:hAnsi="Times New Roman"/>
          <w:color w:val="000000"/>
          <w:sz w:val="24"/>
        </w:rPr>
        <w:t>, or such other address or account as the Administrative Agent may from time to time notify the Borrower and the Lenders in writing.</w:t>
      </w:r>
    </w:p>
    <w:p>
      <w:pPr>
        <w:pStyle w:val="TextBody"/>
        <w:bidi w:val="0"/>
        <w:spacing w:before="0" w:after="240"/>
        <w:jc w:val="both"/>
        <w:rPr/>
      </w:pPr>
      <w:r>
        <w:rPr>
          <w:color w:val="000000"/>
        </w:rPr>
        <w:t>“</w:t>
      </w:r>
      <w:r>
        <w:rPr>
          <w:rFonts w:ascii="Times New Roman" w:hAnsi="Times New Roman"/>
          <w:color w:val="000000"/>
          <w:sz w:val="24"/>
          <w:u w:val="single"/>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in a form supplied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another Person that directly or indirectly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color w:val="000000"/>
          <w:sz w:val="24"/>
          <w:u w:val="single"/>
        </w:rPr>
        <w:t>Affiliated Lender</w:t>
      </w:r>
      <w:r>
        <w:rPr>
          <w:rFonts w:ascii="Times New Roman" w:hAnsi="Times New Roman"/>
          <w:color w:val="000000"/>
          <w:sz w:val="20"/>
        </w:rPr>
        <w:t xml:space="preserve">” </w:t>
      </w:r>
      <w:r>
        <w:rPr>
          <w:rFonts w:ascii="Times New Roman" w:hAnsi="Times New Roman"/>
          <w:color w:val="000000"/>
          <w:sz w:val="24"/>
        </w:rPr>
        <w:t>means, at any</w:t>
      </w:r>
      <w:r>
        <w:rPr>
          <w:rFonts w:ascii="Times New Roman" w:hAnsi="Times New Roman"/>
          <w:color w:val="000000"/>
          <w:sz w:val="20"/>
        </w:rPr>
        <w:t xml:space="preserve"> </w:t>
      </w:r>
      <w:r>
        <w:rPr>
          <w:rFonts w:ascii="Times New Roman" w:hAnsi="Times New Roman"/>
          <w:color w:val="000000"/>
          <w:sz w:val="24"/>
        </w:rPr>
        <w:t>time, any</w:t>
      </w:r>
      <w:r>
        <w:rPr>
          <w:rFonts w:ascii="Times New Roman" w:hAnsi="Times New Roman"/>
          <w:color w:val="000000"/>
          <w:sz w:val="20"/>
        </w:rPr>
        <w:t xml:space="preserve"> </w:t>
      </w:r>
      <w:r>
        <w:rPr>
          <w:rFonts w:ascii="Times New Roman" w:hAnsi="Times New Roman"/>
          <w:color w:val="000000"/>
          <w:sz w:val="24"/>
        </w:rPr>
        <w:t>Lender</w:t>
      </w:r>
      <w:r>
        <w:rPr>
          <w:rFonts w:ascii="Times New Roman" w:hAnsi="Times New Roman"/>
          <w:color w:val="000000"/>
          <w:sz w:val="20"/>
        </w:rPr>
        <w:t xml:space="preserve"> </w:t>
      </w:r>
      <w:r>
        <w:rPr>
          <w:rFonts w:ascii="Times New Roman" w:hAnsi="Times New Roman"/>
          <w:color w:val="000000"/>
          <w:sz w:val="24"/>
        </w:rPr>
        <w:t>that is any</w:t>
      </w:r>
      <w:r>
        <w:rPr>
          <w:rFonts w:ascii="Times New Roman" w:hAnsi="Times New Roman"/>
          <w:color w:val="000000"/>
          <w:sz w:val="20"/>
        </w:rPr>
        <w:t xml:space="preserve"> </w:t>
      </w:r>
      <w:r>
        <w:rPr>
          <w:rFonts w:ascii="Times New Roman" w:hAnsi="Times New Roman"/>
          <w:color w:val="000000"/>
          <w:sz w:val="24"/>
        </w:rPr>
        <w:t>Person (other</w:t>
      </w:r>
      <w:r>
        <w:rPr>
          <w:rFonts w:ascii="Times New Roman" w:hAnsi="Times New Roman"/>
          <w:color w:val="000000"/>
          <w:sz w:val="20"/>
        </w:rPr>
        <w:t xml:space="preserve"> </w:t>
      </w:r>
      <w:r>
        <w:rPr>
          <w:rFonts w:ascii="Times New Roman" w:hAnsi="Times New Roman"/>
          <w:color w:val="000000"/>
          <w:sz w:val="24"/>
        </w:rPr>
        <w:t>than a member of the Hoya Group) contemplated by</w:t>
      </w:r>
      <w:r>
        <w:rPr>
          <w:rFonts w:ascii="Times New Roman" w:hAnsi="Times New Roman"/>
          <w:color w:val="000000"/>
          <w:sz w:val="20"/>
        </w:rPr>
        <w:t xml:space="preserve"> </w:t>
      </w:r>
      <w:r>
        <w:rPr>
          <w:rFonts w:ascii="Times New Roman" w:hAnsi="Times New Roman"/>
          <w:color w:val="000000"/>
          <w:sz w:val="24"/>
        </w:rPr>
        <w:t>the definition of “Sponsor” at such time.</w:t>
      </w:r>
    </w:p>
    <w:p>
      <w:pPr>
        <w:pStyle w:val="TextBody"/>
        <w:bidi w:val="0"/>
        <w:spacing w:before="0" w:after="240"/>
        <w:jc w:val="both"/>
        <w:rPr/>
      </w:pPr>
      <w:r>
        <w:rPr>
          <w:color w:val="000000"/>
        </w:rPr>
        <w:t>“</w:t>
      </w:r>
      <w:r>
        <w:rPr>
          <w:rFonts w:ascii="Times New Roman" w:hAnsi="Times New Roman"/>
          <w:color w:val="000000"/>
          <w:sz w:val="24"/>
          <w:u w:val="single"/>
        </w:rPr>
        <w:t>Agent</w:t>
      </w:r>
      <w:r>
        <w:rPr>
          <w:rFonts w:ascii="Times New Roman" w:hAnsi="Times New Roman"/>
          <w:color w:val="000000"/>
          <w:sz w:val="20"/>
        </w:rPr>
        <w:t xml:space="preserve">” </w:t>
      </w:r>
      <w:r>
        <w:rPr>
          <w:rFonts w:ascii="Times New Roman" w:hAnsi="Times New Roman"/>
          <w:color w:val="000000"/>
          <w:sz w:val="24"/>
        </w:rPr>
        <w:t>means any of the Administrative Agent, the Collateral Agent, and any permitted successors and assigns of the foregoing in such capacity, and “</w:t>
      </w:r>
      <w:r>
        <w:rPr>
          <w:rFonts w:ascii="Times New Roman" w:hAnsi="Times New Roman"/>
          <w:color w:val="000000"/>
          <w:sz w:val="24"/>
          <w:u w:val="single"/>
        </w:rPr>
        <w:t>Agents</w:t>
      </w:r>
      <w:r>
        <w:rPr>
          <w:rFonts w:ascii="Times New Roman" w:hAnsi="Times New Roman"/>
          <w:color w:val="000000"/>
          <w:sz w:val="20"/>
        </w:rPr>
        <w:t xml:space="preserve">” </w:t>
      </w:r>
      <w:r>
        <w:rPr>
          <w:rFonts w:ascii="Times New Roman" w:hAnsi="Times New Roman"/>
          <w:color w:val="000000"/>
          <w:sz w:val="24"/>
        </w:rPr>
        <w:t>means two or more of them.</w:t>
      </w:r>
    </w:p>
    <w:p>
      <w:pPr>
        <w:pStyle w:val="TextBody"/>
        <w:bidi w:val="0"/>
        <w:spacing w:before="0" w:after="240"/>
        <w:jc w:val="both"/>
        <w:rPr/>
      </w:pPr>
      <w:r>
        <w:rPr>
          <w:color w:val="000000"/>
        </w:rPr>
        <w:t>“</w:t>
      </w:r>
      <w:r>
        <w:rPr>
          <w:rFonts w:ascii="Times New Roman" w:hAnsi="Times New Roman"/>
          <w:color w:val="000000"/>
          <w:sz w:val="24"/>
          <w:u w:val="single"/>
        </w:rPr>
        <w:t>Agent Parties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9.01(c)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 the meaning assigned to such term in the introductory paragraph hereto.</w:t>
      </w:r>
    </w:p>
    <w:p>
      <w:pPr>
        <w:pStyle w:val="TextBody"/>
        <w:bidi w:val="0"/>
        <w:spacing w:before="0" w:after="240"/>
        <w:jc w:val="both"/>
        <w:rPr/>
      </w:pPr>
      <w:r>
        <w:rPr>
          <w:color w:val="000000"/>
        </w:rPr>
        <w:t>“</w:t>
      </w:r>
      <w:r>
        <w:rPr>
          <w:rFonts w:ascii="Times New Roman" w:hAnsi="Times New Roman"/>
          <w:color w:val="000000"/>
          <w:sz w:val="24"/>
          <w:u w:val="single"/>
        </w:rPr>
        <w:t>Agreement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 xml:space="preserve">means, for any day, a rate per annum equal to the greatest of (a) the Prime Rate in effect on such day, (b) the Federal Funds Effective Rate in effect on such day plus 0.50% and (c) the Term SOFR Rate for the applicable Loan on such day (or if such day is not a Business Day, the immediately preceding Business Day) for a deposit in Dollars with a maturity of one (1) month plus 1.00%; </w:t>
      </w:r>
      <w:r>
        <w:rPr>
          <w:rFonts w:ascii="Times New Roman" w:hAnsi="Times New Roman"/>
          <w:color w:val="000000"/>
          <w:sz w:val="24"/>
          <w:u w:val="single"/>
        </w:rPr>
        <w:t xml:space="preserve">provided </w:t>
      </w:r>
      <w:r>
        <w:rPr>
          <w:rFonts w:ascii="Times New Roman" w:hAnsi="Times New Roman"/>
          <w:color w:val="000000"/>
          <w:sz w:val="24"/>
        </w:rPr>
        <w:t>that, solely for purposes of the foregoing, the Term SOFR Rate for any day shall be calculated using the Term SOFR Rate on such day at approximately 11:00 a.m. (New York City time) for a deposit in Dollars with a maturity of one (1) month. If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shall have determined (which determination shall be conclusive absent manifest error) that it is unable to ascertain the Federal Funds Effective Rate or the Term SOFR Rate for any reason, including the inability or failure of the Administrative Agent to obtain sufficient quotations in accordance with the terms of the definition of “Federal Funds Effective Rate”, the Alternate Base Rate shall be determined without regard to clause (b) or (c), as applicable, of the preceding sentence until the circumstances giving rise to such inability no longer exist. Any change in the Alternate Base Rate due to a change in the Prime Rate, the Federal Funds Effective Rate or the Term SOFR Rate shall be effective from and including the effective date of such change in the Prime Rate, the Federal Funds Effective Rate or the Term SOFR Rate, respectively.</w:t>
      </w:r>
    </w:p>
    <w:p>
      <w:pPr>
        <w:pStyle w:val="TextBody"/>
        <w:bidi w:val="0"/>
        <w:spacing w:before="0" w:after="240"/>
        <w:jc w:val="both"/>
        <w:rPr/>
      </w:pPr>
      <w:r>
        <w:rPr>
          <w:color w:val="000000"/>
        </w:rPr>
        <w:t>“</w:t>
      </w:r>
      <w:r>
        <w:rPr>
          <w:rFonts w:ascii="Times New Roman" w:hAnsi="Times New Roman"/>
          <w:color w:val="000000"/>
          <w:sz w:val="24"/>
          <w:u w:val="single"/>
        </w:rPr>
        <w:t>Alternative Currency</w:t>
      </w:r>
      <w:r>
        <w:rPr>
          <w:rFonts w:ascii="Times New Roman" w:hAnsi="Times New Roman"/>
          <w:color w:val="000000"/>
          <w:sz w:val="20"/>
        </w:rPr>
        <w:t xml:space="preserve">” </w:t>
      </w:r>
      <w:r>
        <w:rPr>
          <w:rFonts w:ascii="Times New Roman" w:hAnsi="Times New Roman"/>
          <w:color w:val="000000"/>
          <w:sz w:val="24"/>
        </w:rPr>
        <w:t>means (x) Canadian Dollars, Pounds Sterling and Euros and (y) such other currencies as may be approved by the Administrative Agent and the applicable Revolving Lenders and/or Issuing Banks that agree to provide Revolving Loans and/or Letters of Credit in such other currencies from time to time.</w:t>
      </w:r>
    </w:p>
    <w:p>
      <w:pPr>
        <w:pStyle w:val="TextBody"/>
        <w:bidi w:val="0"/>
        <w:spacing w:before="0" w:after="240"/>
        <w:jc w:val="both"/>
        <w:rPr/>
      </w:pPr>
      <w:r>
        <w:rPr>
          <w:color w:val="000000"/>
        </w:rPr>
        <w:t>“</w:t>
      </w:r>
      <w:r>
        <w:rPr>
          <w:rFonts w:ascii="Times New Roman" w:hAnsi="Times New Roman"/>
          <w:color w:val="000000"/>
          <w:sz w:val="24"/>
          <w:u w:val="single"/>
        </w:rPr>
        <w:t>Alternative Currency Loan</w:t>
      </w:r>
      <w:r>
        <w:rPr>
          <w:rFonts w:ascii="Times New Roman" w:hAnsi="Times New Roman"/>
          <w:color w:val="000000"/>
          <w:sz w:val="20"/>
        </w:rPr>
        <w:t xml:space="preserve">” </w:t>
      </w:r>
      <w:r>
        <w:rPr>
          <w:rFonts w:ascii="Times New Roman" w:hAnsi="Times New Roman"/>
          <w:color w:val="000000"/>
          <w:sz w:val="24"/>
        </w:rPr>
        <w:t>means a Loan denominated in an Alternative Currency.</w:t>
      </w:r>
    </w:p>
    <w:p>
      <w:pPr>
        <w:pStyle w:val="TextBody"/>
        <w:bidi w:val="0"/>
        <w:spacing w:before="0" w:after="240"/>
        <w:jc w:val="both"/>
        <w:rPr/>
      </w:pPr>
      <w:r>
        <w:rPr>
          <w:color w:val="000000"/>
        </w:rPr>
        <w:t>“</w:t>
      </w:r>
      <w:r>
        <w:rPr>
          <w:rFonts w:ascii="Times New Roman" w:hAnsi="Times New Roman"/>
          <w:color w:val="000000"/>
          <w:sz w:val="24"/>
          <w:u w:val="single"/>
        </w:rPr>
        <w:t>Applicable Account</w:t>
      </w:r>
      <w:r>
        <w:rPr>
          <w:rFonts w:ascii="Times New Roman" w:hAnsi="Times New Roman"/>
          <w:color w:val="000000"/>
          <w:sz w:val="20"/>
        </w:rPr>
        <w:t xml:space="preserve">” </w:t>
      </w:r>
      <w:r>
        <w:rPr>
          <w:rFonts w:ascii="Times New Roman" w:hAnsi="Times New Roman"/>
          <w:color w:val="000000"/>
          <w:sz w:val="24"/>
        </w:rPr>
        <w:t>means, with respect to any payment to be made to the Administrative Agent hereunder, the account specified by the Administrative Agent from time to time for the purpose of receiving payments of such type.</w:t>
      </w:r>
    </w:p>
    <w:p>
      <w:pPr>
        <w:pStyle w:val="TextBody"/>
        <w:bidi w:val="0"/>
        <w:spacing w:before="0" w:after="240"/>
        <w:jc w:val="both"/>
        <w:rPr/>
      </w:pPr>
      <w:r>
        <w:rPr>
          <w:color w:val="000000"/>
        </w:rPr>
        <w:t>“</w:t>
      </w:r>
      <w:r>
        <w:rPr>
          <w:rFonts w:ascii="Times New Roman" w:hAnsi="Times New Roman"/>
          <w:color w:val="000000"/>
          <w:sz w:val="24"/>
          <w:u w:val="single"/>
        </w:rPr>
        <w:t>Applicable Fronting Exposure</w:t>
      </w:r>
      <w:r>
        <w:rPr>
          <w:rFonts w:ascii="Times New Roman" w:hAnsi="Times New Roman"/>
          <w:color w:val="000000"/>
          <w:sz w:val="20"/>
        </w:rPr>
        <w:t xml:space="preserve">” </w:t>
      </w:r>
      <w:r>
        <w:rPr>
          <w:rFonts w:ascii="Times New Roman" w:hAnsi="Times New Roman"/>
          <w:color w:val="000000"/>
          <w:sz w:val="24"/>
        </w:rPr>
        <w:t>means, with respect to any Person that is an Issuing Bank at any time, the sum of (a) the aggregate amount of all Letters of Credit issued by such Person in its capacity as an Issuing Bank (if applicable) that remains available for drawing at such time and (b) the aggregate amount of all LC Disbursements made by such Person in its capacity as an Issuing Bank (if applicable) that have not yet been reimbursed by or on behalf of the Borrower at such time.</w:t>
      </w:r>
    </w:p>
    <w:p>
      <w:pPr>
        <w:pStyle w:val="TextBody"/>
        <w:bidi w:val="0"/>
        <w:spacing w:before="0" w:after="240"/>
        <w:jc w:val="both"/>
        <w:rPr/>
      </w:pPr>
      <w:r>
        <w:rPr>
          <w:color w:val="000000"/>
        </w:rPr>
        <w:t>“</w:t>
      </w:r>
      <w:r>
        <w:rPr>
          <w:rFonts w:ascii="Times New Roman" w:hAnsi="Times New Roman"/>
          <w:color w:val="000000"/>
          <w:sz w:val="24"/>
          <w:u w:val="single"/>
        </w:rPr>
        <w:t>Applicable Percentage</w:t>
      </w:r>
      <w:r>
        <w:rPr>
          <w:rFonts w:ascii="Times New Roman" w:hAnsi="Times New Roman"/>
          <w:color w:val="000000"/>
          <w:sz w:val="20"/>
        </w:rPr>
        <w:t xml:space="preserve">” </w:t>
      </w:r>
      <w:r>
        <w:rPr>
          <w:rFonts w:ascii="Times New Roman" w:hAnsi="Times New Roman"/>
          <w:color w:val="000000"/>
          <w:sz w:val="24"/>
        </w:rPr>
        <w:t xml:space="preserve">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hAnsi="Times New Roman"/>
          <w:color w:val="000000"/>
          <w:sz w:val="24"/>
          <w:u w:val="single"/>
        </w:rPr>
        <w:t xml:space="preserve">provided </w:t>
      </w:r>
      <w:r>
        <w:rPr>
          <w:rFonts w:ascii="Times New Roman" w:hAnsi="Times New Roman"/>
          <w:color w:val="000000"/>
          <w:sz w:val="24"/>
        </w:rPr>
        <w:t>that, at any time any Revolving Lender shall be a Defaulting Lender, “Applicable Percentage” shall mean the percentage of the aggregate Revolving Commitments (disregarding any such Defaulting Lender’s Revolving Commitment) represented by such Lender’s Revolving Commitment at such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pStyle w:val="TextBody"/>
        <w:bidi w:val="0"/>
        <w:spacing w:before="0" w:after="240"/>
        <w:jc w:val="both"/>
        <w:rPr/>
      </w:pPr>
      <w:r>
        <w:rPr>
          <w:color w:val="000000"/>
        </w:rPr>
        <w:t>“</w:t>
      </w:r>
      <w:r>
        <w:rPr>
          <w:rFonts w:ascii="Times New Roman" w:hAnsi="Times New Roman"/>
          <w:color w:val="000000"/>
          <w:sz w:val="24"/>
          <w:u w:val="single"/>
        </w:rPr>
        <w:t>Applicable Rate</w:t>
      </w:r>
      <w:r>
        <w:rPr>
          <w:rFonts w:ascii="Times New Roman" w:hAnsi="Times New Roman"/>
          <w:color w:val="000000"/>
          <w:sz w:val="20"/>
        </w:rPr>
        <w:t xml:space="preserve">” </w:t>
      </w:r>
      <w:r>
        <w:rPr>
          <w:rFonts w:ascii="Times New Roman" w:hAnsi="Times New Roman"/>
          <w:color w:val="000000"/>
          <w:sz w:val="24"/>
        </w:rPr>
        <w:t>means, for any day, (A) 3.75% per annum in the case of any Revolving Loan that is a Term SOFR Loan, Term CORRA Loan, RFR Loan or EURIBOR Loan and (B) 2.75% per annum in the case of any Revolving Loan that is an ABR Loan, Central Bank Rate Loan or Canadian Prime Rate Loan.</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Appropriate Lender</w:t>
      </w:r>
      <w:r>
        <w:rPr>
          <w:rFonts w:ascii="Times New Roman" w:hAnsi="Times New Roman"/>
          <w:color w:val="000000"/>
          <w:sz w:val="20"/>
        </w:rPr>
        <w:t xml:space="preserve">” </w:t>
      </w:r>
      <w:r>
        <w:rPr>
          <w:rFonts w:ascii="Times New Roman" w:hAnsi="Times New Roman"/>
          <w:color w:val="000000"/>
          <w:sz w:val="24"/>
        </w:rPr>
        <w:t xml:space="preserve">means, at any time, (a) with respect to Loans of any Class, the Lenders of such Class, (b) with respect to Letters of Credit, (i) the relevant Issuing Banks and (ii) the Revolving Lenders and (c) with respect to the Swing Line Facility, (i) the relevant Swing Line Lender and (ii) if any Swing Line Loans are outstanding pursuant to </w:t>
      </w:r>
      <w:r>
        <w:rPr>
          <w:rFonts w:ascii="Times New Roman" w:hAnsi="Times New Roman"/>
          <w:color w:val="000000"/>
          <w:sz w:val="24"/>
          <w:u w:val="single"/>
        </w:rPr>
        <w:t>Section 2.04(a)</w:t>
      </w:r>
      <w:r>
        <w:rPr>
          <w:rFonts w:ascii="Times New Roman" w:hAnsi="Times New Roman"/>
          <w:color w:val="000000"/>
          <w:sz w:val="24"/>
        </w:rPr>
        <w:t>, the Revolving Lenders.</w:t>
      </w:r>
    </w:p>
    <w:p>
      <w:pPr>
        <w:pStyle w:val="TextBody"/>
        <w:bidi w:val="0"/>
        <w:spacing w:before="0" w:after="240"/>
        <w:jc w:val="both"/>
        <w:rPr/>
      </w:pPr>
      <w:r>
        <w:rPr>
          <w:color w:val="000000"/>
        </w:rPr>
        <w:t>“</w:t>
      </w:r>
      <w:r>
        <w:rPr>
          <w:rFonts w:ascii="Times New Roman" w:hAnsi="Times New Roman"/>
          <w:color w:val="000000"/>
          <w:sz w:val="24"/>
          <w:u w:val="single"/>
        </w:rPr>
        <w:t>Approved Bank</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“Permitted Investments”.</w:t>
      </w:r>
    </w:p>
    <w:p>
      <w:pPr>
        <w:pStyle w:val="TextBody"/>
        <w:bidi w:val="0"/>
        <w:spacing w:before="0" w:after="240"/>
        <w:jc w:val="both"/>
        <w:rPr/>
      </w:pPr>
      <w:r>
        <w:rPr>
          <w:color w:val="000000"/>
        </w:rPr>
        <w:t>“</w:t>
      </w:r>
      <w:r>
        <w:rPr>
          <w:rFonts w:ascii="Times New Roman" w:hAnsi="Times New Roman"/>
          <w:color w:val="000000"/>
          <w:sz w:val="24"/>
          <w:u w:val="single"/>
        </w:rPr>
        <w:t>Approved Foreign Bank</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“Permitted Investments”.</w:t>
      </w:r>
    </w:p>
    <w:p>
      <w:pPr>
        <w:pStyle w:val="TextBody"/>
        <w:bidi w:val="0"/>
        <w:spacing w:before="0" w:after="240"/>
        <w:jc w:val="both"/>
        <w:rPr/>
      </w:pPr>
      <w:r>
        <w:rPr>
          <w:color w:val="000000"/>
        </w:rPr>
        <w:t>“</w:t>
      </w:r>
      <w:r>
        <w:rPr>
          <w:rFonts w:ascii="Times New Roman" w:hAnsi="Times New Roman"/>
          <w:color w:val="000000"/>
          <w:sz w:val="24"/>
          <w:u w:val="single"/>
        </w:rPr>
        <w:t>Approved Fund</w:t>
      </w:r>
      <w:r>
        <w:rPr>
          <w:rFonts w:ascii="Times New Roman" w:hAnsi="Times New Roman"/>
          <w:color w:val="000000"/>
          <w:sz w:val="20"/>
        </w:rPr>
        <w:t xml:space="preserve">” </w:t>
      </w:r>
      <w:r>
        <w:rPr>
          <w:rFonts w:ascii="Times New Roman" w:hAnsi="Times New Roman"/>
          <w:color w:val="000000"/>
          <w:sz w:val="24"/>
        </w:rPr>
        <w:t>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pStyle w:val="TextBody"/>
        <w:bidi w:val="0"/>
        <w:spacing w:before="0" w:after="240"/>
        <w:jc w:val="both"/>
        <w:rPr/>
      </w:pPr>
      <w:r>
        <w:rPr>
          <w:color w:val="000000"/>
        </w:rPr>
        <w:t>“</w:t>
      </w:r>
      <w:r>
        <w:rPr>
          <w:rFonts w:ascii="Times New Roman" w:hAnsi="Times New Roman"/>
          <w:color w:val="000000"/>
          <w:sz w:val="24"/>
          <w:u w:val="single"/>
        </w:rPr>
        <w:t>Assignment and Assumption</w:t>
      </w:r>
      <w:r>
        <w:rPr>
          <w:rFonts w:ascii="Times New Roman" w:hAnsi="Times New Roman"/>
          <w:color w:val="000000"/>
          <w:sz w:val="20"/>
        </w:rPr>
        <w:t xml:space="preserve">” </w:t>
      </w:r>
      <w:r>
        <w:rPr>
          <w:rFonts w:ascii="Times New Roman" w:hAnsi="Times New Roman"/>
          <w:color w:val="000000"/>
          <w:sz w:val="24"/>
        </w:rPr>
        <w:t xml:space="preserve">means an assignment and assumption entered into by a Lender and an Eligible Assignee (with the consent of any Person whose consent is required by </w:t>
      </w:r>
      <w:r>
        <w:rPr>
          <w:rFonts w:ascii="Times New Roman" w:hAnsi="Times New Roman"/>
          <w:color w:val="000000"/>
          <w:sz w:val="24"/>
          <w:u w:val="single"/>
        </w:rPr>
        <w:t>Section 9.04(b)</w:t>
      </w:r>
      <w:r>
        <w:rPr>
          <w:rFonts w:ascii="Times New Roman" w:hAnsi="Times New Roman"/>
          <w:color w:val="000000"/>
          <w:sz w:val="24"/>
        </w:rPr>
        <w:t xml:space="preserve">), substantially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or any other form reasonably approved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w:t>
        <w:noBreakHyphen/>
        <w:t>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w:t>
        <w:noBreakHyphen/>
        <w:t>removed from the definition of “</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pursuant to clause (d) of </w:t>
      </w:r>
      <w:r>
        <w:rPr>
          <w:rFonts w:ascii="Times New Roman" w:hAnsi="Times New Roman"/>
          <w:color w:val="000000"/>
          <w:sz w:val="24"/>
          <w:u w:val="single"/>
        </w:rPr>
        <w:t>Section 1.11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Bail</w:t>
        <w:noBreakHyphen/>
        <w:t>In Action</w:t>
      </w:r>
      <w:r>
        <w:rPr>
          <w:rFonts w:ascii="Times New Roman" w:hAnsi="Times New Roman"/>
          <w:color w:val="000000"/>
          <w:sz w:val="20"/>
        </w:rPr>
        <w:t xml:space="preserve">” </w:t>
      </w:r>
      <w:r>
        <w:rPr>
          <w:rFonts w:ascii="Times New Roman" w:hAnsi="Times New Roman"/>
          <w:color w:val="000000"/>
          <w:sz w:val="24"/>
        </w:rPr>
        <w:t>means the exercise of any Write</w:t>
        <w:noBreakHyphen/>
        <w:t>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4"/>
          <w:u w:val="single"/>
        </w:rPr>
        <w:t>Bail</w:t>
        <w:noBreakHyphen/>
        <w:t>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w:t>
        <w:noBreakHyphen/>
        <w:t>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4"/>
          <w:u w:val="single"/>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 (11 U.S.C. § 101 et seq.), as amended, or any similar federal or state law for the relief of debtors.</w:t>
      </w:r>
    </w:p>
    <w:p>
      <w:pPr>
        <w:pStyle w:val="TextBody"/>
        <w:bidi w:val="0"/>
        <w:spacing w:before="0" w:after="240"/>
        <w:jc w:val="both"/>
        <w:rPr/>
      </w:pPr>
      <w:r>
        <w:rPr>
          <w:color w:val="000000"/>
        </w:rPr>
        <w:t>“</w:t>
      </w:r>
      <w:r>
        <w:rPr>
          <w:rFonts w:ascii="Times New Roman" w:hAnsi="Times New Roman"/>
          <w:color w:val="000000"/>
          <w:sz w:val="24"/>
          <w:u w:val="single"/>
        </w:rPr>
        <w:t>Basel III</w:t>
      </w:r>
      <w:r>
        <w:rPr>
          <w:rFonts w:ascii="Times New Roman" w:hAnsi="Times New Roman"/>
          <w:color w:val="000000"/>
          <w:sz w:val="20"/>
        </w:rPr>
        <w:t xml:space="preserve">” </w:t>
      </w:r>
      <w:r>
        <w:rPr>
          <w:rFonts w:ascii="Times New Roman" w:hAnsi="Times New Roman"/>
          <w:color w:val="000000"/>
          <w:sz w:val="24"/>
        </w:rPr>
        <w:t>means: (a) the agreements on capital requirements, a leverage ratio and liquidity standards contained in “Basel III: A global regulatory framework for more resilient banks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w:t>
      </w:r>
    </w:p>
    <w:p>
      <w:pPr>
        <w:pStyle w:val="TextBody"/>
        <w:bidi w:val="0"/>
        <w:spacing w:before="0" w:after="2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(a) Secured Obligations, interest, fees, commissions or other amounts denominated in, or calculated with respect to, Dollars, the Term SOFR Reference Rate, (b) Secured Obligations, interest, fees, commissions or other amounts denominated in, or calculated with respect to, Canadian Dollars, Term CORRA, (c) Secured Obligations, interest, fees, commissions or other amounts denominated in, or calculated with respect to, Pound Sterling, the Daily Simple RFR, and (d) Secured Obligations, interest, fees, commissions or other amounts denominated in, or calculated with respect to, Euros, EURIBOR;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in each case,</w:t>
      </w:r>
      <w:r>
        <w:rPr>
          <w:rFonts w:ascii="Times New Roman" w:hAnsi="Times New Roman"/>
          <w:color w:val="000000"/>
          <w:sz w:val="20"/>
          <w:u w:val="single"/>
        </w:rPr>
        <w:t xml:space="preserve"> </w:t>
      </w:r>
      <w:r>
        <w:rPr>
          <w:rFonts w:ascii="Times New Roman" w:hAnsi="Times New Roman"/>
          <w:color w:val="000000"/>
          <w:sz w:val="24"/>
        </w:rPr>
        <w:t>that if a Benchmark Transition Event and its related Benchmark Replacement Date have occurred with respect to the Term SOFR Reference Rate, Term CORRA, the Daily Simple RFR, EURIBOR or the then</w:t>
        <w:noBreakHyphen/>
        <w:t xml:space="preserve">current Benchmark, as applicable, then “Benchmark” means the applicable Benchmark Replacement to the extent that such Benchmark Replacement has replaced such prior benchmark rate pursuant to </w:t>
      </w:r>
      <w:r>
        <w:rPr>
          <w:rFonts w:ascii="Times New Roman" w:hAnsi="Times New Roman"/>
          <w:color w:val="000000"/>
          <w:sz w:val="24"/>
          <w:u w:val="single"/>
        </w:rPr>
        <w:t>Section 1.11(a)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 xml:space="preserve">means, for any Available Tenor, the first alternative set forth in the order below that can be determined by the Administrative Agent with respect to any Benchmark Transition Event; </w:t>
      </w:r>
      <w:r>
        <w:rPr>
          <w:rFonts w:ascii="Times New Roman" w:hAnsi="Times New Roman"/>
          <w:color w:val="000000"/>
          <w:sz w:val="24"/>
          <w:u w:val="single"/>
        </w:rPr>
        <w:t xml:space="preserve">provided </w:t>
      </w:r>
      <w:r>
        <w:rPr>
          <w:rFonts w:ascii="Times New Roman" w:hAnsi="Times New Roman"/>
          <w:color w:val="000000"/>
          <w:sz w:val="24"/>
        </w:rPr>
        <w:t>that with respect to a Benchmark with respect to any Secured Obligations, interest, fees, commissions or other amounts denominated in any currency other than Dollars or calculated with respect thereto, the Benchmark Replacement shall mean the alternative set forth in clause (2) below: (1) the sum of: (a) Daily Simple SOFR and (b) the related Benchmark Replacement Adjustment; or (2) the sum of: (a) the alternate benchmark rate that has been selected by the Administrative Agent and the Borrower as the replacement for the then</w:t>
        <w:noBreakHyphen/>
        <w:t>current Benchmark for the applicable Corresponding Tenor giving due consideration to (i) any selection or recommendation of a replacement benchmark rate or the mechanism for determining such a rate by the Relevant Governmental Body or (ii) any evolving or then</w:t>
        <w:noBreakHyphen/>
        <w:t>prevailing market convention for determining a benchmark rate as a replacement for the then</w:t>
        <w:noBreakHyphen/>
        <w:t>current Benchmark for U.S. dollar</w:t>
        <w:noBreakHyphen/>
        <w:t>denominated syndicated credit facilities at such time and (b) the related Benchmark Replacement Adjustment. If the Benchmark Replacement as determined pursuant to clause (1) or (2) above would be less than 0.00% per annum, the Benchmark Replacement will be deemed to be 0.00% per annum for the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for any applicable Interest Period and Available Tenor for any setting of such Unadjusted Benchmark Replacement: (1) for purposes of clause (1)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Body for the replacement of such Benchmark with the applicable Unadjusted Benchmark Replacement for the applicable Corresponding Tenor 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 (2) for purposes of clause (2)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 (ii) any evolving or then</w:t>
        <w:noBreakHyphen/>
        <w:t xml:space="preserve">prevailing market convention for determining a spread adjustment, or method for calculating or determining such spread adjustment, for the replacement of such Benchmark with the applicable Unadjusted Benchmark Replacement for U.S. dollar denominated syndicated credit facilities; </w:t>
      </w:r>
      <w:r>
        <w:rPr>
          <w:rFonts w:ascii="Times New Roman" w:hAnsi="Times New Roman"/>
          <w:color w:val="000000"/>
          <w:sz w:val="24"/>
          <w:u w:val="single"/>
        </w:rPr>
        <w:t xml:space="preserve">provided </w:t>
      </w:r>
      <w:r>
        <w:rPr>
          <w:rFonts w:ascii="Times New Roman" w:hAnsi="Times New Roman"/>
          <w:color w:val="000000"/>
          <w:sz w:val="24"/>
        </w:rPr>
        <w:t>that, in the case of clause (1) above, such adjustment is displayed on a screen or other information service that publishes such Benchmark Replacement Adjustment from time to time as selected by the Administrative Agent in its reasonable discretion. Each Benchmark Replacement Adjustment shall be subject to the consent of the Borrower.</w:t>
      </w:r>
    </w:p>
    <w:p>
      <w:pPr>
        <w:pStyle w:val="TextBody"/>
        <w:bidi w:val="0"/>
        <w:spacing w:before="0" w:after="240"/>
        <w:jc w:val="both"/>
        <w:rPr/>
      </w:pPr>
      <w:r>
        <w:rPr>
          <w:color w:val="000000"/>
        </w:rPr>
        <w:t>“</w:t>
      </w:r>
      <w:r>
        <w:rPr>
          <w:rFonts w:ascii="Times New Roman" w:hAnsi="Times New Roman"/>
          <w:color w:val="000000"/>
          <w:sz w:val="24"/>
          <w:u w:val="single"/>
        </w:rPr>
        <w:t>Benchmark Replacement Conforming Changes</w:t>
      </w:r>
      <w:r>
        <w:rPr>
          <w:rFonts w:ascii="Times New Roman" w:hAnsi="Times New Roman"/>
          <w:color w:val="000000"/>
          <w:sz w:val="20"/>
        </w:rPr>
        <w:t xml:space="preserve">” </w:t>
      </w:r>
      <w:r>
        <w:rPr>
          <w:rFonts w:ascii="Times New Roman" w:hAnsi="Times New Roman"/>
          <w:color w:val="000000"/>
          <w:sz w:val="24"/>
        </w:rPr>
        <w:t>means, with respect to any Benchmark Replacement, any technical, administrative or operational changes (including changes to the definition of “Alternate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and the Borrower decide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the earliest to occur of the following events with respect to the then</w:t>
        <w:noBreakHyphen/>
        <w:t>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to be non</w:t>
        <w:noBreakHyphen/>
        <w:t>representative or non</w:t>
        <w:noBreakHyphen/>
        <w:t>compliant with or non</w:t>
        <w:noBreakHyphen/>
        <w:t xml:space="preserve">aligned with the International Organization of Securities Commissions (IOSCO) Principles for Financial Benchmarks;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non</w:t>
        <w:noBreakHyphen/>
        <w:t>representativeness, non</w:t>
        <w:noBreakHyphen/>
        <w:t>compliance or non</w:t>
        <w:noBreakHyphen/>
        <w:t>alignment will be determined by reference to the most recent statement or publication referenced in such clause (3) and even if any Available Tenor of such Benchmark (or such component thereof) continues to be provided on such date. For the avoidance of doubt, the “Benchmark Replacement Date” will be deemed to have occurred in the case of clause (1) or (2) with respect to any Benchmark upon the occurrence of the applicable event or events set forth therein with respect to all then</w:t>
        <w:noBreakHyphen/>
        <w:t>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w:t>
        <w:noBreakHyphen/>
        <w:t xml:space="preserve">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4"/>
          <w:u w:val="single"/>
        </w:rPr>
        <w:t xml:space="preserve">provided </w:t>
      </w:r>
      <w:r>
        <w:rPr>
          <w:rFonts w:ascii="Times New Roman" w:hAnsi="Times New Roman"/>
          <w:color w:val="000000"/>
          <w:sz w:val="24"/>
        </w:rPr>
        <w:t xml:space="preserve">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4"/>
          <w:u w:val="single"/>
        </w:rPr>
        <w:t xml:space="preserve">provided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 (3)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 For the avoidance of doubt, a “Benchmark Transition Event” will be deemed to have occurred with respect to any Benchmark if a public statement or publication of information set forth above has occurred with respect to each then</w:t>
        <w:noBreakHyphen/>
        <w:t>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means the period (if any) (x) beginning at the time that a Benchmark Replacement Date pursuant to clause (1) or (2) of that definition has occurred if, at such time, no Benchmark Replacement has replaced the then</w:t>
        <w:noBreakHyphen/>
        <w:t xml:space="preserve">current Benchmark for all purposes hereunder and under any Loan Document in accordance with </w:t>
      </w:r>
      <w:r>
        <w:rPr>
          <w:rFonts w:ascii="Times New Roman" w:hAnsi="Times New Roman"/>
          <w:color w:val="000000"/>
          <w:sz w:val="24"/>
          <w:u w:val="single"/>
        </w:rPr>
        <w:t>Section 1.11</w:t>
      </w:r>
      <w:r>
        <w:rPr>
          <w:rFonts w:ascii="Times New Roman" w:hAnsi="Times New Roman"/>
          <w:color w:val="000000"/>
          <w:sz w:val="20"/>
        </w:rPr>
        <w:t xml:space="preserve"> </w:t>
      </w:r>
      <w:r>
        <w:rPr>
          <w:rFonts w:ascii="Times New Roman" w:hAnsi="Times New Roman"/>
          <w:color w:val="000000"/>
          <w:sz w:val="24"/>
        </w:rPr>
        <w:t>and (y) ending at the time that a Benchmark Replacement has replaced the then</w:t>
        <w:noBreakHyphen/>
        <w:t xml:space="preserve">current Benchmark for all purposes hereunder and under any Loan Document in accordance with </w:t>
      </w:r>
      <w:r>
        <w:rPr>
          <w:rFonts w:ascii="Times New Roman" w:hAnsi="Times New Roman"/>
          <w:color w:val="000000"/>
          <w:sz w:val="24"/>
          <w:u w:val="single"/>
        </w:rPr>
        <w:t>Section 1.11</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Section 4975 of the Code or (c) any Person whose assets include (for purposes of Section 3(42) of ERISA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0"/>
        </w:rPr>
        <w:t xml:space="preserve">” </w:t>
      </w:r>
      <w:r>
        <w:rPr>
          <w:rFonts w:ascii="Times New Roman" w:hAnsi="Times New Roman"/>
          <w:color w:val="000000"/>
          <w:sz w:val="24"/>
        </w:rPr>
        <w:t>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pStyle w:val="TextBody"/>
        <w:bidi w:val="0"/>
        <w:spacing w:before="0" w:after="240"/>
        <w:jc w:val="both"/>
        <w:rPr/>
      </w:pPr>
      <w:r>
        <w:rPr>
          <w:color w:val="000000"/>
        </w:rPr>
        <w:t>“</w:t>
      </w:r>
      <w:r>
        <w:rPr>
          <w:rFonts w:ascii="Times New Roman" w:hAnsi="Times New Roman"/>
          <w:color w:val="000000"/>
          <w:sz w:val="24"/>
          <w:u w:val="single"/>
        </w:rPr>
        <w:t>Board of Governors</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 of America.</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assigned to such term in the introductory paragraph hereto.</w:t>
      </w:r>
    </w:p>
    <w:p>
      <w:pPr>
        <w:pStyle w:val="TextBody"/>
        <w:bidi w:val="0"/>
        <w:spacing w:before="0" w:after="240"/>
        <w:jc w:val="both"/>
        <w:rPr/>
      </w:pPr>
      <w:r>
        <w:rPr>
          <w:color w:val="000000"/>
        </w:rPr>
        <w:t>“</w:t>
      </w:r>
      <w:r>
        <w:rPr>
          <w:rFonts w:ascii="Times New Roman" w:hAnsi="Times New Roman"/>
          <w:color w:val="000000"/>
          <w:sz w:val="24"/>
          <w:u w:val="single"/>
        </w:rPr>
        <w:t>Borrower Materials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Borrowing</w:t>
      </w:r>
      <w:r>
        <w:rPr>
          <w:rFonts w:ascii="Times New Roman" w:hAnsi="Times New Roman"/>
          <w:color w:val="000000"/>
          <w:sz w:val="20"/>
        </w:rPr>
        <w:t xml:space="preserve">” </w:t>
      </w:r>
      <w:r>
        <w:rPr>
          <w:rFonts w:ascii="Times New Roman" w:hAnsi="Times New Roman"/>
          <w:color w:val="000000"/>
          <w:sz w:val="24"/>
        </w:rPr>
        <w:t>means (i) Loans of the same Class and Type made, converted or continued on the same date and, in the case of Term SOFR Loans, as to which a single Interest Period is in effect or (ii) a Swing Line Borrowing, as the context may require.</w:t>
      </w:r>
    </w:p>
    <w:p>
      <w:pPr>
        <w:pStyle w:val="TextBody"/>
        <w:bidi w:val="0"/>
        <w:spacing w:before="0" w:after="240"/>
        <w:jc w:val="both"/>
        <w:rPr/>
      </w:pPr>
      <w:r>
        <w:rPr>
          <w:color w:val="000000"/>
        </w:rPr>
        <w:t>“</w:t>
      </w:r>
      <w:r>
        <w:rPr>
          <w:rFonts w:ascii="Times New Roman" w:hAnsi="Times New Roman"/>
          <w:color w:val="000000"/>
          <w:sz w:val="24"/>
          <w:u w:val="single"/>
        </w:rPr>
        <w:t>Borrowing Minimum</w:t>
      </w:r>
      <w:r>
        <w:rPr>
          <w:rFonts w:ascii="Times New Roman" w:hAnsi="Times New Roman"/>
          <w:color w:val="000000"/>
          <w:sz w:val="20"/>
        </w:rPr>
        <w:t xml:space="preserve">” </w:t>
      </w:r>
      <w:r>
        <w:rPr>
          <w:rFonts w:ascii="Times New Roman" w:hAnsi="Times New Roman"/>
          <w:color w:val="000000"/>
          <w:sz w:val="24"/>
        </w:rPr>
        <w:t>means (i) in the case of a Term SOFR Revolving Borrowing (or any borrowing of an Alternative Currency which is not an ABR Borrowing), the lesser of $500,000 (or, if denominated in an Alternative Currency, the Dollar Equivalent thereof) and the remaining Commitments of the applicable Class and (ii) in the case of an ABR Revolving Borrowing, the lesser of $100,000 (or, if denominated in an Alternative Currency, the Dollar Equivalent thereof) and the remaining Commitments of the applicable Class.</w:t>
      </w:r>
    </w:p>
    <w:p>
      <w:pPr>
        <w:pStyle w:val="TextBody"/>
        <w:bidi w:val="0"/>
        <w:spacing w:before="0" w:after="240"/>
        <w:jc w:val="both"/>
        <w:rPr/>
      </w:pPr>
      <w:r>
        <w:rPr>
          <w:color w:val="000000"/>
        </w:rPr>
        <w:t>“</w:t>
      </w:r>
      <w:r>
        <w:rPr>
          <w:rFonts w:ascii="Times New Roman" w:hAnsi="Times New Roman"/>
          <w:color w:val="000000"/>
          <w:sz w:val="24"/>
          <w:u w:val="single"/>
        </w:rPr>
        <w:t>Borrowing Multiple</w:t>
      </w:r>
      <w:r>
        <w:rPr>
          <w:rFonts w:ascii="Times New Roman" w:hAnsi="Times New Roman"/>
          <w:color w:val="000000"/>
          <w:sz w:val="20"/>
        </w:rPr>
        <w:t xml:space="preserve">” </w:t>
      </w:r>
      <w:r>
        <w:rPr>
          <w:rFonts w:ascii="Times New Roman" w:hAnsi="Times New Roman"/>
          <w:color w:val="000000"/>
          <w:sz w:val="24"/>
        </w:rPr>
        <w:t>means (i) in the case of a Term SOFR Revolving Borrowing (or any borrowing of an Alternative Currency which is not an ABR Borrowing), $50,000 (or, if denominated in an Alternative Currency, the Dollar Equivalent thereof) and (ii) in the case of an ABR Revolving Borrowing, $50,000 (or, if denominated in an Alternative Currency, the Dollar Equivalent thereof).</w:t>
      </w:r>
    </w:p>
    <w:p>
      <w:pPr>
        <w:pStyle w:val="TextBody"/>
        <w:bidi w:val="0"/>
        <w:spacing w:before="0" w:after="240"/>
        <w:jc w:val="both"/>
        <w:rPr/>
      </w:pPr>
      <w:r>
        <w:rPr>
          <w:color w:val="000000"/>
        </w:rPr>
        <w:t>“</w:t>
      </w:r>
      <w:r>
        <w:rPr>
          <w:rFonts w:ascii="Times New Roman" w:hAnsi="Times New Roman"/>
          <w:color w:val="000000"/>
          <w:sz w:val="24"/>
          <w:u w:val="single"/>
        </w:rPr>
        <w:t>Borrowing Request</w:t>
      </w:r>
      <w:r>
        <w:rPr>
          <w:rFonts w:ascii="Times New Roman" w:hAnsi="Times New Roman"/>
          <w:color w:val="000000"/>
          <w:sz w:val="20"/>
        </w:rPr>
        <w:t xml:space="preserve">” </w:t>
      </w:r>
      <w:r>
        <w:rPr>
          <w:rFonts w:ascii="Times New Roman" w:hAnsi="Times New Roman"/>
          <w:color w:val="000000"/>
          <w:sz w:val="24"/>
        </w:rPr>
        <w:t xml:space="preserve">means (i) a request by the Borrower for a Borrowing in accordance with </w:t>
      </w:r>
      <w:r>
        <w:rPr>
          <w:rFonts w:ascii="Times New Roman" w:hAnsi="Times New Roman"/>
          <w:color w:val="000000"/>
          <w:sz w:val="24"/>
          <w:u w:val="single"/>
        </w:rPr>
        <w:t>Section 2.03</w:t>
      </w:r>
      <w:r>
        <w:rPr>
          <w:rFonts w:ascii="Times New Roman" w:hAnsi="Times New Roman"/>
          <w:color w:val="000000"/>
          <w:sz w:val="24"/>
        </w:rPr>
        <w:t>, (ii) with respect to a Letter of Credit, a Letter of Credit Request and (iii) with respect to a Swing Line Loan, a Swing Line Loan Notice.</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that is not a Saturday, Sunday or other day on which commercial banks in New York City are authorized or required by Requirements of Law to remain closed; </w:t>
      </w:r>
      <w:r>
        <w:rPr>
          <w:rFonts w:ascii="Times New Roman" w:hAnsi="Times New Roman"/>
          <w:color w:val="000000"/>
          <w:sz w:val="24"/>
          <w:u w:val="single"/>
        </w:rPr>
        <w:t>provided</w:t>
      </w:r>
      <w:r>
        <w:rPr>
          <w:rFonts w:ascii="Times New Roman" w:hAnsi="Times New Roman"/>
          <w:color w:val="000000"/>
          <w:sz w:val="20"/>
          <w:u w:val="single"/>
        </w:rPr>
        <w:t xml:space="preserve"> </w:t>
      </w:r>
      <w:r>
        <w:rPr>
          <w:rFonts w:ascii="Times New Roman" w:hAnsi="Times New Roman"/>
          <w:color w:val="000000"/>
          <w:sz w:val="24"/>
        </w:rPr>
        <w:t>that, (i) when used in connection with a Loan denominated in Dollars, “</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 U.S. Government Securities Business Day (ii) when used in connection with a Loan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denominated in Euros, “</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shall also exclude any day which is not a TARGET Day, (iii) when used in connection with a Loan denominated in Sterling, “</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shall also exclude any day on which banks are closed for general business in London, (iv) when used in connection with a Loan denominated in Canadian Dollars, “</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shall also exclude any day on which banks are closed for general business in Canada and (v) when used in connection with a Loan denominated in any other currency, “</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shall also exclude any day which is not a day on which dealings in such currency can occur in the London interbank market and on which banks are open for business in the principal financial center for that currency.</w:t>
      </w:r>
    </w:p>
    <w:p>
      <w:pPr>
        <w:pStyle w:val="TextBody"/>
        <w:bidi w:val="0"/>
        <w:spacing w:before="0" w:after="240"/>
        <w:jc w:val="both"/>
        <w:rPr/>
      </w:pPr>
      <w:r>
        <w:rPr>
          <w:color w:val="000000"/>
        </w:rPr>
        <w:t>“</w:t>
      </w:r>
      <w:r>
        <w:rPr>
          <w:rFonts w:ascii="Times New Roman" w:hAnsi="Times New Roman"/>
          <w:color w:val="000000"/>
          <w:sz w:val="24"/>
          <w:u w:val="single"/>
        </w:rPr>
        <w:t>Canadian Dollar</w:t>
      </w:r>
      <w:r>
        <w:rPr>
          <w:rFonts w:ascii="Times New Roman" w:hAnsi="Times New Roman"/>
          <w:color w:val="000000"/>
          <w:sz w:val="20"/>
        </w:rPr>
        <w:t xml:space="preserve">” </w:t>
      </w:r>
      <w:r>
        <w:rPr>
          <w:rFonts w:ascii="Times New Roman" w:hAnsi="Times New Roman"/>
          <w:color w:val="000000"/>
          <w:sz w:val="24"/>
        </w:rPr>
        <w:t>means the lawful currency of Canada.</w:t>
      </w:r>
    </w:p>
    <w:p>
      <w:pPr>
        <w:pStyle w:val="TextBody"/>
        <w:bidi w:val="0"/>
        <w:spacing w:before="0" w:after="240"/>
        <w:jc w:val="both"/>
        <w:rPr/>
      </w:pPr>
      <w:r>
        <w:rPr>
          <w:color w:val="000000"/>
        </w:rPr>
        <w:t>“</w:t>
      </w:r>
      <w:r>
        <w:rPr>
          <w:rFonts w:ascii="Times New Roman" w:hAnsi="Times New Roman"/>
          <w:color w:val="000000"/>
          <w:sz w:val="24"/>
          <w:u w:val="single"/>
        </w:rPr>
        <w:t>Canadian Prime Rate</w:t>
      </w:r>
      <w:r>
        <w:rPr>
          <w:rFonts w:ascii="Times New Roman" w:hAnsi="Times New Roman"/>
          <w:color w:val="000000"/>
          <w:sz w:val="20"/>
        </w:rPr>
        <w:t xml:space="preserve">” </w:t>
      </w:r>
      <w:r>
        <w:rPr>
          <w:rFonts w:ascii="Times New Roman" w:hAnsi="Times New Roman"/>
          <w:color w:val="000000"/>
          <w:sz w:val="24"/>
        </w:rPr>
        <w:t xml:space="preserve">means, on any day, the rate determined by the Administrative Agent to be the higher of (i) the rate equal to the PRIMCAN Index rate that appears on the Bloomberg screen at 10:15 a.m. (Toronto, Ontario time) on such day (or, in the event that the PRIMCAN Index is not published by Bloomberg, any other information service that publishes such index from time to time, as selected by the Administrative Agent in its reasonable discretion) and (ii) Term CORRA for a tenor of one month on such day, plus 1.0% per annum;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any of the above rates shall be less than 0.00% per annum, such rate shall be deemed to be 0.00% per annum for purposes of this Agreement. Any change in the Canadian Prime Rate due to a change in the PRIMCAN Index or Term CORRA shall be effective from and including the effective date of such change in the PRIMCAN Index or Term CORRA, respectively.</w:t>
      </w:r>
    </w:p>
    <w:p>
      <w:pPr>
        <w:pStyle w:val="TextBody"/>
        <w:bidi w:val="0"/>
        <w:spacing w:before="0" w:after="240"/>
        <w:jc w:val="both"/>
        <w:rPr/>
      </w:pPr>
      <w:r>
        <w:rPr>
          <w:color w:val="000000"/>
        </w:rPr>
        <w:t>“</w:t>
      </w:r>
      <w:r>
        <w:rPr>
          <w:rFonts w:ascii="Times New Roman" w:hAnsi="Times New Roman"/>
          <w:color w:val="000000"/>
          <w:sz w:val="24"/>
          <w:u w:val="single"/>
        </w:rPr>
        <w:t>Capital Lease Obligations</w:t>
      </w:r>
      <w:r>
        <w:rPr>
          <w:rFonts w:ascii="Times New Roman" w:hAnsi="Times New Roman"/>
          <w:color w:val="000000"/>
          <w:sz w:val="20"/>
        </w:rPr>
        <w:t xml:space="preserve">” </w:t>
      </w:r>
      <w:r>
        <w:rPr>
          <w:rFonts w:ascii="Times New Roman" w:hAnsi="Times New Roman"/>
          <w:color w:val="000000"/>
          <w:sz w:val="24"/>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Capitalized Leases on a balance sheet of such Person under GAAP, and the amount of such obligations shall be the capitalized amount thereof determined in accordance with GAAP. For purposes of </w:t>
      </w:r>
      <w:r>
        <w:rPr>
          <w:rFonts w:ascii="Times New Roman" w:hAnsi="Times New Roman"/>
          <w:color w:val="000000"/>
          <w:sz w:val="24"/>
          <w:u w:val="single"/>
        </w:rPr>
        <w:t>Section 6.02</w:t>
      </w:r>
      <w:r>
        <w:rPr>
          <w:rFonts w:ascii="Times New Roman" w:hAnsi="Times New Roman"/>
          <w:color w:val="000000"/>
          <w:sz w:val="24"/>
        </w:rPr>
        <w:t>, a Capital Lease Obligation shall be deemed to be secured by a Lien on the property being leased and such property shall be deemed to be owned by the lessee.</w:t>
      </w:r>
    </w:p>
    <w:p>
      <w:pPr>
        <w:pStyle w:val="TextBody"/>
        <w:bidi w:val="0"/>
        <w:spacing w:before="0" w:after="240"/>
        <w:jc w:val="both"/>
        <w:rPr/>
      </w:pPr>
      <w:r>
        <w:rPr>
          <w:color w:val="000000"/>
        </w:rPr>
        <w:t>“</w:t>
      </w:r>
      <w:r>
        <w:rPr>
          <w:rFonts w:ascii="Times New Roman" w:hAnsi="Times New Roman"/>
          <w:color w:val="000000"/>
          <w:sz w:val="24"/>
          <w:u w:val="single"/>
        </w:rPr>
        <w:t>Capitalized Leases</w:t>
      </w:r>
      <w:r>
        <w:rPr>
          <w:rFonts w:ascii="Times New Roman" w:hAnsi="Times New Roman"/>
          <w:color w:val="000000"/>
          <w:sz w:val="20"/>
        </w:rPr>
        <w:t xml:space="preserve">” </w:t>
      </w:r>
      <w:r>
        <w:rPr>
          <w:rFonts w:ascii="Times New Roman" w:hAnsi="Times New Roman"/>
          <w:color w:val="000000"/>
          <w:sz w:val="24"/>
        </w:rPr>
        <w:t xml:space="preserve">means all leases that have been or should be, in accordance with GAAP as in effect on the Effective Date, recorded as capitalized leases; </w:t>
      </w:r>
      <w:r>
        <w:rPr>
          <w:rFonts w:ascii="Times New Roman" w:hAnsi="Times New Roman"/>
          <w:color w:val="000000"/>
          <w:sz w:val="24"/>
          <w:u w:val="single"/>
        </w:rPr>
        <w:t xml:space="preserve">provided </w:t>
      </w:r>
      <w:r>
        <w:rPr>
          <w:rFonts w:ascii="Times New Roman" w:hAnsi="Times New Roman"/>
          <w:color w:val="000000"/>
          <w:sz w:val="24"/>
        </w:rPr>
        <w:t xml:space="preserve">that for all purposes hereunder the amount of obligations under any Capitalized Lease shall be the amount thereof accounted for as a liability in accordance with GAAP;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all obligations of any Person that are or would be characterized as an operating lease as determined in accordance with GAAP as in effect and as applied on January 1, 2018 (whether or not such operating lease was in effect on such date) shall continue to be accounted for as an operating lease (and not as a Capitalized Lease) for purposes of this Agreement regardless of any change in GAAP which became or becomes effective after such date that would otherwise require such obligation to be recharacterized as a Capitalized Lease.</w:t>
      </w:r>
    </w:p>
    <w:p>
      <w:pPr>
        <w:pStyle w:val="TextBody"/>
        <w:bidi w:val="0"/>
        <w:spacing w:before="0" w:after="240"/>
        <w:jc w:val="both"/>
        <w:rPr/>
      </w:pPr>
      <w:r>
        <w:rPr>
          <w:color w:val="000000"/>
        </w:rPr>
        <w:t>“</w:t>
      </w:r>
      <w:r>
        <w:rPr>
          <w:rFonts w:ascii="Times New Roman" w:hAnsi="Times New Roman"/>
          <w:color w:val="000000"/>
          <w:sz w:val="24"/>
          <w:u w:val="single"/>
        </w:rPr>
        <w:t>Capitalized Software Expenditures</w:t>
      </w:r>
      <w:r>
        <w:rPr>
          <w:rFonts w:ascii="Times New Roman" w:hAnsi="Times New Roman"/>
          <w:color w:val="000000"/>
          <w:sz w:val="20"/>
        </w:rPr>
        <w:t xml:space="preserve">” </w:t>
      </w:r>
      <w:r>
        <w:rPr>
          <w:rFonts w:ascii="Times New Roman" w:hAnsi="Times New Roman"/>
          <w:color w:val="000000"/>
          <w:sz w:val="24"/>
        </w:rPr>
        <w:t>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its Restricted Subsidiaries.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Cash Balance</w:t>
      </w:r>
      <w:r>
        <w:rPr>
          <w:rFonts w:ascii="Times New Roman" w:hAnsi="Times New Roman"/>
          <w:color w:val="000000"/>
          <w:sz w:val="20"/>
        </w:rPr>
        <w:t xml:space="preserve">” </w:t>
      </w:r>
      <w:r>
        <w:rPr>
          <w:rFonts w:ascii="Times New Roman" w:hAnsi="Times New Roman"/>
          <w:color w:val="000000"/>
          <w:sz w:val="24"/>
        </w:rPr>
        <w:t xml:space="preserve">means, as of any date of determination, an amount equal to (x) the aggregate amount of cash of Holdings and its Subsidiaries (excluding cash that is listed as “restricted” on the consolidated balance sheet of Holdings and its Restricted Subsidiaries) as of such date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(y) the aggregate amount of (i) invoiced payables of Holdings and its Subsidiaries due within sixty (60) days as of such date and (ii) uninvoiced payables.</w:t>
      </w:r>
    </w:p>
    <w:p>
      <w:pPr>
        <w:pStyle w:val="TextBody"/>
        <w:bidi w:val="0"/>
        <w:spacing w:before="0" w:after="240"/>
        <w:jc w:val="both"/>
        <w:rPr/>
      </w:pPr>
      <w:r>
        <w:rPr>
          <w:color w:val="000000"/>
        </w:rPr>
        <w:t>“</w:t>
      </w:r>
      <w:r>
        <w:rPr>
          <w:rFonts w:ascii="Times New Roman" w:hAnsi="Times New Roman"/>
          <w:color w:val="000000"/>
          <w:sz w:val="24"/>
          <w:u w:val="single"/>
        </w:rPr>
        <w:t>Cash Management Obligations</w:t>
      </w:r>
      <w:r>
        <w:rPr>
          <w:rFonts w:ascii="Times New Roman" w:hAnsi="Times New Roman"/>
          <w:color w:val="000000"/>
          <w:sz w:val="20"/>
        </w:rPr>
        <w:t xml:space="preserve">” </w:t>
      </w:r>
      <w:r>
        <w:rPr>
          <w:rFonts w:ascii="Times New Roman" w:hAnsi="Times New Roman"/>
          <w:color w:val="000000"/>
          <w:sz w:val="24"/>
        </w:rPr>
        <w:t>means (a) obligations of Holdings, the Borrower or any Restricted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pStyle w:val="TextBody"/>
        <w:bidi w:val="0"/>
        <w:spacing w:before="0" w:after="240"/>
        <w:jc w:val="both"/>
        <w:rPr/>
      </w:pPr>
      <w:r>
        <w:rPr>
          <w:color w:val="000000"/>
        </w:rPr>
        <w:t>“</w:t>
      </w:r>
      <w:r>
        <w:rPr>
          <w:rFonts w:ascii="Times New Roman" w:hAnsi="Times New Roman"/>
          <w:color w:val="000000"/>
          <w:sz w:val="24"/>
          <w:u w:val="single"/>
        </w:rPr>
        <w:t>Cash Management Services</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“Secured Cash Management Obligations”.</w:t>
      </w:r>
    </w:p>
    <w:p>
      <w:pPr>
        <w:pStyle w:val="TextBody"/>
        <w:bidi w:val="0"/>
        <w:spacing w:before="0" w:after="240"/>
        <w:jc w:val="both"/>
        <w:rPr/>
      </w:pPr>
      <w:r>
        <w:rPr>
          <w:color w:val="000000"/>
        </w:rPr>
        <w:t>“</w:t>
      </w:r>
      <w:r>
        <w:rPr>
          <w:rFonts w:ascii="Times New Roman" w:hAnsi="Times New Roman"/>
          <w:color w:val="000000"/>
          <w:sz w:val="24"/>
          <w:u w:val="single"/>
        </w:rPr>
        <w:t>Casualty Event</w:t>
      </w:r>
      <w:r>
        <w:rPr>
          <w:rFonts w:ascii="Times New Roman" w:hAnsi="Times New Roman"/>
          <w:color w:val="000000"/>
          <w:sz w:val="20"/>
        </w:rPr>
        <w:t xml:space="preserve">” </w:t>
      </w:r>
      <w:r>
        <w:rPr>
          <w:rFonts w:ascii="Times New Roman" w:hAnsi="Times New Roman"/>
          <w:color w:val="000000"/>
          <w:sz w:val="24"/>
        </w:rPr>
        <w:t>means any event that gives rise to the receipt by Holdings, the Borrower or any Restricted Subsidiary of any insurance proceeds or condemnation awards in respect of any equipment, fixed assets or real property (including any improvements thereon) to replace or repair such equipment, fixed assets or real property.</w:t>
      </w:r>
    </w:p>
    <w:p>
      <w:pPr>
        <w:pStyle w:val="TextBody"/>
        <w:bidi w:val="0"/>
        <w:spacing w:before="0" w:after="240"/>
        <w:jc w:val="both"/>
        <w:rPr/>
      </w:pPr>
      <w:r>
        <w:rPr>
          <w:color w:val="000000"/>
        </w:rPr>
        <w:t>“</w:t>
      </w:r>
      <w:r>
        <w:rPr>
          <w:rFonts w:ascii="Times New Roman" w:hAnsi="Times New Roman"/>
          <w:color w:val="000000"/>
          <w:sz w:val="24"/>
          <w:u w:val="single"/>
        </w:rPr>
        <w:t>Central Bank Rate</w:t>
      </w:r>
      <w:r>
        <w:rPr>
          <w:rFonts w:ascii="Times New Roman" w:hAnsi="Times New Roman"/>
          <w:color w:val="000000"/>
          <w:sz w:val="20"/>
        </w:rPr>
        <w:t xml:space="preserve">” </w:t>
      </w:r>
      <w:r>
        <w:rPr>
          <w:rFonts w:ascii="Times New Roman" w:hAnsi="Times New Roman"/>
          <w:color w:val="000000"/>
          <w:sz w:val="24"/>
        </w:rPr>
        <w:t>means, the greater of (A) for any Loan denominated in (a) Sterling, the Bank of England’s “Bank Rate” as published by the Bank of England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each as published by the European Central Bank from time to time, (2) the rate for the marginal lending facility of the European Central Bank, as published by the European Central Bank from time to time or (3) the rate for the deposit facility of the central banking system of the Participating Member States, as published by the European Central Bank from time to time and (c) any other Alternative Currency, (i) a central bank rate as determined by the Administrative Agent in its reasonable discretion in consultation with the Borrower plus (ii) the applicable Central Bank Rate Adjustment; and (B) 0.00% per annum.</w:t>
      </w:r>
    </w:p>
    <w:p>
      <w:pPr>
        <w:pStyle w:val="TextBody"/>
        <w:bidi w:val="0"/>
        <w:spacing w:before="0" w:after="240"/>
        <w:jc w:val="both"/>
        <w:rPr/>
      </w:pPr>
      <w:r>
        <w:rPr>
          <w:color w:val="000000"/>
        </w:rPr>
        <w:t>“</w:t>
      </w:r>
      <w:r>
        <w:rPr>
          <w:rFonts w:ascii="Times New Roman" w:hAnsi="Times New Roman"/>
          <w:color w:val="000000"/>
          <w:sz w:val="24"/>
          <w:u w:val="single"/>
        </w:rPr>
        <w:t>Central Bank Rate Adjustment</w:t>
      </w:r>
      <w:r>
        <w:rPr>
          <w:rFonts w:ascii="Times New Roman" w:hAnsi="Times New Roman"/>
          <w:color w:val="000000"/>
          <w:sz w:val="20"/>
        </w:rPr>
        <w:t xml:space="preserve">” </w:t>
      </w:r>
      <w:r>
        <w:rPr>
          <w:rFonts w:ascii="Times New Roman" w:hAnsi="Times New Roman"/>
          <w:color w:val="000000"/>
          <w:sz w:val="24"/>
        </w:rPr>
        <w:t>means, for any day, for any Loan denominated in (a)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EURIBOR Rate for the five most recent Business Days preceding such day for which the EURIBOR Rate was available (excluding, from such averaging, the highest and the lowest EURIBOR Rate applicable during such period of five Business Days) minus (ii) the Central Bank Rate in respect of Euro in effect on the last Business Day in such period and (c) any other Alternative Currency, a Central Bank Rate Adjustment as determined by the Administrative Agent in its reasonable discretion in consultation with the Borrower.</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the failure of Holdings to, directly or indirectly through Wholly Owned Subsidiaries, own all of the Equity Interests of the Borrower, (b) the acquisition of ownership, directly or indirectly, beneficially or of record, by any Person or group, other than the Permitted Holders (directly or indirectly, including through one or more holding companies), of Equity Interests representing 35% or more of the aggregate ordinary voting power represented by the issued and outstanding Equity Interests in Vivid Seats Inc. and the percentage of the aggregate ordinary voting power so held is greater than the percentage of the aggregate ordinary voting power represented by the Equity Interests in Vivid Seats Inc.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Vivid Seats Inc. or (c) the occurrence of a “</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(or similar event, however denominated) pursuant to the documentation governing any Incremental Equivalent Debt, secured or subordinated Junior Financing or other Material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Vivid Seats Inc. or the Borrower, as applicable, directly or indirectly owned by the Permitted Holders that are part of such Person or “group” shall not be treated as being owned by such Person or “group” for purposes of determining whether clause (b) of this definition is triggered.</w:t>
      </w:r>
    </w:p>
    <w:p>
      <w:pPr>
        <w:pStyle w:val="TextBody"/>
        <w:bidi w:val="0"/>
        <w:spacing w:before="0" w:after="240"/>
        <w:jc w:val="both"/>
        <w:rPr/>
      </w:pPr>
      <w:r>
        <w:rPr>
          <w:color w:val="000000"/>
        </w:rPr>
        <w:t>“</w:t>
      </w:r>
      <w:r>
        <w:rPr>
          <w:rFonts w:ascii="Times New Roman" w:hAnsi="Times New Roman"/>
          <w:color w:val="000000"/>
          <w:sz w:val="24"/>
          <w:u w:val="single"/>
        </w:rPr>
        <w:t>Change in Law</w:t>
      </w:r>
      <w:r>
        <w:rPr>
          <w:rFonts w:ascii="Times New Roman" w:hAnsi="Times New Roman"/>
          <w:color w:val="000000"/>
          <w:sz w:val="20"/>
        </w:rPr>
        <w:t xml:space="preserve">” </w:t>
      </w:r>
      <w:r>
        <w:rPr>
          <w:rFonts w:ascii="Times New Roman" w:hAnsi="Times New Roman"/>
          <w:color w:val="000000"/>
          <w:sz w:val="24"/>
        </w:rPr>
        <w:t xml:space="preserve">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 w:hAnsi="Times New Roman"/>
          <w:color w:val="000000"/>
          <w:sz w:val="24"/>
          <w:u w:val="single"/>
        </w:rPr>
        <w:t xml:space="preserve">provided </w:t>
      </w:r>
      <w:r>
        <w:rPr>
          <w:rFonts w:ascii="Times New Roman" w:hAnsi="Times New Roman"/>
          <w:color w:val="000000"/>
          <w:sz w:val="24"/>
        </w:rPr>
        <w:t>that, notwithstanding anything herein to the contrary, (x) the Dodd</w:t>
        <w:noBreakHyphen/>
        <w:t xml:space="preserve">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the European Union, United Kingdom or other foreign regulatory authorities, in each case pursuant to Basel III, shall, in each case, be deemed to be a “Change in Law”, to the extent enacted, adopted, promulgated, implemented or issued after the date of this Agreement, but only to the extent such rules, regulations, or published interpretations or directives are applied to Holdings and its Subsidiaries by the Administrative Agent or any Lender in substantially the same manner as applied to other similarly situated borrowers under comparable syndicated credit facilities, including, without limitation, for purposes of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Class</w:t>
      </w:r>
      <w:r>
        <w:rPr>
          <w:rFonts w:ascii="Times New Roman" w:hAnsi="Times New Roman"/>
          <w:color w:val="000000"/>
          <w:sz w:val="20"/>
        </w:rPr>
        <w:t xml:space="preserve">” </w:t>
      </w:r>
      <w:r>
        <w:rPr>
          <w:rFonts w:ascii="Times New Roman" w:hAnsi="Times New Roman"/>
          <w:color w:val="000000"/>
          <w:sz w:val="24"/>
        </w:rPr>
        <w:t>when used in reference to (a) any Loan or Borrowing, refers to whether such Loan, or the Loans comprising such Borrowing, are Revolving Loans, Incremental Revolving Loans, Other Revolving Loans, Incremental Term Loans or Other Term Loans, (b)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Commitment, refers to whether such Commitment is a Revolving Commitment, Incremental Revolving Commitment, Other Revolving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Incremental Term Loans and Incremental Revolving Commitments (and the Incremental Revolving Loans made pursuant thereto) that have different terms and conditions shall be construed to be in different Classes.</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means any and all assets, whether real or personal, tangible or intangible, on which Liens are purported to be granted pursuant to the Security Documents as security for the Secured Obligations.</w:t>
      </w:r>
    </w:p>
    <w:p>
      <w:pPr>
        <w:pStyle w:val="TextBody"/>
        <w:bidi w:val="0"/>
        <w:spacing w:before="0" w:after="240"/>
        <w:jc w:val="both"/>
        <w:rPr/>
      </w:pPr>
      <w:r>
        <w:rPr>
          <w:color w:val="000000"/>
        </w:rPr>
        <w:t>“</w:t>
      </w:r>
      <w:r>
        <w:rPr>
          <w:rFonts w:ascii="Times New Roman" w:hAnsi="Times New Roman"/>
          <w:color w:val="000000"/>
          <w:sz w:val="24"/>
          <w:u w:val="single"/>
        </w:rPr>
        <w:t>Collateral Agent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8.01(b)</w:t>
      </w:r>
      <w:r>
        <w:rPr>
          <w:rFonts w:ascii="Times New Roman" w:hAnsi="Times New Roman"/>
          <w:color w:val="000000"/>
          <w:sz w:val="20"/>
        </w:rPr>
        <w:t xml:space="preserve"> </w:t>
      </w:r>
      <w:r>
        <w:rPr>
          <w:rFonts w:ascii="Times New Roman" w:hAnsi="Times New Roman"/>
          <w:color w:val="000000"/>
          <w:sz w:val="24"/>
        </w:rPr>
        <w:t xml:space="preserve">and its successors in such capacity as provided in </w:t>
      </w:r>
      <w:r>
        <w:rPr>
          <w:rFonts w:ascii="Times New Roman" w:hAnsi="Times New Roman"/>
          <w:color w:val="000000"/>
          <w:sz w:val="24"/>
          <w:u w:val="single"/>
        </w:rPr>
        <w:t>Article VIII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Collateral Agreement</w:t>
      </w:r>
      <w:r>
        <w:rPr>
          <w:rFonts w:ascii="Times New Roman" w:hAnsi="Times New Roman"/>
          <w:color w:val="000000"/>
          <w:sz w:val="20"/>
        </w:rPr>
        <w:t xml:space="preserve">” </w:t>
      </w:r>
      <w:r>
        <w:rPr>
          <w:rFonts w:ascii="Times New Roman" w:hAnsi="Times New Roman"/>
          <w:color w:val="000000"/>
          <w:sz w:val="24"/>
        </w:rPr>
        <w:t xml:space="preserve">means the Collateral Agreement among the Loan Parties party thereto and the Collateral Agent, substantially in the form of </w:t>
      </w:r>
      <w:r>
        <w:rPr>
          <w:rFonts w:ascii="Times New Roman" w:hAnsi="Times New Roman"/>
          <w:color w:val="000000"/>
          <w:sz w:val="24"/>
          <w:u w:val="single"/>
        </w:rPr>
        <w:t>Exhibit 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Collateral and Guarantee Requirement</w:t>
      </w:r>
      <w:r>
        <w:rPr>
          <w:rFonts w:ascii="Times New Roman" w:hAnsi="Times New Roman"/>
          <w:color w:val="000000"/>
          <w:sz w:val="20"/>
        </w:rPr>
        <w:t xml:space="preserve">” </w:t>
      </w:r>
      <w:r>
        <w:rPr>
          <w:rFonts w:ascii="Times New Roman" w:hAnsi="Times New Roman"/>
          <w:color w:val="000000"/>
          <w:sz w:val="24"/>
        </w:rPr>
        <w:t>means, at any time, the requirement 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Administrative Agent shall have received from (i) Holdings, the Borrower and each of the Restricted Subsidiaries (other than any Excluded Subsidiary) either (x) a counterpart of the Guarantee Agreement duly executed and delivered on behalf of such Person or (y) in the case of any Person that becomes a Loan Party after the Effective Date (including by ceasing to be an Excluded Subsidiary), a supplement to the Guarantee Agreement, in substantially the form specified therein, duly executed and delivered on behalf of such Person and (ii) Holdings, the Borrower and each Subsidiary Loan Party either (x) a counterpart of each applicable Security Document duly executed and delivered on behalf of such Person or (y) in the case of any Person that becomes a Subsidiary Loan Party after the Effective Date (including by ceasing to be an Excluded Subsidiary), either (A) to the extent applicable, a supplement to each applicable Security Document, substantially the form specified therein, duly executed and delivered on behalf of such Person or (B) a Security Document, in each case under this clause (a) together with, in the case of any such Loan Documents executed and delivered after the Effective Date, to the extent reasonably requested by the Administrative Agent, documents of the type referred to in </w:t>
      </w:r>
      <w:r>
        <w:rPr>
          <w:rFonts w:ascii="Times New Roman" w:hAnsi="Times New Roman"/>
          <w:color w:val="000000"/>
          <w:sz w:val="24"/>
          <w:u w:val="single"/>
        </w:rPr>
        <w:t>Section 4.01(d)</w:t>
      </w:r>
      <w:r>
        <w:rPr>
          <w:rFonts w:ascii="Times New Roman" w:hAnsi="Times New Roman"/>
          <w:color w:val="000000"/>
          <w:sz w:val="20"/>
        </w:rPr>
        <w:t xml:space="preserve"> </w:t>
      </w:r>
      <w:r>
        <w:rPr>
          <w:rFonts w:ascii="Times New Roman" w:hAnsi="Times New Roman"/>
          <w:color w:val="000000"/>
          <w:sz w:val="24"/>
        </w:rPr>
        <w:t xml:space="preserve">within the time periods set forth in </w:t>
      </w:r>
      <w:r>
        <w:rPr>
          <w:rFonts w:ascii="Times New Roman" w:hAnsi="Times New Roman"/>
          <w:color w:val="000000"/>
          <w:sz w:val="24"/>
          <w:u w:val="single"/>
        </w:rPr>
        <w:t>Sections 5.11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5.12</w:t>
      </w:r>
      <w:r>
        <w:rPr>
          <w:rFonts w:ascii="Times New Roman" w:hAnsi="Times New Roman"/>
          <w:color w:val="000000"/>
          <w:sz w:val="20"/>
        </w:rPr>
        <w:t xml:space="preserve"> </w:t>
      </w:r>
      <w:r>
        <w:rPr>
          <w:rFonts w:ascii="Times New Roman" w:hAnsi="Times New Roman"/>
          <w:color w:val="000000"/>
          <w:sz w:val="24"/>
        </w:rPr>
        <w:t>(it being understood that in the case of a Foreign Loan Party organized in a jurisdiction that does not have a “blanket lien” (or similar) concept under such local law, the scope of Security Documents to be provided by such Foreign Loan Party shall be reasonably agreed between the Administrative Agent and the Borrower and shall be customary for secured financing transactions in such jurisdiction);</w:t>
      </w:r>
    </w:p>
    <w:p>
      <w:pPr>
        <w:pStyle w:val="TextBody"/>
        <w:bidi w:val="0"/>
        <w:spacing w:before="0" w:after="240"/>
        <w:jc w:val="both"/>
        <w:rPr>
          <w:rFonts w:ascii="Times New Roman" w:hAnsi="Times New Roman"/>
          <w:sz w:val="20"/>
        </w:rPr>
      </w:pPr>
      <w:r>
        <w:rPr>
          <w:rFonts w:ascii="Times New Roman" w:hAnsi="Times New Roman"/>
          <w:color w:val="000000"/>
          <w:sz w:val="24"/>
        </w:rPr>
        <w:t>(b) all outstanding Equity Interests of the Borrower and each Restricted Subsidiary (other than any Equity Interests constituting Excluded Assets) owned by or on behalf of any Loan Party, shall have been pledged, charged or otherwise made subject to security pursuant to the applicable Security Document, and the Administrative Agent shall have received certificates, if any, representing all such Equity Interests to the extent constituting “certificated securities”,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together with all certificates, documents of title and other documentary evidence of ownership and undated stock powers or other instruments of transfer with respect thereto endorsed in blank, in each case, to the extent required to perfect the security interest therein in the jurisdiction of the issuer;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 if any Indebtedness for borrowed money of Holdings, the Borrower or any Subsidiary in a principal amount of $1,000,000 or more is owing by such obligor to any Loan Party and such Indebtedness shall be evidenced by a promissory note, such promissory note shall be pledged or otherwise secured pursuant to the applicable Security Document, and the Administrative Agent shall have received all such promissory notes, together with undated instruments of transfer with respect thereto endorsed in blank;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the foregoing delivery requirement with respect to any intercompany indebtedness may be satisfied by delivery of an omnibus or global intercompany note executed by all Loan Parties as payees and all such obligors as payors and (ii) all Indebtedness of Hoya Midco owed to the Borrower shall be incurred under the RemainCo Intercompany Loan which shall be evidenced by a promissory note, which shall be pledged or otherwise secured pursuant to the applicable Security Document, and the Administrative Agent shall have received such promissory note, together with undated instruments of transfer with respect thereto endorsed in blank;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certificates, agreements, documents and instruments, including Uniform Commercial Code financing statements and Intellectual Property Security Agreements with respect to any Trademarks, Patents and Copyrights that are registered, issued or applied</w:t>
        <w:noBreakHyphen/>
        <w:t>for in the United States and that constitute Collateral, for the filing with the United States Patent and Trademark Office and the United States Copyright Office to the extent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Administrative Agent for filing, registration or recording; and</w:t>
      </w:r>
    </w:p>
    <w:p>
      <w:pPr>
        <w:pStyle w:val="TextBody"/>
        <w:bidi w:val="0"/>
        <w:spacing w:before="0" w:after="240"/>
        <w:jc w:val="both"/>
        <w:rPr>
          <w:rFonts w:ascii="Times New Roman" w:hAnsi="Times New Roman"/>
          <w:sz w:val="20"/>
        </w:rPr>
      </w:pPr>
      <w:r>
        <w:rPr>
          <w:rFonts w:ascii="Times New Roman" w:hAnsi="Times New Roman"/>
          <w:color w:val="000000"/>
          <w:sz w:val="24"/>
        </w:rPr>
        <w:t>(e) the Administrative Agent shall have received (i) counterparts of a Mortgage with respect to each Material Real Property duly executed and delivered by the record owner of such Mortgaged Property (</w:t>
      </w:r>
      <w:r>
        <w:rPr>
          <w:rFonts w:ascii="Times New Roman" w:hAnsi="Times New Roman"/>
          <w:color w:val="000000"/>
          <w:sz w:val="24"/>
          <w:u w:val="single"/>
        </w:rPr>
        <w:t xml:space="preserve">provided </w:t>
      </w:r>
      <w:r>
        <w:rPr>
          <w:rFonts w:ascii="Times New Roman" w:hAnsi="Times New Roman"/>
          <w:color w:val="000000"/>
          <w:sz w:val="24"/>
        </w:rPr>
        <w:t>that, (A) if a mortgage tax will be owed on the entire amount of the Secured Obligations evidenced hereby, then, to the extent permitted by, and in accordance with, applicable law, the amount of such mortgage tax shall be calculated based on the lesser of (x) the amount of the Secured Obligations allocated to the applicable Mortgaged Property and (y) the estimated fair market value of the Mortgaged Property at the time the Mortgage is entered into, as reasonably determined by the Borrower, which in the case of clause (y) will result in a limitation of the Secured Obligations secured by the Mortgage to such amount and (B) the Mortgage shall not secure the Loan Document Obligations in respect of Letters of Credit or the Revolving Loan in those states that impose a mortgage tax on paydowns or re</w:t>
        <w:noBreakHyphen/>
        <w:t xml:space="preserve">advances applicable thereto),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w:t>
      </w:r>
      <w:r>
        <w:rPr>
          <w:rFonts w:ascii="Times New Roman" w:hAnsi="Times New Roman"/>
          <w:color w:val="000000"/>
          <w:sz w:val="24"/>
          <w:u w:val="single"/>
        </w:rPr>
        <w:t>Section 6.02</w:t>
      </w:r>
      <w:r>
        <w:rPr>
          <w:rFonts w:ascii="Times New Roman" w:hAnsi="Times New Roman"/>
          <w:color w:val="000000"/>
          <w:sz w:val="24"/>
        </w:rPr>
        <w:t>, together with such endorsements (other than a creditor’s rights endorsement) as the Administrative Agent may reasonably request to the extent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available in the applicable jurisdiction at commercially reasonable rates (it being agreed that the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hAnsi="Times New Roman"/>
          <w:color w:val="000000"/>
          <w:sz w:val="24"/>
          <w:u w:val="single"/>
        </w:rPr>
        <w:t xml:space="preserve">provided </w:t>
      </w:r>
      <w:r>
        <w:rPr>
          <w:rFonts w:ascii="Times New Roman" w:hAnsi="Times New Roman"/>
          <w:color w:val="000000"/>
          <w:sz w:val="24"/>
        </w:rPr>
        <w:t>that in no event will the Borrower be required to obtain independent appraisals of such Mortgaged Properties, unless required by FIRREA, (iii) a completed “Life</w:t>
        <w:noBreakHyphen/>
        <w:t>of</w:t>
        <w:noBreakHyphen/>
        <w:t xml:space="preserve">Loan” Federal Emergency Management Agency standard flood hazard determination with respect to each Mortgaged Property, and if any Mortgaged Property is located in an area determined by the Federal Emergency Management Agency (or any successor agency) to be located in special flood hazard area, a duly executed notice about special flood hazard area status and flood disaster assistance and evidence of such flood insurance as provided in </w:t>
      </w:r>
      <w:r>
        <w:rPr>
          <w:rFonts w:ascii="Times New Roman" w:hAnsi="Times New Roman"/>
          <w:color w:val="000000"/>
          <w:sz w:val="24"/>
          <w:u w:val="single"/>
        </w:rPr>
        <w:t>Section 5.07(b)</w:t>
      </w:r>
      <w:r>
        <w:rPr>
          <w:rFonts w:ascii="Times New Roman" w:hAnsi="Times New Roman"/>
          <w:color w:val="000000"/>
          <w:sz w:val="24"/>
        </w:rPr>
        <w:t>, (iv) in each case if reasonably requested by the Administrative Agent, a customary legal opinion with respect to each such Mortgage, from counsel qualified to opine in each jurisdiction (a) where a Mortgaged Property is located regarding the enforceability of the Mortgage and (b) where the applicable Loan Party granting the Mortgage on said Mortgaged Property is organized or incorporated, regarding the due authorization, execution and delivery of such Mortgage, and in each case, such other customary matters as may be in form and substance reasonably satisfactory to the Administrative Agent, (v) a (a) survey in compliance with the 2016 Minimum Standard Detail Requirements for ALTA/NSPS Land Title Surveys or such other requirements as in effect at the time and otherwise reasonably satisfactory to the Administrative Agent or (b) existing survey, Express Map or other similar documentation that is available together with a no change affidavit of such Mortgaged Property and for which survey coverage is available for the policies of title insurance referenced in clause (ii) above without the need for such new or updated surveys, and (vi) evidence of payment of title insurance premiums and expenses and all recording, mortgage, transfer and stamp taxes and fees payable in connection with recording the Mortgage, any amendments thereto and any fixture filings in appropriate county land office(s). Notwithstanding anything contained in this Agreement to the contrary, no Mortgage shall be executed and delivered with respect to any real property unless and until, (a) if such Mortgage relates to a property not located in a flood zone, at least five (5) Business Days in advance of such execution and delivery or (b) if such Mortgage relates to a property located in a flood zone, at least fourteen (14) days in advance of such execution and delivery, each Lender has received the documents described in clause (e)(iii) above and such other documents as it may reasonably request to complete its flood insurance due diligence and has confirmed to the Administrative Agent that flood insurance due diligence and flood insurance compliance has been completed to its satisfaction.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or burden of creating or perfecting such pledges or security interests in such assets, or obtaining such title insurance, legal opinions or other deliverables in respect of such assets, or providing such Guarantees (taking into account any adverse tax consequences (that are not </w:t>
      </w:r>
      <w:r>
        <w:rPr>
          <w:rFonts w:ascii="Times New Roman" w:hAnsi="Times New Roman"/>
          <w:i/>
          <w:color w:val="000000"/>
          <w:sz w:val="24"/>
        </w:rPr>
        <w:t>de minimis</w:t>
      </w:r>
      <w:r>
        <w:rPr>
          <w:rFonts w:ascii="Times New Roman" w:hAnsi="Times New Roman"/>
          <w:color w:val="000000"/>
          <w:sz w:val="24"/>
        </w:rPr>
        <w:t>)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 subject to exceptions and limitations set forth in this Agreement and the Security Documents; (c) in no event shall (i) control agreements or other control or similar arrangements be required with respect to (x) except as expressly set forth in </w:t>
      </w:r>
      <w:r>
        <w:rPr>
          <w:rFonts w:ascii="Times New Roman" w:hAnsi="Times New Roman"/>
          <w:color w:val="000000"/>
          <w:sz w:val="24"/>
          <w:u w:val="single"/>
        </w:rPr>
        <w:t>Section 5.15</w:t>
      </w:r>
      <w:r>
        <w:rPr>
          <w:rFonts w:ascii="Times New Roman" w:hAnsi="Times New Roman"/>
          <w:color w:val="000000"/>
          <w:sz w:val="24"/>
        </w:rPr>
        <w:t xml:space="preserve">, cash, other deposit accounts, securities and commodities accounts (including securities entitlements and related assets) or (y) letter of credit rights or other assets requiring perfection by control (but not, for avoidance of doubt, possession) or (ii) landlord lien waivers, bailee waivers, warehouseman letters, estoppels, or collateral access letters be required; (d) in no event shall any Domestic Loan Party be required to complete any filings or other action with respect to the perfection of security interests in any jurisdiction outside of the United States (or any state, commonwealth or territory thereof or the District of Columbia), or to perfect or make enforceable any security interests in any such assets (it being understood that all security granted by a Domestic Loan Party (other than Mortgages) shall be governed by the law of the State of New York, other than share pledges in the Equity Interests of a Foreign Loan Party that are held by such Domestic Loan Party (which shall be governed by the laws of the country of organization of such Foreign Loan Party)); (e) in no event shall any Loan Party be required to complete any filings or other action with respect to perfection of security interests in assets subject to certificates of title beyond the filing of UCC financing statements (and, if applicable, corresponding or customary filings in the country of organization of any other Loan Party); (f) other than the filing of UCC financing statements (and, if applicable, corresponding or customary filings in the country of organization of any other Loan Party), no perfection shall be required with respect to promissory notes evidencing debt for borrowed money in a principal amount of less than $1,000,000; (g) in no event shall any Loan Party be required to complete any filings or other action (including entering into any source code escrow arrangements or seeking registration of any Copyrights) with respect to security interests in Intellectual Property beyond the filing of Intellectual Property Security Agreements with the United States Patent and Trademark Office and the United States Copyright Office (or in the case of a Foreign Loan Party, filings with the relevant national or supranational body for the jurisdiction in which such Foreign Loan Party is organized); (h) no actions shall be required to perfect a security interest in letter of credit rights (other than the filing of UCC financing statements (and, if applicable, corresponding or customary filings in the country of organization of any other Loan Party)); (i) in no event shall environmental reports be required to be delivered to the Administrative Agent or the Lenders and (j) in no event shall the Collateral include any Excluded Assets.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w:t>
      </w:r>
      <w:r>
        <w:rPr>
          <w:rFonts w:ascii="Times New Roman" w:hAnsi="Times New Roman"/>
          <w:color w:val="000000"/>
          <w:sz w:val="24"/>
          <w:u w:val="single"/>
        </w:rPr>
        <w:t>Schedule 5.14</w:t>
      </w:r>
      <w:r>
        <w:rPr>
          <w:rFonts w:ascii="Times New Roman" w:hAnsi="Times New Roman"/>
          <w:color w:val="000000"/>
          <w:sz w:val="24"/>
        </w:rPr>
        <w:t>) or the Security Documents.</w:t>
      </w:r>
    </w:p>
    <w:p>
      <w:pPr>
        <w:pStyle w:val="TextBody"/>
        <w:bidi w:val="0"/>
        <w:spacing w:before="0" w:after="240"/>
        <w:jc w:val="both"/>
        <w:rPr/>
      </w:pPr>
      <w:r>
        <w:rPr>
          <w:color w:val="000000"/>
        </w:rPr>
        <w:t>“</w:t>
      </w:r>
      <w:r>
        <w:rPr>
          <w:rFonts w:ascii="Times New Roman" w:hAnsi="Times New Roman"/>
          <w:color w:val="000000"/>
          <w:sz w:val="24"/>
          <w:u w:val="single"/>
        </w:rPr>
        <w:t>Commitment</w:t>
      </w:r>
      <w:r>
        <w:rPr>
          <w:rFonts w:ascii="Times New Roman" w:hAnsi="Times New Roman"/>
          <w:color w:val="000000"/>
          <w:sz w:val="20"/>
        </w:rPr>
        <w:t xml:space="preserve">” </w:t>
      </w:r>
      <w:r>
        <w:rPr>
          <w:rFonts w:ascii="Times New Roman" w:hAnsi="Times New Roman"/>
          <w:color w:val="000000"/>
          <w:sz w:val="24"/>
        </w:rPr>
        <w:t>means with respect to any Lender, its Revolving Commitment, Other Revolving Commitment of any Class, Incremental Revolving Commitment of any Class, Commitments under any Incremental Term Facility of any Class, Other Term Commitment of any Class or any combination thereof (as the context requires).</w:t>
      </w:r>
    </w:p>
    <w:p>
      <w:pPr>
        <w:pStyle w:val="TextBody"/>
        <w:bidi w:val="0"/>
        <w:spacing w:before="0" w:after="240"/>
        <w:jc w:val="both"/>
        <w:rPr/>
      </w:pPr>
      <w:r>
        <w:rPr>
          <w:color w:val="000000"/>
        </w:rPr>
        <w:t>“</w:t>
      </w:r>
      <w:r>
        <w:rPr>
          <w:rFonts w:ascii="Times New Roman" w:hAnsi="Times New Roman"/>
          <w:color w:val="000000"/>
          <w:sz w:val="24"/>
          <w:u w:val="single"/>
        </w:rPr>
        <w:t>Commodity Exchange Act</w:t>
      </w:r>
      <w:r>
        <w:rPr>
          <w:rFonts w:ascii="Times New Roman" w:hAnsi="Times New Roman"/>
          <w:color w:val="000000"/>
          <w:sz w:val="20"/>
        </w:rPr>
        <w:t xml:space="preserve">” </w:t>
      </w:r>
      <w:r>
        <w:rPr>
          <w:rFonts w:ascii="Times New Roman" w:hAnsi="Times New Roman"/>
          <w:color w:val="000000"/>
          <w:sz w:val="24"/>
        </w:rPr>
        <w:t>means the Commodity Exchange Act (7 U.S.C. § 1 et seq.), as amended from time to time, and any successor statute.</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Compliance Certificate</w:t>
      </w:r>
      <w:r>
        <w:rPr>
          <w:rFonts w:ascii="Times New Roman" w:hAnsi="Times New Roman"/>
          <w:color w:val="000000"/>
          <w:sz w:val="20"/>
        </w:rPr>
        <w:t xml:space="preserve">” </w:t>
      </w:r>
      <w:r>
        <w:rPr>
          <w:rFonts w:ascii="Times New Roman" w:hAnsi="Times New Roman"/>
          <w:color w:val="000000"/>
          <w:sz w:val="24"/>
        </w:rPr>
        <w:t xml:space="preserve">means the certificate required to be delivered pursuant to </w:t>
      </w:r>
      <w:r>
        <w:rPr>
          <w:rFonts w:ascii="Times New Roman" w:hAnsi="Times New Roman"/>
          <w:color w:val="000000"/>
          <w:sz w:val="24"/>
          <w:u w:val="single"/>
        </w:rPr>
        <w:t>Section 5.01(d)</w:t>
      </w:r>
      <w:r>
        <w:rPr>
          <w:rFonts w:ascii="Times New Roman" w:hAnsi="Times New Roman"/>
          <w:color w:val="000000"/>
          <w:sz w:val="24"/>
        </w:rPr>
        <w:t xml:space="preserve">, substantially in the form of </w:t>
      </w:r>
      <w:r>
        <w:rPr>
          <w:rFonts w:ascii="Times New Roman" w:hAnsi="Times New Roman"/>
          <w:color w:val="000000"/>
          <w:sz w:val="24"/>
          <w:u w:val="single"/>
        </w:rPr>
        <w:t>Exhibit 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Connection Income Taxes</w:t>
      </w:r>
      <w:r>
        <w:rPr>
          <w:rFonts w:ascii="Times New Roman" w:hAnsi="Times New Roman"/>
          <w:color w:val="000000"/>
          <w:sz w:val="20"/>
        </w:rPr>
        <w:t xml:space="preserve">” </w:t>
      </w:r>
      <w:r>
        <w:rPr>
          <w:rFonts w:ascii="Times New Roman" w:hAnsi="Times New Roman"/>
          <w:color w:val="000000"/>
          <w:sz w:val="24"/>
        </w:rPr>
        <w:t>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color w:val="000000"/>
          <w:sz w:val="24"/>
          <w:u w:val="single"/>
        </w:rPr>
        <w:t>Consolidated EBITDA</w:t>
      </w:r>
      <w:r>
        <w:rPr>
          <w:rFonts w:ascii="Times New Roman" w:hAnsi="Times New Roman"/>
          <w:color w:val="000000"/>
          <w:sz w:val="20"/>
        </w:rPr>
        <w:t xml:space="preserve">” </w:t>
      </w:r>
      <w:r>
        <w:rPr>
          <w:rFonts w:ascii="Times New Roman" w:hAnsi="Times New Roman"/>
          <w:color w:val="000000"/>
          <w:sz w:val="24"/>
        </w:rPr>
        <w:t xml:space="preserve">means, for any period, Consolidated Net Income for such period, </w:t>
      </w:r>
      <w:r>
        <w:rPr>
          <w:rFonts w:ascii="Times New Roman" w:hAnsi="Times New Roman"/>
          <w:color w:val="000000"/>
          <w:sz w:val="24"/>
          <w:u w:val="single"/>
        </w:rPr>
        <w:t>plus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without duplication and to the extent deducted (and not added back), other than with respect to clause (xx), in arriving at such Consolidated Net Income, the sum of the following amounts for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total interest expense determined in accordance with GAAP and, to the extent not reflected in such total interest expense, the sum of (A) premium payments, fees, charges and related expenses incurred in connection with borrowed money (including capitalized interest) permitted to be incurred hereunder plus (B) the portion of rent expense with respect to such period under Capitalized Leases that is treated as interest expense in accordance with GAAP plus (C) the implied interest component of synthetic leases with respect to such period plus (D) any losses on hedging obligations or other derivative instruments entered into for the purpose of hedging interest rate risk in respect of Indebtedness, net of interest income and gains on such hedging obligations or such derivative instruments plus (E) bank and letter of credit fees and banker’s acceptance fees and costs of surety bonds in connection with financing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provision for taxes based on income, profits or capital and sales and gross sales taxes, including federal, foreign, state, franchise, excise, and similar taxes paid or accrued during such period (including in respect of repatriated funds) including penalties and interest related to such taxes or arising from any tax examinations;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Non</w:t>
        <w:noBreakHyphen/>
        <w:t>Cash Charges (without duplication of any other amounts added back pursuant to clauses (a), (b) and (c) of this definition) as elected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extraordinary charges, expenses or losses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rPr>
        <w:t>(vi) unusual or non</w:t>
        <w:noBreakHyphen/>
        <w:t>recurring charges, expenses or losses (including any unusual or non</w:t>
        <w:noBreakHyphen/>
        <w:t>recurring operating expenses directly attributable to the implementation of cost savings initiatives), integration costs, severance, relocation costs, office and facilities’ opening costs and other business optimization expenses (including related to new product introductions and new system design and implementation costs), recruiting costs and fees, signing fees, expenses, costs and bonuses, retention or completion bonuses, contract termination costs, transaction fees and expenses, transition costs, systems establishment costs, costs related to closure/consolidation of office and facilities, costs related to the implementation of operational and reporting systems and technology initiatives, consulting fees and expenses, any one time expense relating to enhanced accounting function or other transaction costs (including those associated with becoming a standalone entity or a public company), and non</w:t>
        <w:noBreakHyphen/>
        <w:t>recurring Intellectual Property development,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curtailments or modifications to pension and post</w:t>
        <w:noBreakHyphen/>
        <w:t xml:space="preserve">retirement employee benefit plans (including any settlement of pension liabilities) or any other costs incurred in connection with any of the foregoing;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expenses related to unconsummated transactions shall not, together with any accruals, payments and expenses related to unconsummated transactions added back pursuant to clause (c) of the definition of “Consolidated Net Income”, exceed $1,000,000 in the aggregate in any four-quarter fiscal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restructuring costs, charges, accruals or reserves (including restructuring and integration costs related to the Transaction and other acquisitions and adjustments to existing reserves), whether or not classified as restructuring expense on the consolidated financial statements;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(A) management, advisory, monitoring, consulting, refinancing, transaction, exit and/or advisory fees and expenses and similar fees and expenses permitted to be paid under this Agreement and related indemnities paid or accrued to equity holders of Holdings (and their Affiliates) and director fees and expenses and (B) the amount of expenses relating to payments made to option holders of Holdings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losses on asset sales, disposals or abandonments (other than asset sales, disposals or abandonments in the ordinary course of business) that are permitted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any non</w:t>
        <w:noBreakHyphen/>
        <w:t>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any loss relating to amounts paid in cash prior to the stated settlement date of any hedging obligation that has been reflected in Consolidated Net Income for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any gain relating to hedging obligations associated with transactions realized in the current period that has been reflected in Consolidated Net Income in prior periods and excluded from Consolidated EBITDA pursuant to clauses (d)(iv) and (d)(v)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w:t>
        <w:noBreakHyphen/>
        <w:t>cash or otherwise funded with cash proceeds contributed to the capital of Holdings or Net Proceeds of an issuance of Equity Interests of Holdings (other than Disqualified Equity Interests), or repurchase of Equity Interests of Holdings from employees, directors or consultants;</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any net pension or other post</w:t>
        <w:noBreakHyphen/>
        <w: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 any increase in expenses resulting from the revaluation of inventory (including any impact of changes of inventory valuation policy methods including changes in capitalization of variances) or other inventory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(xix) charges, losses or expenses to the extent indemnified or insured or reimbursable, so long as Holdings or the Borrower has made a determination that a reasonable basis exists for indemnification or reimbursement and only to the extent that such Person has submitted a claim in respect thereof in good faith and reasonably expects to receive payment in connection with such claim within 365 days of such determination (with a deduction in the applicable future period for any amount so added back to the extent not so indemnified or reimbursed within such 365 days) by a third party (it being understood that if the amount actually received in cash under any such agreement or insurance policy, as applicable, in such period exceeds the amount of such charges, losses or expenses during such period such excess cash amounts actually received may be carried forward and applied against any charges, losses or expenses in any future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 solely for purposes of determining compliance with the Financial Performance Covenant in respect of any fiscal quarter which includes the exercise of a Cure Right (but not for the determination of the First Lien Net Leverage Ratio or the Total Net Leverage Ratio for any other purposes), any Cure Amount (subject in all respects to the terms of </w:t>
      </w:r>
      <w:r>
        <w:rPr>
          <w:rFonts w:ascii="Times New Roman" w:hAnsi="Times New Roman"/>
          <w:color w:val="000000"/>
          <w:sz w:val="24"/>
          <w:u w:val="single"/>
        </w:rPr>
        <w:t>Section 7.02</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 to the extent that any Holdings Parent Specified Expenses would have been added back to Consolidated EBITDA pursuant to clauses (a)(i) through (xx) above had such charge, tax or expense been incurred directly by Holdings, such Holdings Parent Specified Expenses;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(b) without duplication, the amount of “run rate” cost savings, operating expense reductions, other operating improvements and “run rate” synergies related to the Transaction, any Specified Transaction, any restructuring, cost saving initiative or other initiative projected by the Borrower in good faith to result from actions taken on or prior to the date that is twelve (12) months after the end of the relevant Test Period (which shall be deemed to be the Effective Date for any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relevant period), net of the amount of actual benefits realized from such actions; </w:t>
      </w:r>
      <w:r>
        <w:rPr>
          <w:rFonts w:ascii="Times New Roman" w:hAnsi="Times New Roman"/>
          <w:color w:val="000000"/>
          <w:sz w:val="24"/>
          <w:u w:val="single"/>
        </w:rPr>
        <w:t xml:space="preserve">provided </w:t>
      </w:r>
      <w:r>
        <w:rPr>
          <w:rFonts w:ascii="Times New Roman" w:hAnsi="Times New Roman"/>
          <w:color w:val="000000"/>
          <w:sz w:val="24"/>
        </w:rPr>
        <w:t xml:space="preserve">that (A) a Financial Officer of the Borrower shall certify in a Compliance Certificate that in its good faith judgment such cost savings are reasonably identifiable, reasonably anticipated to be realized, and factually supportable and (B) no cost savings, operating expense reductions, other operating improvements or synergies shall be added pursuant to this clause (b) to the extent duplicative of any expenses or charges relating to such cost savings, operating expense reductions or synergies that are included in clauses (a)(vi) and </w:t>
      </w:r>
      <w:r>
        <w:rPr>
          <w:rFonts w:ascii="Times New Roman" w:hAnsi="Times New Roman"/>
          <w:color w:val="000000"/>
          <w:sz w:val="24"/>
          <w:u w:val="single"/>
        </w:rPr>
        <w:t>(a)(vii)</w:t>
      </w:r>
      <w:r>
        <w:rPr>
          <w:rFonts w:ascii="Times New Roman" w:hAnsi="Times New Roman"/>
          <w:color w:val="000000"/>
          <w:sz w:val="20"/>
        </w:rPr>
        <w:t xml:space="preserve"> </w:t>
      </w:r>
      <w:r>
        <w:rPr>
          <w:rFonts w:ascii="Times New Roman" w:hAnsi="Times New Roman"/>
          <w:color w:val="000000"/>
          <w:sz w:val="24"/>
        </w:rPr>
        <w:t xml:space="preserve">above (it being understood and agreed that “run rate” shall mean the full recurring benefit that is associated with any action taken);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any amounts added back pursuant to this clause (b), shall not exceed, in the aggregate for such period, 25% of Consolidated EBITDA (as determined prior to giving effect to all such amounts added pursuant to this clause (b)) (this clause (b), the “</w:t>
      </w:r>
      <w:r>
        <w:rPr>
          <w:rFonts w:ascii="Times New Roman" w:hAnsi="Times New Roman"/>
          <w:color w:val="000000"/>
          <w:sz w:val="24"/>
          <w:u w:val="single"/>
        </w:rPr>
        <w:t>Run Rate Addback</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the extent covered by business interruption insurance and actually reimbursed or otherwise paid in cash, expenses or losses relating to business interruption or, so long as Holdings or the Borrower has made a determination that a reasonable basis exists for indemnification or reimbursement and only to the extent that such Person has submitted a claim in respect thereof in good faith and reasonably expects to receive payment in connection with such claim within 365 days of such determination (with a deduction in the applicable future period for any amount so added back to the extent not so indemnified or reimbursed within such 365 days) (it being understood that if the amount actually received in cash under any such agreement or insurance policy, as applicable, in such period exceeds the amount of such charges, losses or expenses during such period such excess cash amounts actually received may be carried forward and applied against any charges, losses or expenses in any future period);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without duplication and to the extent included in arriving at such Consolidated Net Income, the sum of the following amounts for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unusual or non</w:t>
        <w:noBreakHyphen/>
        <w:t>recurring gains;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non</w:t>
        <w:noBreakHyphen/>
        <w:t>cash gains (excluding any non</w:t>
        <w:noBreakHyphen/>
        <w:t>cash gain to the extent it represents the reversal of an accrual or reserve for a potential cash item that reduced Consolidated Net Income or Consolidated EBITDA in any prior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gains on asset sales, disposals or abandonments (other than asset sales, disposals or abandonments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any non</w:t>
        <w:noBreakHyphen/>
        <w:t>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any gain relating to amounts received in cash prior to the stated settlement date of any hedging obligation that has been reflected in Consolidated Net Income in such period;</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any loss relating to hedging obligations associated with transactions realized in the current period that has been reflected in Consolidated Net Income in prior periods and excluded from Consolidated EBITDA pursuant to clauses (a)(xi) and (a)(xii) 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each case, as determined on a consolidated basis for Holdings and the Restricted Subsidiaries in accordance with GAAP; </w:t>
      </w:r>
      <w:r>
        <w:rPr>
          <w:rFonts w:ascii="Times New Roman" w:hAnsi="Times New Roman"/>
          <w:color w:val="000000"/>
          <w:sz w:val="24"/>
          <w:u w:val="single"/>
        </w:rPr>
        <w:t xml:space="preserve">provided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 the extent included in Consolidated Net Income, there shall be excluded in determining Consolidated EBITDA for any period any adjustments resulting from the application of Financial Accounting Standards Codification No. 815—Derivatives and Hedging,</w:t>
      </w:r>
    </w:p>
    <w:p>
      <w:pPr>
        <w:pStyle w:val="TextBody"/>
        <w:bidi w:val="0"/>
        <w:spacing w:before="0" w:after="240"/>
        <w:jc w:val="both"/>
        <w:rPr>
          <w:rFonts w:ascii="Times New Roman" w:hAnsi="Times New Roman"/>
          <w:sz w:val="20"/>
        </w:rPr>
      </w:pPr>
      <w:r>
        <w:rPr>
          <w:rFonts w:ascii="Times New Roman" w:hAnsi="Times New Roman"/>
          <w:color w:val="000000"/>
          <w:sz w:val="24"/>
        </w:rPr>
        <w:t>(II) there shall be included in determining Consolidated EBITDA for any period, without duplication, to the extent not included in Consolidated Net Income, the Acquired EBITDA of any Person, business, line of business, division, business unit or asset acquired by Holdings, the Borrower or any Restricted Subsidiary during such period to the extent not subsequently sold, transferred or otherwise disposed of (but not including the Acquired EBITDA of any related Person, property, business, line of business, division, business unit or assets to the extent not so acquired) (each such Person, property, business, line of business, division, business unit or asset acquired, including pursuant to the Transactions or pursuant to a transaction consummated prior to the Effective Date, and not subsequently so disposed of, an “</w:t>
      </w:r>
      <w:r>
        <w:rPr>
          <w:rFonts w:ascii="Times New Roman" w:hAnsi="Times New Roman"/>
          <w:color w:val="000000"/>
          <w:sz w:val="24"/>
          <w:u w:val="single"/>
        </w:rPr>
        <w:t>Acquired Entity or Business</w:t>
      </w:r>
      <w:r>
        <w:rPr>
          <w:rFonts w:ascii="Times New Roman" w:hAnsi="Times New Roman"/>
          <w:color w:val="000000"/>
          <w:sz w:val="20"/>
        </w:rPr>
        <w:t>”</w:t>
      </w:r>
      <w:r>
        <w:rPr>
          <w:rFonts w:ascii="Times New Roman" w:hAnsi="Times New Roman"/>
          <w:color w:val="000000"/>
          <w:sz w:val="24"/>
        </w:rPr>
        <w:t>), based on the Acquired EBITDA of such Pro Forma Entity for such period (including the portion thereof occurring prior to such acquisition or conversion) determined on a historical Pro Forma Basis;</w:t>
      </w:r>
    </w:p>
    <w:p>
      <w:pPr>
        <w:pStyle w:val="TextBody"/>
        <w:bidi w:val="0"/>
        <w:spacing w:before="0" w:after="240"/>
        <w:jc w:val="both"/>
        <w:rPr>
          <w:rFonts w:ascii="Times New Roman" w:hAnsi="Times New Roman"/>
          <w:sz w:val="20"/>
        </w:rPr>
      </w:pPr>
      <w:r>
        <w:rPr>
          <w:rFonts w:ascii="Times New Roman" w:hAnsi="Times New Roman"/>
          <w:color w:val="000000"/>
          <w:sz w:val="24"/>
        </w:rPr>
        <w:t>(III) there shall be to the extent included in Consolidated Net Income, excluded in determining Consolidated EBITDA for any period the Disposed EBITDA of any Person, property, business, line of business, division, business unit or asset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line of business, division, business unit or asset is positive (i.e., if such Disposed EBITDA is negative, it shall be added back in determining Consolidated EBITDA for any period)) by Holdings, the Borrower or any Restricted Subsidiary during such period (each such Person, property, business, line of business, division, business unit or asset so sold, transferred or otherwise disposed of, closed or classified, a “</w:t>
      </w:r>
      <w:r>
        <w:rPr>
          <w:rFonts w:ascii="Times New Roman" w:hAnsi="Times New Roman"/>
          <w:color w:val="000000"/>
          <w:sz w:val="24"/>
          <w:u w:val="single"/>
        </w:rPr>
        <w:t>Sold Entity or Business</w:t>
      </w:r>
      <w:r>
        <w:rPr>
          <w:rFonts w:ascii="Times New Roman" w:hAnsi="Times New Roman"/>
          <w:color w:val="000000"/>
          <w:sz w:val="20"/>
        </w:rPr>
        <w:t>”</w:t>
      </w:r>
      <w:r>
        <w:rPr>
          <w:rFonts w:ascii="Times New Roman" w:hAnsi="Times New Roman"/>
          <w:color w:val="000000"/>
          <w:sz w:val="24"/>
        </w:rPr>
        <w:t>), based on the Disposed EBITDA of such Sold Entity or Business for such period (including the portion thereof occurring prior to such sale, transfer, disposition, closure, classification or conversion) determined on a historical Pro Forma Basis; and</w:t>
      </w:r>
    </w:p>
    <w:p>
      <w:pPr>
        <w:pStyle w:val="TextBody"/>
        <w:bidi w:val="0"/>
        <w:spacing w:before="0" w:after="240"/>
        <w:jc w:val="both"/>
        <w:rPr>
          <w:rFonts w:ascii="Times New Roman" w:hAnsi="Times New Roman"/>
          <w:sz w:val="20"/>
        </w:rPr>
      </w:pPr>
      <w:r>
        <w:rPr>
          <w:rFonts w:ascii="Times New Roman" w:hAnsi="Times New Roman"/>
          <w:color w:val="000000"/>
          <w:sz w:val="24"/>
        </w:rPr>
        <w:t>(IV) to the extent included in Consolidated Net Income, there shall be excluded in determining Consolidated EBITDA any expense (or income) as a result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adjustments recorded to contingent consideration liabilities relating to the Transaction or any Permitted Acquisition (or other Investment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herein to the contrary, Consolidated EBITDA shall be deemed to equal $17,200,922 for the period of four consecutive fiscal quarters of Holdings ending March 31, 2026 (consisting of (a) $6,001,019 for the fiscal quarter ended June 30, 2025, (b) $4,435,353 for the fiscal quarter ended September 30, 2025, (c) $3,159,822 for the fiscal quarter ended December 31, 2025 and (d) $3,604,728 for the fiscal quarter ended March 31, 2026), it being understood that such amounts are subject to adjustments, as and to the extent otherwise contemplated in this Agreement, in connection with the Run Rate Addback or any calculation on a Pro Forma Basis.</w:t>
      </w:r>
    </w:p>
    <w:p>
      <w:pPr>
        <w:pStyle w:val="TextBody"/>
        <w:bidi w:val="0"/>
        <w:spacing w:before="0" w:after="240"/>
        <w:jc w:val="both"/>
        <w:rPr/>
      </w:pPr>
      <w:r>
        <w:rPr>
          <w:color w:val="000000"/>
        </w:rPr>
        <w:t>“</w:t>
      </w:r>
      <w:r>
        <w:rPr>
          <w:rFonts w:ascii="Times New Roman" w:hAnsi="Times New Roman"/>
          <w:color w:val="000000"/>
          <w:sz w:val="24"/>
          <w:u w:val="single"/>
        </w:rPr>
        <w:t>Consolidated First Lien Net Indebtedness</w:t>
      </w:r>
      <w:r>
        <w:rPr>
          <w:rFonts w:ascii="Times New Roman" w:hAnsi="Times New Roman"/>
          <w:color w:val="000000"/>
          <w:sz w:val="20"/>
        </w:rPr>
        <w:t xml:space="preserve">” </w:t>
      </w:r>
      <w:r>
        <w:rPr>
          <w:rFonts w:ascii="Times New Roman" w:hAnsi="Times New Roman"/>
          <w:color w:val="000000"/>
          <w:sz w:val="24"/>
        </w:rPr>
        <w:t>means, as of any date of determination, (a) the aggregate amount of First Lien Indebtedness of Holdings and its Restricted Subsidiaries outstanding on such date, determined on a consolidated basis in accordance with GAAP, consisting only of First Lien Indebtedness for borrowed money, purchase money indebtedness, drawn but unreimbursed letters of credit, the principal portion of obligations in respect of Capitalized Leases, earnouts and similar obligations, in each case to the extent required to be recognized on the balance sheet of Holdings and its Restricted Subsidiaries as indebtedness in accordance with GAAP and any such Indebtedness of others that is Guaranteed by Holdings or any of its Restricted Subsidiaries, minus (b) Qualified Cash as of such date.</w:t>
      </w:r>
    </w:p>
    <w:p>
      <w:pPr>
        <w:pStyle w:val="TextBody"/>
        <w:bidi w:val="0"/>
        <w:spacing w:before="0" w:after="240"/>
        <w:jc w:val="both"/>
        <w:rPr/>
      </w:pPr>
      <w:r>
        <w:rPr>
          <w:color w:val="000000"/>
        </w:rPr>
        <w:t>“</w:t>
      </w:r>
      <w:r>
        <w:rPr>
          <w:rFonts w:ascii="Times New Roman" w:hAnsi="Times New Roman"/>
          <w:color w:val="000000"/>
          <w:sz w:val="24"/>
          <w:u w:val="single"/>
        </w:rPr>
        <w:t>Consolidated Net Income</w:t>
      </w:r>
      <w:r>
        <w:rPr>
          <w:rFonts w:ascii="Times New Roman" w:hAnsi="Times New Roman"/>
          <w:color w:val="000000"/>
          <w:sz w:val="20"/>
        </w:rPr>
        <w:t xml:space="preserve">” </w:t>
      </w:r>
      <w:r>
        <w:rPr>
          <w:rFonts w:ascii="Times New Roman" w:hAnsi="Times New Roman"/>
          <w:color w:val="000000"/>
          <w:sz w:val="24"/>
        </w:rPr>
        <w:t>means, for any period, the net income (loss) of Holdings and its Restricted Subsidiaries for such period determined on a consolidated basis in accordance with GAAP, excluding, without duplication;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extraordinary items for such period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cumulative effect of a change in accounting principles during such period;</w:t>
      </w:r>
    </w:p>
    <w:p>
      <w:pPr>
        <w:pStyle w:val="TextBody"/>
        <w:bidi w:val="0"/>
        <w:spacing w:before="0" w:after="240"/>
        <w:jc w:val="both"/>
        <w:rPr>
          <w:rFonts w:ascii="Times New Roman" w:hAnsi="Times New Roman"/>
          <w:sz w:val="20"/>
        </w:rPr>
      </w:pPr>
      <w:r>
        <w:rPr>
          <w:rFonts w:ascii="Times New Roman" w:hAnsi="Times New Roman"/>
          <w:color w:val="000000"/>
          <w:sz w:val="24"/>
        </w:rPr>
        <w:t>(c) any accruals, payments, fees, costs and expenses (including rationalization, legal, tax, structuring, financial advisory, investment banking, any transaction or retention bonus or similar payment and fees, costs and expenses of any counsel, consultants or other advisors and other costs and expenses) incurred during such period, or any amortization thereof for such period, in connection with the Transactions (including Transaction Costs), any Specified Transactions, any non</w:t>
        <w:noBreakHyphen/>
        <w:t>recurring costs to acquire equipment to the extent not capitalized in accordance with GAAP, Investments (including any earn</w:t>
        <w:noBreakHyphen/>
        <w:t>outs), Restricted Payments, Dispositions, recapitalization, issuances of Indebtedness or Equity Interests (including any initial public offering) or repayment of debt, refinancing transactions or amendment or other modification of any debt instrument, and restructurings, workouts and extensions and refinancings of any of the foregoing, non</w:t>
        <w:noBreakHyphen/>
        <w:t>competition agreements, one</w:t>
        <w:noBreakHyphen/>
        <w:t>time accruals, up</w:t>
        <w:noBreakHyphen/>
        <w:t>front fees, financing fees, commitment fees, costs, expenses or premiums related to any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including costs and expenses of the Administrative Agent and Lenders that are reimbursed and fees paid to the Permitted Holders) and any charges or non</w:t>
        <w:noBreakHyphen/>
        <w:t>recurring merger or amalgamation costs incurred during such period as a result of any such transaction, in each case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whether or not successful (including, for the avoidance of doubt, the effects of expensing all transaction</w:t>
        <w:noBreakHyphen/>
        <w:t xml:space="preserve">related expenses in accordance with FASB Accounting Standards Codification 805 and gains or losses associated with FASB Accounting Standards Codification 460); </w:t>
      </w:r>
      <w:r>
        <w:rPr>
          <w:rFonts w:ascii="Times New Roman" w:hAnsi="Times New Roman"/>
          <w:color w:val="000000"/>
          <w:sz w:val="24"/>
          <w:u w:val="single"/>
        </w:rPr>
        <w:t xml:space="preserve">provided </w:t>
      </w:r>
      <w:r>
        <w:rPr>
          <w:rFonts w:ascii="Times New Roman" w:hAnsi="Times New Roman"/>
          <w:color w:val="000000"/>
          <w:sz w:val="24"/>
        </w:rPr>
        <w:t>that any such accruals, payments and expenses related to unconsummated transactions shall not, together with any accruals, payments and expenses related to unconsummated transactions added back pursuant to clause (a)(vi) of the definition of “Consolidated EBITDA”, exceed $1,000,000 in the aggregate in any four</w:t>
        <w:noBreakHyphen/>
        <w:t>quarter fiscal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income (loss) for such period attributable to the early extinguishment of Indebtedness, hedging agreements or other derivative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accruals and reserves that are established or adjusted as a result of the Transactions or any Permitted Acquisition or other Investment not prohibited under this Agreement in accordance with GAAP (including any adjustment of estimated payouts on earn</w:t>
        <w:noBreakHyphen/>
        <w:t>outs) or changes as a result of the adoption or modification of accounting policies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any income (loss) attributable to deferred compensation plans or trusts;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stock</w:t>
        <w:noBreakHyphen/>
        <w:t>based award compensation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amount of any expense required to be recorded as compensation expense related to contingent transaction consideration;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currency translation gains and losses related to currency remeasurements of assets, liabilities or indebtedness (including the net loss or gain resulting from hedging agreements for currency exchange risk and revaluations of intercompany balances);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to the extent that any Holdings Parent Specified Expenses would have been included in Consolidated Net Income had such charge, tax or expense been incurred directly by Holdings, such Holdings Parent Specified Expenses;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Holdings and its Restricted Subsidiaries), as a result of the Transactions, any acquisition or Investment consummated prior to the Effective Date and any Permitted Acquisitions (or other Investment not prohibited hereunder) or the amortization or write</w:t>
        <w:noBreakHyphen/>
        <w:t>off of any amounts thereof.</w:t>
      </w:r>
    </w:p>
    <w:p>
      <w:pPr>
        <w:pStyle w:val="TextBody"/>
        <w:bidi w:val="0"/>
        <w:spacing w:before="0" w:after="240"/>
        <w:jc w:val="both"/>
        <w:rPr/>
      </w:pPr>
      <w:r>
        <w:rPr>
          <w:color w:val="000000"/>
        </w:rPr>
        <w:t>“</w:t>
      </w:r>
      <w:r>
        <w:rPr>
          <w:rFonts w:ascii="Times New Roman" w:hAnsi="Times New Roman"/>
          <w:color w:val="000000"/>
          <w:sz w:val="24"/>
          <w:u w:val="single"/>
        </w:rPr>
        <w:t>Consolidated Total Net Indebtedness</w:t>
      </w:r>
      <w:r>
        <w:rPr>
          <w:rFonts w:ascii="Times New Roman" w:hAnsi="Times New Roman"/>
          <w:color w:val="000000"/>
          <w:sz w:val="20"/>
        </w:rPr>
        <w:t xml:space="preserve">” </w:t>
      </w:r>
      <w:r>
        <w:rPr>
          <w:rFonts w:ascii="Times New Roman" w:hAnsi="Times New Roman"/>
          <w:color w:val="000000"/>
          <w:sz w:val="24"/>
        </w:rPr>
        <w:t>means, as of any date of determination, (a) the aggregate amount of Indebtedness of Holdings and its Restricted Subsidiaries outstanding on such date, determined on a consolidated basis in accordance with GAAP, consisting only of Indebtedness for borrowed money, purchase money indebtedness, drawn but unreimbursed letters of credit, the principal portion of obligations in respect of Capitalized Leases, earnouts and similar obligations, in each case to the extent required to be recognized on the balance sheet of Holdings and its Restricted Subsidiaries as indebtedness in accordance with GAAP and such Indebtedness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others that is Guaranteed by Holdings or any of its Restricted Subsidiaries, minus (b) Qualified Cash as of such date.</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hAnsi="Times New Roman"/>
          <w:color w:val="000000"/>
          <w:sz w:val="24"/>
          <w:u w:val="single"/>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Controlled</w:t>
      </w:r>
      <w:r>
        <w:rPr>
          <w:rFonts w:ascii="Times New Roman" w:hAnsi="Times New Roman"/>
          <w:color w:val="000000"/>
          <w:sz w:val="20"/>
        </w:rPr>
        <w:t xml:space="preserve">” </w:t>
      </w:r>
      <w:r>
        <w:rPr>
          <w:rFonts w:ascii="Times New Roman" w:hAnsi="Times New Roman"/>
          <w:color w:val="000000"/>
          <w:sz w:val="24"/>
        </w:rPr>
        <w:t>have meanings correlative thereto.</w:t>
      </w:r>
    </w:p>
    <w:p>
      <w:pPr>
        <w:pStyle w:val="TextBody"/>
        <w:bidi w:val="0"/>
        <w:spacing w:before="0" w:after="240"/>
        <w:jc w:val="both"/>
        <w:rPr/>
      </w:pPr>
      <w:r>
        <w:rPr>
          <w:color w:val="000000"/>
        </w:rPr>
        <w:t>“</w:t>
      </w:r>
      <w:r>
        <w:rPr>
          <w:rFonts w:ascii="Times New Roman" w:hAnsi="Times New Roman"/>
          <w:color w:val="000000"/>
          <w:sz w:val="24"/>
          <w:u w:val="single"/>
        </w:rPr>
        <w:t>Control Agreement</w:t>
      </w:r>
      <w:r>
        <w:rPr>
          <w:rFonts w:ascii="Times New Roman" w:hAnsi="Times New Roman"/>
          <w:color w:val="000000"/>
          <w:sz w:val="20"/>
        </w:rPr>
        <w:t xml:space="preserve">” </w:t>
      </w:r>
      <w:r>
        <w:rPr>
          <w:rFonts w:ascii="Times New Roman" w:hAnsi="Times New Roman"/>
          <w:color w:val="000000"/>
          <w:sz w:val="24"/>
        </w:rPr>
        <w:t>means, with respect to any bank account, a springing account control agreement, in form and substance reasonably satisfactory to the Collateral Agent, among the Collateral Agent, the financial institution or other Person at which such account is maintained, and the Loan Party that owns such account, effective to grant “control” (as defined under the applicable UCC) over such account to the Collateral Agent.</w:t>
      </w:r>
    </w:p>
    <w:p>
      <w:pPr>
        <w:pStyle w:val="TextBody"/>
        <w:bidi w:val="0"/>
        <w:spacing w:before="0" w:after="240"/>
        <w:jc w:val="both"/>
        <w:rPr/>
      </w:pPr>
      <w:r>
        <w:rPr>
          <w:color w:val="000000"/>
        </w:rPr>
        <w:t>“</w:t>
      </w:r>
      <w:r>
        <w:rPr>
          <w:rFonts w:ascii="Times New Roman" w:hAnsi="Times New Roman"/>
          <w:color w:val="000000"/>
          <w:sz w:val="24"/>
          <w:u w:val="single"/>
        </w:rPr>
        <w:t>Controlled Account</w:t>
      </w:r>
      <w:r>
        <w:rPr>
          <w:rFonts w:ascii="Times New Roman" w:hAnsi="Times New Roman"/>
          <w:color w:val="000000"/>
          <w:sz w:val="20"/>
        </w:rPr>
        <w:t xml:space="preserve">” </w:t>
      </w:r>
      <w:r>
        <w:rPr>
          <w:rFonts w:ascii="Times New Roman" w:hAnsi="Times New Roman"/>
          <w:color w:val="000000"/>
          <w:sz w:val="24"/>
        </w:rPr>
        <w:t>means any bank account owned by the Borrower or a Subsidiary Loan Party that is either (x) subject to a Control Agreement in favor of the Collateral Agent or (b) maintained with the Collateral Agent (or any of its Affiliates) as depositary bank.</w:t>
      </w:r>
    </w:p>
    <w:p>
      <w:pPr>
        <w:pStyle w:val="TextBody"/>
        <w:bidi w:val="0"/>
        <w:spacing w:before="0" w:after="240"/>
        <w:jc w:val="both"/>
        <w:rPr/>
      </w:pPr>
      <w:r>
        <w:rPr>
          <w:color w:val="000000"/>
        </w:rPr>
        <w:t>“</w:t>
      </w:r>
      <w:r>
        <w:rPr>
          <w:rFonts w:ascii="Times New Roman" w:hAnsi="Times New Roman"/>
          <w:color w:val="000000"/>
          <w:sz w:val="24"/>
          <w:u w:val="single"/>
        </w:rPr>
        <w:t>Copyrights</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w:t>
      </w:r>
    </w:p>
    <w:p>
      <w:pPr>
        <w:pStyle w:val="TextBody"/>
        <w:bidi w:val="0"/>
        <w:spacing w:before="0" w:after="240"/>
        <w:jc w:val="both"/>
        <w:rPr/>
      </w:pPr>
      <w:r>
        <w:rPr>
          <w:color w:val="000000"/>
        </w:rPr>
        <w:t>“</w:t>
      </w:r>
      <w:r>
        <w:rPr>
          <w:rFonts w:ascii="Times New Roman" w:hAnsi="Times New Roman"/>
          <w:color w:val="000000"/>
          <w:sz w:val="24"/>
          <w:u w:val="single"/>
        </w:rPr>
        <w:t>CORRA</w:t>
      </w:r>
      <w:r>
        <w:rPr>
          <w:rFonts w:ascii="Times New Roman" w:hAnsi="Times New Roman"/>
          <w:color w:val="000000"/>
          <w:sz w:val="20"/>
        </w:rPr>
        <w:t xml:space="preserve">” </w:t>
      </w:r>
      <w:r>
        <w:rPr>
          <w:rFonts w:ascii="Times New Roman" w:hAnsi="Times New Roman"/>
          <w:color w:val="000000"/>
          <w:sz w:val="24"/>
        </w:rPr>
        <w:t>means the Canadian Overnight Repo Rate Average administered by the Bank of Canada (or any successor administrator).</w:t>
      </w:r>
    </w:p>
    <w:p>
      <w:pPr>
        <w:pStyle w:val="TextBody"/>
        <w:bidi w:val="0"/>
        <w:spacing w:before="0" w:after="240"/>
        <w:jc w:val="both"/>
        <w:rPr/>
      </w:pPr>
      <w:r>
        <w:rPr>
          <w:color w:val="000000"/>
        </w:rPr>
        <w:t>“</w:t>
      </w:r>
      <w:r>
        <w:rPr>
          <w:rFonts w:ascii="Times New Roman" w:hAnsi="Times New Roman"/>
          <w:color w:val="000000"/>
          <w:sz w:val="24"/>
          <w:u w:val="single"/>
        </w:rPr>
        <w:t>Credit Agreement Refinancing Indebtedness</w:t>
      </w:r>
      <w:r>
        <w:rPr>
          <w:rFonts w:ascii="Times New Roman" w:hAnsi="Times New Roman"/>
          <w:color w:val="000000"/>
          <w:sz w:val="20"/>
        </w:rPr>
        <w:t xml:space="preserve">” </w:t>
      </w:r>
      <w:r>
        <w:rPr>
          <w:rFonts w:ascii="Times New Roman" w:hAnsi="Times New Roman"/>
          <w:color w:val="000000"/>
          <w:sz w:val="24"/>
        </w:rPr>
        <w:t>means Indebtedness issued, incurred or otherwise obtained by the Borrower or another Loan Party (including by means of the extension or renewal of existing Indebtedness) in exchange for, or to extend, renew, replace or refinance, in whole or part, existing Term Loans, Revolving Loans (or unused Revolving Commitments), (“</w:t>
      </w:r>
      <w:r>
        <w:rPr>
          <w:rFonts w:ascii="Times New Roman" w:hAnsi="Times New Roman"/>
          <w:color w:val="000000"/>
          <w:sz w:val="24"/>
          <w:u w:val="single"/>
        </w:rPr>
        <w:t>Refinanced Debt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that such exchanging, extending, renewing, replacing or refinancing Indebtedness (a) is in an original aggregate principal amount not greater than the aggregate principal amount of the Refinanced Debt (plus any premium, original issue discount and upfront fees, accrued interest and fees and expenses incurred in connection with such exchange, extension, renewal, repayment, replacement or refinancing and the incurrence of such new Credit Agreement Refinancing Indebtedness), (b) (i) (except in the case of customary bridge loans which, subject to customary conditions (including no payment or bankruptcy event of default) would either automatically be converted into or required to be exchanged for permanent refinancing that does not mature prior to the maturity date of the Refinanced Debt) does not mature earlier than or, except in the case of Revolving Commitments, have a Weighted Average Life to Maturity shorter than the Refinanced Debt and (ii) (x) if such Indebtedness is incurred as Additional Second Out Debt, such Indebtedness does not have scheduled amortization payments in excess of 5.0% of the original principal amount of such Indebtedness per fiscal year and (y) if such Indebtedness is unsecured or secured by the Collateral on a junior lien basis to the Secured Obligations, does not have scheduled amortization or required payments of principal prior to the Latest Maturity Date (except in the case of customary bridge loans which, subject to customary conditions (including no payment or bankruptcy event of default), would either automatically be converted into or required to be exchanged for permanent refinancing that does not mature prior to the maturity date of the Refinanced Debt) (other than (i) change of control offers, offers upon an event of default, “AHYDO catch up payments”, and (ii) customary asset sale, insurance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condemnation proceeds events or excess cash flow payments (in each case of this clause (ii), subject to the prior prepayment and termination of the Initial Revolving Facility or the prior offer thereof to prepay and terminate the Initial Revolving Facility)), (c) shall not be guaranteed by any entity that is not, or that does not substantially concurrently become, a Loan Party, (d) in the case of any secured Indebtedness, is (i) not secured by any assets not securing the Secured Obligations and (ii) subject to the relevant Intercreditor Agreement(s), (e) if the Refinanced Debt was (1) contractually subordinated to the Loan Document Obligations in right of payment, such Credit Agreement Refinancing Indebtedness shall be contractually subordinated to the Loan Document Obligations on subordination terms (taken as a whole) at least as favorable to the Lenders as those contained in the documentation governing the Refinanced Debt or otherwise reasonably satisfactory to the Administrative Agent and (2) contractually subordinated to the Loan Document Obligations in right of security, such Credit Agreement Refinancing Indebtedness shall be contractually subordinated to the Loan Document Obligations on subordination terms (taken as a whole) at least as favorable to the Lenders as those contained in the documentation governing the indebtedness refinanced or otherwise reasonably satisfactory to the Administrative Agent or be unsecured, (f) in the case of Credit Agreement Refinancing Indebtedness of the Initial Revolving Facility, refinances in full such facility and results in the Payment in Full thereof, (g) in the case of any Credit Agreement Refinancing Indebtedness that is a revolving credit facility, may provide for the ability to participate (x) with respect to borrowings and repayments on a pro rata basis or less than pro rata basis (but not greater than pro rata basis) with other then</w:t>
        <w:noBreakHyphen/>
        <w:t>outstanding Classes of Revolving Commitments and (y) with respect to permanent repayments and terminations of revolving commitments, on a pro rata basis or less than a pro rata basis (but not greater than pro rata basis) with other then</w:t>
        <w:noBreakHyphen/>
        <w:t>outstanding Classes of Revolving Commitments and (h) has covenants and events of default (excluding, for the avoidance of doubt, pricing, interest rate margins, rate floors, discounts, fees, collateral, guarantees, premiums and prepayment or redemption provisions) that are not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(y) the Revolving Lenders also receive the benefit of such more favorable covenants and events of default (including, without limitation, any financial maintenance covenant, and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Administrative Agent or any of the Lenders if such covenant, event of default or guarantee is (i) also added or modified for the benefit of any corresponding Loans remaining outstanding after the issuance or incurrence of such Indebtedness or (ii) only applicable after the Latest Maturity Date at the time of such refinancing (</w:t>
      </w:r>
      <w:r>
        <w:rPr>
          <w:rFonts w:ascii="Times New Roman" w:hAnsi="Times New Roman"/>
          <w:color w:val="000000"/>
          <w:sz w:val="24"/>
          <w:u w:val="single"/>
        </w:rPr>
        <w:t xml:space="preserve">provided </w:t>
      </w:r>
      <w:r>
        <w:rPr>
          <w:rFonts w:ascii="Times New Roman" w:hAnsi="Times New Roman"/>
          <w:color w:val="000000"/>
          <w:sz w:val="24"/>
        </w:rPr>
        <w:t>that the Borrower may, in its sole discretion, deliver a certificate of a Responsible Officer of the Borrower to the Administrative Agent at least ten (10)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and such certificate shall be conclusive evidence that such terms and conditions satisfy the requirement of this clause (y) unless the Administrative Agent notifies the Borrower within such ten (10) Business Day period that it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disagrees with such determination) or (z) such terms and conditions are reasonably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Cure Amount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7.02(a)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Cure Right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7.02(a)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Cure Termination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7.02(a)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Daily Simple RFR</w:t>
      </w:r>
      <w:r>
        <w:rPr>
          <w:rFonts w:ascii="Times New Roman" w:hAnsi="Times New Roman"/>
          <w:color w:val="000000"/>
          <w:sz w:val="20"/>
        </w:rPr>
        <w:t xml:space="preserve">” </w:t>
      </w:r>
      <w:r>
        <w:rPr>
          <w:rFonts w:ascii="Times New Roman" w:hAnsi="Times New Roman"/>
          <w:color w:val="000000"/>
          <w:sz w:val="24"/>
        </w:rPr>
        <w:t>means, for any day (an “</w:t>
      </w:r>
      <w:r>
        <w:rPr>
          <w:rFonts w:ascii="Times New Roman" w:hAnsi="Times New Roman"/>
          <w:color w:val="000000"/>
          <w:sz w:val="24"/>
          <w:u w:val="single"/>
        </w:rPr>
        <w:t>RFR Rate Day</w:t>
      </w:r>
      <w:r>
        <w:rPr>
          <w:rFonts w:ascii="Times New Roman" w:hAnsi="Times New Roman"/>
          <w:color w:val="000000"/>
          <w:sz w:val="20"/>
        </w:rPr>
        <w:t>”</w:t>
      </w:r>
      <w:r>
        <w:rPr>
          <w:rFonts w:ascii="Times New Roman" w:hAnsi="Times New Roman"/>
          <w:color w:val="000000"/>
          <w:sz w:val="24"/>
        </w:rPr>
        <w:t>), a rate per annum equal to, for any Secured Obligations, interest, fees, commissions or other amounts denominated in, or calculated with respect to Sterling, the greater of (i) SONIA for the day (such day “</w:t>
      </w:r>
      <w:r>
        <w:rPr>
          <w:rFonts w:ascii="Times New Roman" w:hAnsi="Times New Roman"/>
          <w:i/>
          <w:color w:val="000000"/>
          <w:sz w:val="24"/>
        </w:rPr>
        <w:t>i</w:t>
      </w:r>
      <w:r>
        <w:rPr>
          <w:rFonts w:ascii="Times New Roman" w:hAnsi="Times New Roman"/>
          <w:color w:val="000000"/>
          <w:sz w:val="20"/>
        </w:rPr>
        <w:t>”</w:t>
      </w:r>
      <w:r>
        <w:rPr>
          <w:rFonts w:ascii="Times New Roman" w:hAnsi="Times New Roman"/>
          <w:color w:val="000000"/>
          <w:sz w:val="24"/>
        </w:rPr>
        <w:t xml:space="preserve">) that is five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and (ii) 0.00%. If by 5:00 p.m. (local time for the applicable RFR) on the second RFR Business Day immediately following any day “i”, the RFR in respect of such day “i” has not been published on the SONIA Administrator’s Website and a Benchmark Replacement Date with respect to the applicable Daily Simple RFR has not occurred, then the RFR for such day “i” will be the RFR as published in respect of the first preceding RFR Business Day for which such RFR was published on the SONIA Administrator’s Website; </w:t>
      </w:r>
      <w:r>
        <w:rPr>
          <w:rFonts w:ascii="Times New Roman" w:hAnsi="Times New Roman"/>
          <w:color w:val="000000"/>
          <w:sz w:val="24"/>
          <w:u w:val="single"/>
        </w:rPr>
        <w:t xml:space="preserve">provided </w:t>
      </w:r>
      <w:r>
        <w:rPr>
          <w:rFonts w:ascii="Times New Roman" w:hAnsi="Times New Roman"/>
          <w:color w:val="000000"/>
          <w:sz w:val="24"/>
        </w:rPr>
        <w:t>that any RFR determined pursuant to this sentence shall be utilized for purposes of calculation of Daily Simple RFR for no more than three (3) consecutive RFR Rate Days. Any change in Daily Simple RFR due to a change in the applicable RFR shall be effective from and including the effective date of such change in the RFR without notice to the Borrower.</w:t>
      </w:r>
    </w:p>
    <w:p>
      <w:pPr>
        <w:pStyle w:val="TextBody"/>
        <w:bidi w:val="0"/>
        <w:spacing w:before="0" w:after="240"/>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SOFR Rate Day</w:t>
      </w:r>
      <w:r>
        <w:rPr>
          <w:rFonts w:ascii="Times New Roman" w:hAnsi="Times New Roman"/>
          <w:color w:val="000000"/>
          <w:sz w:val="20"/>
        </w:rPr>
        <w:t>”</w:t>
      </w:r>
      <w:r>
        <w:rPr>
          <w:rFonts w:ascii="Times New Roman" w:hAnsi="Times New Roman"/>
          <w:color w:val="000000"/>
          <w:sz w:val="24"/>
        </w:rPr>
        <w:t>), a rate per annum equal to the greater of (a) SOFR for the day (such day “</w:t>
      </w:r>
      <w:r>
        <w:rPr>
          <w:rFonts w:ascii="Times New Roman" w:hAnsi="Times New Roman"/>
          <w:i/>
          <w:color w:val="000000"/>
          <w:sz w:val="24"/>
        </w:rPr>
        <w:t>i</w:t>
      </w:r>
      <w:r>
        <w:rPr>
          <w:rFonts w:ascii="Times New Roman" w:hAnsi="Times New Roman"/>
          <w:color w:val="000000"/>
          <w:sz w:val="20"/>
        </w:rPr>
        <w:t>”</w:t>
      </w:r>
      <w:r>
        <w:rPr>
          <w:rFonts w:ascii="Times New Roman" w:hAnsi="Times New Roman"/>
          <w:color w:val="000000"/>
          <w:sz w:val="24"/>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0.00%. If by 5:00 p.m. (New York City time) on the second (2nd) U.S. Government Securities Business Day immediately following any day “</w:t>
      </w:r>
      <w:r>
        <w:rPr>
          <w:rFonts w:ascii="Times New Roman" w:hAnsi="Times New Roman"/>
          <w:i/>
          <w:color w:val="000000"/>
          <w:sz w:val="24"/>
        </w:rPr>
        <w:t>i</w:t>
      </w:r>
      <w:r>
        <w:rPr>
          <w:rFonts w:ascii="Times New Roman" w:hAnsi="Times New Roman"/>
          <w:color w:val="000000"/>
          <w:sz w:val="20"/>
        </w:rPr>
        <w:t>”</w:t>
      </w:r>
      <w:r>
        <w:rPr>
          <w:rFonts w:ascii="Times New Roman" w:hAnsi="Times New Roman"/>
          <w:color w:val="000000"/>
          <w:sz w:val="24"/>
        </w:rPr>
        <w:t>, the SOFR in respect of such day “</w:t>
      </w:r>
      <w:r>
        <w:rPr>
          <w:rFonts w:ascii="Times New Roman" w:hAnsi="Times New Roman"/>
          <w:i/>
          <w:color w:val="000000"/>
          <w:sz w:val="24"/>
        </w:rPr>
        <w:t>i</w:t>
      </w:r>
      <w:r>
        <w:rPr>
          <w:rFonts w:ascii="Times New Roman" w:hAnsi="Times New Roman"/>
          <w:color w:val="000000"/>
          <w:sz w:val="20"/>
        </w:rPr>
        <w:t xml:space="preserve">” </w:t>
      </w:r>
      <w:r>
        <w:rPr>
          <w:rFonts w:ascii="Times New Roman" w:hAnsi="Times New Roman"/>
          <w:color w:val="000000"/>
          <w:sz w:val="24"/>
        </w:rPr>
        <w:t>has not been published on the SOFR Administrator’s Website and a Benchmark Replacement Date with respect to the Daily Simple SOFR has not occurred, then the SOFR for such day “</w:t>
      </w:r>
      <w:r>
        <w:rPr>
          <w:rFonts w:ascii="Times New Roman" w:hAnsi="Times New Roman"/>
          <w:i/>
          <w:color w:val="000000"/>
          <w:sz w:val="24"/>
        </w:rPr>
        <w:t>i</w:t>
      </w:r>
      <w:r>
        <w:rPr>
          <w:rFonts w:ascii="Times New Roman" w:hAnsi="Times New Roman"/>
          <w:color w:val="000000"/>
          <w:sz w:val="20"/>
        </w:rPr>
        <w:t xml:space="preserve">” </w:t>
      </w:r>
      <w:r>
        <w:rPr>
          <w:rFonts w:ascii="Times New Roman" w:hAnsi="Times New Roman"/>
          <w:color w:val="000000"/>
          <w:sz w:val="24"/>
        </w:rPr>
        <w:t xml:space="preserve">will be the SOFR as published in respect of the first preceding U.S. Government Securities Business Day for which such SOFR was published on the SOFR Administrator’s Website; </w:t>
      </w:r>
      <w:r>
        <w:rPr>
          <w:rFonts w:ascii="Times New Roman" w:hAnsi="Times New Roman"/>
          <w:color w:val="000000"/>
          <w:sz w:val="24"/>
          <w:u w:val="single"/>
        </w:rPr>
        <w:t xml:space="preserve">provided </w:t>
      </w:r>
      <w:r>
        <w:rPr>
          <w:rFonts w:ascii="Times New Roman" w:hAnsi="Times New Roman"/>
          <w:color w:val="000000"/>
          <w:sz w:val="24"/>
        </w:rPr>
        <w:t>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240"/>
        <w:jc w:val="both"/>
        <w:rPr/>
      </w:pPr>
      <w:r>
        <w:rPr>
          <w:color w:val="000000"/>
        </w:rPr>
        <w:t>“</w:t>
      </w:r>
      <w:r>
        <w:rPr>
          <w:rFonts w:ascii="Times New Roman" w:hAnsi="Times New Roman"/>
          <w:color w:val="000000"/>
          <w:sz w:val="24"/>
          <w:u w:val="single"/>
        </w:rPr>
        <w:t>Debtor Relief Laws</w:t>
      </w:r>
      <w:r>
        <w:rPr>
          <w:rFonts w:ascii="Times New Roman" w:hAnsi="Times New Roman"/>
          <w:color w:val="000000"/>
          <w:sz w:val="20"/>
        </w:rPr>
        <w:t xml:space="preserve">” </w:t>
      </w:r>
      <w:r>
        <w:rPr>
          <w:rFonts w:ascii="Times New Roman" w:hAnsi="Times New Roman"/>
          <w:color w:val="000000"/>
          <w:sz w:val="24"/>
        </w:rPr>
        <w:t>means the Bankruptcy Code, and all other liquidation, conservatorship, bankruptcy, general assignment for the benefit of creditors, moratorium, rearrangement, receivership, administrative receivership, insolvency, reorganization, examinership or similar debtor relief laws of the United States or of other jurisdictions (domestic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or foreign) (including, but not limited to, the Insolvency Act 1986 of the United Kingdom, corporate statutory arrangement provisions or any other applicable legislation to the extent the relief sought under such legislation relates to compromise, settlement, adjustment or arrangement of debt, or any other bankruptcy, insolvency, reorganization, liquidation or similar law) or other applicable jurisdictions from time to time in effect and affecting the rights of creditors generally (including bankruptcy (</w:t>
      </w:r>
      <w:r>
        <w:rPr>
          <w:rFonts w:ascii="Times New Roman" w:hAnsi="Times New Roman"/>
          <w:i/>
          <w:color w:val="000000"/>
          <w:sz w:val="24"/>
        </w:rPr>
        <w:t>hasan</w:t>
      </w:r>
      <w:r>
        <w:rPr>
          <w:rFonts w:ascii="Times New Roman" w:hAnsi="Times New Roman"/>
          <w:color w:val="000000"/>
          <w:sz w:val="24"/>
        </w:rPr>
        <w:t>), corporate reorganization (</w:t>
      </w:r>
      <w:r>
        <w:rPr>
          <w:rFonts w:ascii="Times New Roman" w:hAnsi="Times New Roman"/>
          <w:i/>
          <w:color w:val="000000"/>
          <w:sz w:val="24"/>
        </w:rPr>
        <w:t>kaisha kousei</w:t>
      </w:r>
      <w:r>
        <w:rPr>
          <w:rFonts w:ascii="Times New Roman" w:hAnsi="Times New Roman"/>
          <w:color w:val="000000"/>
          <w:sz w:val="24"/>
        </w:rPr>
        <w:t>), civil rehabilitation (</w:t>
      </w:r>
      <w:r>
        <w:rPr>
          <w:rFonts w:ascii="Times New Roman" w:hAnsi="Times New Roman"/>
          <w:i/>
          <w:color w:val="000000"/>
          <w:sz w:val="24"/>
        </w:rPr>
        <w:t>minji saisei</w:t>
      </w:r>
      <w:r>
        <w:rPr>
          <w:rFonts w:ascii="Times New Roman" w:hAnsi="Times New Roman"/>
          <w:color w:val="000000"/>
          <w:sz w:val="24"/>
        </w:rPr>
        <w:t>), special liquidation (</w:t>
      </w:r>
      <w:r>
        <w:rPr>
          <w:rFonts w:ascii="Times New Roman" w:hAnsi="Times New Roman"/>
          <w:i/>
          <w:color w:val="000000"/>
          <w:sz w:val="24"/>
        </w:rPr>
        <w:t>tokubetsu seisan</w:t>
      </w:r>
      <w:r>
        <w:rPr>
          <w:rFonts w:ascii="Times New Roman" w:hAnsi="Times New Roman"/>
          <w:color w:val="000000"/>
          <w:sz w:val="24"/>
        </w:rPr>
        <w:t>), specified mediation (</w:t>
      </w:r>
      <w:r>
        <w:rPr>
          <w:rFonts w:ascii="Times New Roman" w:hAnsi="Times New Roman"/>
          <w:i/>
          <w:color w:val="000000"/>
          <w:sz w:val="24"/>
        </w:rPr>
        <w:t>tokutei choutei</w:t>
      </w:r>
      <w:r>
        <w:rPr>
          <w:rFonts w:ascii="Times New Roman" w:hAnsi="Times New Roman"/>
          <w:color w:val="000000"/>
          <w:sz w:val="24"/>
        </w:rPr>
        <w:t>) or any similar debtor relief Laws of Japan) from time to time in effect and affecting the rights of creditors generally.</w:t>
      </w:r>
    </w:p>
    <w:p>
      <w:pPr>
        <w:pStyle w:val="TextBody"/>
        <w:bidi w:val="0"/>
        <w:spacing w:before="0" w:after="240"/>
        <w:jc w:val="both"/>
        <w:rPr/>
      </w:pPr>
      <w:r>
        <w:rPr>
          <w:color w:val="000000"/>
        </w:rPr>
        <w:t>“</w:t>
      </w:r>
      <w:r>
        <w:rPr>
          <w:rFonts w:ascii="Times New Roman" w:hAnsi="Times New Roman"/>
          <w:color w:val="000000"/>
          <w:sz w:val="24"/>
          <w:u w:val="single"/>
        </w:rPr>
        <w:t>Default</w:t>
      </w:r>
      <w:r>
        <w:rPr>
          <w:rFonts w:ascii="Times New Roman" w:hAnsi="Times New Roman"/>
          <w:color w:val="000000"/>
          <w:sz w:val="20"/>
        </w:rPr>
        <w:t xml:space="preserve">” </w:t>
      </w:r>
      <w:r>
        <w:rPr>
          <w:rFonts w:ascii="Times New Roman" w:hAnsi="Times New Roman"/>
          <w:color w:val="000000"/>
          <w:sz w:val="24"/>
        </w:rPr>
        <w:t>means any event or condition that constitutes an Event of Default or that, upon notice, lapse of time or both hereunder would, unless cured or waived, become an Event of Default.</w:t>
      </w:r>
    </w:p>
    <w:p>
      <w:pPr>
        <w:pStyle w:val="TextBody"/>
        <w:bidi w:val="0"/>
        <w:spacing w:before="0" w:after="240"/>
        <w:jc w:val="both"/>
        <w:rPr/>
      </w:pPr>
      <w:r>
        <w:rPr>
          <w:color w:val="000000"/>
        </w:rPr>
        <w:t>“</w:t>
      </w:r>
      <w:r>
        <w:rPr>
          <w:rFonts w:ascii="Times New Roman" w:hAnsi="Times New Roman"/>
          <w:color w:val="000000"/>
          <w:sz w:val="24"/>
          <w:u w:val="single"/>
        </w:rPr>
        <w:t>Defaulting 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2.22(b)</w:t>
      </w:r>
      <w:r>
        <w:rPr>
          <w:rFonts w:ascii="Times New Roman" w:hAnsi="Times New Roman"/>
          <w:color w:val="000000"/>
          <w:sz w:val="24"/>
        </w:rPr>
        <w:t>, any Lender that (a) has failed to perform any of its funding obligations hereunder (or otherwise failed to pay over to the Administrative Agent any amounts owed by such Lender hereunder), including in respect of its Loans or participations in respect of Letters of Credit or Swing Line Loans, within two (2) Business Days of the date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Administrative Agent, the Swing Line Lender, any Issuing Bank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Administrative Agent (whether acting on its own behalf or at the reasonable request of the Borrower (it being understood that the Administrative Agent shall comply with any such reasonable request)) or any Issuing Bank, to confirm in a manner satisfactory to the Administrative Agent, such Issuing Bank and the Borrower that it will comply with its funding obligations (</w:t>
      </w:r>
      <w:r>
        <w:rPr>
          <w:rFonts w:ascii="Times New Roman" w:hAnsi="Times New Roman"/>
          <w:color w:val="000000"/>
          <w:sz w:val="24"/>
          <w:u w:val="single"/>
        </w:rPr>
        <w:t xml:space="preserve">provided </w:t>
      </w:r>
      <w:r>
        <w:rPr>
          <w:rFonts w:ascii="Times New Roman" w:hAnsi="Times New Roman"/>
          <w:color w:val="000000"/>
          <w:sz w:val="24"/>
        </w:rPr>
        <w:t>that such Lender shall cease to be a Defaulting Lender pursuant to this clause (c) upon receipt of such written confirmation by the Administrative Agent and the Borrower), or (d) has, or has a direct or indirect parent company that has, (i) become or is insolvent (or has admitted in writing that it is insolvent), (ii) become the subject of a proceeding under any Debtor Relief Law, (iii) had a receiver, conservator, trustee, administrator, examiner, assignee for the benefit of creditors or similar Person charged with reorganization or liquidation of its business or a substantial part of its assets or a custodian appointed for it or a substantial part of its assets, (iv) taken any action in furtherance of, or indicated its consent to, approval of or acquiescence in any such proceeding or appointment or (v) become the subject of a Bail</w:t>
        <w:noBreakHyphen/>
        <w:t xml:space="preserve">In Action; </w:t>
      </w:r>
      <w:r>
        <w:rPr>
          <w:rFonts w:ascii="Times New Roman" w:hAnsi="Times New Roman"/>
          <w:color w:val="000000"/>
          <w:sz w:val="24"/>
          <w:u w:val="single"/>
        </w:rPr>
        <w:t xml:space="preserve">provided </w:t>
      </w:r>
      <w:r>
        <w:rPr>
          <w:rFonts w:ascii="Times New Roman" w:hAnsi="Times New Roman"/>
          <w:color w:val="000000"/>
          <w:sz w:val="24"/>
        </w:rPr>
        <w:t>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pStyle w:val="TextBody"/>
        <w:bidi w:val="0"/>
        <w:spacing w:before="0" w:after="240"/>
        <w:jc w:val="both"/>
        <w:rPr/>
      </w:pPr>
      <w:r>
        <w:rPr>
          <w:color w:val="000000"/>
        </w:rPr>
        <w:t>“</w:t>
      </w:r>
      <w:r>
        <w:rPr>
          <w:rFonts w:ascii="Times New Roman" w:hAnsi="Times New Roman"/>
          <w:color w:val="000000"/>
          <w:sz w:val="24"/>
          <w:u w:val="single"/>
        </w:rPr>
        <w:t>Defaulting Lender Fronting Exposure</w:t>
      </w:r>
      <w:r>
        <w:rPr>
          <w:rFonts w:ascii="Times New Roman" w:hAnsi="Times New Roman"/>
          <w:color w:val="000000"/>
          <w:sz w:val="20"/>
        </w:rPr>
        <w:t xml:space="preserve">” </w:t>
      </w:r>
      <w:r>
        <w:rPr>
          <w:rFonts w:ascii="Times New Roman" w:hAnsi="Times New Roman"/>
          <w:color w:val="000000"/>
          <w:sz w:val="24"/>
        </w:rPr>
        <w:t>means, at any time there is a Defaulting Lender, (a) with respect to any Issuing Bank, such Defaulting Lender’s Applicable Percentage of the Loan Document Obligations with respect to the Letters of Credit issued by such Issuing Bank other than Loan Document Obligations as to which such Defaulting Lender’s participation obligation has been reallocated to other Lenders or cash collateralized in accordance with the terms hereof, and (b) with respect to the Swing Line Lender, such Defaulting Lender’s Applicable Percentage of the Loan Document Obligations with respect to the Swing Line Loans other than Swing Line Loans as to which such Defaulting Lender’s participation obligation has been reallocated to other Lenders or cash collateralized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Dispose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Disposition</w:t>
      </w:r>
      <w:r>
        <w:rPr>
          <w:rFonts w:ascii="Times New Roman" w:hAnsi="Times New Roman"/>
          <w:color w:val="000000"/>
          <w:sz w:val="20"/>
        </w:rPr>
        <w:t xml:space="preserve">” </w:t>
      </w:r>
      <w:r>
        <w:rPr>
          <w:rFonts w:ascii="Times New Roman" w:hAnsi="Times New Roman"/>
          <w:color w:val="000000"/>
          <w:sz w:val="24"/>
        </w:rPr>
        <w:t xml:space="preserve">each have the meaning assigned to such term in </w:t>
      </w:r>
      <w:r>
        <w:rPr>
          <w:rFonts w:ascii="Times New Roman" w:hAnsi="Times New Roman"/>
          <w:color w:val="000000"/>
          <w:sz w:val="24"/>
          <w:u w:val="single"/>
        </w:rPr>
        <w:t>Section 6.05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Disposed EBITDA</w:t>
      </w:r>
      <w:r>
        <w:rPr>
          <w:rFonts w:ascii="Times New Roman" w:hAnsi="Times New Roman"/>
          <w:color w:val="000000"/>
          <w:sz w:val="20"/>
        </w:rPr>
        <w:t xml:space="preserve">” </w:t>
      </w:r>
      <w:r>
        <w:rPr>
          <w:rFonts w:ascii="Times New Roman" w:hAnsi="Times New Roman"/>
          <w:color w:val="000000"/>
          <w:sz w:val="24"/>
        </w:rPr>
        <w:t>means, with respect to any Sold Entity or Business for any period through (but not after) the date of such disposition or conversion, the amount for such period of Consolidated EBITDA of such Sold Entity or Business (determined as if references to Holdings and its Restricted Subsidiaries in the definition of “Consolidated EBITDA” (and in the component financial definitions used therein) were references to such Sold Entity or Business and its subsidiaries), all as determined on a consolidated basis for such Sold Entity or Business.</w:t>
      </w:r>
    </w:p>
    <w:p>
      <w:pPr>
        <w:pStyle w:val="TextBody"/>
        <w:bidi w:val="0"/>
        <w:spacing w:before="0" w:after="240"/>
        <w:jc w:val="both"/>
        <w:rPr/>
      </w:pPr>
      <w:r>
        <w:rPr>
          <w:color w:val="000000"/>
        </w:rPr>
        <w:t>“</w:t>
      </w:r>
      <w:r>
        <w:rPr>
          <w:rFonts w:ascii="Times New Roman" w:hAnsi="Times New Roman"/>
          <w:color w:val="000000"/>
          <w:sz w:val="24"/>
          <w:u w:val="single"/>
        </w:rPr>
        <w:t>Disqualified Equity Interest</w:t>
      </w:r>
      <w:r>
        <w:rPr>
          <w:rFonts w:ascii="Times New Roman" w:hAnsi="Times New Roman"/>
          <w:color w:val="000000"/>
          <w:sz w:val="20"/>
        </w:rPr>
        <w:t xml:space="preserve">” </w:t>
      </w:r>
      <w:r>
        <w:rPr>
          <w:rFonts w:ascii="Times New Roman" w:hAnsi="Times New Roman"/>
          <w:color w:val="000000"/>
          <w:sz w:val="24"/>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provides for the contractually scheduled payments of dividends in cash;</w:t>
      </w:r>
    </w:p>
    <w:p>
      <w:pPr>
        <w:pStyle w:val="TextBody"/>
        <w:bidi w:val="0"/>
        <w:spacing w:before="0" w:after="240"/>
        <w:jc w:val="both"/>
        <w:rPr>
          <w:rFonts w:ascii="Times New Roman" w:hAnsi="Times New Roman"/>
          <w:sz w:val="20"/>
        </w:rPr>
      </w:pPr>
      <w:r>
        <w:rPr>
          <w:rFonts w:ascii="Times New Roman" w:hAnsi="Times New Roman"/>
          <w:color w:val="000000"/>
          <w:sz w:val="24"/>
        </w:rPr>
        <w:t>in each case, on or prior to the date ninety</w:t>
        <w:noBreakHyphen/>
        <w:t xml:space="preserve">one (91) days after the Latest Maturity Date;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 an Equity Interest in any Person that would not constitute a Disqualified Equity Interest but for terms thereof giving holders thereof the right to require such Person to redeem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such Equity Interest upon the occurrence of an “asset sale” or a “change in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 or as a result of such employee’s termination, death or disability.</w:t>
      </w:r>
    </w:p>
    <w:p>
      <w:pPr>
        <w:pStyle w:val="TextBody"/>
        <w:bidi w:val="0"/>
        <w:spacing w:before="0" w:after="240"/>
        <w:jc w:val="both"/>
        <w:rPr/>
      </w:pPr>
      <w:r>
        <w:rPr>
          <w:color w:val="000000"/>
        </w:rPr>
        <w:t>“</w:t>
      </w:r>
      <w:r>
        <w:rPr>
          <w:rFonts w:ascii="Times New Roman" w:hAnsi="Times New Roman"/>
          <w:color w:val="000000"/>
          <w:sz w:val="24"/>
          <w:u w:val="single"/>
        </w:rPr>
        <w:t>Disqualified Lenders</w:t>
      </w:r>
      <w:r>
        <w:rPr>
          <w:rFonts w:ascii="Times New Roman" w:hAnsi="Times New Roman"/>
          <w:color w:val="000000"/>
          <w:sz w:val="20"/>
        </w:rPr>
        <w:t xml:space="preserve">” </w:t>
      </w:r>
      <w:r>
        <w:rPr>
          <w:rFonts w:ascii="Times New Roman" w:hAnsi="Times New Roman"/>
          <w:color w:val="000000"/>
          <w:sz w:val="24"/>
        </w:rPr>
        <w:t>means those Persons (the list of all such Persons, the “</w:t>
      </w:r>
      <w:r>
        <w:rPr>
          <w:rFonts w:ascii="Times New Roman" w:hAnsi="Times New Roman"/>
          <w:color w:val="000000"/>
          <w:sz w:val="24"/>
          <w:u w:val="single"/>
        </w:rPr>
        <w:t>Disqualified Lenders List</w:t>
      </w:r>
      <w:r>
        <w:rPr>
          <w:rFonts w:ascii="Times New Roman" w:hAnsi="Times New Roman"/>
          <w:color w:val="000000"/>
          <w:sz w:val="20"/>
        </w:rPr>
        <w:t>”</w:t>
      </w:r>
      <w:r>
        <w:rPr>
          <w:rFonts w:ascii="Times New Roman" w:hAnsi="Times New Roman"/>
          <w:color w:val="000000"/>
          <w:sz w:val="24"/>
        </w:rPr>
        <w:t>) that (i) were identified in writing by the Borrower to the Joint Lead Arrangers as being “</w:t>
      </w:r>
      <w:r>
        <w:rPr>
          <w:rFonts w:ascii="Times New Roman" w:hAnsi="Times New Roman"/>
          <w:color w:val="000000"/>
          <w:sz w:val="24"/>
          <w:u w:val="single"/>
        </w:rPr>
        <w:t>Disqualified Lenders</w:t>
      </w:r>
      <w:r>
        <w:rPr>
          <w:rFonts w:ascii="Times New Roman" w:hAnsi="Times New Roman"/>
          <w:color w:val="000000"/>
          <w:sz w:val="20"/>
        </w:rPr>
        <w:t xml:space="preserve">” </w:t>
      </w:r>
      <w:r>
        <w:rPr>
          <w:rFonts w:ascii="Times New Roman" w:hAnsi="Times New Roman"/>
          <w:color w:val="000000"/>
          <w:sz w:val="24"/>
        </w:rPr>
        <w:t xml:space="preserve">on or prior to the Effective Date, (ii) are competitors of the Borrower and its Subsidiaries that are identified in writing by the Borrower to the Administrative Agent from time to time, (iii) are (a) in the case of clause (i) of this definition, any Affiliates of such Persons that either (x) were identified in writing by the Borrower to the Administrative Agent on or prior to the Effective Date or (y) are readily identifiable as an Affiliate of such Person on the basis of such Affiliate’s name and (b) in the case of clause (ii) of this definition, any Affiliates (other than bona fide debt funds, investment vehicles or fixed income investors that are engaged in making or purchasing commercial loans, bonds or similar extensions of credit in the ordinary course of business) of such Persons that are either (x) identified in writing by the Borrower from time to time or (y) readily identifiable on the basis of such Affiliate’s name or (iv) Excluded Affiliates; </w:t>
      </w:r>
      <w:r>
        <w:rPr>
          <w:rFonts w:ascii="Times New Roman" w:hAnsi="Times New Roman"/>
          <w:color w:val="000000"/>
          <w:sz w:val="24"/>
          <w:u w:val="single"/>
        </w:rPr>
        <w:t xml:space="preserve">provided </w:t>
      </w:r>
      <w:r>
        <w:rPr>
          <w:rFonts w:ascii="Times New Roman" w:hAnsi="Times New Roman"/>
          <w:color w:val="000000"/>
          <w:sz w:val="24"/>
        </w:rPr>
        <w:t>that, to the extent Persons are identified as Disqualified Lenders in writing by the Borrower to the Administrative Agent after the Effective Date pursuant to clauses (ii) or (iii)(b) of this definition, the inclusion of such persons as Disqualified Lenders shall not retroactively apply to prior assignments or participations in respect of any Loan or Commitment under this Agreement (solely with respect to the Loans, Commitments or participations so previously acquired). Upon inquiry by (i) any Lender to the Administrative Agent as to whether a specified potential assignee or prospective participant is a Disqualified Lender or (ii) any potential assignee as to whether such potential assignee is a Disqualified Lender, the Administrative Agent shall be permitted to disclose to such Lender and such specific potential assignee (x) whether such specific potential assignee or prospective participant is a Disqualified Lender or (y) the identity of any other Disqualified Lender which the Administrative Agent reasonably believes may be an Affiliate of such specified potential assignee or prospective participant.</w:t>
      </w:r>
    </w:p>
    <w:p>
      <w:pPr>
        <w:pStyle w:val="TextBody"/>
        <w:bidi w:val="0"/>
        <w:spacing w:before="0" w:after="240"/>
        <w:jc w:val="both"/>
        <w:rPr/>
      </w:pPr>
      <w:r>
        <w:rPr>
          <w:color w:val="000000"/>
        </w:rPr>
        <w:t>“</w:t>
      </w:r>
      <w:r>
        <w:rPr>
          <w:rFonts w:ascii="Times New Roman" w:hAnsi="Times New Roman"/>
          <w:color w:val="000000"/>
          <w:sz w:val="24"/>
          <w:u w:val="single"/>
        </w:rPr>
        <w:t>Disqualified Lenders List</w:t>
      </w:r>
      <w:r>
        <w:rPr>
          <w:rFonts w:ascii="Times New Roman" w:hAnsi="Times New Roman"/>
          <w:color w:val="000000"/>
          <w:sz w:val="20"/>
        </w:rPr>
        <w:t xml:space="preserve">” </w:t>
      </w:r>
      <w:r>
        <w:rPr>
          <w:rFonts w:ascii="Times New Roman" w:hAnsi="Times New Roman"/>
          <w:color w:val="000000"/>
          <w:sz w:val="24"/>
        </w:rPr>
        <w:t>has the meaning as set forth in the definition of “Disqualified Lenders”.</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refers to lawful money of the United States of America.</w:t>
      </w:r>
    </w:p>
    <w:p>
      <w:pPr>
        <w:pStyle w:val="TextBody"/>
        <w:bidi w:val="0"/>
        <w:spacing w:before="0" w:after="240"/>
        <w:jc w:val="both"/>
        <w:rPr/>
      </w:pPr>
      <w:r>
        <w:rPr>
          <w:color w:val="000000"/>
        </w:rPr>
        <w:t>“</w:t>
      </w:r>
      <w:r>
        <w:rPr>
          <w:rFonts w:ascii="Times New Roman" w:hAnsi="Times New Roman"/>
          <w:color w:val="000000"/>
          <w:sz w:val="24"/>
          <w:u w:val="single"/>
        </w:rPr>
        <w:t>Dollar Equivalent</w:t>
      </w:r>
      <w:r>
        <w:rPr>
          <w:rFonts w:ascii="Times New Roman" w:hAnsi="Times New Roman"/>
          <w:color w:val="000000"/>
          <w:sz w:val="20"/>
        </w:rPr>
        <w:t xml:space="preserve">” </w:t>
      </w:r>
      <w:r>
        <w:rPr>
          <w:rFonts w:ascii="Times New Roman" w:hAnsi="Times New Roman"/>
          <w:color w:val="000000"/>
          <w:sz w:val="24"/>
        </w:rPr>
        <w:t>means, at any time, (a) with respect to any amount denominated in Dollars, such amount, and (b) with respect to any amount denominated in any currency other than Dollars, the equivalent amount thereof in Dollars as determined by the Administrative Agent or the Issuing Bank, as the case may be, at such time on the basis of the Exchange Rate (determined in respect of the most recent Revaluation Date) for the purchase of Dollars with such currency.</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Domestic Subsidiary</w:t>
      </w:r>
      <w:r>
        <w:rPr>
          <w:rFonts w:ascii="Times New Roman" w:hAnsi="Times New Roman"/>
          <w:color w:val="000000"/>
          <w:sz w:val="20"/>
        </w:rPr>
        <w:t xml:space="preserve">” </w:t>
      </w:r>
      <w:r>
        <w:rPr>
          <w:rFonts w:ascii="Times New Roman" w:hAnsi="Times New Roman"/>
          <w:color w:val="000000"/>
          <w:sz w:val="24"/>
        </w:rPr>
        <w:t>means any Subsidiary of Holdings organized or incorporated in the United States (or any state thereof or the District of Columbia).</w:t>
      </w:r>
    </w:p>
    <w:p>
      <w:pPr>
        <w:pStyle w:val="TextBody"/>
        <w:bidi w:val="0"/>
        <w:spacing w:before="0" w:after="240"/>
        <w:jc w:val="both"/>
        <w:rPr/>
      </w:pPr>
      <w:r>
        <w:rPr>
          <w:color w:val="000000"/>
        </w:rPr>
        <w:t>“</w:t>
      </w:r>
      <w:r>
        <w:rPr>
          <w:rFonts w:ascii="Times New Roman" w:hAnsi="Times New Roman"/>
          <w:color w:val="000000"/>
          <w:sz w:val="24"/>
          <w:u w:val="single"/>
        </w:rPr>
        <w:t>EEA Financial Institution</w:t>
      </w:r>
      <w:r>
        <w:rPr>
          <w:rFonts w:ascii="Times New Roman" w:hAnsi="Times New Roman"/>
          <w:color w:val="000000"/>
          <w:sz w:val="20"/>
        </w:rPr>
        <w:t xml:space="preserve">” </w:t>
      </w:r>
      <w:r>
        <w:rPr>
          <w:rFonts w:ascii="Times New Roman" w:hAnsi="Times New Roman"/>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means August 3, 2026.</w:t>
      </w:r>
    </w:p>
    <w:p>
      <w:pPr>
        <w:pStyle w:val="TextBody"/>
        <w:bidi w:val="0"/>
        <w:spacing w:before="0" w:after="240"/>
        <w:jc w:val="both"/>
        <w:rPr/>
      </w:pPr>
      <w:r>
        <w:rPr>
          <w:color w:val="000000"/>
        </w:rPr>
        <w:t>“</w:t>
      </w:r>
      <w:r>
        <w:rPr>
          <w:rFonts w:ascii="Times New Roman" w:hAnsi="Times New Roman"/>
          <w:color w:val="000000"/>
          <w:sz w:val="24"/>
          <w:u w:val="single"/>
        </w:rPr>
        <w:t>Effective Date Loan Parties</w:t>
      </w:r>
      <w:r>
        <w:rPr>
          <w:rFonts w:ascii="Times New Roman" w:hAnsi="Times New Roman"/>
          <w:color w:val="000000"/>
          <w:sz w:val="20"/>
        </w:rPr>
        <w:t xml:space="preserve">” </w:t>
      </w:r>
      <w:r>
        <w:rPr>
          <w:rFonts w:ascii="Times New Roman" w:hAnsi="Times New Roman"/>
          <w:color w:val="000000"/>
          <w:sz w:val="24"/>
        </w:rPr>
        <w:t xml:space="preserve">means (i) Holdings, (ii) the Borrower and (iii) each other Subsidiary of Holdings that is a Loan Party as of the Effective Date (if any) and specified on </w:t>
      </w:r>
      <w:r>
        <w:rPr>
          <w:rFonts w:ascii="Times New Roman" w:hAnsi="Times New Roman"/>
          <w:color w:val="000000"/>
          <w:sz w:val="24"/>
          <w:u w:val="single"/>
        </w:rPr>
        <w:t>Schedule 1.01(a)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Eldridge</w:t>
      </w:r>
      <w:r>
        <w:rPr>
          <w:rFonts w:ascii="Times New Roman" w:hAnsi="Times New Roman"/>
          <w:color w:val="000000"/>
          <w:sz w:val="20"/>
        </w:rPr>
        <w:t xml:space="preserve">” </w:t>
      </w:r>
      <w:r>
        <w:rPr>
          <w:rFonts w:ascii="Times New Roman" w:hAnsi="Times New Roman"/>
          <w:color w:val="000000"/>
          <w:sz w:val="24"/>
        </w:rPr>
        <w:t>means Eldridge Industries, LLC and its associated funds and each of their respective Affiliates (other than any portfolio companies of any of the foregoing).</w:t>
      </w:r>
    </w:p>
    <w:p>
      <w:pPr>
        <w:pStyle w:val="TextBody"/>
        <w:bidi w:val="0"/>
        <w:spacing w:before="0" w:after="240"/>
        <w:jc w:val="both"/>
        <w:rPr/>
      </w:pPr>
      <w:r>
        <w:rPr>
          <w:color w:val="000000"/>
        </w:rPr>
        <w:t>“</w:t>
      </w:r>
      <w:r>
        <w:rPr>
          <w:rFonts w:ascii="Times New Roman" w:hAnsi="Times New Roman"/>
          <w:color w:val="000000"/>
          <w:sz w:val="24"/>
          <w:u w:val="single"/>
        </w:rPr>
        <w:t>Electing Guarantor</w:t>
      </w:r>
      <w:r>
        <w:rPr>
          <w:rFonts w:ascii="Times New Roman" w:hAnsi="Times New Roman"/>
          <w:color w:val="000000"/>
          <w:sz w:val="20"/>
        </w:rPr>
        <w:t xml:space="preserve">” </w:t>
      </w:r>
      <w:r>
        <w:rPr>
          <w:rFonts w:ascii="Times New Roman" w:hAnsi="Times New Roman"/>
          <w:color w:val="000000"/>
          <w:sz w:val="24"/>
        </w:rPr>
        <w:t xml:space="preserve">means any Excluded Subsidiary that, at the option and in the sole discretion of the Borrower, has been designated a Subsidiary Loan Party; </w:t>
      </w:r>
      <w:r>
        <w:rPr>
          <w:rFonts w:ascii="Times New Roman" w:hAnsi="Times New Roman"/>
          <w:color w:val="000000"/>
          <w:sz w:val="24"/>
          <w:u w:val="single"/>
        </w:rPr>
        <w:t>provided</w:t>
      </w:r>
      <w:r>
        <w:rPr>
          <w:rFonts w:ascii="Times New Roman" w:hAnsi="Times New Roman"/>
          <w:color w:val="000000"/>
          <w:sz w:val="24"/>
        </w:rPr>
        <w:t xml:space="preserve">, for the avoidance of doubt, (x) unless otherwise expressly agreed by the Borrower, no Subsidiary that is an Excluded Subsidiary shall be a Loan Guarantor until and unless it ceases to be an Excluded Subsidiary, and (y) the Borrower may cause any Restricted Subsidiary that is not a Loan Guarantor to guarantee the Secured Obligations by causing such Restricted Subsidiary to become a Loan Guarantor under a Guarantee and a grantor under the applicable Security Documents in accordance with </w:t>
      </w:r>
      <w:r>
        <w:rPr>
          <w:rFonts w:ascii="Times New Roman" w:hAnsi="Times New Roman"/>
          <w:color w:val="000000"/>
          <w:sz w:val="24"/>
          <w:u w:val="single"/>
        </w:rPr>
        <w:t>Section 5.13</w:t>
      </w:r>
      <w:r>
        <w:rPr>
          <w:rFonts w:ascii="Times New Roman" w:hAnsi="Times New Roman"/>
          <w:color w:val="000000"/>
          <w:sz w:val="24"/>
        </w:rPr>
        <w:t>, and any such Restricted Subsidiary shall be a Loan Guarantor hereunder and under the other Loan Documents for all purposes.</w:t>
      </w:r>
    </w:p>
    <w:p>
      <w:pPr>
        <w:pStyle w:val="TextBody"/>
        <w:bidi w:val="0"/>
        <w:spacing w:before="0" w:after="240"/>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(a) a Lender, (b) an Affiliate of a Lender, (c) an Approved Fund and (d) any other Person (other than Holdings, the Borrower or any of their respective Affiliates), other than, in each case, (i) a natural person, (ii) a Defaulting Lender, (iii) a Disqualified Lender or (iv) the Permitted Holders.</w:t>
      </w:r>
    </w:p>
    <w:p>
      <w:pPr>
        <w:pStyle w:val="TextBody"/>
        <w:bidi w:val="0"/>
        <w:spacing w:before="0" w:after="240"/>
        <w:jc w:val="both"/>
        <w:rPr/>
      </w:pPr>
      <w:r>
        <w:rPr>
          <w:color w:val="000000"/>
        </w:rPr>
        <w:t>“</w:t>
      </w:r>
      <w:r>
        <w:rPr>
          <w:rFonts w:ascii="Times New Roman" w:hAnsi="Times New Roman"/>
          <w:color w:val="000000"/>
          <w:sz w:val="24"/>
          <w:u w:val="single"/>
        </w:rPr>
        <w:t>EMU Legislation</w:t>
      </w:r>
      <w:r>
        <w:rPr>
          <w:rFonts w:ascii="Times New Roman" w:hAnsi="Times New Roman"/>
          <w:color w:val="000000"/>
          <w:sz w:val="20"/>
        </w:rPr>
        <w:t xml:space="preserve">” </w:t>
      </w:r>
      <w:r>
        <w:rPr>
          <w:rFonts w:ascii="Times New Roman" w:hAnsi="Times New Roman"/>
          <w:color w:val="000000"/>
          <w:sz w:val="24"/>
        </w:rPr>
        <w:t>means the legislative measures of the European Council for the introduction of, changeover to or operation of a single or unified European currency.</w:t>
      </w:r>
    </w:p>
    <w:p>
      <w:pPr>
        <w:pStyle w:val="TextBody"/>
        <w:bidi w:val="0"/>
        <w:spacing w:before="0" w:after="240"/>
        <w:jc w:val="both"/>
        <w:rPr/>
      </w:pPr>
      <w:r>
        <w:rPr>
          <w:color w:val="000000"/>
        </w:rPr>
        <w:t>“</w:t>
      </w:r>
      <w:r>
        <w:rPr>
          <w:rFonts w:ascii="Times New Roman" w:hAnsi="Times New Roman"/>
          <w:color w:val="000000"/>
          <w:sz w:val="24"/>
          <w:u w:val="single"/>
        </w:rPr>
        <w:t>Environmental Laws</w:t>
      </w:r>
      <w:r>
        <w:rPr>
          <w:rFonts w:ascii="Times New Roman" w:hAnsi="Times New Roman"/>
          <w:color w:val="000000"/>
          <w:sz w:val="20"/>
        </w:rPr>
        <w:t xml:space="preserve">” </w:t>
      </w:r>
      <w:r>
        <w:rPr>
          <w:rFonts w:ascii="Times New Roman" w:hAnsi="Times New Roman"/>
          <w:color w:val="000000"/>
          <w:sz w:val="24"/>
        </w:rPr>
        <w:t>means all applicable treaties, rules, regulations, codes, ordinances, judgments, orders, common law, decrees and other applicable Requirements of Law and all applicable injunctions or binding agreements issued, promulgated or entered into by or with any Governmental Authority, in each instance relating to (1) pollution, (2) the protection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environment, (3) preservation or reclamation of natural resources, (4) the use, handling, transportation, treatment, storage, presence, Release or threatened Release of, or exposure to, any Hazardous Material, or (5) to the extent relating to exposure to Hazardous Materials, to health or safety matters.</w:t>
      </w:r>
    </w:p>
    <w:p>
      <w:pPr>
        <w:pStyle w:val="TextBody"/>
        <w:bidi w:val="0"/>
        <w:spacing w:before="0" w:after="240"/>
        <w:jc w:val="both"/>
        <w:rPr/>
      </w:pPr>
      <w:r>
        <w:rPr>
          <w:color w:val="000000"/>
        </w:rPr>
        <w:t>“</w:t>
      </w:r>
      <w:r>
        <w:rPr>
          <w:rFonts w:ascii="Times New Roman" w:hAnsi="Times New Roman"/>
          <w:color w:val="000000"/>
          <w:sz w:val="24"/>
          <w:u w:val="single"/>
        </w:rPr>
        <w:t>Environmental Liability</w:t>
      </w:r>
      <w:r>
        <w:rPr>
          <w:rFonts w:ascii="Times New Roman" w:hAnsi="Times New Roman"/>
          <w:color w:val="000000"/>
          <w:sz w:val="20"/>
        </w:rPr>
        <w:t xml:space="preserve">” </w:t>
      </w:r>
      <w:r>
        <w:rPr>
          <w:rFonts w:ascii="Times New Roman" w:hAnsi="Times New Roman"/>
          <w:color w:val="000000"/>
          <w:sz w:val="24"/>
        </w:rPr>
        <w:t>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presence, generation, use, handling, transportation, storage, or treatment of any Hazardous Materials, (c) exposure to any Hazardous Materials, (d) the Release or threatened Release of any Hazardous Materials or (e) any contract or agreement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means shares of capital stock, partnership interests, membership interests in a limited liability company, beneficial interests in a trust or other equity ownership interests in a Person (whether evidenced by share certificates (or similar) or not).</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from time to time.</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pStyle w:val="TextBody"/>
        <w:bidi w:val="0"/>
        <w:spacing w:before="0" w:after="240"/>
        <w:jc w:val="both"/>
        <w:rPr/>
      </w:pPr>
      <w:r>
        <w:rPr>
          <w:color w:val="000000"/>
        </w:rPr>
        <w:t>“</w:t>
      </w:r>
      <w:r>
        <w:rPr>
          <w:rFonts w:ascii="Times New Roman" w:hAnsi="Times New Roman"/>
          <w:color w:val="000000"/>
          <w:sz w:val="24"/>
          <w:u w:val="single"/>
        </w:rPr>
        <w:t>ERISA Event</w:t>
      </w:r>
      <w:r>
        <w:rPr>
          <w:rFonts w:ascii="Times New Roman" w:hAnsi="Times New Roman"/>
          <w:color w:val="000000"/>
          <w:sz w:val="20"/>
        </w:rPr>
        <w:t xml:space="preserve">” </w:t>
      </w:r>
      <w:r>
        <w:rPr>
          <w:rFonts w:ascii="Times New Roman" w:hAnsi="Times New Roman"/>
          <w:color w:val="000000"/>
          <w:sz w:val="24"/>
        </w:rPr>
        <w:t>means (a) any “reportable event”, as defined in Section 4043(c) of ERISA or the regulations issued thereunder with respect to a Plan (other than an event for which the 30</w:t>
        <w:noBreakHyphen/>
        <w:t>day notice period is waived by regulation); (b) any failure by any Loan Party or ERISA Affiliates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or the failure by any Loan Party or ERISA Affiliates to make by its due date a required installment under Section 430(j) of the Code with respect to any Plan or to make any required contribution to a Multiemployer Plan; (d) a determination that any Plan is, or is expected to be, in “at</w:t>
        <w:noBreakHyphen/>
        <w: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 ERISA Affiliate from the PBGC or a plan administrator of any notice relating to an intention to terminate any Plan or Plans or to appoint a trustee to administer any Plan, or an intention to terminate or to appoint a trustee to administer any plan or plans in respect of which such Loan Party or ERISA Affiliate would be deemed to be an employer under Section 4069 of ERISA, or the occurrence of any event or condition which could reasonably be expected to constitute grounds under ERISA for the termination of, or the appointment of a trustee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administer, any Plan under Section 4041 or Section 4042 of ERISA; (g) the incurrence by a Loan Party or any ERISA Affiliate of any liability with respect to the withdrawal or partial withdrawal from any Plan or Multiemployer Plan; (h) the receipt by a Loan Party of any notice from any Multiemployer Plan, concerning the imposition of Withdrawal Liability, or the failure of a Loan Party or any ERISA Affiliate to pay when due, after the expiration of any applicable grace period, any installment payment with respect to any Withdrawal Liability or a determination that a Multiemployer Plan is, or is expected to be, insolvent, within the meaning of Section 4245, of ERISA;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or (j) the occurrence of a nonexempt prohibited transaction (within the meaning of Section 4975 of the IRC or Section 406 of ERISA) which could reasonably be expected to result in material liability to any Loan Party.</w:t>
      </w:r>
    </w:p>
    <w:p>
      <w:pPr>
        <w:pStyle w:val="TextBody"/>
        <w:bidi w:val="0"/>
        <w:spacing w:before="0" w:after="240"/>
        <w:jc w:val="both"/>
        <w:rPr/>
      </w:pPr>
      <w:r>
        <w:rPr>
          <w:color w:val="000000"/>
        </w:rPr>
        <w:t>“</w:t>
      </w:r>
      <w:r>
        <w:rPr>
          <w:rFonts w:ascii="Times New Roman" w:hAnsi="Times New Roman"/>
          <w:color w:val="000000"/>
          <w:sz w:val="24"/>
          <w:u w:val="single"/>
        </w:rPr>
        <w:t>Escrowed Proceeds</w:t>
      </w:r>
      <w:r>
        <w:rPr>
          <w:rFonts w:ascii="Times New Roman" w:hAnsi="Times New Roman"/>
          <w:color w:val="000000"/>
          <w:sz w:val="20"/>
        </w:rPr>
        <w:t xml:space="preserve">” </w:t>
      </w:r>
      <w:r>
        <w:rPr>
          <w:rFonts w:ascii="Times New Roman" w:hAnsi="Times New Roman"/>
          <w:color w:val="000000"/>
          <w:sz w:val="24"/>
        </w:rPr>
        <w:t>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pStyle w:val="TextBody"/>
        <w:bidi w:val="0"/>
        <w:spacing w:before="0" w:after="240"/>
        <w:jc w:val="both"/>
        <w:rPr/>
      </w:pPr>
      <w:r>
        <w:rPr>
          <w:color w:val="000000"/>
        </w:rPr>
        <w:t>“</w:t>
      </w:r>
      <w:r>
        <w:rPr>
          <w:rFonts w:ascii="Times New Roman" w:hAnsi="Times New Roman"/>
          <w:color w:val="000000"/>
          <w:sz w:val="24"/>
          <w:u w:val="single"/>
        </w:rPr>
        <w:t>EU Bail</w:t>
        <w:noBreakHyphen/>
        <w:t>In Legislation Schedule</w:t>
      </w:r>
      <w:r>
        <w:rPr>
          <w:rFonts w:ascii="Times New Roman" w:hAnsi="Times New Roman"/>
          <w:color w:val="000000"/>
          <w:sz w:val="20"/>
        </w:rPr>
        <w:t xml:space="preserve">” </w:t>
      </w:r>
      <w:r>
        <w:rPr>
          <w:rFonts w:ascii="Times New Roman" w:hAnsi="Times New Roman"/>
          <w:color w:val="000000"/>
          <w:sz w:val="24"/>
        </w:rPr>
        <w:t>means the EU Bail</w:t>
        <w:noBreakHyphen/>
        <w:t>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4"/>
          <w:u w:val="single"/>
        </w:rPr>
        <w:t>EURIBOR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EURIBOR Rate</w:t>
      </w:r>
      <w:r>
        <w:rPr>
          <w:rFonts w:ascii="Times New Roman" w:hAnsi="Times New Roman"/>
          <w:color w:val="000000"/>
          <w:sz w:val="20"/>
        </w:rPr>
        <w:t xml:space="preserve">” </w:t>
      </w:r>
      <w:r>
        <w:rPr>
          <w:rFonts w:ascii="Times New Roman" w:hAnsi="Times New Roman"/>
          <w:color w:val="000000"/>
          <w:sz w:val="24"/>
        </w:rPr>
        <w:t>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Representative. If the EURIBOR Rate shall be less than 0.00% per annum, the EURIBOR Rate shall be deemed to be 0.00% per annum for purposes of this Agreement.</w:t>
      </w:r>
    </w:p>
    <w:p>
      <w:pPr>
        <w:pStyle w:val="TextBody"/>
        <w:bidi w:val="0"/>
        <w:spacing w:before="0" w:after="240"/>
        <w:jc w:val="both"/>
        <w:rPr/>
      </w:pPr>
      <w:r>
        <w:rPr>
          <w:color w:val="000000"/>
        </w:rPr>
        <w:t>“</w:t>
      </w:r>
      <w:r>
        <w:rPr>
          <w:rFonts w:ascii="Times New Roman" w:hAnsi="Times New Roman"/>
          <w:color w:val="000000"/>
          <w:sz w:val="24"/>
          <w:u w:val="single"/>
        </w:rPr>
        <w:t>Euro</w:t>
      </w:r>
      <w:r>
        <w:rPr>
          <w:rFonts w:ascii="Times New Roman" w:hAnsi="Times New Roman"/>
          <w:color w:val="000000"/>
          <w:sz w:val="20"/>
        </w:rPr>
        <w:t xml:space="preserve">” </w:t>
      </w:r>
      <w:r>
        <w:rPr>
          <w:rFonts w:ascii="Times New Roman" w:hAnsi="Times New Roman"/>
          <w:color w:val="000000"/>
          <w:sz w:val="24"/>
        </w:rPr>
        <w:t>means the single currency of the Participating Member States introduced in accordance with the EMU Legislation.</w:t>
      </w:r>
    </w:p>
    <w:p>
      <w:pPr>
        <w:pStyle w:val="TextBody"/>
        <w:bidi w:val="0"/>
        <w:spacing w:before="0" w:after="240"/>
        <w:jc w:val="both"/>
        <w:rPr/>
      </w:pPr>
      <w:r>
        <w:rPr>
          <w:color w:val="000000"/>
        </w:rPr>
        <w:t>“</w:t>
      </w:r>
      <w:r>
        <w:rPr>
          <w:rFonts w:ascii="Times New Roman" w:hAnsi="Times New Roman"/>
          <w:color w:val="000000"/>
          <w:sz w:val="24"/>
          <w:u w:val="single"/>
        </w:rPr>
        <w:t>Event of Default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7.01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United States Securities Exchange Act of 1934, as amended from time to time.</w:t>
      </w:r>
    </w:p>
    <w:p>
      <w:pPr>
        <w:pStyle w:val="TextBody"/>
        <w:bidi w:val="0"/>
        <w:spacing w:before="0" w:after="240"/>
        <w:jc w:val="both"/>
        <w:rPr/>
      </w:pPr>
      <w:r>
        <w:rPr>
          <w:color w:val="000000"/>
        </w:rPr>
        <w:t>“</w:t>
      </w:r>
      <w:r>
        <w:rPr>
          <w:rFonts w:ascii="Times New Roman" w:hAnsi="Times New Roman"/>
          <w:color w:val="000000"/>
          <w:sz w:val="24"/>
          <w:u w:val="single"/>
        </w:rPr>
        <w:t>Exchange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1.07</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Excluded Account</w:t>
      </w:r>
      <w:r>
        <w:rPr>
          <w:rFonts w:ascii="Times New Roman" w:hAnsi="Times New Roman"/>
          <w:color w:val="000000"/>
          <w:sz w:val="20"/>
        </w:rPr>
        <w:t xml:space="preserve">” </w:t>
      </w:r>
      <w:r>
        <w:rPr>
          <w:rFonts w:ascii="Times New Roman" w:hAnsi="Times New Roman"/>
          <w:color w:val="000000"/>
          <w:sz w:val="24"/>
        </w:rPr>
        <w:t>means (a) payroll, healthcare and other employee wage and benefit accounts, (b) sales, payroll and similar tax trust accounts, (c)</w:t>
      </w:r>
      <w:r>
        <w:rPr>
          <w:rFonts w:ascii="Times New Roman" w:hAnsi="Times New Roman"/>
          <w:color w:val="000000"/>
          <w:sz w:val="20"/>
        </w:rPr>
        <w:t xml:space="preserve"> </w:t>
      </w:r>
      <w:r>
        <w:rPr>
          <w:rFonts w:ascii="Times New Roman" w:hAnsi="Times New Roman"/>
          <w:color w:val="000000"/>
          <w:sz w:val="24"/>
        </w:rPr>
        <w:t xml:space="preserve">escrow accounts, (d) fiduciary or trust accounts, (e) [reserved], (f) zero balance accounts, (g) deposit accounts with an average daily balance calculated monthly not exceeding $250,000 individually (or $1,000,000 or in the aggregate when taken together with all other Excluded Accounts that exist in reliance on this clause (g)), (h) [reserved], (i) cash collateral (or similar) accounts subject to a Lien in favor of a Person other than the Collateral Agent to the extent such Lien is permitted under </w:t>
      </w:r>
      <w:r>
        <w:rPr>
          <w:rFonts w:ascii="Times New Roman" w:hAnsi="Times New Roman"/>
          <w:color w:val="000000"/>
          <w:sz w:val="24"/>
          <w:u w:val="single"/>
        </w:rPr>
        <w:t>Section 6.02</w:t>
      </w:r>
      <w:r>
        <w:rPr>
          <w:rFonts w:ascii="Times New Roman" w:hAnsi="Times New Roman"/>
          <w:color w:val="000000"/>
          <w:sz w:val="24"/>
        </w:rPr>
        <w:t>, and (j) Stripe accounts, Venmo accounts, PayPal accounts or other similar payment processor accounts.</w:t>
      </w:r>
    </w:p>
    <w:p>
      <w:pPr>
        <w:pStyle w:val="TextBody"/>
        <w:bidi w:val="0"/>
        <w:spacing w:before="0" w:after="240"/>
        <w:jc w:val="both"/>
        <w:rPr/>
      </w:pPr>
      <w:r>
        <w:rPr>
          <w:color w:val="000000"/>
        </w:rPr>
        <w:t>“</w:t>
      </w:r>
      <w:r>
        <w:rPr>
          <w:rFonts w:ascii="Times New Roman" w:hAnsi="Times New Roman"/>
          <w:color w:val="000000"/>
          <w:sz w:val="24"/>
          <w:u w:val="single"/>
        </w:rPr>
        <w:t>Excluded Affiliates</w:t>
      </w:r>
      <w:r>
        <w:rPr>
          <w:rFonts w:ascii="Times New Roman" w:hAnsi="Times New Roman"/>
          <w:color w:val="000000"/>
          <w:sz w:val="20"/>
        </w:rPr>
        <w:t xml:space="preserve">” </w:t>
      </w:r>
      <w:r>
        <w:rPr>
          <w:rFonts w:ascii="Times New Roman" w:hAnsi="Times New Roman"/>
          <w:color w:val="000000"/>
          <w:sz w:val="24"/>
        </w:rPr>
        <w:t>means any Affiliate of any Joint Lead Arranger or Lender that are engaged as principals primarily in private equity or venture capital transactions.</w:t>
      </w:r>
    </w:p>
    <w:p>
      <w:pPr>
        <w:pStyle w:val="TextBody"/>
        <w:bidi w:val="0"/>
        <w:spacing w:before="0" w:after="240"/>
        <w:jc w:val="both"/>
        <w:rPr/>
      </w:pPr>
      <w:r>
        <w:rPr>
          <w:color w:val="000000"/>
        </w:rPr>
        <w:t>“</w:t>
      </w:r>
      <w:r>
        <w:rPr>
          <w:rFonts w:ascii="Times New Roman" w:hAnsi="Times New Roman"/>
          <w:color w:val="000000"/>
          <w:sz w:val="24"/>
          <w:u w:val="single"/>
        </w:rPr>
        <w:t>Excluded Assets</w:t>
      </w:r>
      <w:r>
        <w:rPr>
          <w:rFonts w:ascii="Times New Roman" w:hAnsi="Times New Roman"/>
          <w:color w:val="000000"/>
          <w:sz w:val="20"/>
        </w:rPr>
        <w:t xml:space="preserve">” </w:t>
      </w:r>
      <w:r>
        <w:rPr>
          <w:rFonts w:ascii="Times New Roman" w:hAnsi="Times New Roman"/>
          <w:color w:val="000000"/>
          <w:sz w:val="24"/>
        </w:rPr>
        <w:t>means (a) any fee</w:t>
        <w:noBreakHyphen/>
        <w:t>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(to the extent a security interest therein cannot be perfected by the filing of a UCC</w:t>
        <w:noBreakHyphen/>
        <w:t>1 financing statement), (c) letter of credit rights (except to the extent constituting supporting obligations (as defined under the UCC) in which a security interest can be perfected with the filing of a UCC</w:t>
        <w:noBreakHyphen/>
        <w:t>1 financing statement) with a value of less than $1,000,000, (d) commercial tort claims with a value (as reasonably estimated by the Borrower) of less than $1,000,000, (e) Excluded Equity Interests, (f) any lease, contract, license, sublicense, other agreement or document, government approval, charter, authorization or franchise (or any asset subject to such agreement or arrangement) with any Person if, to the extent and for so long as, the grant of a Lien thereon to secure the Secured Obligations (in each case, in existence on the Effective Date or upon the acquisition of the relevant Subsidiary party thereto or asset (so long as not entered into in contemplation thereof)) would require the consent of a third party (unless such consent has been received) (it being understood that no Loan Party shall be under any affirmative obligation to obtain such consent) or violate or invalidate, constitute a breach of or a default under, or create a right of termination in favor of any party (other than any Loan Party) to, such lease, contract, license, sublicense, other agreement or document, government approval, charter, authorization or franchise (but after giving effect to the applicable anti</w:t>
        <w:noBreakHyphen/>
        <w:t>non</w:t>
        <w:noBreakHyphen/>
        <w:t xml:space="preserve">assignment provisions of the Uniform Commercial Code, or any other applicable Requirements of Law), (g) any asset subject to a Lien of the type permitted by </w:t>
      </w:r>
      <w:r>
        <w:rPr>
          <w:rFonts w:ascii="Times New Roman" w:hAnsi="Times New Roman"/>
          <w:color w:val="000000"/>
          <w:sz w:val="24"/>
          <w:u w:val="single"/>
        </w:rPr>
        <w:t>Section 6.02(iv)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(xii)</w:t>
      </w:r>
      <w:r>
        <w:rPr>
          <w:rFonts w:ascii="Times New Roman" w:hAnsi="Times New Roman"/>
          <w:color w:val="000000"/>
          <w:sz w:val="20"/>
        </w:rPr>
        <w:t xml:space="preserve"> </w:t>
      </w:r>
      <w:r>
        <w:rPr>
          <w:rFonts w:ascii="Times New Roman" w:hAnsi="Times New Roman"/>
          <w:color w:val="000000"/>
          <w:sz w:val="24"/>
        </w:rPr>
        <w:t xml:space="preserve">(whether or not incurred pursuant to such Section) or a Lien permitted by </w:t>
      </w:r>
      <w:r>
        <w:rPr>
          <w:rFonts w:ascii="Times New Roman" w:hAnsi="Times New Roman"/>
          <w:color w:val="000000"/>
          <w:sz w:val="24"/>
          <w:u w:val="single"/>
        </w:rPr>
        <w:t>Section 6.02(xi)</w:t>
      </w:r>
      <w:r>
        <w:rPr>
          <w:rFonts w:ascii="Times New Roman" w:hAnsi="Times New Roman"/>
          <w:color w:val="000000"/>
          <w:sz w:val="24"/>
        </w:rPr>
        <w:t xml:space="preserve">, in the case of Liens permitted by </w:t>
      </w:r>
      <w:r>
        <w:rPr>
          <w:rFonts w:ascii="Times New Roman" w:hAnsi="Times New Roman"/>
          <w:color w:val="000000"/>
          <w:sz w:val="24"/>
          <w:u w:val="single"/>
        </w:rPr>
        <w:t>Section 6.02(xi)</w:t>
      </w:r>
      <w:r>
        <w:rPr>
          <w:rFonts w:ascii="Times New Roman" w:hAnsi="Times New Roman"/>
          <w:color w:val="000000"/>
          <w:sz w:val="20"/>
        </w:rPr>
        <w:t xml:space="preserve"> </w:t>
      </w:r>
      <w:r>
        <w:rPr>
          <w:rFonts w:ascii="Times New Roman" w:hAnsi="Times New Roman"/>
          <w:color w:val="000000"/>
          <w:sz w:val="24"/>
        </w:rPr>
        <w:t>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after giving effect to the applicable anti</w:t>
        <w:noBreakHyphen/>
        <w:t>non</w:t>
        <w:noBreakHyphen/>
        <w:t>assignment provisions of the Uniform Commercial Code, or any other applicable Requirements of Law) (</w:t>
      </w:r>
      <w:r>
        <w:rPr>
          <w:rFonts w:ascii="Times New Roman" w:hAnsi="Times New Roman"/>
          <w:color w:val="000000"/>
          <w:sz w:val="24"/>
          <w:u w:val="single"/>
        </w:rPr>
        <w:t xml:space="preserve">provided </w:t>
      </w:r>
      <w:r>
        <w:rPr>
          <w:rFonts w:ascii="Times New Roman" w:hAnsi="Times New Roman"/>
          <w:color w:val="000000"/>
          <w:sz w:val="24"/>
        </w:rPr>
        <w:t>that any such provision is not included by the Borrower or any Restricted Subsidiary principally for the purpose of taking advantage of the exclusion in this clause (g)), (h) (1) any intent</w:t>
        <w:noBreakHyphen/>
        <w:t>to</w:t>
        <w:noBreakHyphen/>
        <w:t>use Trademark applications filed in the United States Patent and Trademark Office, prior to the filing of a “</w:t>
      </w:r>
      <w:r>
        <w:rPr>
          <w:rFonts w:ascii="Times New Roman" w:hAnsi="Times New Roman"/>
          <w:color w:val="000000"/>
          <w:sz w:val="24"/>
          <w:u w:val="single"/>
        </w:rPr>
        <w:t>Statement of Use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Amendment to Allege Use</w:t>
      </w:r>
      <w:r>
        <w:rPr>
          <w:rFonts w:ascii="Times New Roman" w:hAnsi="Times New Roman"/>
          <w:color w:val="000000"/>
          <w:sz w:val="20"/>
        </w:rPr>
        <w:t xml:space="preserve">” </w:t>
      </w:r>
      <w:r>
        <w:rPr>
          <w:rFonts w:ascii="Times New Roman" w:hAnsi="Times New Roman"/>
          <w:color w:val="000000"/>
          <w:sz w:val="24"/>
        </w:rPr>
        <w:t>with respect thereto, but only to the extent, if any, that, and solely during the period, if any, in which, the grant of a security interest therein would impair the validity or enforceability of such intent</w:t>
        <w:noBreakHyphen/>
        <w:t>to</w:t>
        <w:noBreakHyphen/>
        <w:t>use Trademark application or any registration that may issue therefrom under applicable federal law and (2) any Intellectual Property registered, issued or applied for in, or arising under the laws of, any jurisdiction outside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United States (or with respect to a Foreign Loan Party, any jurisdiction outside of such Foreign Loan Party’s jurisdiction of organization), (i) any asset (including Equity Interests) if, to the extent and for so long as the grant of a Lien thereon to secure the Secured Obligations is prohibited by any Requirements of Law, rule or regulation, contractual obligation existing on the Effective Date (or, if later, the date the Person owning the asset becomes a Restricted Subsidiary, so long as the applicable contractual obligation was not entered into in contemplation of such Person becoming a Restricted Subsidiary) or agreements with any Governmental Authority (other than to the extent that any such prohibition would be rendered ineffective pursuant to the applicable anti</w:t>
        <w:noBreakHyphen/>
        <w:t>non</w:t>
        <w:noBreakHyphen/>
        <w:t xml:space="preserve">assignment provisions of the Uniform Commercial Code, or any other applicable Requirements of Law) or which would require consent, approval, license or authorization from any Governmental Authority or regulatory authority (it being understood that there shall be no requirement to obtain the consent of any governmental authority or third party, including, without limitation, no requirement to comply with the Federal Assignment of Claims Act or any similar statute), unless such consent, approval, license or authorization has been received, (j) margin stock (within the meaning of Regulation U of the Board of Governors, as in effect from time to time), (k) [reserved], (l) [reserved], (m) [reserved], (n) assets acquired in connection with a Permitted Acquisition or other permitted Investment subject to liens permitted under this Agreement and which are (and for so long as) subject to contractual arrangements (not incurred in contemplation thereof) prohibiting a Lien securing the Secured Obligations (but only so long as such Lien is in existence), (o) any assets to the extent that the granting of a Lien thereon to secure the Secured Obligations could reasonably be expected to result in adverse (other than </w:t>
      </w:r>
      <w:r>
        <w:rPr>
          <w:rFonts w:ascii="Times New Roman" w:hAnsi="Times New Roman"/>
          <w:i/>
          <w:color w:val="000000"/>
          <w:sz w:val="24"/>
        </w:rPr>
        <w:t>de minimis</w:t>
      </w:r>
      <w:r>
        <w:rPr>
          <w:rFonts w:ascii="Times New Roman" w:hAnsi="Times New Roman"/>
          <w:color w:val="000000"/>
          <w:sz w:val="24"/>
        </w:rPr>
        <w:t>) tax or regulatory consequences, as reasonably determined by the Borrower; and (p) any assets with respect to which, in the reasonable judgment of the Administrative Agent and the Borrower (as agreed to in writing), the cost or burden of pledging such assets shall be excessive in view of the benefits to be obtained by the Lenders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herein or the Security Documents to the contrary, to the maximum extent permitted by Requirements of Law, Excluded Assets shall not include any Proceeds (as defined in the UCC), dividends, distributions, economic value, economic interest, contractual rights, voting or management rights, general intangibles, substitutions or replacements of any Collateral or any Excluded Assets (unless such items would otherwise constitute Excluded Assets expressly referred to above).</w:t>
      </w:r>
    </w:p>
    <w:p>
      <w:pPr>
        <w:pStyle w:val="TextBody"/>
        <w:bidi w:val="0"/>
        <w:spacing w:before="0" w:after="240"/>
        <w:jc w:val="both"/>
        <w:rPr/>
      </w:pPr>
      <w:r>
        <w:rPr>
          <w:color w:val="000000"/>
        </w:rPr>
        <w:t>“</w:t>
      </w:r>
      <w:r>
        <w:rPr>
          <w:rFonts w:ascii="Times New Roman" w:hAnsi="Times New Roman"/>
          <w:color w:val="000000"/>
          <w:sz w:val="24"/>
          <w:u w:val="single"/>
        </w:rPr>
        <w:t>Excluded Equity Interests</w:t>
      </w:r>
      <w:r>
        <w:rPr>
          <w:rFonts w:ascii="Times New Roman" w:hAnsi="Times New Roman"/>
          <w:color w:val="000000"/>
          <w:sz w:val="20"/>
        </w:rPr>
        <w:t xml:space="preserve">” </w:t>
      </w:r>
      <w:r>
        <w:rPr>
          <w:rFonts w:ascii="Times New Roman" w:hAnsi="Times New Roman"/>
          <w:color w:val="000000"/>
          <w:sz w:val="24"/>
        </w:rPr>
        <w:t>means Equity Interests in any not</w:t>
        <w:noBreakHyphen/>
        <w:t>for</w:t>
        <w:noBreakHyphen/>
        <w:t>profit Subsidiary, captive insurance company or special purpose vehicle (or similar entity).</w:t>
      </w:r>
    </w:p>
    <w:p>
      <w:pPr>
        <w:pStyle w:val="TextBody"/>
        <w:bidi w:val="0"/>
        <w:spacing w:before="0" w:after="240"/>
        <w:jc w:val="both"/>
        <w:rPr/>
      </w:pPr>
      <w:r>
        <w:rPr>
          <w:color w:val="000000"/>
        </w:rPr>
        <w:t>“</w:t>
      </w:r>
      <w:r>
        <w:rPr>
          <w:rFonts w:ascii="Times New Roman" w:hAnsi="Times New Roman"/>
          <w:color w:val="000000"/>
          <w:sz w:val="24"/>
          <w:u w:val="single"/>
        </w:rPr>
        <w:t>Excluded Subsidiary</w:t>
      </w:r>
      <w:r>
        <w:rPr>
          <w:rFonts w:ascii="Times New Roman" w:hAnsi="Times New Roman"/>
          <w:color w:val="000000"/>
          <w:sz w:val="20"/>
        </w:rPr>
        <w:t xml:space="preserve">” </w:t>
      </w:r>
      <w:r>
        <w:rPr>
          <w:rFonts w:ascii="Times New Roman" w:hAnsi="Times New Roman"/>
          <w:color w:val="000000"/>
          <w:sz w:val="24"/>
        </w:rPr>
        <w:t xml:space="preserve">means (a) any Subsidiary that is prohibited by applicable law, rule or regulation or contractual obligation existing on the Effective Date or, if later, the date such Subsidiary first becomes a Restricted Subsidiary (but, in the case of a contractual obligation, to the extent not created in contemplation of such Subsidiary becoming a Restricted Subsidiary), from guaranteeing the Secured Obligations or which would require (and, only for so long as) any governmental or regulatory consent, or third party consent, approval, license or authorization to do so, unless such consent, approval, license or authorization has been obtained, </w:t>
      </w:r>
      <w:r>
        <w:rPr>
          <w:rFonts w:ascii="Times New Roman" w:hAnsi="Times New Roman"/>
          <w:color w:val="000000"/>
          <w:sz w:val="24"/>
          <w:u w:val="single"/>
        </w:rPr>
        <w:t xml:space="preserve">provided </w:t>
      </w:r>
      <w:r>
        <w:rPr>
          <w:rFonts w:ascii="Times New Roman" w:hAnsi="Times New Roman"/>
          <w:color w:val="000000"/>
          <w:sz w:val="24"/>
        </w:rPr>
        <w:t xml:space="preserve">that such Subsidiary shall have no affirmative obligation to obtain such consent, (b) any Subsidiary to the extent the provision of a Guarantee by such Subsidiary could reasonably be expected to result in adverse (other than </w:t>
      </w:r>
      <w:r>
        <w:rPr>
          <w:rFonts w:ascii="Times New Roman" w:hAnsi="Times New Roman"/>
          <w:i/>
          <w:color w:val="000000"/>
          <w:sz w:val="24"/>
        </w:rPr>
        <w:t>de minimis</w:t>
      </w:r>
      <w:r>
        <w:rPr>
          <w:rFonts w:ascii="Times New Roman" w:hAnsi="Times New Roman"/>
          <w:color w:val="000000"/>
          <w:sz w:val="24"/>
        </w:rPr>
        <w:t>) tax consequences to the Hoya Group (or any member thereof, or any direct or indirect equityholder thereof) as reasonably determined by the Borrower, (c)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Subsidiary with respect to which, in the reasonable judgment of the Administrative Agent and the Borrower (as agreed in writing), the cost or burden of providing the Guarantee shall be excessive in view of the benefits to be obtained by the Lenders therefrom, (d) any Subsidiary that is (or, if it were a Loan Party, would be) an “investment company” under the Investment Company Act of 1940, as amended and (e) any not</w:t>
        <w:noBreakHyphen/>
        <w:t>for profit Subsidiaries, captive insurance companies or other special purpose subsidiaries.</w:t>
      </w:r>
    </w:p>
    <w:p>
      <w:pPr>
        <w:pStyle w:val="TextBody"/>
        <w:bidi w:val="0"/>
        <w:spacing w:before="0" w:after="240"/>
        <w:jc w:val="both"/>
        <w:rPr/>
      </w:pPr>
      <w:r>
        <w:rPr>
          <w:color w:val="000000"/>
        </w:rPr>
        <w:t>“</w:t>
      </w:r>
      <w:r>
        <w:rPr>
          <w:rFonts w:ascii="Times New Roman" w:hAnsi="Times New Roman"/>
          <w:color w:val="000000"/>
          <w:sz w:val="24"/>
          <w:u w:val="single"/>
        </w:rPr>
        <w:t>Excluded Swap Obligation</w:t>
      </w:r>
      <w:r>
        <w:rPr>
          <w:rFonts w:ascii="Times New Roman" w:hAnsi="Times New Roman"/>
          <w:color w:val="000000"/>
          <w:sz w:val="20"/>
        </w:rPr>
        <w:t xml:space="preserve">” </w:t>
      </w:r>
      <w:r>
        <w:rPr>
          <w:rFonts w:ascii="Times New Roman" w:hAnsi="Times New Roman"/>
          <w:color w:val="000000"/>
          <w:sz w:val="24"/>
        </w:rPr>
        <w:t>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or unlawful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 xml:space="preserve">means, with respect to the Administrative Agent, any Lender, any Issuing Bank or any other recipient of any payment to be made by or on account of any obligation of any Loan Party hereunder or under any other Loan Document, (a) Taxes imposed on (or measured by) such recipient’s net income (however denominated) and franchise Taxes, in each case (i) imposed on it by a jurisdiction as a result of such recipient being organized or having its principal office or, in the case of any Lender, its applicable lending office in such jurisdiction, or (ii) that are Other Connection Taxes, (b) any branch profits tax imposed under Section 884(a) of the Code, or any similar Tax, imposed by any jurisdiction described in clause (a)(i) of this definition, (c) any Tax imposed pursuant to FATCA, (d) any Tax that is attributable to a Lender’s failure to comply with </w:t>
      </w:r>
      <w:r>
        <w:rPr>
          <w:rFonts w:ascii="Times New Roman" w:hAnsi="Times New Roman"/>
          <w:color w:val="000000"/>
          <w:sz w:val="24"/>
          <w:u w:val="single"/>
        </w:rPr>
        <w:t>Section 2.17(f)</w:t>
      </w:r>
      <w:r>
        <w:rPr>
          <w:rFonts w:ascii="Times New Roman" w:hAnsi="Times New Roman"/>
          <w:color w:val="000000"/>
          <w:sz w:val="20"/>
        </w:rPr>
        <w:t xml:space="preserve"> </w:t>
      </w:r>
      <w:r>
        <w:rPr>
          <w:rFonts w:ascii="Times New Roman" w:hAnsi="Times New Roman"/>
          <w:color w:val="000000"/>
          <w:sz w:val="24"/>
        </w:rPr>
        <w:t xml:space="preserve">and (e) any U.S. federal withholding Taxes imposed on amounts payable to a Lender pursuant to a Requirement of Law in effect at the time such Lender becomes a party hereto (other than pursuant to an assignment request by the Borrower under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9.02(c)</w:t>
      </w:r>
      <w:r>
        <w:rPr>
          <w:rFonts w:ascii="Times New Roman" w:hAnsi="Times New Roman"/>
          <w:color w:val="000000"/>
          <w:sz w:val="20"/>
        </w:rPr>
        <w:t xml:space="preserve"> </w:t>
      </w:r>
      <w:r>
        <w:rPr>
          <w:rFonts w:ascii="Times New Roman" w:hAnsi="Times New Roman"/>
          <w:color w:val="000000"/>
          <w:sz w:val="24"/>
        </w:rPr>
        <w:t xml:space="preserve">hereto) or designates a new lending office, except to the extent that such Lender (or its assignor, if any) was entitled, at the time of designation of a new lending office (or assignment), to receive payment of additional amounts with respect to such withholding Taxes under </w:t>
      </w:r>
      <w:r>
        <w:rPr>
          <w:rFonts w:ascii="Times New Roman" w:hAnsi="Times New Roman"/>
          <w:color w:val="000000"/>
          <w:sz w:val="24"/>
          <w:u w:val="single"/>
        </w:rPr>
        <w:t>Section 2.17(a)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Existing Letters of Credit</w:t>
      </w:r>
      <w:r>
        <w:rPr>
          <w:rFonts w:ascii="Times New Roman" w:hAnsi="Times New Roman"/>
          <w:color w:val="000000"/>
          <w:sz w:val="20"/>
        </w:rPr>
        <w:t xml:space="preserve">” </w:t>
      </w:r>
      <w:r>
        <w:rPr>
          <w:rFonts w:ascii="Times New Roman" w:hAnsi="Times New Roman"/>
          <w:color w:val="000000"/>
          <w:sz w:val="24"/>
        </w:rPr>
        <w:t xml:space="preserve">means each letter of credit that is outstanding on the Effective Date and set forth on </w:t>
      </w:r>
      <w:r>
        <w:rPr>
          <w:rFonts w:ascii="Times New Roman" w:hAnsi="Times New Roman"/>
          <w:color w:val="000000"/>
          <w:sz w:val="24"/>
          <w:u w:val="single"/>
        </w:rPr>
        <w:t>Schedule 1.02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Existing Term Loans</w:t>
      </w:r>
      <w:r>
        <w:rPr>
          <w:rFonts w:ascii="Times New Roman" w:hAnsi="Times New Roman"/>
          <w:color w:val="000000"/>
          <w:sz w:val="20"/>
        </w:rPr>
        <w:t xml:space="preserve">” </w:t>
      </w:r>
      <w:r>
        <w:rPr>
          <w:rFonts w:ascii="Times New Roman" w:hAnsi="Times New Roman"/>
          <w:color w:val="000000"/>
          <w:sz w:val="24"/>
        </w:rPr>
        <w:t>means, collectively, (x) the Term Loans outstanding under the Hoya Credit Agreement as of the Effective Date (the “</w:t>
      </w:r>
      <w:r>
        <w:rPr>
          <w:rFonts w:ascii="Times New Roman" w:hAnsi="Times New Roman"/>
          <w:color w:val="000000"/>
          <w:sz w:val="24"/>
          <w:u w:val="single"/>
        </w:rPr>
        <w:t>Hoya Term Loans</w:t>
      </w:r>
      <w:r>
        <w:rPr>
          <w:rFonts w:ascii="Times New Roman" w:hAnsi="Times New Roman"/>
          <w:color w:val="000000"/>
          <w:sz w:val="20"/>
        </w:rPr>
        <w:t>”</w:t>
      </w:r>
      <w:r>
        <w:rPr>
          <w:rFonts w:ascii="Times New Roman" w:hAnsi="Times New Roman"/>
          <w:color w:val="000000"/>
          <w:sz w:val="24"/>
        </w:rPr>
        <w:t>) and (y) any term loans issued after the Effective Date to refinance or replace the Hoya Term Loans (each, a “</w:t>
      </w:r>
      <w:r>
        <w:rPr>
          <w:rFonts w:ascii="Times New Roman" w:hAnsi="Times New Roman"/>
          <w:color w:val="000000"/>
          <w:sz w:val="24"/>
          <w:u w:val="single"/>
        </w:rPr>
        <w:t>Refinanced Term Loan</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0" w:after="24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 xml:space="preserve">means, for any day, the per annum rate equal to the rates on overnight Federal funds transactions with members of the Federal Reserve System of the United States (as determined in such manner as the Federal Reserve Bank of New York shall set forth on its public website from time to time),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w:t>
      </w:r>
      <w:r>
        <w:rPr>
          <w:rFonts w:ascii="Times New Roman" w:hAnsi="Times New Roman"/>
          <w:color w:val="000000"/>
          <w:sz w:val="24"/>
          <w:u w:val="single"/>
        </w:rPr>
        <w:t xml:space="preserve">provided </w:t>
      </w:r>
      <w:r>
        <w:rPr>
          <w:rFonts w:ascii="Times New Roman" w:hAnsi="Times New Roman"/>
          <w:color w:val="000000"/>
          <w:sz w:val="24"/>
        </w:rPr>
        <w:t>that the Federal Funds Effective Rate, if negative, shall be deemed to be 0.00%.</w:t>
      </w:r>
    </w:p>
    <w:p>
      <w:pPr>
        <w:pStyle w:val="TextBody"/>
        <w:bidi w:val="0"/>
        <w:spacing w:before="0" w:after="240"/>
        <w:jc w:val="both"/>
        <w:rPr/>
      </w:pPr>
      <w:r>
        <w:rPr>
          <w:color w:val="000000"/>
        </w:rPr>
        <w:t>“</w:t>
      </w:r>
      <w:r>
        <w:rPr>
          <w:rFonts w:ascii="Times New Roman" w:hAnsi="Times New Roman"/>
          <w:color w:val="000000"/>
          <w:sz w:val="24"/>
          <w:u w:val="single"/>
        </w:rPr>
        <w:t>Financial Officer</w:t>
      </w:r>
      <w:r>
        <w:rPr>
          <w:rFonts w:ascii="Times New Roman" w:hAnsi="Times New Roman"/>
          <w:color w:val="000000"/>
          <w:sz w:val="20"/>
        </w:rPr>
        <w:t xml:space="preserve">” </w:t>
      </w:r>
      <w:r>
        <w:rPr>
          <w:rFonts w:ascii="Times New Roman" w:hAnsi="Times New Roman"/>
          <w:color w:val="000000"/>
          <w:sz w:val="24"/>
        </w:rPr>
        <w:t>means the chief financial officer, principal accounting officer, treasurer, assistant treasurer, corporate controller or other officer with similar functions and responsibilities as the foregoing of Holdings or the Borrower, as applicable.</w:t>
      </w:r>
    </w:p>
    <w:p>
      <w:pPr>
        <w:pStyle w:val="TextBody"/>
        <w:bidi w:val="0"/>
        <w:spacing w:before="0" w:after="240"/>
        <w:jc w:val="both"/>
        <w:rPr/>
      </w:pPr>
      <w:r>
        <w:rPr>
          <w:color w:val="000000"/>
        </w:rPr>
        <w:t>“</w:t>
      </w:r>
      <w:r>
        <w:rPr>
          <w:rFonts w:ascii="Times New Roman" w:hAnsi="Times New Roman"/>
          <w:color w:val="000000"/>
          <w:sz w:val="24"/>
          <w:u w:val="single"/>
        </w:rPr>
        <w:t>Financial Performance Covenant</w:t>
      </w:r>
      <w:r>
        <w:rPr>
          <w:rFonts w:ascii="Times New Roman" w:hAnsi="Times New Roman"/>
          <w:color w:val="000000"/>
          <w:sz w:val="20"/>
        </w:rPr>
        <w:t xml:space="preserve">” </w:t>
      </w:r>
      <w:r>
        <w:rPr>
          <w:rFonts w:ascii="Times New Roman" w:hAnsi="Times New Roman"/>
          <w:color w:val="000000"/>
          <w:sz w:val="24"/>
        </w:rPr>
        <w:t xml:space="preserve">means the covenant set forth in </w:t>
      </w:r>
      <w:r>
        <w:rPr>
          <w:rFonts w:ascii="Times New Roman" w:hAnsi="Times New Roman"/>
          <w:color w:val="000000"/>
          <w:sz w:val="24"/>
          <w:u w:val="single"/>
        </w:rPr>
        <w:t>Section 6.11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Financing Transactions</w:t>
      </w:r>
      <w:r>
        <w:rPr>
          <w:rFonts w:ascii="Times New Roman" w:hAnsi="Times New Roman"/>
          <w:color w:val="000000"/>
          <w:sz w:val="20"/>
        </w:rPr>
        <w:t xml:space="preserve">” </w:t>
      </w:r>
      <w:r>
        <w:rPr>
          <w:rFonts w:ascii="Times New Roman" w:hAnsi="Times New Roman"/>
          <w:color w:val="000000"/>
          <w:sz w:val="24"/>
        </w:rPr>
        <w:t>means (a) the execution, delivery and performance by each Loan Party of the Loan Documents to which it is to be a party, (b) the borrowing of Loans hereunder and the use of the proceeds thereof and (c) the issuance, amendment or extension of Letters of Credit hereunder and the use of proceeds thereof.</w:t>
      </w:r>
    </w:p>
    <w:p>
      <w:pPr>
        <w:pStyle w:val="TextBody"/>
        <w:bidi w:val="0"/>
        <w:spacing w:before="0" w:after="240"/>
        <w:jc w:val="both"/>
        <w:rPr/>
      </w:pPr>
      <w:r>
        <w:rPr>
          <w:color w:val="000000"/>
        </w:rPr>
        <w:t>“</w:t>
      </w:r>
      <w:r>
        <w:rPr>
          <w:rFonts w:ascii="Times New Roman" w:hAnsi="Times New Roman"/>
          <w:color w:val="000000"/>
          <w:sz w:val="24"/>
          <w:u w:val="single"/>
        </w:rPr>
        <w:t>First Lien Indebtedness</w:t>
      </w:r>
      <w:r>
        <w:rPr>
          <w:rFonts w:ascii="Times New Roman" w:hAnsi="Times New Roman"/>
          <w:color w:val="000000"/>
          <w:sz w:val="20"/>
        </w:rPr>
        <w:t xml:space="preserve">” </w:t>
      </w:r>
      <w:r>
        <w:rPr>
          <w:rFonts w:ascii="Times New Roman" w:hAnsi="Times New Roman"/>
          <w:color w:val="000000"/>
          <w:sz w:val="24"/>
        </w:rPr>
        <w:t>means any Indebtedness of Holdings and its Restricted Subsidiaries that is secured by a Lien on any asset of Holdings or any of the Restricted Subsidiaries on an equivalent priority basis (without regard to the control of remedies) with the Liens granted under the Security Documents in favor of the Collateral Agent for the benefit of the Secured Parties in respect of the initial Revolving Commitments.</w:t>
      </w:r>
    </w:p>
    <w:p>
      <w:pPr>
        <w:pStyle w:val="TextBody"/>
        <w:bidi w:val="0"/>
        <w:spacing w:before="0" w:after="240"/>
        <w:jc w:val="both"/>
        <w:rPr/>
      </w:pPr>
      <w:r>
        <w:rPr>
          <w:color w:val="000000"/>
        </w:rPr>
        <w:t>“</w:t>
      </w:r>
      <w:r>
        <w:rPr>
          <w:rFonts w:ascii="Times New Roman" w:hAnsi="Times New Roman"/>
          <w:color w:val="000000"/>
          <w:sz w:val="24"/>
          <w:u w:val="single"/>
        </w:rPr>
        <w:t>First Lien Net Leverage Ratio</w:t>
      </w:r>
      <w:r>
        <w:rPr>
          <w:rFonts w:ascii="Times New Roman" w:hAnsi="Times New Roman"/>
          <w:color w:val="000000"/>
          <w:sz w:val="20"/>
        </w:rPr>
        <w:t xml:space="preserve">” </w:t>
      </w:r>
      <w:r>
        <w:rPr>
          <w:rFonts w:ascii="Times New Roman" w:hAnsi="Times New Roman"/>
          <w:color w:val="000000"/>
          <w:sz w:val="24"/>
        </w:rPr>
        <w:t>means, as of any date of determination, the ratio, on a Pro Forma Basis, of (a) Consolidated First Lien Net Indebtedness as of such date to (b) Consolidated EBITDA for the most recently completed Test Period.</w:t>
      </w:r>
    </w:p>
    <w:p>
      <w:pPr>
        <w:pStyle w:val="TextBody"/>
        <w:bidi w:val="0"/>
        <w:spacing w:before="0" w:after="240"/>
        <w:jc w:val="both"/>
        <w:rPr/>
      </w:pPr>
      <w:r>
        <w:rPr>
          <w:color w:val="000000"/>
        </w:rPr>
        <w:t>“</w:t>
      </w:r>
      <w:r>
        <w:rPr>
          <w:rFonts w:ascii="Times New Roman" w:hAnsi="Times New Roman"/>
          <w:color w:val="000000"/>
          <w:sz w:val="24"/>
          <w:u w:val="single"/>
        </w:rPr>
        <w:t>FIRREA</w:t>
      </w:r>
      <w:r>
        <w:rPr>
          <w:rFonts w:ascii="Times New Roman" w:hAnsi="Times New Roman"/>
          <w:color w:val="000000"/>
          <w:sz w:val="20"/>
        </w:rPr>
        <w:t xml:space="preserve">” </w:t>
      </w:r>
      <w:r>
        <w:rPr>
          <w:rFonts w:ascii="Times New Roman" w:hAnsi="Times New Roman"/>
          <w:color w:val="000000"/>
          <w:sz w:val="24"/>
        </w:rPr>
        <w:t>means the Financial Institutions Reform, Recovery and Enforcement Act of 1989, as amended.</w:t>
      </w:r>
    </w:p>
    <w:p>
      <w:pPr>
        <w:pStyle w:val="TextBody"/>
        <w:bidi w:val="0"/>
        <w:spacing w:before="0" w:after="240"/>
        <w:jc w:val="both"/>
        <w:rPr/>
      </w:pPr>
      <w:r>
        <w:rPr>
          <w:color w:val="000000"/>
        </w:rPr>
        <w:t>“</w:t>
      </w:r>
      <w:r>
        <w:rPr>
          <w:rFonts w:ascii="Times New Roman" w:hAnsi="Times New Roman"/>
          <w:color w:val="000000"/>
          <w:sz w:val="24"/>
          <w:u w:val="single"/>
        </w:rPr>
        <w:t>Flood Insurance Laws</w:t>
      </w:r>
      <w:r>
        <w:rPr>
          <w:rFonts w:ascii="Times New Roman" w:hAnsi="Times New Roman"/>
          <w:color w:val="000000"/>
          <w:sz w:val="20"/>
        </w:rPr>
        <w:t xml:space="preserve">” </w:t>
      </w:r>
      <w:r>
        <w:rPr>
          <w:rFonts w:ascii="Times New Roman" w:hAnsi="Times New Roman"/>
          <w:color w:val="000000"/>
          <w:sz w:val="24"/>
        </w:rPr>
        <w:t>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thereto, (iv) the Flood Insurance Reform Act of 2004 as now or hereafter in effect or any successor statute thereto and (v) the Biggert</w:t>
        <w:noBreakHyphen/>
        <w:t>Waters Flood Insurance Reform Act of 2012 as now or hereafter in effect or any successor statute thereto.</w:t>
      </w:r>
    </w:p>
    <w:p>
      <w:pPr>
        <w:pStyle w:val="TextBody"/>
        <w:bidi w:val="0"/>
        <w:spacing w:before="0" w:after="240"/>
        <w:jc w:val="both"/>
        <w:rPr/>
      </w:pPr>
      <w:r>
        <w:rPr>
          <w:color w:val="000000"/>
        </w:rPr>
        <w:t>“</w:t>
      </w:r>
      <w:r>
        <w:rPr>
          <w:rFonts w:ascii="Times New Roman" w:hAnsi="Times New Roman"/>
          <w:color w:val="000000"/>
          <w:sz w:val="24"/>
          <w:u w:val="single"/>
        </w:rPr>
        <w:t>Foreign Lender</w:t>
      </w:r>
      <w:r>
        <w:rPr>
          <w:rFonts w:ascii="Times New Roman" w:hAnsi="Times New Roman"/>
          <w:color w:val="000000"/>
          <w:sz w:val="20"/>
        </w:rPr>
        <w:t xml:space="preserve">” </w:t>
      </w:r>
      <w:r>
        <w:rPr>
          <w:rFonts w:ascii="Times New Roman" w:hAnsi="Times New Roman"/>
          <w:color w:val="000000"/>
          <w:sz w:val="24"/>
        </w:rPr>
        <w:t>means a Lender that is not a United States Person (as defined in Section 7701(a)(30) of the Code).</w:t>
      </w:r>
    </w:p>
    <w:p>
      <w:pPr>
        <w:pStyle w:val="TextBody"/>
        <w:bidi w:val="0"/>
        <w:spacing w:before="0" w:after="240"/>
        <w:jc w:val="both"/>
        <w:rPr/>
      </w:pPr>
      <w:r>
        <w:rPr>
          <w:color w:val="000000"/>
        </w:rPr>
        <w:t>“</w:t>
      </w:r>
      <w:r>
        <w:rPr>
          <w:rFonts w:ascii="Times New Roman" w:hAnsi="Times New Roman"/>
          <w:color w:val="000000"/>
          <w:sz w:val="24"/>
          <w:u w:val="single"/>
        </w:rPr>
        <w:t>Foreign Loan Party</w:t>
      </w:r>
      <w:r>
        <w:rPr>
          <w:rFonts w:ascii="Times New Roman" w:hAnsi="Times New Roman"/>
          <w:color w:val="000000"/>
          <w:sz w:val="20"/>
        </w:rPr>
        <w:t xml:space="preserve">” </w:t>
      </w:r>
      <w:r>
        <w:rPr>
          <w:rFonts w:ascii="Times New Roman" w:hAnsi="Times New Roman"/>
          <w:color w:val="000000"/>
          <w:sz w:val="24"/>
        </w:rPr>
        <w:t>means any Subsidiary Loan Party that is a Foreign Subsidiary.</w:t>
      </w:r>
    </w:p>
    <w:p>
      <w:pPr>
        <w:pStyle w:val="TextBody"/>
        <w:bidi w:val="0"/>
        <w:spacing w:before="0" w:after="240"/>
        <w:jc w:val="both"/>
        <w:rPr/>
      </w:pPr>
      <w:r>
        <w:rPr>
          <w:color w:val="000000"/>
        </w:rPr>
        <w:t>“</w:t>
      </w:r>
      <w:r>
        <w:rPr>
          <w:rFonts w:ascii="Times New Roman" w:hAnsi="Times New Roman"/>
          <w:color w:val="000000"/>
          <w:sz w:val="24"/>
          <w:u w:val="single"/>
        </w:rPr>
        <w:t>Foreign Subsidiary</w:t>
      </w:r>
      <w:r>
        <w:rPr>
          <w:rFonts w:ascii="Times New Roman" w:hAnsi="Times New Roman"/>
          <w:color w:val="000000"/>
          <w:sz w:val="20"/>
        </w:rPr>
        <w:t xml:space="preserve">” </w:t>
      </w:r>
      <w:r>
        <w:rPr>
          <w:rFonts w:ascii="Times New Roman" w:hAnsi="Times New Roman"/>
          <w:color w:val="000000"/>
          <w:sz w:val="24"/>
        </w:rPr>
        <w:t>means any Restricted Subsidiary of Holdings other than a Domestic Subsidiary.</w:t>
      </w:r>
    </w:p>
    <w:p>
      <w:pPr>
        <w:pStyle w:val="TextBody"/>
        <w:bidi w:val="0"/>
        <w:spacing w:before="0" w:after="240"/>
        <w:jc w:val="both"/>
        <w:rPr/>
      </w:pPr>
      <w:r>
        <w:rPr>
          <w:color w:val="000000"/>
        </w:rPr>
        <w:t>“</w:t>
      </w:r>
      <w:r>
        <w:rPr>
          <w:rFonts w:ascii="Times New Roman" w:hAnsi="Times New Roman"/>
          <w:color w:val="000000"/>
          <w:sz w:val="24"/>
          <w:u w:val="single"/>
        </w:rPr>
        <w:t>Fronting Exposure Cap</w:t>
      </w:r>
      <w:r>
        <w:rPr>
          <w:rFonts w:ascii="Times New Roman" w:hAnsi="Times New Roman"/>
          <w:color w:val="000000"/>
          <w:sz w:val="20"/>
        </w:rPr>
        <w:t xml:space="preserve">” </w:t>
      </w:r>
      <w:r>
        <w:rPr>
          <w:rFonts w:ascii="Times New Roman" w:hAnsi="Times New Roman"/>
          <w:color w:val="000000"/>
          <w:sz w:val="24"/>
        </w:rPr>
        <w:t xml:space="preserve">means, with respect to each Issuing Bank, the product of (i) the Letter of Credit Sublimit multiplied by (ii) the Applicable Percentage of such Issuing Bank (or its affiliated Revolving Lender). The initial amount of each Issuing Bank’s Fronting Exposure Cap is set forth on </w:t>
      </w:r>
      <w:r>
        <w:rPr>
          <w:rFonts w:ascii="Times New Roman" w:hAnsi="Times New Roman"/>
          <w:color w:val="000000"/>
          <w:sz w:val="24"/>
          <w:u w:val="single"/>
        </w:rPr>
        <w:t>Schedule 2.01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 xml:space="preserve">means generally accepted accounting principles in the United States of America, as in effect from time to time;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w:t>
        <w:noBreakHyphen/>
        <w:t>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pStyle w:val="TextBody"/>
        <w:bidi w:val="0"/>
        <w:spacing w:before="0" w:after="240"/>
        <w:jc w:val="both"/>
        <w:rPr/>
      </w:pPr>
      <w:r>
        <w:rPr>
          <w:color w:val="000000"/>
        </w:rPr>
        <w:t>“</w:t>
      </w:r>
      <w:r>
        <w:rPr>
          <w:rFonts w:ascii="Times New Roman" w:hAnsi="Times New Roman"/>
          <w:color w:val="000000"/>
          <w:sz w:val="24"/>
          <w:u w:val="single"/>
        </w:rPr>
        <w:t>Governmental Approvals</w:t>
      </w:r>
      <w:r>
        <w:rPr>
          <w:rFonts w:ascii="Times New Roman" w:hAnsi="Times New Roman"/>
          <w:color w:val="000000"/>
          <w:sz w:val="20"/>
        </w:rPr>
        <w:t xml:space="preserve">” </w:t>
      </w:r>
      <w:r>
        <w:rPr>
          <w:rFonts w:ascii="Times New Roman" w:hAnsi="Times New Roman"/>
          <w:color w:val="000000"/>
          <w:sz w:val="24"/>
        </w:rPr>
        <w:t>means all authorizations, consents, approvals, permits, licenses and exemptions of, registrations and filings with, and reports to, Governmental Authorities.</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 any jurisdiction (including any supra national bodies such as the European Union or the European Central Bank).</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Guarantee</w:t>
      </w:r>
      <w:r>
        <w:rPr>
          <w:rFonts w:ascii="Times New Roman" w:hAnsi="Times New Roman"/>
          <w:color w:val="000000"/>
          <w:sz w:val="20"/>
        </w:rPr>
        <w:t xml:space="preserve">” </w:t>
      </w:r>
      <w:r>
        <w:rPr>
          <w:rFonts w:ascii="Times New Roman" w:hAnsi="Times New Roman"/>
          <w:color w:val="000000"/>
          <w:sz w:val="24"/>
        </w:rPr>
        <w:t>of or by any Person (the “</w:t>
      </w:r>
      <w:r>
        <w:rPr>
          <w:rFonts w:ascii="Times New Roman" w:hAnsi="Times New Roman"/>
          <w:color w:val="000000"/>
          <w:sz w:val="24"/>
          <w:u w:val="single"/>
        </w:rPr>
        <w:t>guarantor</w:t>
      </w:r>
      <w:r>
        <w:rPr>
          <w:rFonts w:ascii="Times New Roman" w:hAnsi="Times New Roman"/>
          <w:color w:val="000000"/>
          <w:sz w:val="20"/>
        </w:rPr>
        <w:t>”</w:t>
      </w:r>
      <w:r>
        <w:rPr>
          <w:rFonts w:ascii="Times New Roman" w:hAnsi="Times New Roman"/>
          <w:color w:val="000000"/>
          <w:sz w:val="24"/>
        </w:rPr>
        <w:t>) means any obligation, contingent or otherwise, of the guarantor guaranteeing or having the economic effect of guaranteeing any Indebtedness of any other Person (the “</w:t>
      </w:r>
      <w:r>
        <w:rPr>
          <w:rFonts w:ascii="Times New Roman" w:hAnsi="Times New Roman"/>
          <w:color w:val="000000"/>
          <w:sz w:val="24"/>
          <w:u w:val="single"/>
        </w:rPr>
        <w:t>primary obligor</w:t>
      </w:r>
      <w:r>
        <w:rPr>
          <w:rFonts w:ascii="Times New Roman" w:hAnsi="Times New Roman"/>
          <w:color w:val="000000"/>
          <w:sz w:val="20"/>
        </w:rPr>
        <w:t>”</w:t>
      </w:r>
      <w:r>
        <w:rPr>
          <w:rFonts w:ascii="Times New Roman" w:hAnsi="Times New Roman"/>
          <w:color w:val="000000"/>
          <w:sz w:val="24"/>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hAnsi="Times New Roman"/>
          <w:color w:val="000000"/>
          <w:sz w:val="24"/>
          <w:u w:val="single"/>
        </w:rPr>
        <w:t xml:space="preserve">provided </w:t>
      </w:r>
      <w:r>
        <w:rPr>
          <w:rFonts w:ascii="Times New Roman" w:hAnsi="Times New Roman"/>
          <w:color w:val="000000"/>
          <w:sz w:val="24"/>
        </w:rPr>
        <w:t>that the term Guarantee shall not include endorsements for collection or deposit in the ordinary course of business, customary and reasonable indemnity obligations in effect on the Effective Date or entered into in connection with any acquisition or disposition of assets permitted under this Agreement (other than such obligations with respect to Indebtedness) or product warranty obligations.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pStyle w:val="TextBody"/>
        <w:bidi w:val="0"/>
        <w:spacing w:before="0" w:after="240"/>
        <w:jc w:val="both"/>
        <w:rPr/>
      </w:pPr>
      <w:r>
        <w:rPr>
          <w:color w:val="000000"/>
        </w:rPr>
        <w:t>“</w:t>
      </w:r>
      <w:r>
        <w:rPr>
          <w:rFonts w:ascii="Times New Roman" w:hAnsi="Times New Roman"/>
          <w:color w:val="000000"/>
          <w:sz w:val="24"/>
          <w:u w:val="single"/>
        </w:rPr>
        <w:t>Guarantee Agreement</w:t>
      </w:r>
      <w:r>
        <w:rPr>
          <w:rFonts w:ascii="Times New Roman" w:hAnsi="Times New Roman"/>
          <w:color w:val="000000"/>
          <w:sz w:val="20"/>
        </w:rPr>
        <w:t xml:space="preserve">” </w:t>
      </w:r>
      <w:r>
        <w:rPr>
          <w:rFonts w:ascii="Times New Roman" w:hAnsi="Times New Roman"/>
          <w:color w:val="000000"/>
          <w:sz w:val="24"/>
        </w:rPr>
        <w:t xml:space="preserve">means the Guarantee Agreement among the Loan Parties and the Administrative Agent, substantially in the form of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Hazardous Materials</w:t>
      </w:r>
      <w:r>
        <w:rPr>
          <w:rFonts w:ascii="Times New Roman" w:hAnsi="Times New Roman"/>
          <w:color w:val="000000"/>
          <w:sz w:val="20"/>
        </w:rPr>
        <w:t xml:space="preserve">” </w:t>
      </w:r>
      <w:r>
        <w:rPr>
          <w:rFonts w:ascii="Times New Roman" w:hAnsi="Times New Roman"/>
          <w:color w:val="000000"/>
          <w:sz w:val="24"/>
        </w:rPr>
        <w:t>means all explosive, radioactive, hazardous or toxic substances, wastes or other pollutants, including petroleum or petroleum by</w:t>
        <w:noBreakHyphen/>
        <w:t>products or distillates, asbestos or asbestos</w:t>
        <w:noBreakHyphen/>
        <w:t>containing materials, polychlorinated biphenyls, radon gas, infectious or medical wastes and all other substances, wastes, chemicals, pollutants, or contaminants of any nature and in any form regulated pursuant to any Environmental Law.</w:t>
      </w:r>
    </w:p>
    <w:p>
      <w:pPr>
        <w:pStyle w:val="TextBody"/>
        <w:bidi w:val="0"/>
        <w:spacing w:before="0" w:after="240"/>
        <w:jc w:val="both"/>
        <w:rPr/>
      </w:pPr>
      <w:r>
        <w:rPr>
          <w:color w:val="000000"/>
        </w:rPr>
        <w:t>“</w:t>
      </w:r>
      <w:r>
        <w:rPr>
          <w:rFonts w:ascii="Times New Roman" w:hAnsi="Times New Roman"/>
          <w:color w:val="000000"/>
          <w:sz w:val="24"/>
          <w:u w:val="single"/>
        </w:rPr>
        <w:t>Holdings</w:t>
      </w:r>
      <w:r>
        <w:rPr>
          <w:rFonts w:ascii="Times New Roman" w:hAnsi="Times New Roman"/>
          <w:color w:val="000000"/>
          <w:sz w:val="20"/>
        </w:rPr>
        <w:t xml:space="preserve">” </w:t>
      </w:r>
      <w:r>
        <w:rPr>
          <w:rFonts w:ascii="Times New Roman" w:hAnsi="Times New Roman"/>
          <w:color w:val="000000"/>
          <w:sz w:val="24"/>
        </w:rPr>
        <w:t>has the meaning assigned to such term in the introductory paragraph hereto.</w:t>
      </w:r>
    </w:p>
    <w:p>
      <w:pPr>
        <w:pStyle w:val="TextBody"/>
        <w:bidi w:val="0"/>
        <w:spacing w:before="0" w:after="240"/>
        <w:jc w:val="both"/>
        <w:rPr/>
      </w:pPr>
      <w:r>
        <w:rPr>
          <w:color w:val="000000"/>
        </w:rPr>
        <w:t>“</w:t>
      </w:r>
      <w:r>
        <w:rPr>
          <w:rFonts w:ascii="Times New Roman" w:hAnsi="Times New Roman"/>
          <w:color w:val="000000"/>
          <w:sz w:val="24"/>
          <w:u w:val="single"/>
        </w:rPr>
        <w:t>Holdings Parent</w:t>
      </w:r>
      <w:r>
        <w:rPr>
          <w:rFonts w:ascii="Times New Roman" w:hAnsi="Times New Roman"/>
          <w:color w:val="000000"/>
          <w:sz w:val="20"/>
        </w:rPr>
        <w:t xml:space="preserve">” </w:t>
      </w:r>
      <w:r>
        <w:rPr>
          <w:rFonts w:ascii="Times New Roman" w:hAnsi="Times New Roman"/>
          <w:color w:val="000000"/>
          <w:sz w:val="24"/>
        </w:rPr>
        <w:t>means any direct or indirect parent company of Holdings (including Vivid Seats Inc.).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Holdings Parent Specified Expenses</w:t>
      </w:r>
      <w:r>
        <w:rPr>
          <w:rFonts w:ascii="Times New Roman" w:hAnsi="Times New Roman"/>
          <w:color w:val="000000"/>
          <w:sz w:val="20"/>
        </w:rPr>
        <w:t xml:space="preserve">” </w:t>
      </w:r>
      <w:r>
        <w:rPr>
          <w:rFonts w:ascii="Times New Roman" w:hAnsi="Times New Roman"/>
          <w:color w:val="000000"/>
          <w:sz w:val="24"/>
        </w:rPr>
        <w:t xml:space="preserve">shall mean any charge, tax or expense incurred or accrued by any Holdings Parent during any period to the extent that the Borrower has (directly or indirectly) made a Restricted Payment to any Holdings Parent in respect thereof pursuant to </w:t>
      </w:r>
      <w:r>
        <w:rPr>
          <w:rFonts w:ascii="Times New Roman" w:hAnsi="Times New Roman"/>
          <w:color w:val="000000"/>
          <w:sz w:val="24"/>
          <w:u w:val="single"/>
        </w:rPr>
        <w:t>Section 6.07(a)(vii)</w:t>
      </w:r>
      <w:r>
        <w:rPr>
          <w:rFonts w:ascii="Times New Roman" w:hAnsi="Times New Roman"/>
          <w:color w:val="000000"/>
          <w:sz w:val="24"/>
        </w:rPr>
        <w:t>, but in each case limited to the amount of such Restricted Payment.</w:t>
      </w:r>
    </w:p>
    <w:p>
      <w:pPr>
        <w:pStyle w:val="TextBody"/>
        <w:bidi w:val="0"/>
        <w:spacing w:before="0" w:after="240"/>
        <w:jc w:val="both"/>
        <w:rPr/>
      </w:pPr>
      <w:r>
        <w:rPr>
          <w:color w:val="000000"/>
        </w:rPr>
        <w:t>“</w:t>
      </w:r>
      <w:r>
        <w:rPr>
          <w:rFonts w:ascii="Times New Roman" w:hAnsi="Times New Roman"/>
          <w:color w:val="000000"/>
          <w:sz w:val="24"/>
          <w:u w:val="single"/>
        </w:rPr>
        <w:t>Hoya Credit Agreement</w:t>
      </w:r>
      <w:r>
        <w:rPr>
          <w:rFonts w:ascii="Times New Roman" w:hAnsi="Times New Roman"/>
          <w:color w:val="000000"/>
          <w:sz w:val="20"/>
        </w:rPr>
        <w:t xml:space="preserve">” </w:t>
      </w:r>
      <w:r>
        <w:rPr>
          <w:rFonts w:ascii="Times New Roman" w:hAnsi="Times New Roman"/>
          <w:color w:val="000000"/>
          <w:sz w:val="24"/>
        </w:rPr>
        <w:t>means that certain First Lien Credit Agreement, dated as of June 30, 2017 (as amended, amended and restated, supplemented, waived or otherwise modified from time to time), among Hoya Intermediate, LLC, a Delaware limited liability company, Hoya Midco, the lenders and issuing banks from time to time party thereto, Barclays Bank PLC, as administrative agent and collateral agent, and the other parties from time to time party thereto.</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Hoya Group</w:t>
      </w:r>
      <w:r>
        <w:rPr>
          <w:rFonts w:ascii="Times New Roman" w:hAnsi="Times New Roman"/>
          <w:color w:val="000000"/>
          <w:sz w:val="20"/>
        </w:rPr>
        <w:t xml:space="preserve">” </w:t>
      </w:r>
      <w:r>
        <w:rPr>
          <w:rFonts w:ascii="Times New Roman" w:hAnsi="Times New Roman"/>
          <w:color w:val="000000"/>
          <w:sz w:val="24"/>
        </w:rPr>
        <w:t>means, collectively, Hoya Intermediate, LLC, a Delaware limited liability company, and each of its Subsidiaries (including the Vegas Group).</w:t>
      </w:r>
    </w:p>
    <w:p>
      <w:pPr>
        <w:pStyle w:val="TextBody"/>
        <w:bidi w:val="0"/>
        <w:spacing w:before="0" w:after="240"/>
        <w:jc w:val="both"/>
        <w:rPr/>
      </w:pPr>
      <w:r>
        <w:rPr>
          <w:color w:val="000000"/>
        </w:rPr>
        <w:t>“</w:t>
      </w:r>
      <w:r>
        <w:rPr>
          <w:rFonts w:ascii="Times New Roman" w:hAnsi="Times New Roman"/>
          <w:color w:val="000000"/>
          <w:sz w:val="24"/>
          <w:u w:val="single"/>
        </w:rPr>
        <w:t>Hoya Midco</w:t>
      </w:r>
      <w:r>
        <w:rPr>
          <w:rFonts w:ascii="Times New Roman" w:hAnsi="Times New Roman"/>
          <w:color w:val="000000"/>
          <w:sz w:val="20"/>
        </w:rPr>
        <w:t xml:space="preserve">” </w:t>
      </w:r>
      <w:r>
        <w:rPr>
          <w:rFonts w:ascii="Times New Roman" w:hAnsi="Times New Roman"/>
          <w:color w:val="000000"/>
          <w:sz w:val="24"/>
        </w:rPr>
        <w:t>means Hoya Midco, LLC, a Delaware limited liability company.</w:t>
      </w:r>
    </w:p>
    <w:p>
      <w:pPr>
        <w:pStyle w:val="TextBody"/>
        <w:bidi w:val="0"/>
        <w:spacing w:before="0" w:after="240"/>
        <w:jc w:val="both"/>
        <w:rPr/>
      </w:pPr>
      <w:r>
        <w:rPr>
          <w:color w:val="000000"/>
        </w:rPr>
        <w:t>“</w:t>
      </w:r>
      <w:r>
        <w:rPr>
          <w:rFonts w:ascii="Times New Roman" w:hAnsi="Times New Roman"/>
          <w:color w:val="000000"/>
          <w:sz w:val="24"/>
          <w:u w:val="single"/>
        </w:rPr>
        <w:t>Incremental Cap</w:t>
      </w:r>
      <w:r>
        <w:rPr>
          <w:rFonts w:ascii="Times New Roman" w:hAnsi="Times New Roman"/>
          <w:color w:val="000000"/>
          <w:sz w:val="20"/>
        </w:rPr>
        <w:t xml:space="preserve">” </w:t>
      </w:r>
      <w:r>
        <w:rPr>
          <w:rFonts w:ascii="Times New Roman" w:hAnsi="Times New Roman"/>
          <w:color w:val="000000"/>
          <w:sz w:val="24"/>
        </w:rPr>
        <w:t>means, as of any date of determination, the sum 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in the case of Additional First Out Debt, an amount equal to $5,000,000 (minus the outstanding aggregate principal amount of Additional First Out Debt incurred in reliance on this clause (a) prior to such date of determination);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Additional First Out Debt incurred pursuant to this clause (a) may only be used for the purpose of satisfying reserves, collateral posting, prepayment or similar credit support requirements with payment processors, sellers, advertising partners and other similar counterparties and shall not be used to repay or prepay any Indebtedness for borrowed money, including, without limitation, the Existing Term Loans;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(b) in the case of Additional Second Out Debt, an amount equal to $388,112,187.50 that is used solely for the purpose of refinancing or exchanging term loans outstanding under the Hoya Credit Agreement as of the Effective Date and financing the payment of costs, fees and expenses in connection therewith (the “</w:t>
      </w:r>
      <w:r>
        <w:rPr>
          <w:rFonts w:ascii="Times New Roman" w:hAnsi="Times New Roman"/>
          <w:color w:val="000000"/>
          <w:sz w:val="24"/>
          <w:u w:val="single"/>
        </w:rPr>
        <w:t>Specified Exchange Debt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the case of Additional Junior Lien Debt, an amount equal to $50,000,000 (minus the outstanding aggregate principal amount of Additional Junior Lien Debt incurred in reliance on this clause (c) prior to such date of determination);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in the case of any Incremental Facilities or Incremental Equivalent Debt that is unsecured, an amount equal to $50,000,000 (minus the outstanding aggregate principal amount of debt incurred in reliance on this clause (d) or on </w:t>
      </w:r>
      <w:r>
        <w:rPr>
          <w:rFonts w:ascii="Times New Roman" w:hAnsi="Times New Roman"/>
          <w:color w:val="000000"/>
          <w:sz w:val="24"/>
          <w:u w:val="single"/>
        </w:rPr>
        <w:t>Section 6.01(a)(xiv)</w:t>
      </w:r>
      <w:r>
        <w:rPr>
          <w:rFonts w:ascii="Times New Roman" w:hAnsi="Times New Roman"/>
          <w:color w:val="000000"/>
          <w:sz w:val="20"/>
        </w:rPr>
        <w:t xml:space="preserve"> </w:t>
      </w:r>
      <w:r>
        <w:rPr>
          <w:rFonts w:ascii="Times New Roman" w:hAnsi="Times New Roman"/>
          <w:color w:val="000000"/>
          <w:sz w:val="24"/>
        </w:rPr>
        <w:t xml:space="preserve">prior to such date of determination);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on a Pro Forma Basis, the Total Net Leverage Ratio is no greater than 4.75 to 1.00;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prior to the Payment in Full of the Initial Revolving Facility, no cash payments may be made in respect of any debt incurred under this clause (d) including principal, interest, fees or amortization payments (other than customary closing fees);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all voluntary reductions of the Revolving Commitments under the Initial Revolving Facility pursuant to </w:t>
      </w:r>
      <w:r>
        <w:rPr>
          <w:rFonts w:ascii="Times New Roman" w:hAnsi="Times New Roman"/>
          <w:color w:val="000000"/>
          <w:sz w:val="24"/>
          <w:u w:val="single"/>
        </w:rPr>
        <w:t>Section 2.08(b)</w:t>
      </w:r>
      <w:r>
        <w:rPr>
          <w:rFonts w:ascii="Times New Roman" w:hAnsi="Times New Roman"/>
          <w:color w:val="000000"/>
          <w:sz w:val="20"/>
        </w:rPr>
        <w:t xml:space="preserve"> </w:t>
      </w:r>
      <w:r>
        <w:rPr>
          <w:rFonts w:ascii="Times New Roman" w:hAnsi="Times New Roman"/>
          <w:color w:val="000000"/>
          <w:sz w:val="24"/>
        </w:rPr>
        <w:t>prior to such date (other than reductions made with the proceeds of the incurrence of Credit Agreement Refinancing Indebtedness or other long-term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(i) Incremental Facilities and Incremental Equivalent Debt may be incurred under any or all of clauses (a) through (e) above, whether in the same transaction or separate transactions and (ii) no Incremental Facilities or Incremental Equivalent Debt shall be senior in priority to the Initial Revolving Facility in any respect, including lien, payment or temporal priority.</w:t>
      </w:r>
    </w:p>
    <w:p>
      <w:pPr>
        <w:pStyle w:val="TextBody"/>
        <w:bidi w:val="0"/>
        <w:spacing w:before="0" w:after="240"/>
        <w:jc w:val="both"/>
        <w:rPr/>
      </w:pPr>
      <w:r>
        <w:rPr>
          <w:color w:val="000000"/>
        </w:rPr>
        <w:t>“</w:t>
      </w:r>
      <w:r>
        <w:rPr>
          <w:rFonts w:ascii="Times New Roman" w:hAnsi="Times New Roman"/>
          <w:color w:val="000000"/>
          <w:sz w:val="24"/>
          <w:u w:val="single"/>
        </w:rPr>
        <w:t>Incremental Equivalent Debt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6.01(a)(xxiii)</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Incremental Facility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Facility Amendment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Facility Closing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2.20(d)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Loan</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Revolving Commitment Increase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Revolving Commitments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Revolving Loan</w:t>
      </w:r>
      <w:r>
        <w:rPr>
          <w:rFonts w:ascii="Times New Roman" w:hAnsi="Times New Roman"/>
          <w:color w:val="000000"/>
          <w:sz w:val="20"/>
        </w:rPr>
        <w:t xml:space="preserve">” </w:t>
      </w:r>
      <w:r>
        <w:rPr>
          <w:rFonts w:ascii="Times New Roman" w:hAnsi="Times New Roman"/>
          <w:color w:val="000000"/>
          <w:sz w:val="24"/>
        </w:rPr>
        <w:t>means any loan provided under any Incremental Revolving Commitment.</w:t>
      </w:r>
    </w:p>
    <w:p>
      <w:pPr>
        <w:pStyle w:val="TextBody"/>
        <w:bidi w:val="0"/>
        <w:spacing w:before="0" w:after="240"/>
        <w:jc w:val="both"/>
        <w:rPr/>
      </w:pPr>
      <w:r>
        <w:rPr>
          <w:color w:val="000000"/>
        </w:rPr>
        <w:t>“</w:t>
      </w:r>
      <w:r>
        <w:rPr>
          <w:rFonts w:ascii="Times New Roman" w:hAnsi="Times New Roman"/>
          <w:color w:val="000000"/>
          <w:sz w:val="24"/>
          <w:u w:val="single"/>
        </w:rPr>
        <w:t>Incremental Term Facility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Term Increase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Incremental Term Loan</w:t>
      </w:r>
      <w:r>
        <w:rPr>
          <w:rFonts w:ascii="Times New Roman" w:hAnsi="Times New Roman"/>
          <w:color w:val="000000"/>
          <w:sz w:val="20"/>
        </w:rPr>
        <w:t xml:space="preserve">” </w:t>
      </w:r>
      <w:r>
        <w:rPr>
          <w:rFonts w:ascii="Times New Roman" w:hAnsi="Times New Roman"/>
          <w:color w:val="000000"/>
          <w:sz w:val="24"/>
        </w:rPr>
        <w:t>means any Term Loan provided under any Incremental Term Facility or Incremental Term Increase.</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that are not outstanding for more than sixty (60) days after the due date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trade accounts payable that do constitute Indebtedness pursuant to this definition shall be calculated net of any counterclaims in respect of such trade payables to the extent of any amounts set off in respect of such counterclaims or cash reserves maintained in respect of such counterclaims), and (y) any earn</w:t>
        <w:noBreakHyphen/>
        <w:t xml:space="preserve">out obligation until such obligation becomes a liability on the balance sheet of such Person in accordance with GAAP and if not paid after being due and payable),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hAnsi="Times New Roman"/>
          <w:color w:val="000000"/>
          <w:sz w:val="24"/>
          <w:u w:val="single"/>
        </w:rPr>
        <w:t xml:space="preserve">provided </w:t>
      </w:r>
      <w:r>
        <w:rPr>
          <w:rFonts w:ascii="Times New Roman" w:hAnsi="Times New Roman"/>
          <w:color w:val="000000"/>
          <w:sz w:val="24"/>
        </w:rPr>
        <w:t>that the term “Indebtedness” shall not include (i) deferred or prepaid revenue, deferred tax liabilities, liabilities associated with customer prepayments and deposits and other accrued obligations (including transfer pricing), and customary obligations under employment agreements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deferred compensation, (ii) purchase price holdbacks in respect of a portion of the purchase price of an asset to satisfy warranty, indemnity or other unperformed obligations of the seller, or other contingent post</w:t>
        <w:noBreakHyphen/>
        <w:t>closing purchase price adjustments, non</w:t>
        <w:noBreakHyphen/>
        <w:t>compete or consulting obligations until such obligation becomes a liability on the balance sheet of such Person in accordance with GAAP and if not paid after being due and payable, (iii) any obligations attributable to the exercise of appraisal rights and the settlement of any claims or actions (whether actual, contingent or potential) with respect thereto, (iv) Disqualified Equity Interests, (v) [reserved] or (vi) for the avoidance of doubt, any Qualified Equity Interests issued by Holdings or the Borrower.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 The amount of any Indebtedness issued at a discount to the initial principal amount thereof shall be calculated based on the initial stated principal amount thereof without giving effect to any such discount.</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(a) all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240"/>
        <w:jc w:val="both"/>
        <w:rPr/>
      </w:pPr>
      <w:r>
        <w:rPr>
          <w:color w:val="000000"/>
        </w:rPr>
        <w:t>“</w:t>
      </w:r>
      <w:r>
        <w:rPr>
          <w:rFonts w:ascii="Times New Roman" w:hAnsi="Times New Roman"/>
          <w:color w:val="000000"/>
          <w:sz w:val="24"/>
          <w:u w:val="single"/>
        </w:rPr>
        <w:t>Indemnitee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Initial Revolving Facility</w:t>
      </w:r>
      <w:r>
        <w:rPr>
          <w:rFonts w:ascii="Times New Roman" w:hAnsi="Times New Roman"/>
          <w:color w:val="000000"/>
          <w:sz w:val="20"/>
        </w:rPr>
        <w:t xml:space="preserve">” </w:t>
      </w:r>
      <w:r>
        <w:rPr>
          <w:rFonts w:ascii="Times New Roman" w:hAnsi="Times New Roman"/>
          <w:color w:val="000000"/>
          <w:sz w:val="24"/>
        </w:rPr>
        <w:t>means the Revolving Commitments established on the Effective Date (and the extensions of credit thereunder).</w:t>
      </w:r>
    </w:p>
    <w:p>
      <w:pPr>
        <w:pStyle w:val="TextBody"/>
        <w:bidi w:val="0"/>
        <w:spacing w:before="0" w:after="240"/>
        <w:jc w:val="both"/>
        <w:rPr/>
      </w:pPr>
      <w:r>
        <w:rPr>
          <w:color w:val="000000"/>
        </w:rPr>
        <w:t>“</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w:t>
      </w:r>
    </w:p>
    <w:p>
      <w:pPr>
        <w:pStyle w:val="TextBody"/>
        <w:bidi w:val="0"/>
        <w:spacing w:before="0" w:after="240"/>
        <w:jc w:val="both"/>
        <w:rPr/>
      </w:pPr>
      <w:r>
        <w:rPr>
          <w:color w:val="000000"/>
        </w:rPr>
        <w:t>“</w:t>
      </w:r>
      <w:r>
        <w:rPr>
          <w:rFonts w:ascii="Times New Roman" w:hAnsi="Times New Roman"/>
          <w:color w:val="000000"/>
          <w:sz w:val="24"/>
          <w:u w:val="single"/>
        </w:rPr>
        <w:t>Intellectual Property Security Agreements</w:t>
      </w:r>
      <w:r>
        <w:rPr>
          <w:rFonts w:ascii="Times New Roman" w:hAnsi="Times New Roman"/>
          <w:color w:val="000000"/>
          <w:sz w:val="20"/>
        </w:rPr>
        <w:t xml:space="preserve">” </w:t>
      </w:r>
      <w:r>
        <w:rPr>
          <w:rFonts w:ascii="Times New Roman" w:hAnsi="Times New Roman"/>
          <w:color w:val="000000"/>
          <w:sz w:val="24"/>
        </w:rPr>
        <w:t>means short</w:t>
        <w:noBreakHyphen/>
        <w:t>form security agreements, suitable for filing with the United States Patent and Trademark Office or the United States Copyright Office (as applicable), with respect to any Trademarks, Patents and Copyrights that are registered, issued or applied</w:t>
        <w:noBreakHyphen/>
        <w:t>for in the United States and that constitute Collateral.</w:t>
      </w:r>
    </w:p>
    <w:p>
      <w:pPr>
        <w:pStyle w:val="TextBody"/>
        <w:bidi w:val="0"/>
        <w:spacing w:before="0" w:after="240"/>
        <w:jc w:val="both"/>
        <w:rPr/>
      </w:pPr>
      <w:r>
        <w:rPr>
          <w:color w:val="000000"/>
        </w:rPr>
        <w:t>“</w:t>
      </w:r>
      <w:r>
        <w:rPr>
          <w:rFonts w:ascii="Times New Roman" w:hAnsi="Times New Roman"/>
          <w:color w:val="000000"/>
          <w:sz w:val="24"/>
          <w:u w:val="single"/>
        </w:rPr>
        <w:t>Intercompany Services Agreement</w:t>
      </w:r>
      <w:r>
        <w:rPr>
          <w:rFonts w:ascii="Times New Roman" w:hAnsi="Times New Roman"/>
          <w:color w:val="000000"/>
          <w:sz w:val="20"/>
        </w:rPr>
        <w:t xml:space="preserve">” </w:t>
      </w:r>
      <w:r>
        <w:rPr>
          <w:rFonts w:ascii="Times New Roman" w:hAnsi="Times New Roman"/>
          <w:color w:val="000000"/>
          <w:sz w:val="24"/>
        </w:rPr>
        <w:t>means (x) any cost sharing agreement, commission or royalty agreement, license or sub</w:t>
        <w:noBreakHyphen/>
        <w:t>license agreement, distribution agreement, services agreement, intellectual property rights transfer agreement or any related agreements, in each case where all the parties to such agreement are a Loan Party, (y) any guarantee fee agreement (or similar) entered into between the Vegas Group, Wavedash and/or Vivid Seats Asia Pacific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bona fide tax purposes in connection with the Wavedash Guarantee and (z) the agreements listed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Intercreditor Agreement</w:t>
      </w:r>
      <w:r>
        <w:rPr>
          <w:rFonts w:ascii="Times New Roman" w:hAnsi="Times New Roman"/>
          <w:color w:val="000000"/>
          <w:sz w:val="20"/>
        </w:rPr>
        <w:t xml:space="preserve">” </w:t>
      </w:r>
      <w:r>
        <w:rPr>
          <w:rFonts w:ascii="Times New Roman" w:hAnsi="Times New Roman"/>
          <w:color w:val="000000"/>
          <w:sz w:val="24"/>
        </w:rPr>
        <w:t>means the Pari Passu Intercreditor Agreement or the Junior Intercreditor Agreement, as applicable.</w:t>
      </w:r>
    </w:p>
    <w:p>
      <w:pPr>
        <w:pStyle w:val="TextBody"/>
        <w:bidi w:val="0"/>
        <w:spacing w:before="0" w:after="240"/>
        <w:jc w:val="both"/>
        <w:rPr/>
      </w:pPr>
      <w:r>
        <w:rPr>
          <w:color w:val="000000"/>
        </w:rPr>
        <w:t>“</w:t>
      </w:r>
      <w:r>
        <w:rPr>
          <w:rFonts w:ascii="Times New Roman" w:hAnsi="Times New Roman"/>
          <w:color w:val="000000"/>
          <w:sz w:val="24"/>
          <w:u w:val="single"/>
        </w:rPr>
        <w:t>Interest Election Request</w:t>
      </w:r>
      <w:r>
        <w:rPr>
          <w:rFonts w:ascii="Times New Roman" w:hAnsi="Times New Roman"/>
          <w:color w:val="000000"/>
          <w:sz w:val="20"/>
        </w:rPr>
        <w:t xml:space="preserve">” </w:t>
      </w:r>
      <w:r>
        <w:rPr>
          <w:rFonts w:ascii="Times New Roman" w:hAnsi="Times New Roman"/>
          <w:color w:val="000000"/>
          <w:sz w:val="24"/>
        </w:rPr>
        <w:t xml:space="preserve">means a request by the Borrower to convert or continue a Revolving Borrowing in accordance with </w:t>
      </w:r>
      <w:r>
        <w:rPr>
          <w:rFonts w:ascii="Times New Roman" w:hAnsi="Times New Roman"/>
          <w:color w:val="000000"/>
          <w:sz w:val="24"/>
          <w:u w:val="single"/>
        </w:rPr>
        <w:t>Section 2.07</w:t>
      </w:r>
      <w:r>
        <w:rPr>
          <w:rFonts w:ascii="Times New Roman" w:hAnsi="Times New Roman"/>
          <w:color w:val="000000"/>
          <w:sz w:val="24"/>
        </w:rPr>
        <w:t xml:space="preserve">, substantially in the form of </w:t>
      </w:r>
      <w:r>
        <w:rPr>
          <w:rFonts w:ascii="Times New Roman" w:hAnsi="Times New Roman"/>
          <w:color w:val="000000"/>
          <w:sz w:val="24"/>
          <w:u w:val="single"/>
        </w:rPr>
        <w:t>Exhibit C</w:t>
        <w:noBreakHyphen/>
        <w:t>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Interest Payment Date</w:t>
      </w:r>
      <w:r>
        <w:rPr>
          <w:rFonts w:ascii="Times New Roman" w:hAnsi="Times New Roman"/>
          <w:color w:val="000000"/>
          <w:sz w:val="20"/>
        </w:rPr>
        <w:t xml:space="preserve">” </w:t>
      </w:r>
      <w:r>
        <w:rPr>
          <w:rFonts w:ascii="Times New Roman" w:hAnsi="Times New Roman"/>
          <w:color w:val="000000"/>
          <w:sz w:val="24"/>
        </w:rPr>
        <w:t xml:space="preserve">means (a) with respect to any ABR Loan (including a Swing Line Loan), the last day of each March, June, September and December, (b) with respect to any Loan (other than an ABR Loan or an RFR Loan), the last day of the Interest Period applicable to the Borrowing of which such Loan is a part and, in the case of a Loan (other than an ABR Loan or an RFR Loan) with an Interest Period of more than three months’ duration, each day prior to the last day of such Interest Period that occurs at intervals of three months’ duration after the first day of such Interest Period, and (c) with respect to any RFR Loan, each date that is on the numerically corresponding day in each calendar month that is three months after the date of the Borrowing of which such Loan is a part; </w:t>
      </w:r>
      <w:r>
        <w:rPr>
          <w:rFonts w:ascii="Times New Roman" w:hAnsi="Times New Roman"/>
          <w:color w:val="000000"/>
          <w:sz w:val="24"/>
          <w:u w:val="single"/>
        </w:rPr>
        <w:t xml:space="preserve">provided </w:t>
      </w:r>
      <w:r>
        <w:rPr>
          <w:rFonts w:ascii="Times New Roman" w:hAnsi="Times New Roman"/>
          <w:color w:val="000000"/>
          <w:sz w:val="24"/>
        </w:rPr>
        <w:t>that, with respect to any such RFR Loan, (i) if any such date would be a day other than a Business Day, such date shall be extended to the next succeeding Business Day unless such next succeeding Business Day would fall in the next calendar month, in which case such date shall be the next preceding Business Day and (ii)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means, with respect to any Borrowing other than an ABR Borrowing or RFR Borrowing, the period commencing on the date such Borrowing is disbursed or converted to or continued as a Borrowing (other than an ABR Borrowing) and ending on the date that is one, three or six months thereafter as selected by the Borrower in its Borrowing Request (or, if agreed by each Lender participating therein, twelve (12) months or any shorter period as the Borrower may elect);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in respect of Revolving Loans shall extend beyond the Revolving Maturity Date.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interest in such other Person (excluding, in the case of Holdings and its Restricted Subsidiaries (i) intercompany advances arising from their cash management, tax, and accounting operations and (ii) intercompany loans, advances, or Indebtedness having a term not exceeding 364 days (inclusive of any roll</w:t>
        <w:noBreakHyphen/>
        <w:t>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w:t>
        <w:noBreakHyphen/>
        <w:t>downs or write</w:t>
        <w:noBreakHyphen/>
        <w:t>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w:t>
        <w:noBreakHyphen/>
        <w:t>cash property by the investor to the investee, including any such transfer in the form of a capital contribution, shall be the fair market value (as determined in good faith by a Financial Officer) of such Equity Interests or other property as of the time of the transfer, minus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w:t>
        <w:noBreakHyphen/>
        <w:t>ups, write</w:t>
        <w:noBreakHyphen/>
        <w:t>downs or write</w:t>
        <w:noBreakHyphen/>
        <w:t>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(i) the cost of all additions thereto and minus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w:t>
        <w:noBreakHyphen/>
        <w:t>ups, write</w:t>
        <w:noBreakHyphen/>
        <w:t>downs or write</w:t>
        <w:noBreakHyphen/>
        <w:t xml:space="preserve">offs with respect to, such Investment after the date of such Investment. For purposes of </w:t>
      </w:r>
      <w:r>
        <w:rPr>
          <w:rFonts w:ascii="Times New Roman" w:hAnsi="Times New Roman"/>
          <w:color w:val="000000"/>
          <w:sz w:val="24"/>
          <w:u w:val="single"/>
        </w:rPr>
        <w:t>Section 6.04</w:t>
      </w:r>
      <w:r>
        <w:rPr>
          <w:rFonts w:ascii="Times New Roman" w:hAnsi="Times New Roman"/>
          <w:color w:val="000000"/>
          <w:sz w:val="24"/>
        </w:rPr>
        <w:t xml:space="preserve">, if an Investment involves the acquisition of more than one Person, the amount of such Investment shall be allocated among the acquired Persons in accordance with GAAP; </w:t>
      </w:r>
      <w:r>
        <w:rPr>
          <w:rFonts w:ascii="Times New Roman" w:hAnsi="Times New Roman"/>
          <w:color w:val="000000"/>
          <w:sz w:val="24"/>
          <w:u w:val="single"/>
        </w:rPr>
        <w:t xml:space="preserve">provided </w:t>
      </w:r>
      <w:r>
        <w:rPr>
          <w:rFonts w:ascii="Times New Roman" w:hAnsi="Times New Roman"/>
          <w:color w:val="000000"/>
          <w:sz w:val="24"/>
        </w:rPr>
        <w:t>that pending the final determination of the amounts to be so allocated in accordance with GAAP, such allocation shall be as reasonably determined by a Financial Officer.</w:t>
      </w:r>
    </w:p>
    <w:p>
      <w:pPr>
        <w:pStyle w:val="TextBody"/>
        <w:bidi w:val="0"/>
        <w:spacing w:before="0" w:after="240"/>
        <w:jc w:val="both"/>
        <w:rPr/>
      </w:pPr>
      <w:r>
        <w:rPr>
          <w:color w:val="000000"/>
        </w:rPr>
        <w:t>“</w:t>
      </w:r>
      <w:r>
        <w:rPr>
          <w:rFonts w:ascii="Times New Roman" w:hAnsi="Times New Roman"/>
          <w:color w:val="000000"/>
          <w:sz w:val="24"/>
          <w:u w:val="single"/>
        </w:rPr>
        <w:t>ISP</w:t>
      </w:r>
      <w:r>
        <w:rPr>
          <w:rFonts w:ascii="Times New Roman" w:hAnsi="Times New Roman"/>
          <w:color w:val="000000"/>
          <w:sz w:val="20"/>
        </w:rPr>
        <w:t xml:space="preserve">” </w:t>
      </w:r>
      <w:r>
        <w:rPr>
          <w:rFonts w:ascii="Times New Roman" w:hAnsi="Times New Roman"/>
          <w:color w:val="000000"/>
          <w:sz w:val="24"/>
        </w:rPr>
        <w:t>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Issuing Bank</w:t>
      </w:r>
      <w:r>
        <w:rPr>
          <w:rFonts w:ascii="Times New Roman" w:hAnsi="Times New Roman"/>
          <w:color w:val="000000"/>
          <w:sz w:val="20"/>
        </w:rPr>
        <w:t xml:space="preserve">” </w:t>
      </w:r>
      <w:r>
        <w:rPr>
          <w:rFonts w:ascii="Times New Roman" w:hAnsi="Times New Roman"/>
          <w:color w:val="000000"/>
          <w:sz w:val="24"/>
        </w:rPr>
        <w:t xml:space="preserve">means each of (a) the Administrative Agent, (b) each other Revolving Lender as of the Effective Date and (c) each Revolving Lender that shall have become an Issuing Bank hereunder as provided in </w:t>
      </w:r>
      <w:r>
        <w:rPr>
          <w:rFonts w:ascii="Times New Roman" w:hAnsi="Times New Roman"/>
          <w:color w:val="000000"/>
          <w:sz w:val="24"/>
          <w:u w:val="single"/>
        </w:rPr>
        <w:t>Section 2.05(k)</w:t>
      </w:r>
      <w:r>
        <w:rPr>
          <w:rFonts w:ascii="Times New Roman" w:hAnsi="Times New Roman"/>
          <w:color w:val="000000"/>
          <w:sz w:val="20"/>
        </w:rPr>
        <w:t xml:space="preserve"> </w:t>
      </w:r>
      <w:r>
        <w:rPr>
          <w:rFonts w:ascii="Times New Roman" w:hAnsi="Times New Roman"/>
          <w:color w:val="000000"/>
          <w:sz w:val="24"/>
        </w:rPr>
        <w:t xml:space="preserve">(other than any Person that shall have ceased to be an Issuing Bank as provided in </w:t>
      </w:r>
      <w:r>
        <w:rPr>
          <w:rFonts w:ascii="Times New Roman" w:hAnsi="Times New Roman"/>
          <w:color w:val="000000"/>
          <w:sz w:val="24"/>
          <w:u w:val="single"/>
        </w:rPr>
        <w:t>Section 2.05(l)</w:t>
      </w:r>
      <w:r>
        <w:rPr>
          <w:rFonts w:ascii="Times New Roman" w:hAnsi="Times New Roman"/>
          <w:color w:val="000000"/>
          <w:sz w:val="24"/>
        </w:rPr>
        <w:t>).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pStyle w:val="TextBody"/>
        <w:bidi w:val="0"/>
        <w:spacing w:before="0" w:after="240"/>
        <w:jc w:val="both"/>
        <w:rPr/>
      </w:pPr>
      <w:r>
        <w:rPr>
          <w:color w:val="000000"/>
        </w:rPr>
        <w:t>“</w:t>
      </w:r>
      <w:r>
        <w:rPr>
          <w:rFonts w:ascii="Times New Roman" w:hAnsi="Times New Roman"/>
          <w:color w:val="000000"/>
          <w:sz w:val="24"/>
          <w:u w:val="single"/>
        </w:rPr>
        <w:t>Joint Lead Arranger</w:t>
      </w:r>
      <w:r>
        <w:rPr>
          <w:rFonts w:ascii="Times New Roman" w:hAnsi="Times New Roman"/>
          <w:color w:val="000000"/>
          <w:sz w:val="20"/>
        </w:rPr>
        <w:t xml:space="preserve">” </w:t>
      </w:r>
      <w:r>
        <w:rPr>
          <w:rFonts w:ascii="Times New Roman" w:hAnsi="Times New Roman"/>
          <w:color w:val="000000"/>
          <w:sz w:val="24"/>
        </w:rPr>
        <w:t>means each of Barclays Bank PLC, Bank of America, N.A., Citibank, N.A., Deutsche Bank AG New York Branch, Mizuho Bank, Ltd., Morgan Stanley Senior Funding, Inc., and Royal Bank of Canada, each in its capacity as joint lead arranger and joint bookrunner, and any permitted successors and assigns of the foregoing.</w:t>
      </w:r>
    </w:p>
    <w:p>
      <w:pPr>
        <w:pStyle w:val="TextBody"/>
        <w:bidi w:val="0"/>
        <w:spacing w:before="0" w:after="240"/>
        <w:jc w:val="both"/>
        <w:rPr/>
      </w:pPr>
      <w:r>
        <w:rPr>
          <w:color w:val="000000"/>
        </w:rPr>
        <w:t>“</w:t>
      </w:r>
      <w:r>
        <w:rPr>
          <w:rFonts w:ascii="Times New Roman" w:hAnsi="Times New Roman"/>
          <w:color w:val="000000"/>
          <w:sz w:val="24"/>
          <w:u w:val="single"/>
        </w:rPr>
        <w:t>Judgment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Junior Financing</w:t>
      </w:r>
      <w:r>
        <w:rPr>
          <w:rFonts w:ascii="Times New Roman" w:hAnsi="Times New Roman"/>
          <w:color w:val="000000"/>
          <w:sz w:val="20"/>
        </w:rPr>
        <w:t xml:space="preserve">” </w:t>
      </w:r>
      <w:r>
        <w:rPr>
          <w:rFonts w:ascii="Times New Roman" w:hAnsi="Times New Roman"/>
          <w:color w:val="000000"/>
          <w:sz w:val="24"/>
        </w:rPr>
        <w:t>means (a) any Indebtedness of Holdings and its Restricted Subsidiaries that is unsecured, that is subordinated in right of payment to the Loan Document Obligations or that is secured by the Collateral on a junior lien basis relative to the liens granted pursuant to the Loan Documents (other than (i) any permitted intercompany Indebtedness owing to Holdings, the Borrower or any Restricted Subsidiary or (ii) any unsecured Indebtedness in an individual principal amount not exceeding $1,000,000) and (b) any Permitted Refinancing in respect of the foregoing.</w:t>
      </w:r>
    </w:p>
    <w:p>
      <w:pPr>
        <w:pStyle w:val="TextBody"/>
        <w:bidi w:val="0"/>
        <w:spacing w:before="0" w:after="240"/>
        <w:jc w:val="both"/>
        <w:rPr/>
      </w:pPr>
      <w:r>
        <w:rPr>
          <w:color w:val="000000"/>
        </w:rPr>
        <w:t>“</w:t>
      </w:r>
      <w:r>
        <w:rPr>
          <w:rFonts w:ascii="Times New Roman" w:hAnsi="Times New Roman"/>
          <w:color w:val="000000"/>
          <w:sz w:val="24"/>
          <w:u w:val="single"/>
        </w:rPr>
        <w:t>Junior Intercreditor Agreement</w:t>
      </w:r>
      <w:r>
        <w:rPr>
          <w:rFonts w:ascii="Times New Roman" w:hAnsi="Times New Roman"/>
          <w:color w:val="000000"/>
          <w:sz w:val="20"/>
        </w:rPr>
        <w:t xml:space="preserve">” </w:t>
      </w:r>
      <w:r>
        <w:rPr>
          <w:rFonts w:ascii="Times New Roman" w:hAnsi="Times New Roman"/>
          <w:color w:val="000000"/>
          <w:sz w:val="24"/>
        </w:rPr>
        <w:t xml:space="preserve">means the Junior Intercreditor Agreement substantially in the form of </w:t>
      </w:r>
      <w:r>
        <w:rPr>
          <w:rFonts w:ascii="Times New Roman" w:hAnsi="Times New Roman"/>
          <w:color w:val="000000"/>
          <w:sz w:val="24"/>
          <w:u w:val="single"/>
        </w:rPr>
        <w:t>Exhibit E</w:t>
        <w:noBreakHyphen/>
        <w:t>2</w:t>
      </w:r>
      <w:r>
        <w:rPr>
          <w:rFonts w:ascii="Times New Roman" w:hAnsi="Times New Roman"/>
          <w:color w:val="000000"/>
          <w:sz w:val="20"/>
        </w:rPr>
        <w:t xml:space="preserve"> </w:t>
      </w:r>
      <w:r>
        <w:rPr>
          <w:rFonts w:ascii="Times New Roman" w:hAnsi="Times New Roman"/>
          <w:color w:val="000000"/>
          <w:sz w:val="24"/>
        </w:rPr>
        <w:t>among the Administrative Agent and one or more Senior Representatives for holders of Indebtedness permitted by this Agreement to be secured by the Collateral on a junior basis, with such modifications thereto as the Administrative Agent and the Borrower may reasonably agree.</w:t>
      </w:r>
    </w:p>
    <w:p>
      <w:pPr>
        <w:pStyle w:val="TextBody"/>
        <w:bidi w:val="0"/>
        <w:spacing w:before="0" w:after="240"/>
        <w:jc w:val="both"/>
        <w:rPr/>
      </w:pPr>
      <w:r>
        <w:rPr>
          <w:color w:val="000000"/>
        </w:rPr>
        <w:t>“</w:t>
      </w:r>
      <w:r>
        <w:rPr>
          <w:rFonts w:ascii="Times New Roman" w:hAnsi="Times New Roman"/>
          <w:color w:val="000000"/>
          <w:sz w:val="24"/>
          <w:u w:val="single"/>
        </w:rPr>
        <w:t>Latest Maturity Date</w:t>
      </w:r>
      <w:r>
        <w:rPr>
          <w:rFonts w:ascii="Times New Roman" w:hAnsi="Times New Roman"/>
          <w:color w:val="000000"/>
          <w:sz w:val="20"/>
        </w:rPr>
        <w:t xml:space="preserve">” </w:t>
      </w:r>
      <w:r>
        <w:rPr>
          <w:rFonts w:ascii="Times New Roman" w:hAnsi="Times New Roman"/>
          <w:color w:val="000000"/>
          <w:sz w:val="24"/>
        </w:rPr>
        <w:t>means, at any date of determination, the latest maturity or expiration date applicable to any Loan or Commitment hereunder at such time, including the latest maturity or expiration date of any Incremental Term Loan, any Other Term Loan, any Other Term Commitment, any Incremental Revolving Loan, any Incremental Revolving Commitment, any Other Revolving Loan or any Other Revolving Commitment, in each case as extended in accordance with this Agreement from time to time.</w:t>
      </w:r>
    </w:p>
    <w:p>
      <w:pPr>
        <w:pStyle w:val="TextBody"/>
        <w:bidi w:val="0"/>
        <w:spacing w:before="0" w:after="240"/>
        <w:jc w:val="both"/>
        <w:rPr/>
      </w:pPr>
      <w:r>
        <w:rPr>
          <w:color w:val="000000"/>
        </w:rPr>
        <w:t>“</w:t>
      </w:r>
      <w:r>
        <w:rPr>
          <w:rFonts w:ascii="Times New Roman" w:hAnsi="Times New Roman"/>
          <w:color w:val="000000"/>
          <w:sz w:val="24"/>
          <w:u w:val="single"/>
        </w:rPr>
        <w:t>LC Commitment</w:t>
      </w:r>
      <w:r>
        <w:rPr>
          <w:rFonts w:ascii="Times New Roman" w:hAnsi="Times New Roman"/>
          <w:color w:val="000000"/>
          <w:sz w:val="20"/>
        </w:rPr>
        <w:t xml:space="preserve">” </w:t>
      </w:r>
      <w:r>
        <w:rPr>
          <w:rFonts w:ascii="Times New Roman" w:hAnsi="Times New Roman"/>
          <w:color w:val="000000"/>
          <w:sz w:val="24"/>
        </w:rPr>
        <w:t xml:space="preserve">means, in the case of each Issuing Bank, the amount set forth across from its name on </w:t>
      </w:r>
      <w:r>
        <w:rPr>
          <w:rFonts w:ascii="Times New Roman" w:hAnsi="Times New Roman"/>
          <w:color w:val="000000"/>
          <w:sz w:val="24"/>
          <w:u w:val="single"/>
        </w:rPr>
        <w:t>Schedule 2.05</w:t>
      </w:r>
      <w:r>
        <w:rPr>
          <w:rFonts w:ascii="Times New Roman" w:hAnsi="Times New Roman"/>
          <w:color w:val="000000"/>
          <w:sz w:val="20"/>
        </w:rPr>
        <w:t xml:space="preserve"> </w:t>
      </w:r>
      <w:r>
        <w:rPr>
          <w:rFonts w:ascii="Times New Roman" w:hAnsi="Times New Roman"/>
          <w:color w:val="000000"/>
          <w:sz w:val="24"/>
        </w:rPr>
        <w:t>(or in the documents pursuant to which such Issuing Bank became an Issuing Bank).</w:t>
      </w:r>
    </w:p>
    <w:p>
      <w:pPr>
        <w:pStyle w:val="TextBody"/>
        <w:bidi w:val="0"/>
        <w:spacing w:before="0" w:after="240"/>
        <w:jc w:val="both"/>
        <w:rPr/>
      </w:pPr>
      <w:r>
        <w:rPr>
          <w:color w:val="000000"/>
        </w:rPr>
        <w:t>“</w:t>
      </w:r>
      <w:r>
        <w:rPr>
          <w:rFonts w:ascii="Times New Roman" w:hAnsi="Times New Roman"/>
          <w:color w:val="000000"/>
          <w:sz w:val="24"/>
          <w:u w:val="single"/>
        </w:rPr>
        <w:t>LC Credit Extension</w:t>
      </w:r>
      <w:r>
        <w:rPr>
          <w:rFonts w:ascii="Times New Roman" w:hAnsi="Times New Roman"/>
          <w:color w:val="000000"/>
          <w:sz w:val="20"/>
        </w:rPr>
        <w:t xml:space="preserve">” </w:t>
      </w:r>
      <w:r>
        <w:rPr>
          <w:rFonts w:ascii="Times New Roman" w:hAnsi="Times New Roman"/>
          <w:color w:val="000000"/>
          <w:sz w:val="24"/>
        </w:rPr>
        <w:t>means, with respect to any Letter of Credit, the issuance thereof or extension of the expiry date thereof, or renewal or increase of the amount thereof.</w:t>
      </w:r>
    </w:p>
    <w:p>
      <w:pPr>
        <w:pStyle w:val="TextBody"/>
        <w:bidi w:val="0"/>
        <w:spacing w:before="0" w:after="240"/>
        <w:jc w:val="both"/>
        <w:rPr/>
      </w:pPr>
      <w:r>
        <w:rPr>
          <w:color w:val="000000"/>
        </w:rPr>
        <w:t>“</w:t>
      </w:r>
      <w:r>
        <w:rPr>
          <w:rFonts w:ascii="Times New Roman" w:hAnsi="Times New Roman"/>
          <w:color w:val="000000"/>
          <w:sz w:val="24"/>
          <w:u w:val="single"/>
        </w:rPr>
        <w:t>LC Disbursement</w:t>
      </w:r>
      <w:r>
        <w:rPr>
          <w:rFonts w:ascii="Times New Roman" w:hAnsi="Times New Roman"/>
          <w:color w:val="000000"/>
          <w:sz w:val="20"/>
        </w:rPr>
        <w:t xml:space="preserve">” </w:t>
      </w:r>
      <w:r>
        <w:rPr>
          <w:rFonts w:ascii="Times New Roman" w:hAnsi="Times New Roman"/>
          <w:color w:val="000000"/>
          <w:sz w:val="24"/>
        </w:rPr>
        <w:t>means an honoring of a drawing by an Issuing Bank pursuant to a Letter of Credit.</w:t>
      </w:r>
    </w:p>
    <w:p>
      <w:pPr>
        <w:pStyle w:val="TextBody"/>
        <w:bidi w:val="0"/>
        <w:spacing w:before="0" w:after="240"/>
        <w:jc w:val="both"/>
        <w:rPr/>
      </w:pPr>
      <w:r>
        <w:rPr>
          <w:color w:val="000000"/>
        </w:rPr>
        <w:t>“</w:t>
      </w:r>
      <w:r>
        <w:rPr>
          <w:rFonts w:ascii="Times New Roman" w:hAnsi="Times New Roman"/>
          <w:color w:val="000000"/>
          <w:sz w:val="24"/>
          <w:u w:val="single"/>
        </w:rPr>
        <w:t>LC Exposure</w:t>
      </w:r>
      <w:r>
        <w:rPr>
          <w:rFonts w:ascii="Times New Roman" w:hAnsi="Times New Roman"/>
          <w:color w:val="000000"/>
          <w:sz w:val="20"/>
        </w:rPr>
        <w:t xml:space="preserve">” </w:t>
      </w:r>
      <w:r>
        <w:rPr>
          <w:rFonts w:ascii="Times New Roman" w:hAnsi="Times New Roman"/>
          <w:color w:val="000000"/>
          <w:sz w:val="24"/>
        </w:rPr>
        <w:t>means, at any time, the sum of (a) the aggregate amount of all Letters of Credit that remains available for drawing at such time and (b) the aggregate amount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hAnsi="Times New Roman"/>
          <w:color w:val="000000"/>
          <w:sz w:val="24"/>
          <w:u w:val="single"/>
        </w:rPr>
        <w:t xml:space="preserve">provided </w:t>
      </w:r>
      <w:r>
        <w:rPr>
          <w:rFonts w:ascii="Times New Roman" w:hAnsi="Times New Roman"/>
          <w:color w:val="000000"/>
          <w:sz w:val="24"/>
        </w:rPr>
        <w:t>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240"/>
        <w:jc w:val="both"/>
        <w:rPr/>
      </w:pPr>
      <w:r>
        <w:rPr>
          <w:color w:val="000000"/>
        </w:rPr>
        <w:t>“</w:t>
      </w:r>
      <w:r>
        <w:rPr>
          <w:rFonts w:ascii="Times New Roman" w:hAnsi="Times New Roman"/>
          <w:color w:val="000000"/>
          <w:sz w:val="24"/>
          <w:u w:val="single"/>
        </w:rPr>
        <w:t>Legal Reservations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principle that equitable remedies may be granted or refused at the discretion of a court (regardless of whether considered in a proceeding in equity or at law), the limitation of enforcement by Debtor Relief Laws and laws relating to judicial management, court schemes, moratoria, administration and other laws generally affecting the rights of creditors and similar principles or limitations under the laws of any applicable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time barring of claims under applicable limitation laws, the possibility that an undertaking to assume liability for or indemnify a person against non</w:t>
        <w:noBreakHyphen/>
        <w:t>payment of stamp duty may be void and defenses of set</w:t>
        <w:noBreakHyphen/>
        <w:t>off or counterclaim and similar principles or limitations under the laws of any applicable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general principles, reservations or qualifications, in each case as to matters of law as set out in any legal opinion delivered to the Administrative Agent in connection with any provision of any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principle that any additional interest imposed under any relevant agreement may be held to be unenforceable on the grounds that it is a penalty and thus void;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principle that in certain circumstances security granted by way of fixed charge may be characterized as a floating charge or that security purported to be constituted by way of an assignment may be recharacterized as a charge;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principle that a court may not give effect to an indemnity for legal costs incurred by an unsuccessful litigant;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principle that the creation or purported creation of security over any contract or agreement which is subject to a prohibition against transfer, assignment or charging may be void, ineffective or invalid and may give rise to a breach entitling the contracting party to terminate or take any other action in relation to such contract 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[reserved]; and</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similar principles, rights and defenses under the laws of any relevant jurisdiction.</w:t>
      </w:r>
    </w:p>
    <w:p>
      <w:pPr>
        <w:pStyle w:val="TextBody"/>
        <w:bidi w:val="0"/>
        <w:spacing w:before="0" w:after="240"/>
        <w:jc w:val="both"/>
        <w:rPr/>
      </w:pPr>
      <w:r>
        <w:rPr>
          <w:color w:val="000000"/>
        </w:rPr>
        <w:t>“</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2.01</w:t>
      </w:r>
      <w:r>
        <w:rPr>
          <w:rFonts w:ascii="Times New Roman" w:hAnsi="Times New Roman"/>
          <w:color w:val="000000"/>
          <w:sz w:val="20"/>
        </w:rPr>
        <w:t xml:space="preserve"> </w:t>
      </w:r>
      <w:r>
        <w:rPr>
          <w:rFonts w:ascii="Times New Roman" w:hAnsi="Times New Roman"/>
          <w:color w:val="000000"/>
          <w:sz w:val="24"/>
        </w:rPr>
        <w:t>as a Lender and any other Person that shall have become a party hereto pursuant to an Assignment and Assumption, an Incremental Facility Amendment, or a Refinancing Amendment, in each case, other than any such Person that ceases to be a party hereto pursuant to an Assignment and Assumption and, as the context requires, includes an Issuing Bank and a Swing Line Lender, and their respective successors and assigns as permitted hereunder, each of which is referred to herein as a “</w:t>
      </w:r>
      <w:r>
        <w:rPr>
          <w:rFonts w:ascii="Times New Roman" w:hAnsi="Times New Roman"/>
          <w:color w:val="000000"/>
          <w:sz w:val="24"/>
          <w:u w:val="single"/>
        </w:rPr>
        <w:t>Lender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means any standby letter of credit issued pursuant to this Agreement other than any such letter of credit that shall have ceased to be a “</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 xml:space="preserve">outstanding hereunder pursuant to </w:t>
      </w:r>
      <w:r>
        <w:rPr>
          <w:rFonts w:ascii="Times New Roman" w:hAnsi="Times New Roman"/>
          <w:color w:val="000000"/>
          <w:sz w:val="24"/>
          <w:u w:val="single"/>
        </w:rPr>
        <w:t>Section 9.05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Letter of Credit Request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2.05(b)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Letter of Credit Sublimit</w:t>
      </w:r>
      <w:r>
        <w:rPr>
          <w:rFonts w:ascii="Times New Roman" w:hAnsi="Times New Roman"/>
          <w:color w:val="000000"/>
          <w:sz w:val="20"/>
        </w:rPr>
        <w:t xml:space="preserve">” </w:t>
      </w:r>
      <w:r>
        <w:rPr>
          <w:rFonts w:ascii="Times New Roman" w:hAnsi="Times New Roman"/>
          <w:color w:val="000000"/>
          <w:sz w:val="24"/>
        </w:rPr>
        <w:t>means $75,000,000.</w:t>
      </w:r>
    </w:p>
    <w:p>
      <w:pPr>
        <w:pStyle w:val="TextBody"/>
        <w:bidi w:val="0"/>
        <w:spacing w:before="0" w:after="240"/>
        <w:jc w:val="both"/>
        <w:rPr/>
      </w:pPr>
      <w:r>
        <w:rPr>
          <w:color w:val="000000"/>
        </w:rPr>
        <w:t>“</w:t>
      </w:r>
      <w:r>
        <w:rPr>
          <w:rFonts w:ascii="Times New Roman" w:hAnsi="Times New Roman"/>
          <w:color w:val="000000"/>
          <w:sz w:val="24"/>
          <w:u w:val="single"/>
        </w:rPr>
        <w:t>Liability Management Transaction</w:t>
      </w:r>
      <w:r>
        <w:rPr>
          <w:rFonts w:ascii="Times New Roman" w:hAnsi="Times New Roman"/>
          <w:color w:val="000000"/>
          <w:sz w:val="20"/>
        </w:rPr>
        <w:t xml:space="preserve">” </w:t>
      </w:r>
      <w:r>
        <w:rPr>
          <w:rFonts w:ascii="Times New Roman" w:hAnsi="Times New Roman"/>
          <w:color w:val="000000"/>
          <w:sz w:val="24"/>
        </w:rPr>
        <w:t>means: any transaction or series of related transactions that is designed to: (x) raise liquidity for Borrower, its Subsidiaries, or any other Affiliate at a time when the Borrowers’ or any such Person’s near-term liquidity prospects are constrained or diminishing, (y) preserve or move any portion of a valuable asset (including equity) of Holdings or any of its Subsidiaries for the benefit of an Affiliate of the Loan Parties or any creditor or equityholders of the Borrowers or any of their Affiliates (in each case other than a Loan Party) or (z) restructure or otherwise impact the Loan Parties’ capital structure, in each case of clauses (x) through (z), in a manner that improves the prospects of a class or subset of stakeholders (including the Permitted Holders and its Affiliates, any other equityholder, and any debt financing providers (including any class or subset of Lenders)) by elevating such stakeholder’s priority to a position that is senior to the Loan Document Obligations (whether effectively, structurally or contractually) or ability to direct actions or vote under the Loan Documents or in an insolvency proceeding, including any of the following:</w:t>
      </w:r>
    </w:p>
    <w:p>
      <w:pPr>
        <w:pStyle w:val="TextBody"/>
        <w:bidi w:val="0"/>
        <w:spacing w:before="0" w:after="240"/>
        <w:jc w:val="both"/>
        <w:rPr>
          <w:rFonts w:ascii="Times New Roman" w:hAnsi="Times New Roman"/>
          <w:sz w:val="20"/>
        </w:rPr>
      </w:pPr>
      <w:r>
        <w:rPr>
          <w:rFonts w:ascii="Times New Roman" w:hAnsi="Times New Roman"/>
          <w:color w:val="000000"/>
          <w:sz w:val="24"/>
        </w:rPr>
        <w:t>(a) any Indebtedness issued in exchange for, or the net proceeds (or deemed net proceeds in the event of a cashless transaction) of which are used, in whole or in part, to modify, extend, refinance, renew, replace, retire or refund (or any other transaction that would have the effect of circumventing the restrictions set forth in the covenants hereof or achieve the same effect as the foregoing) any existing Indebtedness of the IPO Entity or any of its Affiliates (the “</w:t>
      </w:r>
      <w:r>
        <w:rPr>
          <w:rFonts w:ascii="Times New Roman" w:hAnsi="Times New Roman"/>
          <w:color w:val="000000"/>
          <w:sz w:val="24"/>
          <w:u w:val="single"/>
        </w:rPr>
        <w:t>Existing LMT Debt</w:t>
      </w:r>
      <w:r>
        <w:rPr>
          <w:rFonts w:ascii="Times New Roman" w:hAnsi="Times New Roman"/>
          <w:color w:val="000000"/>
          <w:sz w:val="20"/>
        </w:rPr>
        <w:t>”</w:t>
      </w:r>
      <w:r>
        <w:rPr>
          <w:rFonts w:ascii="Times New Roman" w:hAnsi="Times New Roman"/>
          <w:color w:val="000000"/>
          <w:sz w:val="24"/>
        </w:rPr>
        <w:t>) with any other Indebtedness or debt-like instruments (including preferred Equity Interests) of the IPO Entity or any of its Subsidiaries (the “</w:t>
      </w:r>
      <w:r>
        <w:rPr>
          <w:rFonts w:ascii="Times New Roman" w:hAnsi="Times New Roman"/>
          <w:color w:val="000000"/>
          <w:sz w:val="24"/>
          <w:u w:val="single"/>
        </w:rPr>
        <w:t>New LMT Debt</w:t>
      </w:r>
      <w:r>
        <w:rPr>
          <w:rFonts w:ascii="Times New Roman" w:hAnsi="Times New Roman"/>
          <w:color w:val="000000"/>
          <w:sz w:val="20"/>
        </w:rPr>
        <w:t>”</w:t>
      </w:r>
      <w:r>
        <w:rPr>
          <w:rFonts w:ascii="Times New Roman" w:hAnsi="Times New Roman"/>
          <w:color w:val="000000"/>
          <w:sz w:val="24"/>
        </w:rPr>
        <w:t>) in a transaction the result of which is to ‘uptier’ holders of such Existing LMT Debt into New LMT Debt that is effectively (including as to security or recourse to additional assets or through a ‘double dip’ or ‘pari plus’ structure), contractually or structurally senior (in right of payment or security) to the Loan Document Obligations,</w:t>
      </w:r>
    </w:p>
    <w:p>
      <w:pPr>
        <w:pStyle w:val="TextBody"/>
        <w:bidi w:val="0"/>
        <w:spacing w:before="0" w:after="240"/>
        <w:jc w:val="both"/>
        <w:rPr>
          <w:rFonts w:ascii="Times New Roman" w:hAnsi="Times New Roman"/>
          <w:sz w:val="20"/>
        </w:rPr>
      </w:pPr>
      <w:r>
        <w:rPr>
          <w:rFonts w:ascii="Times New Roman" w:hAnsi="Times New Roman"/>
          <w:color w:val="000000"/>
          <w:sz w:val="24"/>
        </w:rPr>
        <w:t>(b) any Investment, Restricted Payment or transfer or other Disposition (including any indirect transfers effectuated through a release of a Loan Party, a merger, amalgamation, division, similar undertaking or causing a Loan Party or any of its Subsidiaries to become a Non-Wholly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Owned Subsidiary or an “unrestricted” Subsidiary) of assets constituting Collateral immediately prior to such Investment, Restricted Payment or transfer or other Disposition is made to an Affiliate of Vivid Seats Inc. or any of its Subsidiaries that is not a Loan Party (including any non-Loan Party Subsidiary or Affiliate that is not a Loan Party (including, for the avoidance of doubt, by way of issuing Equity Interests and causing a Loan Party to become a Non-Wholly Owned Subsidiary or designating any Subsidiary as “unrestricted” Subsidiary)), in each case, to (i) facilitate a new financing of Indebtedness or debt-like instruments (including the issuance of any preferred Equity Interests), or otherwise undertakes a transaction that monetizes such property, the result of which raises, directly or indirectly, liquidity for the Loan Parties and their Subsidiaries or to provide cash flow assistance to the Loan Parties and their Subsidiaries (including in furtherance of exchanging, modifying, extending, refinancing, renewing, replacing, retiring or refunding, in whole or in part, Existing LMT Debt, (ii) guarantee or otherwise increase credit support for any existing Indebtedness or debt-like instrument, or (iii) transfer (whether by a distribution, dividend, or otherwise) such property to an Affiliate of a Loan Party other than a Loan Party the primary purpose of which preserves the value of such property for such Affiliate other than as permitted by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release of a Guarantor or of a material portion of the Collateral, in each case effected with the intent that such released Person or asset secure or serve as support for new Indebtedness, a new equity issuance, or to otherwise raise liquidity or to provide cash flow assistance,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any transaction whereby an obligation of a Loan Party owed to an Affiliate of a Loan Party (other than another Loan Party that is a Domestic Subsidiary) would directly or indirectly be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or senior (in right of payment or security) to the Secured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incurring any Indebtedness for borrowed money, or granting a Lien on its assets securing Indebtedness for borrowed money, on a senior basis (in right of payment or security) to the Secured Obligations or the Liens securing the Secured Obligations (other than Indebtedness and Liens which are explicitly permitted to be incurred on a senior basis under the Loan Documents as in effect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incurring or reducing any Indebtedness for the primary purpose of influencing voting thresholds under this Agreement,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any transaction or series of related transactions designed to circumvent this definition,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9.02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notwithstanding anything herein to the contrary, the forgoing shall not prohibit any transaction that is otherwise expressly permitted by this Agreement (including Investments permitted by </w:t>
      </w:r>
      <w:r>
        <w:rPr>
          <w:rFonts w:ascii="Times New Roman" w:hAnsi="Times New Roman"/>
          <w:color w:val="000000"/>
          <w:sz w:val="24"/>
          <w:u w:val="single"/>
        </w:rPr>
        <w:t>Section 6.04</w:t>
      </w:r>
      <w:r>
        <w:rPr>
          <w:rFonts w:ascii="Times New Roman" w:hAnsi="Times New Roman"/>
          <w:color w:val="000000"/>
          <w:sz w:val="24"/>
        </w:rPr>
        <w:t xml:space="preserve">, Restricted Payments permitted by </w:t>
      </w:r>
      <w:r>
        <w:rPr>
          <w:rFonts w:ascii="Times New Roman" w:hAnsi="Times New Roman"/>
          <w:color w:val="000000"/>
          <w:sz w:val="24"/>
          <w:u w:val="single"/>
        </w:rPr>
        <w:t>Section 6.07</w:t>
      </w:r>
      <w:r>
        <w:rPr>
          <w:rFonts w:ascii="Times New Roman" w:hAnsi="Times New Roman"/>
          <w:color w:val="000000"/>
          <w:sz w:val="24"/>
        </w:rPr>
        <w:t>, an exchange of the Existing Term Loans into Additional Second Out Debt that is otherwise permitted by this Agreement, and the incurrence of Additional First Out Debt, Incremental Loans and Incremental Equivalent Debt that is otherwise permitted by this Agreement).</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with respect to any asset, (a) any mortgage, deed of trust, lien, pledge, hypothecation, assignment by way of security, encumbrance, charge or security interest in, on or of such asset and (b) the interest of a vendor or a lessor under any conditional sale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capital lease or title retention agreement (or any financing lease having substantially the same economic effect as any of the foregoing) relating to such asset.</w:t>
      </w:r>
    </w:p>
    <w:p>
      <w:pPr>
        <w:pStyle w:val="TextBody"/>
        <w:bidi w:val="0"/>
        <w:spacing w:before="0" w:after="240"/>
        <w:jc w:val="both"/>
        <w:rPr/>
      </w:pPr>
      <w:r>
        <w:rPr>
          <w:color w:val="000000"/>
        </w:rPr>
        <w:t>“</w:t>
      </w:r>
      <w:r>
        <w:rPr>
          <w:rFonts w:ascii="Times New Roman" w:hAnsi="Times New Roman"/>
          <w:color w:val="000000"/>
          <w:sz w:val="24"/>
          <w:u w:val="single"/>
        </w:rPr>
        <w:t>Loan Document Obligations</w:t>
      </w:r>
      <w:r>
        <w:rPr>
          <w:rFonts w:ascii="Times New Roman" w:hAnsi="Times New Roman"/>
          <w:color w:val="000000"/>
          <w:sz w:val="20"/>
        </w:rPr>
        <w:t xml:space="preserve">” </w:t>
      </w:r>
      <w:r>
        <w:rPr>
          <w:rFonts w:ascii="Times New Roman" w:hAnsi="Times New Roman"/>
          <w:color w:val="000000"/>
          <w:sz w:val="24"/>
        </w:rPr>
        <w:t xml:space="preserve">means the due and punctual payment by the Borrower of (i) the principal of the Loans and LC Disbursements, and all accrued and unpaid interest thereon at the applicable rate or rates provided in this Agreement (including interest accruing during the pendency of any bankruptcy, insolvency, examinership,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monetary obligations incurred during the pendency of any bankruptcy, insolvency, examinership, receivership or other similar proceeding, regardless of whether allowed or allowable in such proceeding); </w:t>
      </w:r>
      <w:r>
        <w:rPr>
          <w:rFonts w:ascii="Times New Roman" w:hAnsi="Times New Roman"/>
          <w:color w:val="000000"/>
          <w:sz w:val="24"/>
          <w:u w:val="single"/>
        </w:rPr>
        <w:t xml:space="preserve">provided </w:t>
      </w:r>
      <w:r>
        <w:rPr>
          <w:rFonts w:ascii="Times New Roman" w:hAnsi="Times New Roman"/>
          <w:color w:val="000000"/>
          <w:sz w:val="24"/>
        </w:rPr>
        <w:t>that, for the avoidance of doubt, the “</w:t>
      </w:r>
      <w:r>
        <w:rPr>
          <w:rFonts w:ascii="Times New Roman" w:hAnsi="Times New Roman"/>
          <w:color w:val="000000"/>
          <w:sz w:val="24"/>
          <w:u w:val="single"/>
        </w:rPr>
        <w:t>Loan Document Obligations</w:t>
      </w:r>
      <w:r>
        <w:rPr>
          <w:rFonts w:ascii="Times New Roman" w:hAnsi="Times New Roman"/>
          <w:color w:val="000000"/>
          <w:sz w:val="20"/>
        </w:rPr>
        <w:t xml:space="preserve">” </w:t>
      </w:r>
      <w:r>
        <w:rPr>
          <w:rFonts w:ascii="Times New Roman" w:hAnsi="Times New Roman"/>
          <w:color w:val="000000"/>
          <w:sz w:val="24"/>
        </w:rPr>
        <w:t>of any Loan Party shall not include any Excluded Swap Obligation of such Loan Party.</w:t>
      </w:r>
    </w:p>
    <w:p>
      <w:pPr>
        <w:pStyle w:val="TextBody"/>
        <w:bidi w:val="0"/>
        <w:spacing w:before="0" w:after="240"/>
        <w:jc w:val="both"/>
        <w:rPr/>
      </w:pPr>
      <w:r>
        <w:rPr>
          <w:color w:val="000000"/>
        </w:rPr>
        <w:t>“</w:t>
      </w:r>
      <w:r>
        <w:rPr>
          <w:rFonts w:ascii="Times New Roman" w:hAnsi="Times New Roman"/>
          <w:color w:val="000000"/>
          <w:sz w:val="24"/>
          <w:u w:val="single"/>
        </w:rPr>
        <w:t>Loan Documents</w:t>
      </w:r>
      <w:r>
        <w:rPr>
          <w:rFonts w:ascii="Times New Roman" w:hAnsi="Times New Roman"/>
          <w:color w:val="000000"/>
          <w:sz w:val="20"/>
        </w:rPr>
        <w:t xml:space="preserve">” </w:t>
      </w:r>
      <w:r>
        <w:rPr>
          <w:rFonts w:ascii="Times New Roman" w:hAnsi="Times New Roman"/>
          <w:color w:val="000000"/>
          <w:sz w:val="24"/>
        </w:rPr>
        <w:t xml:space="preserve">means this Agreement, any Refinancing Amendment, any Incremental Facility Amendment, the Guarantee Agreement, the Collateral Agreement, the Perfection Certificate, the other Security Documents, any Intercreditor Agreement (if applicable), except for purposes of </w:t>
      </w:r>
      <w:r>
        <w:rPr>
          <w:rFonts w:ascii="Times New Roman" w:hAnsi="Times New Roman"/>
          <w:color w:val="000000"/>
          <w:sz w:val="24"/>
          <w:u w:val="single"/>
        </w:rPr>
        <w:t>Section 9.02</w:t>
      </w:r>
      <w:r>
        <w:rPr>
          <w:rFonts w:ascii="Times New Roman" w:hAnsi="Times New Roman"/>
          <w:color w:val="000000"/>
          <w:sz w:val="24"/>
        </w:rPr>
        <w:t xml:space="preserve">, any Note delivered pursuant to </w:t>
      </w:r>
      <w:r>
        <w:rPr>
          <w:rFonts w:ascii="Times New Roman" w:hAnsi="Times New Roman"/>
          <w:color w:val="000000"/>
          <w:sz w:val="24"/>
          <w:u w:val="single"/>
        </w:rPr>
        <w:t>Section 2.09(f)</w:t>
      </w:r>
      <w:r>
        <w:rPr>
          <w:rFonts w:ascii="Times New Roman" w:hAnsi="Times New Roman"/>
          <w:color w:val="000000"/>
          <w:sz w:val="24"/>
        </w:rPr>
        <w:t>, the Wavedash Guarantee, and any other document entered into or delivered by a Loan Party in connection with the foregoing and designated by the Borrower as a Loan Document therein for purposes of this Agreement.</w:t>
      </w:r>
    </w:p>
    <w:p>
      <w:pPr>
        <w:pStyle w:val="TextBody"/>
        <w:bidi w:val="0"/>
        <w:spacing w:before="0" w:after="240"/>
        <w:jc w:val="both"/>
        <w:rPr/>
      </w:pPr>
      <w:r>
        <w:rPr>
          <w:color w:val="000000"/>
        </w:rPr>
        <w:t>“</w:t>
      </w:r>
      <w:r>
        <w:rPr>
          <w:rFonts w:ascii="Times New Roman" w:hAnsi="Times New Roman"/>
          <w:color w:val="000000"/>
          <w:sz w:val="24"/>
          <w:u w:val="single"/>
        </w:rPr>
        <w:t>Loan Guarantors</w:t>
      </w:r>
      <w:r>
        <w:rPr>
          <w:rFonts w:ascii="Times New Roman" w:hAnsi="Times New Roman"/>
          <w:color w:val="000000"/>
          <w:sz w:val="20"/>
        </w:rPr>
        <w:t xml:space="preserve">” </w:t>
      </w:r>
      <w:r>
        <w:rPr>
          <w:rFonts w:ascii="Times New Roman" w:hAnsi="Times New Roman"/>
          <w:color w:val="000000"/>
          <w:sz w:val="24"/>
        </w:rPr>
        <w:t>means Holdings and the Subsidiary Loan Parties, in each case, to the extent such entity provides a guaranty of the Secured Obligations. For the avoidance of doubt, neither Wavedash nor Vivid Seats Asia Pacific shall be a “Loan Party”, “Loan Guarantor” or “Subsidiary Loan Party” hereunder or under any other Loan Document, and neither such entity shall be subject to or bound by any of the covenants or other obligations, nor be within the scope of or otherwise covered by any of the representations and warranties, contained herein or in any other Loan Document (other than as expressly provided for in the Wavedash Guarantee and the Wavedash Share Pledge).</w:t>
      </w:r>
    </w:p>
    <w:p>
      <w:pPr>
        <w:pStyle w:val="TextBody"/>
        <w:bidi w:val="0"/>
        <w:spacing w:before="0" w:after="240"/>
        <w:jc w:val="both"/>
        <w:rPr/>
      </w:pPr>
      <w:r>
        <w:rPr>
          <w:color w:val="000000"/>
        </w:rPr>
        <w:t>“</w:t>
      </w:r>
      <w:r>
        <w:rPr>
          <w:rFonts w:ascii="Times New Roman" w:hAnsi="Times New Roman"/>
          <w:color w:val="000000"/>
          <w:sz w:val="24"/>
          <w:u w:val="single"/>
        </w:rPr>
        <w:t>Loan Parties</w:t>
      </w:r>
      <w:r>
        <w:rPr>
          <w:rFonts w:ascii="Times New Roman" w:hAnsi="Times New Roman"/>
          <w:color w:val="000000"/>
          <w:sz w:val="20"/>
        </w:rPr>
        <w:t xml:space="preserve">” </w:t>
      </w:r>
      <w:r>
        <w:rPr>
          <w:rFonts w:ascii="Times New Roman" w:hAnsi="Times New Roman"/>
          <w:color w:val="000000"/>
          <w:sz w:val="24"/>
        </w:rPr>
        <w:t>means the Loan Guarantors and the Borrower.</w:t>
      </w:r>
    </w:p>
    <w:p>
      <w:pPr>
        <w:pStyle w:val="TextBody"/>
        <w:bidi w:val="0"/>
        <w:spacing w:before="0" w:after="240"/>
        <w:jc w:val="both"/>
        <w:rPr/>
      </w:pPr>
      <w:r>
        <w:rPr>
          <w:color w:val="000000"/>
        </w:rPr>
        <w:t>“</w:t>
      </w:r>
      <w:r>
        <w:rPr>
          <w:rFonts w:ascii="Times New Roman" w:hAnsi="Times New Roman"/>
          <w:color w:val="000000"/>
          <w:sz w:val="24"/>
          <w:u w:val="single"/>
        </w:rPr>
        <w:t>Loans</w:t>
      </w:r>
      <w:r>
        <w:rPr>
          <w:rFonts w:ascii="Times New Roman" w:hAnsi="Times New Roman"/>
          <w:color w:val="000000"/>
          <w:sz w:val="20"/>
        </w:rPr>
        <w:t xml:space="preserve">” </w:t>
      </w:r>
      <w:r>
        <w:rPr>
          <w:rFonts w:ascii="Times New Roman" w:hAnsi="Times New Roman"/>
          <w:color w:val="000000"/>
          <w:sz w:val="24"/>
        </w:rPr>
        <w:t>means the loans made by the Lenders and Swing Line Lender to the Borrower pursuant to this Agreement.</w:t>
      </w:r>
    </w:p>
    <w:p>
      <w:pPr>
        <w:pStyle w:val="TextBody"/>
        <w:bidi w:val="0"/>
        <w:spacing w:before="0" w:after="240"/>
        <w:jc w:val="both"/>
        <w:rPr/>
      </w:pPr>
      <w:r>
        <w:rPr>
          <w:color w:val="000000"/>
        </w:rPr>
        <w:t>“</w:t>
      </w:r>
      <w:r>
        <w:rPr>
          <w:rFonts w:ascii="Times New Roman" w:hAnsi="Times New Roman"/>
          <w:color w:val="000000"/>
          <w:sz w:val="24"/>
          <w:u w:val="single"/>
        </w:rPr>
        <w:t>Majority in Interest</w:t>
      </w:r>
      <w:r>
        <w:rPr>
          <w:rFonts w:ascii="Times New Roman" w:hAnsi="Times New Roman"/>
          <w:color w:val="000000"/>
          <w:sz w:val="20"/>
        </w:rPr>
        <w:t>”</w:t>
      </w:r>
      <w:r>
        <w:rPr>
          <w:rFonts w:ascii="Times New Roman" w:hAnsi="Times New Roman"/>
          <w:color w:val="000000"/>
          <w:sz w:val="24"/>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of such Class representing more than 50% of all Term Loans of such Class outstanding at such time; </w:t>
      </w:r>
      <w:r>
        <w:rPr>
          <w:rFonts w:ascii="Times New Roman" w:hAnsi="Times New Roman"/>
          <w:color w:val="000000"/>
          <w:sz w:val="24"/>
          <w:u w:val="single"/>
        </w:rPr>
        <w:t xml:space="preserve">provided </w:t>
      </w:r>
      <w:r>
        <w:rPr>
          <w:rFonts w:ascii="Times New Roman" w:hAnsi="Times New Roman"/>
          <w:color w:val="000000"/>
          <w:sz w:val="24"/>
        </w:rPr>
        <w:t>that whenever there are one or more Defaulting Lenders, the total outstanding Term Loans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Revolving Exposures of, and the unused Revolving Commitments of, each Defaulting Lender shall be excluded for purposes of making a determination of the Majority in Interest.</w:t>
      </w:r>
    </w:p>
    <w:p>
      <w:pPr>
        <w:pStyle w:val="TextBody"/>
        <w:bidi w:val="0"/>
        <w:spacing w:before="0" w:after="240"/>
        <w:jc w:val="both"/>
        <w:rPr/>
      </w:pPr>
      <w:r>
        <w:rPr>
          <w:color w:val="000000"/>
        </w:rPr>
        <w:t>“</w:t>
      </w:r>
      <w:r>
        <w:rPr>
          <w:rFonts w:ascii="Times New Roman" w:hAnsi="Times New Roman"/>
          <w:color w:val="000000"/>
          <w:sz w:val="24"/>
          <w:u w:val="single"/>
        </w:rPr>
        <w:t>Management Investors</w:t>
      </w:r>
      <w:r>
        <w:rPr>
          <w:rFonts w:ascii="Times New Roman" w:hAnsi="Times New Roman"/>
          <w:color w:val="000000"/>
          <w:sz w:val="20"/>
        </w:rPr>
        <w:t xml:space="preserve">” </w:t>
      </w:r>
      <w:r>
        <w:rPr>
          <w:rFonts w:ascii="Times New Roman" w:hAnsi="Times New Roman"/>
          <w:color w:val="000000"/>
          <w:sz w:val="24"/>
        </w:rPr>
        <w:t>means the members of the Board of Directors, officers, employees and shareholders of the Company, the Borrower and/or their respective Subsidiaries who are (directly or indirectly through one or more investment vehicles) investors in Holdings or any Holdings Parent (including Vivid Seats Inc.) and, in each case, each of their respective spouses, former spouses, successors, executors, administrators, heirs, legatees or distributees.</w:t>
      </w:r>
    </w:p>
    <w:p>
      <w:pPr>
        <w:pStyle w:val="TextBody"/>
        <w:bidi w:val="0"/>
        <w:spacing w:before="0" w:after="240"/>
        <w:jc w:val="both"/>
        <w:rPr/>
      </w:pPr>
      <w:r>
        <w:rPr>
          <w:color w:val="000000"/>
        </w:rPr>
        <w:t>“</w:t>
      </w:r>
      <w:r>
        <w:rPr>
          <w:rFonts w:ascii="Times New Roman" w:hAnsi="Times New Roman"/>
          <w:color w:val="000000"/>
          <w:sz w:val="24"/>
          <w:u w:val="single"/>
        </w:rPr>
        <w:t>Master Agreement</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“Swap Agreement”.</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any event, change or condition that, individually or in the aggregate, has had or could reasonably be expected to have (a) a material adverse effect on the business, assets, financial condition or results of operations of the Loan Parties and their Subsidiaries, taken as a whole, (b) a material adverse effect on the ability of the Loan Parties, taken as a whole, to perform any of their obligations under the Loan Documents, (c) a material adverse effect on the rights and remedies of the Administrative Agent, the Collateral Agent, the Issuing Banks and the Lenders under the Loan Documents, (d) a material adverse effect on the legality, validity or enforceability of this Agreement or any other Loan Document or (e) a material adverse effect on the validity, perfection or priority of a Lien in favor of the Collateral Agent for the benefit of the Agents and the Lenders on (x) any Collateral that constitutes Material Property or (y) with respect to any other Collateral, a material portion of such Collateral (in the case of clauses (x) and (y), other than resulting from (1) a Disposition or other transaction permitted under this Agreement or (2) acts or omissions of the Collateral Agent, the Administrative Agent or any Lender (including the failure to file continuation statements)).</w:t>
      </w:r>
    </w:p>
    <w:p>
      <w:pPr>
        <w:pStyle w:val="TextBody"/>
        <w:bidi w:val="0"/>
        <w:spacing w:before="0" w:after="240"/>
        <w:jc w:val="both"/>
        <w:rPr/>
      </w:pPr>
      <w:r>
        <w:rPr>
          <w:color w:val="000000"/>
        </w:rPr>
        <w:t>“</w:t>
      </w:r>
      <w:r>
        <w:rPr>
          <w:rFonts w:ascii="Times New Roman" w:hAnsi="Times New Roman"/>
          <w:color w:val="000000"/>
          <w:sz w:val="24"/>
          <w:u w:val="single"/>
        </w:rPr>
        <w:t>Material Indebtedness</w:t>
      </w:r>
      <w:r>
        <w:rPr>
          <w:rFonts w:ascii="Times New Roman" w:hAnsi="Times New Roman"/>
          <w:color w:val="000000"/>
          <w:sz w:val="20"/>
        </w:rPr>
        <w:t xml:space="preserve">” </w:t>
      </w:r>
      <w:r>
        <w:rPr>
          <w:rFonts w:ascii="Times New Roman" w:hAnsi="Times New Roman"/>
          <w:color w:val="000000"/>
          <w:sz w:val="24"/>
        </w:rPr>
        <w:t>means (i) the Hoya Credit Agreement and any Indebtedness incurred pursuant thereto, (ii) the RemainCo Intercompany Loan and (iii)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Holdings and its Restricted Subsidiaries in an aggregate principal amount exceeding $7,500,000.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pStyle w:val="TextBody"/>
        <w:bidi w:val="0"/>
        <w:spacing w:before="0" w:after="240"/>
        <w:jc w:val="both"/>
        <w:rPr/>
      </w:pPr>
      <w:r>
        <w:rPr>
          <w:color w:val="000000"/>
        </w:rPr>
        <w:t>“</w:t>
      </w:r>
      <w:r>
        <w:rPr>
          <w:rFonts w:ascii="Times New Roman" w:hAnsi="Times New Roman"/>
          <w:color w:val="000000"/>
          <w:sz w:val="24"/>
          <w:u w:val="single"/>
        </w:rPr>
        <w:t>Material Non</w:t>
        <w:noBreakHyphen/>
        <w:t>Public Information</w:t>
      </w:r>
      <w:r>
        <w:rPr>
          <w:rFonts w:ascii="Times New Roman" w:hAnsi="Times New Roman"/>
          <w:color w:val="000000"/>
          <w:sz w:val="20"/>
        </w:rPr>
        <w:t xml:space="preserve">” </w:t>
      </w:r>
      <w:r>
        <w:rPr>
          <w:rFonts w:ascii="Times New Roman" w:hAnsi="Times New Roman"/>
          <w:color w:val="000000"/>
          <w:sz w:val="24"/>
        </w:rPr>
        <w:t>means (a) if Holdings is a public reporting company, material non</w:t>
        <w:noBreakHyphen/>
        <w:t>public information with respect to Holdings or its Subsidiaries, or the respective securities of any of the foregoing, and (b) if Holdings is not a public reporting company, information that is (i) of a type that would not be publicly available if Holdings were a public reporting company and (ii) material with respect to Holdings or its Subsidiaries or any of their respective securities for purposes of United States Federal and state securities laws.</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Material Property</w:t>
      </w:r>
      <w:r>
        <w:rPr>
          <w:rFonts w:ascii="Times New Roman" w:hAnsi="Times New Roman"/>
          <w:color w:val="000000"/>
          <w:sz w:val="20"/>
        </w:rPr>
        <w:t xml:space="preserve">” </w:t>
      </w:r>
      <w:r>
        <w:rPr>
          <w:rFonts w:ascii="Times New Roman" w:hAnsi="Times New Roman"/>
          <w:color w:val="000000"/>
          <w:sz w:val="24"/>
        </w:rPr>
        <w:t>means assets, including Intellectual Property, that are material to the business, operations, assets, financial condition or prospects of the Vegas Group either prior to or pro forma for any applicable transfer or disposition.</w:t>
      </w:r>
    </w:p>
    <w:p>
      <w:pPr>
        <w:pStyle w:val="TextBody"/>
        <w:bidi w:val="0"/>
        <w:spacing w:before="0" w:after="240"/>
        <w:jc w:val="both"/>
        <w:rPr/>
      </w:pPr>
      <w:r>
        <w:rPr>
          <w:color w:val="000000"/>
        </w:rPr>
        <w:t>“</w:t>
      </w:r>
      <w:r>
        <w:rPr>
          <w:rFonts w:ascii="Times New Roman" w:hAnsi="Times New Roman"/>
          <w:color w:val="000000"/>
          <w:sz w:val="24"/>
          <w:u w:val="single"/>
        </w:rPr>
        <w:t>Material Real Property</w:t>
      </w:r>
      <w:r>
        <w:rPr>
          <w:rFonts w:ascii="Times New Roman" w:hAnsi="Times New Roman"/>
          <w:color w:val="000000"/>
          <w:sz w:val="20"/>
        </w:rPr>
        <w:t xml:space="preserve">” </w:t>
      </w:r>
      <w:r>
        <w:rPr>
          <w:rFonts w:ascii="Times New Roman" w:hAnsi="Times New Roman"/>
          <w:color w:val="000000"/>
          <w:sz w:val="24"/>
        </w:rPr>
        <w:t>means any real property (including fixtures) located in the United States of America and owned in fee by any Loan Party with a fair market value, as reasonably determined by the Borrower in good faith, greater than or equal to $5,000,000.</w:t>
      </w:r>
    </w:p>
    <w:p>
      <w:pPr>
        <w:pStyle w:val="TextBody"/>
        <w:bidi w:val="0"/>
        <w:spacing w:before="0" w:after="240"/>
        <w:jc w:val="both"/>
        <w:rPr/>
      </w:pPr>
      <w:r>
        <w:rPr>
          <w:color w:val="000000"/>
        </w:rPr>
        <w:t>“</w:t>
      </w:r>
      <w:r>
        <w:rPr>
          <w:rFonts w:ascii="Times New Roman" w:hAnsi="Times New Roman"/>
          <w:color w:val="000000"/>
          <w:sz w:val="24"/>
          <w:u w:val="single"/>
        </w:rPr>
        <w:t>Material Subsidiary</w:t>
      </w:r>
      <w:r>
        <w:rPr>
          <w:rFonts w:ascii="Times New Roman" w:hAnsi="Times New Roman"/>
          <w:color w:val="000000"/>
          <w:sz w:val="20"/>
        </w:rPr>
        <w:t xml:space="preserve">” </w:t>
      </w:r>
      <w:r>
        <w:rPr>
          <w:rFonts w:ascii="Times New Roman" w:hAnsi="Times New Roman"/>
          <w:color w:val="000000"/>
          <w:sz w:val="24"/>
        </w:rPr>
        <w:t>means each Restricted Subsidiary that, as of the last day of the fiscal quarter of Holdings most recently ended, had net revenues or total assets for such quarter in excess of 5.0% of the consolidated net revenues or consolidated total assets of Holdings and its Restricted Subsidiaries for such quarter.</w:t>
      </w:r>
    </w:p>
    <w:p>
      <w:pPr>
        <w:pStyle w:val="TextBody"/>
        <w:bidi w:val="0"/>
        <w:spacing w:before="0" w:after="240"/>
        <w:jc w:val="both"/>
        <w:rPr/>
      </w:pPr>
      <w:r>
        <w:rPr>
          <w:color w:val="000000"/>
        </w:rPr>
        <w:t>“</w:t>
      </w:r>
      <w:r>
        <w:rPr>
          <w:rFonts w:ascii="Times New Roman" w:hAnsi="Times New Roman"/>
          <w:color w:val="000000"/>
          <w:sz w:val="24"/>
          <w:u w:val="single"/>
        </w:rPr>
        <w:t>Maximum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and any successor to its rating agency business.</w:t>
      </w:r>
    </w:p>
    <w:p>
      <w:pPr>
        <w:pStyle w:val="TextBody"/>
        <w:bidi w:val="0"/>
        <w:spacing w:before="0" w:after="240"/>
        <w:jc w:val="both"/>
        <w:rPr/>
      </w:pPr>
      <w:r>
        <w:rPr>
          <w:color w:val="000000"/>
        </w:rPr>
        <w:t>“</w:t>
      </w:r>
      <w:r>
        <w:rPr>
          <w:rFonts w:ascii="Times New Roman" w:hAnsi="Times New Roman"/>
          <w:color w:val="000000"/>
          <w:sz w:val="24"/>
          <w:u w:val="single"/>
        </w:rPr>
        <w:t>Mortgage</w:t>
      </w:r>
      <w:r>
        <w:rPr>
          <w:rFonts w:ascii="Times New Roman" w:hAnsi="Times New Roman"/>
          <w:color w:val="000000"/>
          <w:sz w:val="20"/>
        </w:rPr>
        <w:t xml:space="preserve">” </w:t>
      </w:r>
      <w:r>
        <w:rPr>
          <w:rFonts w:ascii="Times New Roman" w:hAnsi="Times New Roman"/>
          <w:color w:val="000000"/>
          <w:sz w:val="24"/>
        </w:rPr>
        <w:t>means a mortgage, charge, deed of trust, assignment of leases and rents or other security document granting a Lien on any Mortgaged Property in favor of the Collateral Agent for the benefit of the Secured Parties to secure the Secured Obligations, as the same may be amended, amended and restated, supplemented or otherwise modified from time to time. Each Mortgage shall be in form and substance reasonably satisfactory to the Administrative Agent and the Borrower.</w:t>
      </w:r>
    </w:p>
    <w:p>
      <w:pPr>
        <w:pStyle w:val="TextBody"/>
        <w:bidi w:val="0"/>
        <w:spacing w:before="0" w:after="240"/>
        <w:jc w:val="both"/>
        <w:rPr/>
      </w:pPr>
      <w:r>
        <w:rPr>
          <w:color w:val="000000"/>
        </w:rPr>
        <w:t>“</w:t>
      </w:r>
      <w:r>
        <w:rPr>
          <w:rFonts w:ascii="Times New Roman" w:hAnsi="Times New Roman"/>
          <w:color w:val="000000"/>
          <w:sz w:val="24"/>
          <w:u w:val="single"/>
        </w:rPr>
        <w:t>Mortgaged Property</w:t>
      </w:r>
      <w:r>
        <w:rPr>
          <w:rFonts w:ascii="Times New Roman" w:hAnsi="Times New Roman"/>
          <w:color w:val="000000"/>
          <w:sz w:val="20"/>
        </w:rPr>
        <w:t xml:space="preserve">” </w:t>
      </w:r>
      <w:r>
        <w:rPr>
          <w:rFonts w:ascii="Times New Roman" w:hAnsi="Times New Roman"/>
          <w:color w:val="000000"/>
          <w:sz w:val="24"/>
        </w:rPr>
        <w:t xml:space="preserve">means each parcel of Material Real Property with respect to which a Mortgage will (or is required to be) be granted pursuant to the Collateral and Guarantee Requirement, </w:t>
      </w:r>
      <w:r>
        <w:rPr>
          <w:rFonts w:ascii="Times New Roman" w:hAnsi="Times New Roman"/>
          <w:color w:val="000000"/>
          <w:sz w:val="24"/>
          <w:u w:val="single"/>
        </w:rPr>
        <w:t>Section 5.11</w:t>
      </w:r>
      <w:r>
        <w:rPr>
          <w:rFonts w:ascii="Times New Roman" w:hAnsi="Times New Roman"/>
          <w:color w:val="000000"/>
          <w:sz w:val="24"/>
        </w:rPr>
        <w:t xml:space="preserve">, </w:t>
      </w:r>
      <w:r>
        <w:rPr>
          <w:rFonts w:ascii="Times New Roman" w:hAnsi="Times New Roman"/>
          <w:color w:val="000000"/>
          <w:sz w:val="24"/>
          <w:u w:val="single"/>
        </w:rPr>
        <w:t>Section 5.12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5.14</w:t>
      </w:r>
      <w:r>
        <w:rPr>
          <w:rFonts w:ascii="Times New Roman" w:hAnsi="Times New Roman"/>
          <w:color w:val="000000"/>
          <w:sz w:val="20"/>
        </w:rPr>
        <w:t xml:space="preserve"> </w:t>
      </w:r>
      <w:r>
        <w:rPr>
          <w:rFonts w:ascii="Times New Roman" w:hAnsi="Times New Roman"/>
          <w:color w:val="000000"/>
          <w:sz w:val="24"/>
        </w:rPr>
        <w:t>(if any).</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or Section 3(37) of ERISA (a) to which any Loan Party or their respective ERISA Affiliates is then making or accruing an obligation to make contributions; (b) to which any Loan Party or their respective ERISA Affiliates has within the preceding six (6) plan years made contributions; or (c) with respect to which any Loan Party or their respective ERISA Affiliates could incur material liability.</w:t>
      </w:r>
    </w:p>
    <w:p>
      <w:pPr>
        <w:pStyle w:val="TextBody"/>
        <w:bidi w:val="0"/>
        <w:spacing w:before="0" w:after="240"/>
        <w:jc w:val="both"/>
        <w:rPr/>
      </w:pPr>
      <w:r>
        <w:rPr>
          <w:color w:val="000000"/>
        </w:rPr>
        <w:t>“</w:t>
      </w:r>
      <w:r>
        <w:rPr>
          <w:rFonts w:ascii="Times New Roman" w:hAnsi="Times New Roman"/>
          <w:color w:val="000000"/>
          <w:sz w:val="24"/>
          <w:u w:val="single"/>
        </w:rPr>
        <w:t>Net Proceeds</w:t>
      </w:r>
      <w:r>
        <w:rPr>
          <w:rFonts w:ascii="Times New Roman" w:hAnsi="Times New Roman"/>
          <w:color w:val="000000"/>
          <w:sz w:val="20"/>
        </w:rPr>
        <w:t xml:space="preserve">” </w:t>
      </w:r>
      <w:r>
        <w:rPr>
          <w:rFonts w:ascii="Times New Roman" w:hAnsi="Times New Roman"/>
          <w:color w:val="000000"/>
          <w:sz w:val="24"/>
        </w:rPr>
        <w:t>means, with respect to any event, (a) the proceeds received in respect of such event in cash, including (i) any cash received in respect of any non</w:t>
        <w:noBreakHyphen/>
        <w:t>cash proceeds (including any cash payments received by way of deferred payment of principal pursuant to a note or installment receivable or purchase price adjustment or earn</w:t>
        <w:noBreakHyphen/>
        <w:t>out, but excluding any interest payments), but only as and when received, (ii) in the case of a casualty, insurance proceeds that are actually received, and (iii) in the case of a condemnation or similar event, condemnation awards and similar payments that are actually received, minus (b) the sum of (i) all fees and out</w:t>
        <w:noBreakHyphen/>
        <w:t>of</w:t>
        <w:noBreakHyphen/>
        <w:t>pocket expenses paid by Holdings,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asset (including pursuant to a sale and leaseback transaction or a casualty or a condemnation or similar proceeding), (x) the amount of all payments that are permitted hereunder and are made by Holdings, the Borrower and the Restricted Subsidiaries as a result of such event to repay Indebtedness (other than the Loans or other Indebtedness secured by a Lien that ranks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with or subordinated to the Liens securing the Initial Revolving Facility) secured by such asset or otherwise subject to mandatory prepayment as a result of such event, and (y) the amount of any liabilities directly associated with such asset and retained by the Borrower or any Restricted Subsidiary to the extent of reserves established by the Borrower and the Restricted Subsidiaries to fund such liabilities reasonably estimated to be payable and (iii) the amount of all taxes (including Tax Distributions) paid (or reasonably estimated to be payable), the amount of dividends and other restricted payments that Holdings, the Borrower and/or its Restricted Subsidiaries may make pursuant to </w:t>
      </w:r>
      <w:r>
        <w:rPr>
          <w:rFonts w:ascii="Times New Roman" w:hAnsi="Times New Roman"/>
          <w:color w:val="000000"/>
          <w:sz w:val="24"/>
          <w:u w:val="single"/>
        </w:rPr>
        <w:t>Section 6.07(a)(vii)(A)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as a result of such event, and the amount of any reserves established by Holdings, the Borrower and the Restricted Subsidiaries to fund contingent liabilities reasonably estimated to be payable, that are directly attributable to such event, </w:t>
      </w:r>
      <w:r>
        <w:rPr>
          <w:rFonts w:ascii="Times New Roman" w:hAnsi="Times New Roman"/>
          <w:color w:val="000000"/>
          <w:sz w:val="24"/>
          <w:u w:val="single"/>
        </w:rPr>
        <w:t xml:space="preserve">provided </w:t>
      </w:r>
      <w:r>
        <w:rPr>
          <w:rFonts w:ascii="Times New Roman" w:hAnsi="Times New Roman"/>
          <w:color w:val="000000"/>
          <w:sz w:val="24"/>
        </w:rPr>
        <w:t>that any reduction at any time in the amount of any such reserves (other than as a result of payments made in respect thereof) shall be deemed to constitute the receipt by the Borrower at such time of Net Proceeds in the amount of such reduction.</w:t>
      </w:r>
    </w:p>
    <w:p>
      <w:pPr>
        <w:pStyle w:val="TextBody"/>
        <w:bidi w:val="0"/>
        <w:spacing w:before="0" w:after="240"/>
        <w:jc w:val="both"/>
        <w:rPr/>
      </w:pPr>
      <w:r>
        <w:rPr>
          <w:color w:val="000000"/>
        </w:rPr>
        <w:t>“</w:t>
      </w:r>
      <w:r>
        <w:rPr>
          <w:rFonts w:ascii="Times New Roman" w:hAnsi="Times New Roman"/>
          <w:color w:val="000000"/>
          <w:sz w:val="24"/>
          <w:u w:val="single"/>
        </w:rPr>
        <w:t>Non</w:t>
        <w:noBreakHyphen/>
        <w:t>Cash Charges</w:t>
      </w:r>
      <w:r>
        <w:rPr>
          <w:rFonts w:ascii="Times New Roman" w:hAnsi="Times New Roman"/>
          <w:color w:val="000000"/>
          <w:sz w:val="20"/>
        </w:rPr>
        <w:t xml:space="preserve">” </w:t>
      </w:r>
      <w:r>
        <w:rPr>
          <w:rFonts w:ascii="Times New Roman" w:hAnsi="Times New Roman"/>
          <w:color w:val="000000"/>
          <w:sz w:val="24"/>
        </w:rPr>
        <w:t>means (a) any impairment charge or asset write</w:t>
        <w:noBreakHyphen/>
        <w:t>off or write</w:t>
        <w:noBreakHyphen/>
        <w:t>down related to intangible assets (including goodwill), long</w:t>
        <w:noBreakHyphen/>
        <w:t>lived assets, and Investments in debt and equity securities pursuant to GAAP, (b) all losses from Investments recorded using the equity method, (c) all Non</w:t>
        <w:noBreakHyphen/>
        <w:t>Cash Compensation Expenses, (d) depreciation and amortization including amortization or impairment of intangibles (including goodwill) (including, without limitation, as they relate to amortization of deferred financing fees or costs, Capitalized Software Expenditures and amortization of unrecognized prior service costs and actuarial gains and losses related to pension and other post</w:t>
        <w:noBreakHyphen/>
        <w:t>employment benefits) and (e) other non</w:t>
        <w:noBreakHyphen/>
        <w:t>cash charges, expenses and losses, including, without limitation, any non</w:t>
        <w:noBreakHyphen/>
        <w:t>cash translation loss and non</w:t>
        <w:noBreakHyphen/>
        <w:t>cash expense relating to the vesting of warrants, non</w:t>
        <w:noBreakHyphen/>
        <w:t>cash asset write</w:t>
        <w:noBreakHyphen/>
        <w:t>offs or write</w:t>
        <w:noBreakHyphen/>
        <w:t>downs, non</w:t>
        <w:noBreakHyphen/>
        <w:t>cash write offs of debt discounts and debt incurrences, non</w:t>
        <w:noBreakHyphen/>
        <w:t>cash costs and commissions, non</w:t>
        <w:noBreakHyphen/>
        <w:t>cash discounts and other non</w:t>
        <w:noBreakHyphen/>
        <w:t xml:space="preserve">cash fees and charges with respect to Indebtedness, interest rate protection and other hedging agreements, </w:t>
      </w:r>
      <w:r>
        <w:rPr>
          <w:rFonts w:ascii="Times New Roman" w:hAnsi="Times New Roman"/>
          <w:color w:val="000000"/>
          <w:sz w:val="24"/>
          <w:u w:val="single"/>
        </w:rPr>
        <w:t>provided</w:t>
      </w:r>
      <w:r>
        <w:rPr>
          <w:rFonts w:ascii="Times New Roman" w:hAnsi="Times New Roman"/>
          <w:color w:val="000000"/>
          <w:sz w:val="24"/>
        </w:rPr>
        <w:t>, in each case, that if any non</w:t>
        <w:noBreakHyphen/>
        <w:t>cash charges added back pursuant to clause (a)(iii) of the definition of “Consolidated EBITDA” represent an accrual or reserve for potential cash items in any future period to the extent the Borrower elects to include such non</w:t>
        <w:noBreakHyphen/>
        <w:t>cash charges, the cash payment in respect thereof in such future period shall be subtracted from Consolidated EBITDA to such extent.</w:t>
      </w:r>
    </w:p>
    <w:p>
      <w:pPr>
        <w:pStyle w:val="TextBody"/>
        <w:bidi w:val="0"/>
        <w:spacing w:before="0" w:after="240"/>
        <w:jc w:val="both"/>
        <w:rPr/>
      </w:pPr>
      <w:r>
        <w:rPr>
          <w:color w:val="000000"/>
        </w:rPr>
        <w:t>“</w:t>
      </w:r>
      <w:r>
        <w:rPr>
          <w:rFonts w:ascii="Times New Roman" w:hAnsi="Times New Roman"/>
          <w:color w:val="000000"/>
          <w:sz w:val="24"/>
          <w:u w:val="single"/>
        </w:rPr>
        <w:t>Non</w:t>
        <w:noBreakHyphen/>
        <w:t>Cash Compensation Expense</w:t>
      </w:r>
      <w:r>
        <w:rPr>
          <w:rFonts w:ascii="Times New Roman" w:hAnsi="Times New Roman"/>
          <w:color w:val="000000"/>
          <w:sz w:val="20"/>
        </w:rPr>
        <w:t xml:space="preserve">” </w:t>
      </w:r>
      <w:r>
        <w:rPr>
          <w:rFonts w:ascii="Times New Roman" w:hAnsi="Times New Roman"/>
          <w:color w:val="000000"/>
          <w:sz w:val="24"/>
        </w:rPr>
        <w:t>means any non</w:t>
        <w:noBreakHyphen/>
        <w:t>cash expenses and costs that result from the issuance of stock</w:t>
        <w:noBreakHyphen/>
        <w:t>based awards, partnership interest</w:t>
        <w:noBreakHyphen/>
        <w:t>based awards and similar incentive based compensation awards or arrangements.</w:t>
      </w:r>
    </w:p>
    <w:p>
      <w:pPr>
        <w:pStyle w:val="TextBody"/>
        <w:bidi w:val="0"/>
        <w:spacing w:before="0" w:after="240"/>
        <w:jc w:val="both"/>
        <w:rPr/>
      </w:pPr>
      <w:r>
        <w:rPr>
          <w:color w:val="000000"/>
        </w:rPr>
        <w:t>“</w:t>
      </w:r>
      <w:r>
        <w:rPr>
          <w:rFonts w:ascii="Times New Roman" w:hAnsi="Times New Roman"/>
          <w:color w:val="000000"/>
          <w:sz w:val="24"/>
          <w:u w:val="single"/>
        </w:rPr>
        <w:t>Non-Conforming Plan of Reorganization</w:t>
      </w:r>
      <w:r>
        <w:rPr>
          <w:rFonts w:ascii="Times New Roman" w:hAnsi="Times New Roman"/>
          <w:color w:val="000000"/>
          <w:sz w:val="20"/>
        </w:rPr>
        <w:t xml:space="preserve">” </w:t>
      </w:r>
      <w:r>
        <w:rPr>
          <w:rFonts w:ascii="Times New Roman" w:hAnsi="Times New Roman"/>
          <w:color w:val="000000"/>
          <w:sz w:val="24"/>
        </w:rPr>
        <w:t xml:space="preserve">means any plan of reorganization that (x) does not provide for payments pursuant to such plan of reorganization in respect of the Secured Obligations to be made in full in cash with the priority specified in </w:t>
      </w:r>
      <w:r>
        <w:rPr>
          <w:rFonts w:ascii="Times New Roman" w:hAnsi="Times New Roman"/>
          <w:color w:val="000000"/>
          <w:sz w:val="24"/>
          <w:u w:val="single"/>
        </w:rPr>
        <w:t>Section 2.18(b)</w:t>
      </w:r>
      <w:r>
        <w:rPr>
          <w:rFonts w:ascii="Times New Roman" w:hAnsi="Times New Roman"/>
          <w:color w:val="000000"/>
          <w:sz w:val="20"/>
        </w:rPr>
        <w:t xml:space="preserve"> </w:t>
      </w:r>
      <w:r>
        <w:rPr>
          <w:rFonts w:ascii="Times New Roman" w:hAnsi="Times New Roman"/>
          <w:color w:val="000000"/>
          <w:sz w:val="24"/>
        </w:rPr>
        <w:t xml:space="preserve">on the effective date of such plan of reorganization or (y) otherwise provides for any distribution of value inconsistent with </w:t>
      </w:r>
      <w:r>
        <w:rPr>
          <w:rFonts w:ascii="Times New Roman" w:hAnsi="Times New Roman"/>
          <w:color w:val="000000"/>
          <w:sz w:val="24"/>
          <w:u w:val="single"/>
        </w:rPr>
        <w:t>Section 2.18(b)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Non</w:t>
        <w:noBreakHyphen/>
        <w:t>Consenting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9.02(c)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w:t>
        <w:noBreakHyphen/>
        <w:t>Refinancing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2.21(b)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w:t>
        <w:noBreakHyphen/>
        <w:t>Wholly Owned Subsidiary</w:t>
      </w:r>
      <w:r>
        <w:rPr>
          <w:rFonts w:ascii="Times New Roman" w:hAnsi="Times New Roman"/>
          <w:color w:val="000000"/>
          <w:sz w:val="20"/>
        </w:rPr>
        <w:t xml:space="preserve">” </w:t>
      </w:r>
      <w:r>
        <w:rPr>
          <w:rFonts w:ascii="Times New Roman" w:hAnsi="Times New Roman"/>
          <w:color w:val="000000"/>
          <w:sz w:val="24"/>
        </w:rPr>
        <w:t>of any Person means any subsidiary of such Person other than a Wholly Owned Subsidiary.</w:t>
      </w:r>
    </w:p>
    <w:p>
      <w:pPr>
        <w:pStyle w:val="TextBody"/>
        <w:bidi w:val="0"/>
        <w:spacing w:before="0" w:after="240"/>
        <w:jc w:val="both"/>
        <w:rPr/>
      </w:pPr>
      <w:r>
        <w:rPr>
          <w:color w:val="000000"/>
        </w:rPr>
        <w:t>“</w:t>
      </w:r>
      <w:r>
        <w:rPr>
          <w:rFonts w:ascii="Times New Roman" w:hAnsi="Times New Roman"/>
          <w:color w:val="000000"/>
          <w:sz w:val="24"/>
          <w:u w:val="single"/>
        </w:rPr>
        <w:t>Note</w:t>
      </w:r>
      <w:r>
        <w:rPr>
          <w:rFonts w:ascii="Times New Roman" w:hAnsi="Times New Roman"/>
          <w:color w:val="000000"/>
          <w:sz w:val="20"/>
        </w:rPr>
        <w:t xml:space="preserve">” </w:t>
      </w:r>
      <w:r>
        <w:rPr>
          <w:rFonts w:ascii="Times New Roman" w:hAnsi="Times New Roman"/>
          <w:color w:val="000000"/>
          <w:sz w:val="24"/>
        </w:rPr>
        <w:t xml:space="preserve">means a promissory note of the Borrower, in substantially the form of </w:t>
      </w:r>
      <w:r>
        <w:rPr>
          <w:rFonts w:ascii="Times New Roman" w:hAnsi="Times New Roman"/>
          <w:color w:val="000000"/>
          <w:sz w:val="24"/>
          <w:u w:val="single"/>
        </w:rPr>
        <w:t>Exhibit I</w:t>
      </w:r>
      <w:r>
        <w:rPr>
          <w:rFonts w:ascii="Times New Roman" w:hAnsi="Times New Roman"/>
          <w:color w:val="000000"/>
          <w:sz w:val="24"/>
        </w:rPr>
        <w:t>, payable to a Lender in a principal amount equal to the principal amount of the Revolving Commitment or Swing Line Sublimit, as applicable, of such Lender.</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means the Office of Foreign Assets Control of the U.S. Department of the Treasury.</w:t>
      </w:r>
    </w:p>
    <w:p>
      <w:pPr>
        <w:pStyle w:val="TextBody"/>
        <w:bidi w:val="0"/>
        <w:spacing w:before="0" w:after="240"/>
        <w:jc w:val="both"/>
        <w:rPr/>
      </w:pPr>
      <w:r>
        <w:rPr>
          <w:color w:val="000000"/>
        </w:rPr>
        <w:t>“</w:t>
      </w:r>
      <w:r>
        <w:rPr>
          <w:rFonts w:ascii="Times New Roman" w:hAnsi="Times New Roman"/>
          <w:color w:val="000000"/>
          <w:sz w:val="24"/>
          <w:u w:val="single"/>
        </w:rPr>
        <w:t>Organizational Documents</w:t>
      </w:r>
      <w:r>
        <w:rPr>
          <w:rFonts w:ascii="Times New Roman" w:hAnsi="Times New Roman"/>
          <w:color w:val="000000"/>
          <w:sz w:val="20"/>
        </w:rPr>
        <w:t xml:space="preserve">” </w:t>
      </w:r>
      <w:r>
        <w:rPr>
          <w:rFonts w:ascii="Times New Roman" w:hAnsi="Times New Roman"/>
          <w:color w:val="000000"/>
          <w:sz w:val="24"/>
        </w:rPr>
        <w:t>means, with respect to any Person, the charter, articles or certificate of organization or incorporation and bylaws or other organizational, constitutional or governing documents of such Person (including any certificates of incorporation and/or certificates of incorporation on a change of name).</w:t>
      </w:r>
    </w:p>
    <w:p>
      <w:pPr>
        <w:pStyle w:val="TextBody"/>
        <w:bidi w:val="0"/>
        <w:spacing w:before="0" w:after="240"/>
        <w:jc w:val="both"/>
        <w:rPr/>
      </w:pPr>
      <w:r>
        <w:rPr>
          <w:color w:val="000000"/>
        </w:rPr>
        <w:t>“</w:t>
      </w:r>
      <w:r>
        <w:rPr>
          <w:rFonts w:ascii="Times New Roman" w:hAnsi="Times New Roman"/>
          <w:color w:val="000000"/>
          <w:sz w:val="24"/>
          <w:u w:val="single"/>
        </w:rPr>
        <w:t>Original Closing Date</w:t>
      </w:r>
      <w:r>
        <w:rPr>
          <w:rFonts w:ascii="Times New Roman" w:hAnsi="Times New Roman"/>
          <w:color w:val="000000"/>
          <w:sz w:val="20"/>
        </w:rPr>
        <w:t xml:space="preserve">” </w:t>
      </w:r>
      <w:r>
        <w:rPr>
          <w:rFonts w:ascii="Times New Roman" w:hAnsi="Times New Roman"/>
          <w:color w:val="000000"/>
          <w:sz w:val="24"/>
        </w:rPr>
        <w:t>means June 30, 2017.</w:t>
      </w:r>
    </w:p>
    <w:p>
      <w:pPr>
        <w:pStyle w:val="TextBody"/>
        <w:bidi w:val="0"/>
        <w:spacing w:before="0" w:after="240"/>
        <w:jc w:val="both"/>
        <w:rPr/>
      </w:pPr>
      <w:r>
        <w:rPr>
          <w:color w:val="000000"/>
        </w:rPr>
        <w:t>“</w:t>
      </w:r>
      <w:r>
        <w:rPr>
          <w:rFonts w:ascii="Times New Roman" w:hAnsi="Times New Roman"/>
          <w:color w:val="000000"/>
          <w:sz w:val="24"/>
          <w:u w:val="single"/>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color w:val="000000"/>
          <w:sz w:val="24"/>
          <w:u w:val="single"/>
        </w:rPr>
        <w:t>Other Revolving Commitments</w:t>
      </w:r>
      <w:r>
        <w:rPr>
          <w:rFonts w:ascii="Times New Roman" w:hAnsi="Times New Roman"/>
          <w:color w:val="000000"/>
          <w:sz w:val="20"/>
        </w:rPr>
        <w:t xml:space="preserve">” </w:t>
      </w:r>
      <w:r>
        <w:rPr>
          <w:rFonts w:ascii="Times New Roman" w:hAnsi="Times New Roman"/>
          <w:color w:val="000000"/>
          <w:sz w:val="24"/>
        </w:rPr>
        <w:t>means one or more Classes of Revolving Commitments hereunder or extended Revolving Commitments that result from a Refinancing Amendment.</w:t>
      </w:r>
    </w:p>
    <w:p>
      <w:pPr>
        <w:pStyle w:val="TextBody"/>
        <w:bidi w:val="0"/>
        <w:spacing w:before="0" w:after="240"/>
        <w:jc w:val="both"/>
        <w:rPr/>
      </w:pPr>
      <w:r>
        <w:rPr>
          <w:color w:val="000000"/>
        </w:rPr>
        <w:t>“</w:t>
      </w:r>
      <w:r>
        <w:rPr>
          <w:rFonts w:ascii="Times New Roman" w:hAnsi="Times New Roman"/>
          <w:color w:val="000000"/>
          <w:sz w:val="24"/>
          <w:u w:val="single"/>
        </w:rPr>
        <w:t>Other Revolving Loans</w:t>
      </w:r>
      <w:r>
        <w:rPr>
          <w:rFonts w:ascii="Times New Roman" w:hAnsi="Times New Roman"/>
          <w:color w:val="000000"/>
          <w:sz w:val="20"/>
        </w:rPr>
        <w:t xml:space="preserve">” </w:t>
      </w:r>
      <w:r>
        <w:rPr>
          <w:rFonts w:ascii="Times New Roman" w:hAnsi="Times New Roman"/>
          <w:color w:val="000000"/>
          <w:sz w:val="24"/>
        </w:rPr>
        <w:t>means one or more classes of Revolving Loans made pursuant to any Other Revolving Commitment.</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 xml:space="preserve">means any and all present or future recording, filing, stamp, court, registration duties, documentary, intangible, excise, transfer, sales, property or similar Taxes, charges or levies arising from any payment made under any Loan Document or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assignment pursuant to </w:t>
      </w:r>
      <w:r>
        <w:rPr>
          <w:rFonts w:ascii="Times New Roman" w:hAnsi="Times New Roman"/>
          <w:color w:val="000000"/>
          <w:sz w:val="24"/>
          <w:u w:val="single"/>
        </w:rPr>
        <w:t>Section 2.19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Other Term Commitments</w:t>
      </w:r>
      <w:r>
        <w:rPr>
          <w:rFonts w:ascii="Times New Roman" w:hAnsi="Times New Roman"/>
          <w:color w:val="000000"/>
          <w:sz w:val="20"/>
        </w:rPr>
        <w:t xml:space="preserve">” </w:t>
      </w:r>
      <w:r>
        <w:rPr>
          <w:rFonts w:ascii="Times New Roman" w:hAnsi="Times New Roman"/>
          <w:color w:val="000000"/>
          <w:sz w:val="24"/>
        </w:rPr>
        <w:t>means one or more Classes of term loan commitments hereunder that result from a Refinancing Amendment.</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Other Term Loans</w:t>
      </w:r>
      <w:r>
        <w:rPr>
          <w:rFonts w:ascii="Times New Roman" w:hAnsi="Times New Roman"/>
          <w:color w:val="000000"/>
          <w:sz w:val="20"/>
        </w:rPr>
        <w:t xml:space="preserve">” </w:t>
      </w:r>
      <w:r>
        <w:rPr>
          <w:rFonts w:ascii="Times New Roman" w:hAnsi="Times New Roman"/>
          <w:color w:val="000000"/>
          <w:sz w:val="24"/>
        </w:rPr>
        <w:t>means one or more Classes of Term Loans that result from a Refinancing Amendment.</w:t>
      </w:r>
    </w:p>
    <w:p>
      <w:pPr>
        <w:pStyle w:val="TextBody"/>
        <w:bidi w:val="0"/>
        <w:spacing w:before="0" w:after="240"/>
        <w:jc w:val="both"/>
        <w:rPr/>
      </w:pPr>
      <w:r>
        <w:rPr>
          <w:color w:val="000000"/>
        </w:rPr>
        <w:t>“</w:t>
      </w:r>
      <w:r>
        <w:rPr>
          <w:rFonts w:ascii="Times New Roman" w:hAnsi="Times New Roman"/>
          <w:color w:val="000000"/>
          <w:sz w:val="24"/>
          <w:u w:val="single"/>
        </w:rPr>
        <w:t>Outstanding Amount</w:t>
      </w:r>
      <w:r>
        <w:rPr>
          <w:rFonts w:ascii="Times New Roman" w:hAnsi="Times New Roman"/>
          <w:color w:val="000000"/>
          <w:sz w:val="20"/>
        </w:rPr>
        <w:t xml:space="preserve">” </w:t>
      </w:r>
      <w:r>
        <w:rPr>
          <w:rFonts w:ascii="Times New Roman" w:hAnsi="Times New Roman"/>
          <w:color w:val="000000"/>
          <w:sz w:val="24"/>
        </w:rPr>
        <w:t>means (a) with respect to the Revolving Loans and Swing Line Loans on any date, the outstanding principal amount thereof after giving effect to any borrowings and prepayments or repayments of Revolving Loans (including any refinancing of outstanding unpaid drawings under Letters of Credit or LC Credit Extensions as a Borrowing of Revolving Loans) and Swing Line Loans, as the case may be, occurring on such date; and (b) with respect to any LC Exposure on any date, the outstanding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Borrowing of Revolving Loan) or any reductions in the maximum amount available for drawing under Letters of Credit taking effect on such date.</w:t>
      </w:r>
    </w:p>
    <w:p>
      <w:pPr>
        <w:pStyle w:val="TextBody"/>
        <w:bidi w:val="0"/>
        <w:spacing w:before="0" w:after="240"/>
        <w:jc w:val="both"/>
        <w:rPr/>
      </w:pPr>
      <w:r>
        <w:rPr>
          <w:color w:val="000000"/>
        </w:rPr>
        <w:t>“</w:t>
      </w:r>
      <w:r>
        <w:rPr>
          <w:rFonts w:ascii="Times New Roman" w:hAnsi="Times New Roman"/>
          <w:color w:val="000000"/>
          <w:sz w:val="24"/>
          <w:u w:val="single"/>
        </w:rPr>
        <w:t>Overnight Rate</w:t>
      </w:r>
      <w:r>
        <w:rPr>
          <w:rFonts w:ascii="Times New Roman" w:hAnsi="Times New Roman"/>
          <w:color w:val="000000"/>
          <w:sz w:val="20"/>
        </w:rPr>
        <w:t xml:space="preserve">” </w:t>
      </w:r>
      <w:r>
        <w:rPr>
          <w:rFonts w:ascii="Times New Roman" w:hAnsi="Times New Roman"/>
          <w:color w:val="000000"/>
          <w:sz w:val="24"/>
        </w:rPr>
        <w:t>means, for any day, the greater of the Federal Funds Effective Rate and an overnight rate determined by the Administrative Agent in accordance with banking industry rules on interbank compensation.</w:t>
      </w:r>
    </w:p>
    <w:p>
      <w:pPr>
        <w:pStyle w:val="TextBody"/>
        <w:bidi w:val="0"/>
        <w:spacing w:before="0" w:after="240"/>
        <w:jc w:val="both"/>
        <w:rPr/>
      </w:pPr>
      <w:r>
        <w:rPr>
          <w:color w:val="000000"/>
        </w:rPr>
        <w:t>“</w:t>
      </w:r>
      <w:r>
        <w:rPr>
          <w:rFonts w:ascii="Times New Roman" w:hAnsi="Times New Roman"/>
          <w:color w:val="000000"/>
          <w:sz w:val="24"/>
          <w:u w:val="single"/>
        </w:rPr>
        <w:t>Pari Passu Intercreditor Agreement</w:t>
      </w:r>
      <w:r>
        <w:rPr>
          <w:rFonts w:ascii="Times New Roman" w:hAnsi="Times New Roman"/>
          <w:color w:val="000000"/>
          <w:sz w:val="20"/>
        </w:rPr>
        <w:t xml:space="preserve">” </w:t>
      </w:r>
      <w:r>
        <w:rPr>
          <w:rFonts w:ascii="Times New Roman" w:hAnsi="Times New Roman"/>
          <w:color w:val="000000"/>
          <w:sz w:val="24"/>
        </w:rPr>
        <w:t xml:space="preserve">means the Pari Passu Intercreditor Agreement substantially in the form of </w:t>
      </w:r>
      <w:r>
        <w:rPr>
          <w:rFonts w:ascii="Times New Roman" w:hAnsi="Times New Roman"/>
          <w:color w:val="000000"/>
          <w:sz w:val="24"/>
          <w:u w:val="single"/>
        </w:rPr>
        <w:t>Exhibit E</w:t>
        <w:noBreakHyphen/>
        <w:t>1</w:t>
      </w:r>
      <w:r>
        <w:rPr>
          <w:rFonts w:ascii="Times New Roman" w:hAnsi="Times New Roman"/>
          <w:color w:val="000000"/>
          <w:sz w:val="20"/>
        </w:rPr>
        <w:t xml:space="preserve"> </w:t>
      </w:r>
      <w:r>
        <w:rPr>
          <w:rFonts w:ascii="Times New Roman" w:hAnsi="Times New Roman"/>
          <w:color w:val="000000"/>
          <w:sz w:val="24"/>
        </w:rPr>
        <w:t xml:space="preserve">among the Administrative Agent and one or more Senior Representatives for holders of Indebtedness permitted by this Agreement to be secured by the Collateral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basis (but without regard to the control of remedies) with the Liens securing the Initial Revolving Facility, with such modifications thereto as the Administrative Agent and the Borrower may reasonably agree.</w:t>
      </w:r>
    </w:p>
    <w:p>
      <w:pPr>
        <w:pStyle w:val="TextBody"/>
        <w:bidi w:val="0"/>
        <w:spacing w:before="0" w:after="240"/>
        <w:jc w:val="both"/>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9.04(c)(i)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9.04(c)(ii)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Patents</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w:t>
      </w:r>
    </w:p>
    <w:p>
      <w:pPr>
        <w:pStyle w:val="TextBody"/>
        <w:bidi w:val="0"/>
        <w:spacing w:before="0" w:after="240"/>
        <w:jc w:val="both"/>
        <w:rPr/>
      </w:pPr>
      <w:r>
        <w:rPr>
          <w:color w:val="000000"/>
        </w:rPr>
        <w:t>“</w:t>
      </w:r>
      <w:r>
        <w:rPr>
          <w:rFonts w:ascii="Times New Roman" w:hAnsi="Times New Roman"/>
          <w:color w:val="000000"/>
          <w:sz w:val="24"/>
          <w:u w:val="single"/>
        </w:rPr>
        <w:t>Payables Report</w:t>
      </w:r>
      <w:r>
        <w:rPr>
          <w:rFonts w:ascii="Times New Roman" w:hAnsi="Times New Roman"/>
          <w:color w:val="000000"/>
          <w:sz w:val="20"/>
        </w:rPr>
        <w:t xml:space="preserve">” </w:t>
      </w:r>
      <w:r>
        <w:rPr>
          <w:rFonts w:ascii="Times New Roman" w:hAnsi="Times New Roman"/>
          <w:color w:val="000000"/>
          <w:sz w:val="24"/>
        </w:rPr>
        <w:t>means, with respect to any Payables Report being delivered “as of and for” a certain date, a report prepared by the Borrower that sets forth (i) a list of all invoices in respect of supplier payables that have been issued to the Vegas Group and remain unpaid and outstanding as of such date, including the amounts and due dates thereof, and (ii) the aggregate amount of all uninvoiced supplier payables of the Vegas Group that remain unpaid and outstanding as of such date categorized by event month in respect of such payables (it being understood that no individual listings of payables shall be required in respect of this clause (ii)).</w:t>
      </w:r>
    </w:p>
    <w:p>
      <w:pPr>
        <w:pStyle w:val="TextBody"/>
        <w:bidi w:val="0"/>
        <w:spacing w:before="0" w:after="240"/>
        <w:jc w:val="both"/>
        <w:rPr/>
      </w:pPr>
      <w:r>
        <w:rPr>
          <w:color w:val="000000"/>
        </w:rPr>
        <w:t>“</w:t>
      </w:r>
      <w:r>
        <w:rPr>
          <w:rFonts w:ascii="Times New Roman" w:hAnsi="Times New Roman"/>
          <w:color w:val="000000"/>
          <w:sz w:val="24"/>
          <w:u w:val="single"/>
        </w:rPr>
        <w:t>Payment in Full</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Paid in Full</w:t>
      </w:r>
      <w:r>
        <w:rPr>
          <w:rFonts w:ascii="Times New Roman" w:hAnsi="Times New Roman"/>
          <w:color w:val="000000"/>
          <w:sz w:val="20"/>
        </w:rPr>
        <w:t xml:space="preserve">” </w:t>
      </w:r>
      <w:r>
        <w:rPr>
          <w:rFonts w:ascii="Times New Roman" w:hAnsi="Times New Roman"/>
          <w:color w:val="000000"/>
          <w:sz w:val="24"/>
        </w:rPr>
        <w:t>means, with respect to any Secured Obligations, the date on which such Secured Obligations have been finally and irrevocably paid in full in cash (including, without limitation, all such amounts consisting of all interest, fees, expenses, costs (including rights to reimbursement for costs and expenses), premiums, prepayment premium, make-whole, indemnities, other charges and all other amounts in respect of the foregoing), other than (i) contingent indemnification and reimbursement obligations to the extent no claim giving rise thereto has been asserted in writing, (ii) obligations and liabilities under Secured Cash Management Obligations not yet due and payable, (iii) obligations and liabilities under Secured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Swap Obligations not yet due and payable and (iv) Letters of Credit that have been cash collateralized or backstopped by an institution or otherwise pursuant to arrangements reasonably satisfactory to the applicable Issuing Bank). The term “</w:t>
      </w:r>
      <w:r>
        <w:rPr>
          <w:rFonts w:ascii="Times New Roman" w:hAnsi="Times New Roman"/>
          <w:color w:val="000000"/>
          <w:sz w:val="24"/>
          <w:u w:val="single"/>
        </w:rPr>
        <w:t>Discharged</w:t>
      </w:r>
      <w:r>
        <w:rPr>
          <w:rFonts w:ascii="Times New Roman" w:hAnsi="Times New Roman"/>
          <w:color w:val="000000"/>
          <w:sz w:val="20"/>
        </w:rPr>
        <w:t xml:space="preserve">” </w:t>
      </w:r>
      <w:r>
        <w:rPr>
          <w:rFonts w:ascii="Times New Roman" w:hAnsi="Times New Roman"/>
          <w:color w:val="000000"/>
          <w:sz w:val="24"/>
        </w:rPr>
        <w:t>shall have a corresponding meaning.</w:t>
      </w:r>
    </w:p>
    <w:p>
      <w:pPr>
        <w:pStyle w:val="TextBody"/>
        <w:bidi w:val="0"/>
        <w:spacing w:before="0" w:after="240"/>
        <w:jc w:val="both"/>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color w:val="000000"/>
          <w:sz w:val="24"/>
          <w:u w:val="single"/>
        </w:rPr>
        <w:t>Perfection Certificate</w:t>
      </w:r>
      <w:r>
        <w:rPr>
          <w:rFonts w:ascii="Times New Roman" w:hAnsi="Times New Roman"/>
          <w:color w:val="000000"/>
          <w:sz w:val="20"/>
        </w:rPr>
        <w:t xml:space="preserve">” </w:t>
      </w:r>
      <w:r>
        <w:rPr>
          <w:rFonts w:ascii="Times New Roman" w:hAnsi="Times New Roman"/>
          <w:color w:val="000000"/>
          <w:sz w:val="24"/>
        </w:rPr>
        <w:t xml:space="preserve">means a certificate executed by a Responsible Officer of the applicable Loan Party in a form substantially consistent with </w:t>
      </w:r>
      <w:r>
        <w:rPr>
          <w:rFonts w:ascii="Times New Roman" w:hAnsi="Times New Roman"/>
          <w:color w:val="000000"/>
          <w:sz w:val="24"/>
          <w:u w:val="single"/>
        </w:rPr>
        <w:t>Exhibit 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Permitted Acquisition</w:t>
      </w:r>
      <w:r>
        <w:rPr>
          <w:rFonts w:ascii="Times New Roman" w:hAnsi="Times New Roman"/>
          <w:color w:val="000000"/>
          <w:sz w:val="20"/>
        </w:rPr>
        <w:t xml:space="preserve">” </w:t>
      </w:r>
      <w:r>
        <w:rPr>
          <w:rFonts w:ascii="Times New Roman" w:hAnsi="Times New Roman"/>
          <w:color w:val="000000"/>
          <w:sz w:val="24"/>
        </w:rPr>
        <w:t xml:space="preserve">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 w:hAnsi="Times New Roman"/>
          <w:color w:val="000000"/>
          <w:sz w:val="24"/>
          <w:u w:val="single"/>
        </w:rPr>
        <w:t xml:space="preserve">provided </w:t>
      </w:r>
      <w:r>
        <w:rPr>
          <w:rFonts w:ascii="Times New Roman" w:hAnsi="Times New Roman"/>
          <w:color w:val="000000"/>
          <w:sz w:val="24"/>
        </w:rPr>
        <w:t xml:space="preserve">that (a) in the case of any purchase or other acquisition of Equity Interests of another Person, (i) such Person, upon the consummation of such purchase or acquisition, will be a Wholly-Owned Subsidiary of the Borrower (including as a result of a merger, amalgamation or consolidation between any Subsidiary and such Person), or (ii) such Person is merged or amalgamated into or consolidated with a Subsidiary Loan Party and such Subsidiary Loan Party is the surviving entity of such merger, amalgamation or consolidation, (b) the business of such Person, or such assets, as the case may be, constitute a business permitted by </w:t>
      </w:r>
      <w:r>
        <w:rPr>
          <w:rFonts w:ascii="Times New Roman" w:hAnsi="Times New Roman"/>
          <w:color w:val="000000"/>
          <w:sz w:val="24"/>
          <w:u w:val="single"/>
        </w:rPr>
        <w:t>Section 5.16</w:t>
      </w:r>
      <w:r>
        <w:rPr>
          <w:rFonts w:ascii="Times New Roman" w:hAnsi="Times New Roman"/>
          <w:color w:val="000000"/>
          <w:sz w:val="24"/>
        </w:rPr>
        <w:t>,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an Excluded Subsidiary), (d) Consolidated EBITDA of such Person (after giving effect to any adjustments and add</w:t>
        <w:noBreakHyphen/>
        <w:t>backs in accordance with the definitions of “Consolidated EBITDA” and “Consolidated Net Income”) shall be greater than $0 for the most recently ended twelve</w:t>
        <w:noBreakHyphen/>
        <w:t>month period for which financials are available immediately preceding the date on which the relevant binding agreement has been executed and delivered, (e) after giving effect to any such purchase or other acquisition, no Event of Default shall have occurred and be continuing, (f) such acquisition shall not be hostile, (g) if applicable, such acquisition shall have been approved by the Board of Directors and/or the stockholders or other equityholders of such Person or, if applicable, pursuant to a sale order approved by a bankruptcy court and (h) such Person does not have any Subsidiaries that are not Wholly-Owned Subsidiaries.</w:t>
      </w:r>
    </w:p>
    <w:p>
      <w:pPr>
        <w:pStyle w:val="TextBody"/>
        <w:bidi w:val="0"/>
        <w:spacing w:before="0" w:after="240"/>
        <w:jc w:val="both"/>
        <w:rPr/>
      </w:pPr>
      <w:r>
        <w:rPr>
          <w:color w:val="000000"/>
        </w:rPr>
        <w:t>“</w:t>
      </w:r>
      <w:r>
        <w:rPr>
          <w:rFonts w:ascii="Times New Roman" w:hAnsi="Times New Roman"/>
          <w:color w:val="000000"/>
          <w:sz w:val="24"/>
          <w:u w:val="single"/>
        </w:rPr>
        <w:t>Permitted Encumbrances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Liens for Taxes, assessments or governmental charges that are not overdue for a period of more than thirty (30) days or that are not required to be paid pursuant to </w:t>
      </w:r>
      <w:r>
        <w:rPr>
          <w:rFonts w:ascii="Times New Roman" w:hAnsi="Times New Roman"/>
          <w:color w:val="000000"/>
          <w:sz w:val="24"/>
          <w:u w:val="single"/>
        </w:rPr>
        <w:t>Section 5.05</w:t>
      </w:r>
      <w:r>
        <w:rPr>
          <w:rFonts w:ascii="Times New Roman" w:hAnsi="Times New Roman"/>
          <w:color w:val="000000"/>
          <w:sz w:val="20"/>
        </w:rPr>
        <w:t xml:space="preserve"> </w:t>
      </w:r>
      <w:r>
        <w:rPr>
          <w:rFonts w:ascii="Times New Roman" w:hAnsi="Times New Roman"/>
          <w:color w:val="000000"/>
          <w:sz w:val="24"/>
        </w:rPr>
        <w:t xml:space="preserve">(assuming </w:t>
      </w:r>
      <w:r>
        <w:rPr>
          <w:rFonts w:ascii="Times New Roman" w:hAnsi="Times New Roman"/>
          <w:color w:val="000000"/>
          <w:sz w:val="24"/>
          <w:u w:val="single"/>
        </w:rPr>
        <w:t>Section 5.05</w:t>
      </w:r>
      <w:r>
        <w:rPr>
          <w:rFonts w:ascii="Times New Roman" w:hAnsi="Times New Roman"/>
          <w:color w:val="000000"/>
          <w:sz w:val="20"/>
        </w:rPr>
        <w:t xml:space="preserve"> </w:t>
      </w:r>
      <w:r>
        <w:rPr>
          <w:rFonts w:ascii="Times New Roman" w:hAnsi="Times New Roman"/>
          <w:color w:val="000000"/>
          <w:sz w:val="24"/>
        </w:rPr>
        <w:t>were applicable thereto);</w:t>
      </w:r>
    </w:p>
    <w:p>
      <w:pPr>
        <w:pStyle w:val="TextBody"/>
        <w:bidi w:val="0"/>
        <w:spacing w:before="0" w:after="240"/>
        <w:jc w:val="both"/>
        <w:rPr>
          <w:rFonts w:ascii="Times New Roman" w:hAnsi="Times New Roman"/>
          <w:sz w:val="20"/>
        </w:rPr>
      </w:pPr>
      <w:r>
        <w:rPr>
          <w:rFonts w:ascii="Times New Roman" w:hAnsi="Times New Roman"/>
          <w:color w:val="000000"/>
          <w:sz w:val="24"/>
        </w:rPr>
        <w:t>(b) Liens with respect to outstanding motor vehicle fines and carriers’, warehousemen’s, mechanics’, materialmen’s, landlord’s, repairmen’s or construction contractors’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Liens and other similar Liens, imposed by law or contract (to the extent providing for Liens that are similar in scope to the foregoing), arising in the ordinary course of business that secure amounts not overdue for a period of more than thirty (30) days, or, if more than thirty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or so long as such Liens do not individually or in the aggregate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Liens incurred or deposits made to secure the performance of bids, trade contracts, governmental contracts and leases, statutory obligations, surety, stay, customs and appeal bonds, performance bonds, completion guarantees,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minor survey exceptions, minor encumbrances, covenants, conditions, easements, rights</w:t>
        <w:noBreakHyphen/>
        <w:t>of</w:t>
        <w:noBreakHyphen/>
        <w:t>way, restrictions, encroachments, protrusions, by</w:t>
        <w:noBreakHyphen/>
        <w:t>law, regulation or zoning restrictions, reservations of or rights of others for sewers, electric lines, telegraph and telephone lines, cable television lines, gas and oil pipelines and other similar purposes and other similar encumbrances and minor title defects or irregularities affecting real property, that are incurred in the ordinary course of business and, in the aggregate, do not materially interfere with the ordinary conduct of the business of the Borrower and its Subsidiaries, taken as a whole, or which are set forth in the title insurance policy delivered with respect to the Mortgaged Property and are “insured over” in such insurance policy;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Liens securing, or otherwise arising from, judgments not constituting an Event of Default under </w:t>
      </w:r>
      <w:r>
        <w:rPr>
          <w:rFonts w:ascii="Times New Roman" w:hAnsi="Times New Roman"/>
          <w:color w:val="000000"/>
          <w:sz w:val="24"/>
          <w:u w:val="single"/>
        </w:rPr>
        <w:t>Section 7.01(j)</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Liens on goods the purchase price of which is financed by a documentary or trade letter of credit issued for the account of the Borrower or any of its Restricted Subsidiaries or Liens on bills of lading, drafts or other documents of title arising by operation of law or pursuant to the standard terms of agreements relating to letters of credit, bank guarantees and other similar instruments; </w:t>
      </w:r>
      <w:r>
        <w:rPr>
          <w:rFonts w:ascii="Times New Roman" w:hAnsi="Times New Roman"/>
          <w:color w:val="000000"/>
          <w:sz w:val="24"/>
          <w:u w:val="single"/>
        </w:rPr>
        <w:t xml:space="preserve">provided </w:t>
      </w:r>
      <w:r>
        <w:rPr>
          <w:rFonts w:ascii="Times New Roman" w:hAnsi="Times New Roman"/>
          <w:color w:val="000000"/>
          <w:sz w:val="24"/>
        </w:rPr>
        <w:t xml:space="preserve">that such Lien secures only the obligations of the Borrower or such Subsidiaries in respect of such letter of credit to the extent such obligations are permitted by </w:t>
      </w:r>
      <w:r>
        <w:rPr>
          <w:rFonts w:ascii="Times New Roman" w:hAnsi="Times New Roman"/>
          <w:color w:val="000000"/>
          <w:sz w:val="24"/>
          <w:u w:val="single"/>
        </w:rPr>
        <w:t>Section 6.01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filing of UCC (or equivalent) financing statements solely as a precautionary measure or required notice in connection with operating leases or consignment of goods;</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rights of recapture of unused real property (other than any Mortgaged Property) in favor of the seller of such property set forth in customary purchase agreements and related arrangements with any 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Liens in favor of deposit banks or securities intermediaries securing customary fees, expenses or charges in connection with the establishment, operation or maintenance of deposit accounts or securities accounts;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Liens arising from grants of non-exclusive licenses or non-exclusive sublicenses of Intellectual Property made in the ordinary course of business or that do not interfere in any material respect with the business of the Borrower and its Subsidiaries, taken as a whole; </w:t>
      </w:r>
      <w:r>
        <w:rPr>
          <w:rFonts w:ascii="Times New Roman" w:hAnsi="Times New Roman"/>
          <w:color w:val="000000"/>
          <w:sz w:val="24"/>
          <w:u w:val="single"/>
        </w:rPr>
        <w:t xml:space="preserve">provided </w:t>
      </w:r>
      <w:r>
        <w:rPr>
          <w:rFonts w:ascii="Times New Roman" w:hAnsi="Times New Roman"/>
          <w:color w:val="000000"/>
          <w:sz w:val="24"/>
        </w:rPr>
        <w:t>that such Liens do not secure any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securities to public utilities or to any Governmental Authority when required by the utility or other authority in connection with the supply of services or utilities to the Borrower and any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servicing agreements, development agreements, site plan agreements and other agreements with any Governmental Authority pertaining to the use or development of any of the assets of the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agreements are complied with in all material respects and do not materially reduce the value of the assets of the Person or materially interfere with the use of such assets in the operation of the business of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any security or quasi</w:t>
        <w:noBreakHyphen/>
        <w:t>security arising under any retention</w:t>
        <w:noBreakHyphen/>
        <w:t>of</w:t>
        <w:noBreakHyphen/>
        <w:t>title arrangement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Liens arising from Permitted Investments described in clause (e) of the definition 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with respect to any Foreign Subsidiary, other Liens and privileges arising mandatorily by any Requirements of Law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Permitted Holders</w:t>
      </w:r>
      <w:r>
        <w:rPr>
          <w:rFonts w:ascii="Times New Roman" w:hAnsi="Times New Roman"/>
          <w:color w:val="000000"/>
          <w:sz w:val="20"/>
        </w:rPr>
        <w:t xml:space="preserve">” </w:t>
      </w:r>
      <w:r>
        <w:rPr>
          <w:rFonts w:ascii="Times New Roman" w:hAnsi="Times New Roman"/>
          <w:color w:val="000000"/>
          <w:sz w:val="24"/>
        </w:rPr>
        <w:t>means, collectively, (a) the Sponsor and limited partners of the Sponsor, (b) Eldridge and limited partners of Eldridge, and (c) the Management Investors.</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Permitted Investments</w:t>
      </w:r>
      <w:r>
        <w:rPr>
          <w:rFonts w:ascii="Times New Roman" w:hAnsi="Times New Roman"/>
          <w:color w:val="000000"/>
          <w:sz w:val="20"/>
        </w:rPr>
        <w:t xml:space="preserve">” </w:t>
      </w:r>
      <w:r>
        <w:rPr>
          <w:rFonts w:ascii="Times New Roman" w:hAnsi="Times New Roman"/>
          <w:color w:val="000000"/>
          <w:sz w:val="24"/>
        </w:rPr>
        <w:t>means any of the following, to the extent owned by Holdings or any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Dollars or such other currencies held by it from time to time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readily marketable obligations issued or directly and fully guaranteed or insured by the government or any agency or instrumentality of (i) the United States (ii) Canada, (iii) Switzerland, (iv) United Kingdom, or (v) any member state of the European Union rated A (or the equivalent thereof) or better by S&amp;P and A2 (or the equivalent thereof) or better by Moody’s, having average maturities of not more than 24 months from the date of acquisition thereof; </w:t>
      </w:r>
      <w:r>
        <w:rPr>
          <w:rFonts w:ascii="Times New Roman" w:hAnsi="Times New Roman"/>
          <w:color w:val="000000"/>
          <w:sz w:val="24"/>
          <w:u w:val="single"/>
        </w:rPr>
        <w:t xml:space="preserve">provided </w:t>
      </w:r>
      <w:r>
        <w:rPr>
          <w:rFonts w:ascii="Times New Roman" w:hAnsi="Times New Roman"/>
          <w:color w:val="000000"/>
          <w:sz w:val="24"/>
        </w:rPr>
        <w:t>that the full faith and credit of such country or such member state of the European Union is pledged in support thereof;</w:t>
      </w:r>
    </w:p>
    <w:p>
      <w:pPr>
        <w:pStyle w:val="TextBody"/>
        <w:bidi w:val="0"/>
        <w:spacing w:before="0" w:after="240"/>
        <w:jc w:val="both"/>
        <w:rPr>
          <w:rFonts w:ascii="Times New Roman" w:hAnsi="Times New Roman"/>
          <w:sz w:val="20"/>
        </w:rPr>
      </w:pPr>
      <w:r>
        <w:rPr>
          <w:rFonts w:ascii="Times New Roman" w:hAnsi="Times New Roman"/>
          <w:color w:val="000000"/>
          <w:sz w:val="24"/>
        </w:rPr>
        <w:t>(c) time deposits with, or insured certificates of deposit or bankers’ acceptances of, any commercial bank that (i) is a Lender or (ii) has combined capital and surplus of at least (x) $250,000,000 in the case of U.S. banks or (y) $100,000,000 in the case of non</w:t>
        <w:noBreakHyphen/>
        <w:t>U.S. banks, or the Dollar Equivalent (any such bank in the foregoing clauses (i) or (ii) being an “</w:t>
      </w:r>
      <w:r>
        <w:rPr>
          <w:rFonts w:ascii="Times New Roman" w:hAnsi="Times New Roman"/>
          <w:color w:val="000000"/>
          <w:sz w:val="24"/>
          <w:u w:val="single"/>
        </w:rPr>
        <w:t>Approved Bank</w:t>
      </w:r>
      <w:r>
        <w:rPr>
          <w:rFonts w:ascii="Times New Roman" w:hAnsi="Times New Roman"/>
          <w:color w:val="000000"/>
          <w:sz w:val="20"/>
        </w:rPr>
        <w:t>”</w:t>
      </w:r>
      <w:r>
        <w:rPr>
          <w:rFonts w:ascii="Times New Roman" w:hAnsi="Times New Roman"/>
          <w:color w:val="000000"/>
          <w:sz w:val="24"/>
        </w:rPr>
        <w:t>), in each case with average maturities of not more than twelve (12) months from the date of acquisition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commercial paper and variable or fixed rate notes issued by an Approved Bank (or by the parent company thereof) or any variable or fixed rate note issued by, or guaranteed by, a corporation rated A</w:t>
        <w:noBreakHyphen/>
        <w:t>2 (or the equivalent thereof) or better by S&amp;P or P</w:t>
        <w:noBreakHyphen/>
        <w:t>2 (or the equivalent thereof) or better by Moody’s, in each case with average maturities of not more than twelve (12) months from the date of acquisition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(iv) United Kingdom, or (v) any member state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marketable short</w:t>
        <w:noBreakHyphen/>
        <w:t>term money market and similar highly liquid funds either (i) having assets in excess of $250,000,000 or its equivalent, or (ii) having a rating of at least A</w:t>
        <w:noBreakHyphen/>
        <w:t>2 or P</w:t>
        <w:noBreakHyphen/>
        <w:t>2 from either S&amp;P or Moody’s (or, if at any time neither S&amp;P nor Moody’s shall be rating such obligations, an equivalent rating from another nationally recognized rating service);</w:t>
      </w:r>
    </w:p>
    <w:p>
      <w:pPr>
        <w:pStyle w:val="TextBody"/>
        <w:bidi w:val="0"/>
        <w:spacing w:before="0" w:after="240"/>
        <w:jc w:val="both"/>
        <w:rPr>
          <w:rFonts w:ascii="Times New Roman" w:hAnsi="Times New Roman"/>
          <w:sz w:val="20"/>
        </w:rPr>
      </w:pPr>
      <w:r>
        <w:rPr>
          <w:rFonts w:ascii="Times New Roman" w:hAnsi="Times New Roman"/>
          <w:color w:val="000000"/>
          <w:sz w:val="24"/>
        </w:rPr>
        <w:t>(g) securities with average maturities of twelve (12) months or less from the date of acquisition issued or fully guaranteed by any state, commonwealth or territory of the United States, Canada, Switzerland, United Kingdom, a member of the European Union or by any political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subdivision or taxing authority of any such state, member, commonwealth or territory having an investment grade rating from either S&amp;P or Moody’s (or the equivalent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investments with average maturities of twelve (12) months or less from the date of acquisition in mutual funds rated AAA</w:t>
        <w:noBreakHyphen/>
        <w:t xml:space="preserve"> (or the equivalent thereof) or better by S&amp;P or Aaa3 (or the equivalent thereof) or better by Moody’s;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or incorporated in such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investments, classified in accordance with GAAP as current assets of the Borrower or any Restricted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with respect to any Foreign Subsidiary: (i) obligations of the national government of the country in which such Subsidiary maintains its chief executive office and principal place of business;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country is a member of the Organization for Economic Cooperation and Development, and whose short</w:t>
        <w:noBreakHyphen/>
        <w:t>term commercial paper rating from S&amp;P is at least “</w:t>
      </w:r>
      <w:r>
        <w:rPr>
          <w:rFonts w:ascii="Times New Roman" w:hAnsi="Times New Roman"/>
          <w:color w:val="000000"/>
          <w:sz w:val="24"/>
          <w:u w:val="single"/>
        </w:rPr>
        <w:t>A</w:t>
        <w:noBreakHyphen/>
        <w:t>2</w:t>
      </w:r>
      <w:r>
        <w:rPr>
          <w:rFonts w:ascii="Times New Roman" w:hAnsi="Times New Roman"/>
          <w:color w:val="000000"/>
          <w:sz w:val="20"/>
        </w:rPr>
        <w:t xml:space="preserve">” </w:t>
      </w:r>
      <w:r>
        <w:rPr>
          <w:rFonts w:ascii="Times New Roman" w:hAnsi="Times New Roman"/>
          <w:color w:val="000000"/>
          <w:sz w:val="24"/>
        </w:rPr>
        <w:t>or the equivalent thereof or from Moody’s is at least “</w:t>
      </w:r>
      <w:r>
        <w:rPr>
          <w:rFonts w:ascii="Times New Roman" w:hAnsi="Times New Roman"/>
          <w:color w:val="000000"/>
          <w:sz w:val="24"/>
          <w:u w:val="single"/>
        </w:rPr>
        <w:t>P</w:t>
        <w:noBreakHyphen/>
        <w:t>2</w:t>
      </w:r>
      <w:r>
        <w:rPr>
          <w:rFonts w:ascii="Times New Roman" w:hAnsi="Times New Roman"/>
          <w:color w:val="000000"/>
          <w:sz w:val="20"/>
        </w:rPr>
        <w:t xml:space="preserve">” </w:t>
      </w:r>
      <w:r>
        <w:rPr>
          <w:rFonts w:ascii="Times New Roman" w:hAnsi="Times New Roman"/>
          <w:color w:val="000000"/>
          <w:sz w:val="24"/>
        </w:rPr>
        <w:t>or the equivalent thereof (any such bank being an “</w:t>
      </w:r>
      <w:r>
        <w:rPr>
          <w:rFonts w:ascii="Times New Roman" w:hAnsi="Times New Roman"/>
          <w:color w:val="000000"/>
          <w:sz w:val="24"/>
          <w:u w:val="single"/>
        </w:rPr>
        <w:t>Approved Foreign Bank</w:t>
      </w:r>
      <w:r>
        <w:rPr>
          <w:rFonts w:ascii="Times New Roman" w:hAnsi="Times New Roman"/>
          <w:color w:val="000000"/>
          <w:sz w:val="20"/>
        </w:rPr>
        <w:t>”</w:t>
      </w:r>
      <w:r>
        <w:rPr>
          <w:rFonts w:ascii="Times New Roman" w:hAnsi="Times New Roman"/>
          <w:color w:val="000000"/>
          <w:sz w:val="24"/>
        </w:rPr>
        <w:t>), and in each case with maturities of not more than twenty</w:t>
        <w:noBreakHyphen/>
        <w:t>four (24) months from the date of acquisition and (iii) the equivalent of demand deposit accounts which are maintained with an Approved Foreign Bank;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investment funds investing at least 90% of their assets in securities of the types described in clauses (a) through (k) above.</w:t>
      </w:r>
    </w:p>
    <w:p>
      <w:pPr>
        <w:pStyle w:val="TextBody"/>
        <w:bidi w:val="0"/>
        <w:spacing w:before="0" w:after="240"/>
        <w:jc w:val="both"/>
        <w:rPr/>
      </w:pPr>
      <w:r>
        <w:rPr>
          <w:color w:val="000000"/>
        </w:rPr>
        <w:t>“</w:t>
      </w:r>
      <w:r>
        <w:rPr>
          <w:rFonts w:ascii="Times New Roman" w:hAnsi="Times New Roman"/>
          <w:color w:val="000000"/>
          <w:sz w:val="24"/>
          <w:u w:val="single"/>
        </w:rPr>
        <w:t>Permitted Refinancing</w:t>
      </w:r>
      <w:r>
        <w:rPr>
          <w:rFonts w:ascii="Times New Roman" w:hAnsi="Times New Roman"/>
          <w:color w:val="000000"/>
          <w:sz w:val="20"/>
        </w:rPr>
        <w:t xml:space="preserve">” </w:t>
      </w:r>
      <w:r>
        <w:rPr>
          <w:rFonts w:ascii="Times New Roman" w:hAnsi="Times New Roman"/>
          <w:color w:val="000000"/>
          <w:sz w:val="24"/>
        </w:rPr>
        <w:t xml:space="preserve">means, with respect to any Person, any modification, refinancing, refunding, renewal or extension of any Indebtedness of such Person; </w:t>
      </w:r>
      <w:r>
        <w:rPr>
          <w:rFonts w:ascii="Times New Roman" w:hAnsi="Times New Roman"/>
          <w:color w:val="000000"/>
          <w:sz w:val="24"/>
          <w:u w:val="single"/>
        </w:rPr>
        <w:t xml:space="preserve">provided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(including original issue discount and fees incurred in connection with the resulting Indebtedness) and expenses incurred, in connection with such modification, refinancing, refunding, renewal or extension and by an amount equal to any existing commitments unutilized thereunder;</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other than with respect to a Permitted Refinancing in respect of Indebtedness permitted pursuant to </w:t>
      </w:r>
      <w:r>
        <w:rPr>
          <w:rFonts w:ascii="Times New Roman" w:hAnsi="Times New Roman"/>
          <w:color w:val="000000"/>
          <w:sz w:val="24"/>
          <w:u w:val="single"/>
        </w:rPr>
        <w:t>Section 6.01(a)(v)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(a)(vii)</w:t>
      </w:r>
      <w:r>
        <w:rPr>
          <w:rFonts w:ascii="Times New Roman" w:hAnsi="Times New Roman"/>
          <w:color w:val="000000"/>
          <w:sz w:val="20"/>
        </w:rPr>
        <w:t xml:space="preserve"> </w:t>
      </w:r>
      <w:r>
        <w:rPr>
          <w:rFonts w:ascii="Times New Roman" w:hAnsi="Times New Roman"/>
          <w:color w:val="000000"/>
          <w:sz w:val="24"/>
        </w:rPr>
        <w:t>(or except in the case of customary bridge loans which, subject to customary conditions (including no event of default), would either automatically be converted into or required to be exchanged for permanent refinancing that does not mature prior to the maturity date of the Indebtedness being modified, refinanced, refunded, renewed or extended), Indebtedness resulting from such modification, refinancing, refunding, renewal or extension has a final maturity date equal to or later than the final maturity date of, and (except in the case of revolving commitments) has a Weighted Average Life to Maturity equal to or greater than the Weighted Average Life to Maturity of, the Indebtedness being modified, refinanced, refunded, renewed or extended;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(1) if the Indebtedness being modified, refinanced, refunded, renewed or extended is subordinated in right of payment to the Loan Document Obligations, Indebtedness resulting from such modification, refinancing, refunding, renewal or extension is subordinated in right of payment to the Loan Document Obligations on terms (taken as a whole) at least as favorable to the Lenders as those contained in the documentation governing the Indebtedness being modified, refinanced, refunded, renewed or extended (as determined by the Borrower in good faith) or otherwise reasonably satisfactory to the Administrative Agent, (2) if the Indebtedness being modified, refinanced, refunded, renewed or extended is subordinated in right of security to the Initial Revolving Facility, Indebtedness resulting from such modification, refinancing, refunding, renewal or extension is subordinated in right of security to the Initial Revolving Facility on terms (taken as a whole) at least as favorable to the Lenders as those contained in the documentation governing the Indebtedness being modified, refinanced, refunded, renewed or extended (as determined by the Borrower in good faith) or otherwise reasonably satisfactory to the Administrative Agent and (3) if such Indebtedness being modified, refinanced, refunded, renewed or extended is junior in priority of payment to the Initial Revolving Facility or is unsecured or secured by the Collateral on a junior lien basis to the Secured Obligations, Indebtedness resulting from such modification, refinancing, refunding, renewal or extension does not have scheduled amortization or required payments of principal prior to the Latest Maturity Date (except (x) in the case of customary bridge loans which, subject to customary conditions (including no payment or bankruptcy event of default), would either automatically be converted into or required to be exchanged for permanent refinancing that does not mature prior to the maturity date of the Refinanced Debt or (y) in the case of Additional Second Out Debt, scheduled amortization payments not to exceed 5.0% of the original principal amount of such Indebtedness per fiscal year) (other than (i) change of control offers, offers upon an event of default, “AHYDO catch up payments” and (ii) customary asset sale, insurance and condemnation proceeds events or excess cash flow payments (in each case of this clause (ii), subject to the prior prepayment and termination of the Initial Revolving Facility or the prior offer thereof to prepay and terminate the Initial Revolving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Indebtedness resulting from such modification, refinancing, refunding, renewal or extension shall not be guaranteed by any entity that is not, or that does not substantially concurrently become, a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other than with respect to a Permitted Refinancing in respect of Indebtedness permitted pursuant to </w:t>
      </w:r>
      <w:r>
        <w:rPr>
          <w:rFonts w:ascii="Times New Roman" w:hAnsi="Times New Roman"/>
          <w:color w:val="000000"/>
          <w:sz w:val="24"/>
          <w:u w:val="single"/>
        </w:rPr>
        <w:t>Section 6.01(a)(v)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(a)(xxv)</w:t>
      </w:r>
      <w:r>
        <w:rPr>
          <w:rFonts w:ascii="Times New Roman" w:hAnsi="Times New Roman"/>
          <w:color w:val="000000"/>
          <w:sz w:val="24"/>
        </w:rPr>
        <w:t>, in the case of any secured Indebtedness, resulting from such modification, refinancing, refunding, renewal or extension, such Indebtedness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(i) not secured by any assets not securing the Secured Obligations and (ii) subject to the relevant Intercreditor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in the case of any Indebtedness resulting from such modification, refinancing, refunding, renewal or extension that is a revolving credit facility, such Indebtedness may provide for the ability to participate (x) with respect to borrowings and repayments on a pro rata basis or less than pro rata basis (but not greater than pro rata basis) with other then</w:t>
        <w:noBreakHyphen/>
        <w:t>outstanding Classes of Revolving Commitments and (y) with respect to permanent repayments and terminations of revolving commitments, on a pro rata basis or less than a pro rata basis with other then</w:t>
        <w:noBreakHyphen/>
        <w:t>outstanding Classes of Revolving Commitments; and</w:t>
      </w:r>
    </w:p>
    <w:p>
      <w:pPr>
        <w:pStyle w:val="TextBody"/>
        <w:bidi w:val="0"/>
        <w:spacing w:before="0" w:after="240"/>
        <w:jc w:val="both"/>
        <w:rPr>
          <w:rFonts w:ascii="Times New Roman" w:hAnsi="Times New Roman"/>
          <w:sz w:val="20"/>
        </w:rPr>
      </w:pPr>
      <w:r>
        <w:rPr>
          <w:rFonts w:ascii="Times New Roman" w:hAnsi="Times New Roman"/>
          <w:color w:val="000000"/>
          <w:sz w:val="24"/>
        </w:rPr>
        <w:t>(g) Indebtedness resulting from such modification, refinancing, refunding, renewal or extension shall not have covenants and events of default (excluding, for the avoidance of doubt, pricing, interest rate margins, rate floors, discounts, fees, collateral, guarantees, premiums and prepayment or redemption provisions) that are (taken as a whole) more favorable to the lenders or investors providing such Indebtedness than the covenants and events of default of this Agreement are to the Lenders unless (x) such covenants or other provisions are applicable only to periods after the maturity date of the Indebtedness being modified, refinanced, refunded, renewed or extended at the time of such refinancing, (y) the Revolving Lenders also receive the benefit of such more favorable covenants and events of default (including, without limitation, any financial maintenance covenant, and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Administrative Agent or any of the Lenders if such covenant, event of default or guarantee is (i) also added or modified for the benefit of any corresponding Loans remaining outstanding after the issuance or incurrence of such Indebtedness or (ii) only applicable after the Latest Maturity Date at the time of such refinancing (</w:t>
      </w:r>
      <w:r>
        <w:rPr>
          <w:rFonts w:ascii="Times New Roman" w:hAnsi="Times New Roman"/>
          <w:color w:val="000000"/>
          <w:sz w:val="24"/>
          <w:u w:val="single"/>
        </w:rPr>
        <w:t xml:space="preserve">provided </w:t>
      </w:r>
      <w:r>
        <w:rPr>
          <w:rFonts w:ascii="Times New Roman" w:hAnsi="Times New Roman"/>
          <w:color w:val="000000"/>
          <w:sz w:val="24"/>
        </w:rPr>
        <w:t>that the Borrower may, in its sole discretion, deliver a certificate of a Responsible Officer of the Borrower to the Administrative Agent at least ten (10)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and such certificate shall be conclusive evidence that such terms and conditions satisfy the requirement of this clause (y) unless the Administrative Agent notifies the Borrower within such ten (10) Business Day period that it disagrees with such determination) or (z) such terms are reasonably satisfactory to the Administrative Agent). For the avoidance of doubt, it is understood and agreed that a Permitted Refinancing includes successive Permitted Refinancings of the same Indebtedness.</w:t>
      </w:r>
    </w:p>
    <w:p>
      <w:pPr>
        <w:pStyle w:val="TextBody"/>
        <w:bidi w:val="0"/>
        <w:spacing w:before="0" w:after="240"/>
        <w:jc w:val="both"/>
        <w:rPr/>
      </w:pPr>
      <w:r>
        <w:rPr>
          <w:color w:val="000000"/>
        </w:rPr>
        <w:t>“</w:t>
      </w:r>
      <w:r>
        <w:rPr>
          <w:rFonts w:ascii="Times New Roman" w:hAnsi="Times New Roman"/>
          <w:color w:val="000000"/>
          <w:sz w:val="24"/>
          <w:u w:val="single"/>
        </w:rPr>
        <w:t>Permitted Reorganization</w:t>
      </w:r>
      <w:r>
        <w:rPr>
          <w:rFonts w:ascii="Times New Roman" w:hAnsi="Times New Roman"/>
          <w:color w:val="000000"/>
          <w:sz w:val="20"/>
        </w:rPr>
        <w:t xml:space="preserve">” </w:t>
      </w:r>
      <w:r>
        <w:rPr>
          <w:rFonts w:ascii="Times New Roman" w:hAnsi="Times New Roman"/>
          <w:color w:val="000000"/>
          <w:sz w:val="24"/>
        </w:rPr>
        <w:t>means any re</w:t>
        <w:noBreakHyphen/>
        <w:t>organization or other similar activities among Holdings, the Borrower and the Restricted Subsidiaries related to Tax planning and re</w:t>
        <w:noBreakHyphen/>
        <w:t xml:space="preserve">organization, so long as, after giving effect thereto, (a) the Loan Parties are in compliance with the Collateral and Guarantee Requirement and </w:t>
      </w:r>
      <w:r>
        <w:rPr>
          <w:rFonts w:ascii="Times New Roman" w:hAnsi="Times New Roman"/>
          <w:color w:val="000000"/>
          <w:sz w:val="24"/>
          <w:u w:val="single"/>
        </w:rPr>
        <w:t>Sections 5.11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5.12</w:t>
      </w:r>
      <w:r>
        <w:rPr>
          <w:rFonts w:ascii="Times New Roman" w:hAnsi="Times New Roman"/>
          <w:color w:val="000000"/>
          <w:sz w:val="24"/>
        </w:rPr>
        <w:t>, (b) taken as a whole, the value of the Collateral securing the Secured Obligations and the Guarantees by the Loan Guarantors of the Secured Obligations are not materially reduced as reasonably determined by the Administrative Agent and (c) the Liens in favor of the Collateral Agent for the benefit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Secured Parties under the Security Documents are not materially impaired in the reasonable judgment of the Administrative Agent.</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or unlimited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any employee pension benefit plan as such term is defined in Section 3(2) of ERISA (other than a Multiemployer Plan) subject to the provisions of Title IV of ERISA or Section 412 of the Code or Section 302 of ERISA which is or has been in the past six years sponsored, maintained or required to be contributed to by a Loan Party or any ERISA Affiliate or with respect to which any Loan Party or ERISA Affiliate has any liability (including under Section 4069 of ERISA).</w:t>
      </w:r>
    </w:p>
    <w:p>
      <w:pPr>
        <w:pStyle w:val="TextBody"/>
        <w:bidi w:val="0"/>
        <w:spacing w:before="0" w:after="240"/>
        <w:jc w:val="both"/>
        <w:rPr/>
      </w:pPr>
      <w:r>
        <w:rPr>
          <w:color w:val="000000"/>
        </w:rPr>
        <w:t>“</w:t>
      </w:r>
      <w:r>
        <w:rPr>
          <w:rFonts w:ascii="Times New Roman" w:hAnsi="Times New Roman"/>
          <w:color w:val="000000"/>
          <w:sz w:val="24"/>
          <w:u w:val="single"/>
        </w:rPr>
        <w:t>Platform</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Prepayment Event</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any sale, transfer or other disposition of any property or asset of Holdings or any of its Restricted Subsidiaries permitted by </w:t>
      </w:r>
      <w:r>
        <w:rPr>
          <w:rFonts w:ascii="Times New Roman" w:hAnsi="Times New Roman"/>
          <w:color w:val="000000"/>
          <w:sz w:val="24"/>
          <w:u w:val="single"/>
        </w:rPr>
        <w:t>Sections 6.05(f)</w:t>
      </w:r>
      <w:r>
        <w:rPr>
          <w:rFonts w:ascii="Times New Roman" w:hAnsi="Times New Roman"/>
          <w:color w:val="000000"/>
          <w:sz w:val="24"/>
        </w:rPr>
        <w:t xml:space="preserve">, </w:t>
      </w:r>
      <w:r>
        <w:rPr>
          <w:rFonts w:ascii="Times New Roman" w:hAnsi="Times New Roman"/>
          <w:color w:val="000000"/>
          <w:sz w:val="24"/>
          <w:u w:val="single"/>
        </w:rPr>
        <w:t>(j)</w:t>
      </w:r>
      <w:r>
        <w:rPr>
          <w:rFonts w:ascii="Times New Roman" w:hAnsi="Times New Roman"/>
          <w:color w:val="000000"/>
          <w:sz w:val="24"/>
        </w:rPr>
        <w:t xml:space="preserve">, </w:t>
      </w:r>
      <w:r>
        <w:rPr>
          <w:rFonts w:ascii="Times New Roman" w:hAnsi="Times New Roman"/>
          <w:color w:val="000000"/>
          <w:sz w:val="24"/>
          <w:u w:val="single"/>
        </w:rPr>
        <w:t>(k)</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(p)</w:t>
      </w:r>
      <w:r>
        <w:rPr>
          <w:rFonts w:ascii="Times New Roman" w:hAnsi="Times New Roman"/>
          <w:color w:val="000000"/>
          <w:sz w:val="24"/>
        </w:rPr>
        <w:t>, other than dispositions resulting in aggregate Net Proceeds not exceeding (A) $3,000,000 in the case of any single transaction or series of related transactions and (B) $6,000,000 for all such transactions during any fiscal year of Holdings;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incurrence by the Borrower or any of its Restricted Subsidiaries of any Indebtedness, other than Indebtedness permitted under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(other than any Credit Agreement Refinancing Indebtedness).</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means, for any day, the “Prime Rate” as published by the Wall Street Journal for such day or, if the Wall Street Journal ceases to quote such rate, the highest per annum interest rate published by the Federal Reserve Board in Federal Reserve Statistical Release H.15 (519)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on the date that such change is effective. The Prime Rate is not necessarily the lowest rate charged by any financial institution to its customers.</w:t>
      </w:r>
    </w:p>
    <w:p>
      <w:pPr>
        <w:pStyle w:val="TextBody"/>
        <w:bidi w:val="0"/>
        <w:spacing w:before="0" w:after="240"/>
        <w:jc w:val="both"/>
        <w:rPr/>
      </w:pPr>
      <w:r>
        <w:rPr>
          <w:color w:val="000000"/>
        </w:rPr>
        <w:t>“</w:t>
      </w:r>
      <w:r>
        <w:rPr>
          <w:rFonts w:ascii="Times New Roman" w:hAnsi="Times New Roman"/>
          <w:color w:val="000000"/>
          <w:sz w:val="24"/>
          <w:u w:val="single"/>
        </w:rPr>
        <w:t>Pro Forma Basis</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Pro Forma Compliance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Pro Forma Effect</w:t>
      </w:r>
      <w:r>
        <w:rPr>
          <w:rFonts w:ascii="Times New Roman" w:hAnsi="Times New Roman"/>
          <w:color w:val="000000"/>
          <w:sz w:val="20"/>
        </w:rPr>
        <w:t xml:space="preserve">” </w:t>
      </w:r>
      <w:r>
        <w:rPr>
          <w:rFonts w:ascii="Times New Roman" w:hAnsi="Times New Roman"/>
          <w:color w:val="000000"/>
          <w:sz w:val="24"/>
        </w:rPr>
        <w:t>mean, with respect to compliance with any test, financial ratio or covenant hereunder required by the terms of this Agreement to be made on a Pro Forma Basis or after giving Pro Forma Effect thereto, that the Transactions, all Specified Transactions, operational changes or initiatives described in the definition of “Consolidated EBITDA”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Transaction or Specified Transaction or such operational change or initiative (A) in the case of a Disposition of all or substantially all Equity Interests in any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w:t>
      </w:r>
    </w:p>
    <w:p>
      <w:pPr>
        <w:pStyle w:val="TextBody"/>
        <w:bidi w:val="0"/>
        <w:spacing w:before="0" w:after="240"/>
        <w:jc w:val="both"/>
        <w:rPr/>
      </w:pPr>
      <w:r>
        <w:rPr>
          <w:color w:val="000000"/>
        </w:rPr>
        <w:t>“</w:t>
      </w:r>
      <w:r>
        <w:rPr>
          <w:rFonts w:ascii="Times New Roman" w:hAnsi="Times New Roman"/>
          <w:color w:val="000000"/>
          <w:sz w:val="24"/>
          <w:u w:val="single"/>
        </w:rPr>
        <w:t>Pro Forma Entity</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“Acquired EBITDA”.</w:t>
      </w:r>
    </w:p>
    <w:p>
      <w:pPr>
        <w:pStyle w:val="TextBody"/>
        <w:bidi w:val="0"/>
        <w:spacing w:before="0" w:after="240"/>
        <w:jc w:val="both"/>
        <w:rPr/>
      </w:pPr>
      <w:r>
        <w:rPr>
          <w:color w:val="000000"/>
        </w:rPr>
        <w:t>“</w:t>
      </w:r>
      <w:r>
        <w:rPr>
          <w:rFonts w:ascii="Times New Roman" w:hAnsi="Times New Roman"/>
          <w:color w:val="000000"/>
          <w:sz w:val="24"/>
          <w:u w:val="single"/>
        </w:rPr>
        <w:t>Proposed Change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9.02(c)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color w:val="000000"/>
          <w:sz w:val="24"/>
          <w:u w:val="single"/>
        </w:rPr>
        <w:t>Public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Qualified Cash</w:t>
      </w:r>
      <w:r>
        <w:rPr>
          <w:rFonts w:ascii="Times New Roman" w:hAnsi="Times New Roman"/>
          <w:color w:val="000000"/>
          <w:sz w:val="20"/>
        </w:rPr>
        <w:t xml:space="preserve">” </w:t>
      </w:r>
      <w:r>
        <w:rPr>
          <w:rFonts w:ascii="Times New Roman" w:hAnsi="Times New Roman"/>
          <w:color w:val="000000"/>
          <w:sz w:val="24"/>
        </w:rPr>
        <w:t xml:space="preserve">means, as of any date of determination, (a) for the first forty-five (45) days after the Effective Date (or such later date as the Administrative Agent may agree in its reasonable discretion), the aggregate amount of cash held in the name of a Loan Party (excluding cash that are listed as “restricted” on the consolidated balance sheet of Holdings and its Restricted Subsidiaries as of such date) and (b) thereafter, the aggregate amount of cash held in the name of a Loan Party in a Controlled Account;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order to qualify as “Qualified Cash”, the cash of the Loan Parties maintained in deposit accounts outside of the United States must not be subject to any restrictions on the repatriation of such cash to the United States.</w:t>
      </w:r>
    </w:p>
    <w:p>
      <w:pPr>
        <w:pStyle w:val="TextBody"/>
        <w:bidi w:val="0"/>
        <w:spacing w:before="0" w:after="240"/>
        <w:jc w:val="both"/>
        <w:rPr/>
      </w:pPr>
      <w:r>
        <w:rPr>
          <w:color w:val="000000"/>
        </w:rPr>
        <w:t>“</w:t>
      </w:r>
      <w:r>
        <w:rPr>
          <w:rFonts w:ascii="Times New Roman" w:hAnsi="Times New Roman"/>
          <w:color w:val="000000"/>
          <w:sz w:val="24"/>
          <w:u w:val="single"/>
        </w:rPr>
        <w:t>Qualified Equity Interests</w:t>
      </w:r>
      <w:r>
        <w:rPr>
          <w:rFonts w:ascii="Times New Roman" w:hAnsi="Times New Roman"/>
          <w:color w:val="000000"/>
          <w:sz w:val="20"/>
        </w:rPr>
        <w:t xml:space="preserve">” </w:t>
      </w:r>
      <w:r>
        <w:rPr>
          <w:rFonts w:ascii="Times New Roman" w:hAnsi="Times New Roman"/>
          <w:color w:val="000000"/>
          <w:sz w:val="24"/>
        </w:rPr>
        <w:t>means Equity Interests of Holdings or the Borrower other than Disqualified Equity Interests.</w:t>
      </w:r>
    </w:p>
    <w:p>
      <w:pPr>
        <w:pStyle w:val="TextBody"/>
        <w:bidi w:val="0"/>
        <w:spacing w:before="0" w:after="240"/>
        <w:jc w:val="both"/>
        <w:rPr/>
      </w:pPr>
      <w:r>
        <w:rPr>
          <w:color w:val="000000"/>
        </w:rPr>
        <w:t>“</w:t>
      </w:r>
      <w:r>
        <w:rPr>
          <w:rFonts w:ascii="Times New Roman" w:hAnsi="Times New Roman"/>
          <w:color w:val="000000"/>
          <w:sz w:val="24"/>
          <w:u w:val="single"/>
        </w:rPr>
        <w:t>Reference Time</w:t>
      </w:r>
      <w:r>
        <w:rPr>
          <w:rFonts w:ascii="Times New Roman" w:hAnsi="Times New Roman"/>
          <w:color w:val="000000"/>
          <w:sz w:val="20"/>
        </w:rPr>
        <w:t xml:space="preserve">” </w:t>
      </w:r>
      <w:r>
        <w:rPr>
          <w:rFonts w:ascii="Times New Roman" w:hAnsi="Times New Roman"/>
          <w:color w:val="000000"/>
          <w:sz w:val="24"/>
        </w:rPr>
        <w:t>with respect to any setting of the then</w:t>
        <w:noBreakHyphen/>
        <w:t>current Benchmark means (1) if such Benchmark is Term SOFR Reference Rate, 11:00 a.m. (New York City time) on the day that is two New York banking days preceding the date of such setting, and (2) if such Benchmark is not the Term SOFR Reference Rate, the time determined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4"/>
          <w:u w:val="single"/>
        </w:rPr>
        <w:t>Refinanced Debt</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“Credit Agreement Refinancing Indebtedness”.</w:t>
      </w:r>
    </w:p>
    <w:p>
      <w:pPr>
        <w:pStyle w:val="TextBody"/>
        <w:bidi w:val="0"/>
        <w:spacing w:before="0" w:after="240"/>
        <w:jc w:val="both"/>
        <w:rPr/>
      </w:pPr>
      <w:r>
        <w:rPr>
          <w:color w:val="000000"/>
        </w:rPr>
        <w:t>“</w:t>
      </w:r>
      <w:r>
        <w:rPr>
          <w:rFonts w:ascii="Times New Roman" w:hAnsi="Times New Roman"/>
          <w:color w:val="000000"/>
          <w:sz w:val="24"/>
          <w:u w:val="single"/>
        </w:rPr>
        <w:t>Refinancing Amendment</w:t>
      </w:r>
      <w:r>
        <w:rPr>
          <w:rFonts w:ascii="Times New Roman" w:hAnsi="Times New Roman"/>
          <w:color w:val="000000"/>
          <w:sz w:val="20"/>
        </w:rPr>
        <w:t xml:space="preserve">” </w:t>
      </w:r>
      <w:r>
        <w:rPr>
          <w:rFonts w:ascii="Times New Roman" w:hAnsi="Times New Roman"/>
          <w:color w:val="000000"/>
          <w:sz w:val="24"/>
        </w:rPr>
        <w:t xml:space="preserve">means an amendment to this Agreement in form reasonably satisfactory to the Administrative Agent and the Borrower executed by each of (a) the Borrower and Holdings, (b) the Administrative Agent and (c) each applicable Additional Lender and Lender that agrees to provide any portion of the Credit Agreement Refinancing Indebtedness being incurred pursuant thereto, in accordance with </w:t>
      </w:r>
      <w:r>
        <w:rPr>
          <w:rFonts w:ascii="Times New Roman" w:hAnsi="Times New Roman"/>
          <w:color w:val="000000"/>
          <w:sz w:val="24"/>
          <w:u w:val="single"/>
        </w:rPr>
        <w:t>Section 2.21</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9.04(b)(iv)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Registered Equivalent Notes</w:t>
      </w:r>
      <w:r>
        <w:rPr>
          <w:rFonts w:ascii="Times New Roman" w:hAnsi="Times New Roman"/>
          <w:color w:val="000000"/>
          <w:sz w:val="20"/>
        </w:rPr>
        <w:t xml:space="preserve">” </w:t>
      </w:r>
      <w:r>
        <w:rPr>
          <w:rFonts w:ascii="Times New Roman" w:hAnsi="Times New Roman"/>
          <w:color w:val="000000"/>
          <w:sz w:val="24"/>
        </w:rPr>
        <w:t>means, with respect to any notes originally issued in a Rule 144A or other private placement transaction under the Securities Act of 1933, substantially identical notes (having the same Guarantees) issued in a dollar</w:t>
        <w:noBreakHyphen/>
        <w:t>for</w:t>
        <w:noBreakHyphen/>
        <w:t>dollar exchange therefor pursuant to an exchange offer registered with the SEC.</w:t>
      </w:r>
    </w:p>
    <w:p>
      <w:pPr>
        <w:pStyle w:val="TextBody"/>
        <w:bidi w:val="0"/>
        <w:spacing w:before="0" w:after="240"/>
        <w:jc w:val="both"/>
        <w:rPr/>
      </w:pPr>
      <w:r>
        <w:rPr>
          <w:color w:val="000000"/>
        </w:rPr>
        <w:t>“</w:t>
      </w:r>
      <w:r>
        <w:rPr>
          <w:rFonts w:ascii="Times New Roman" w:hAnsi="Times New Roman"/>
          <w:color w:val="000000"/>
          <w:sz w:val="24"/>
          <w:u w:val="single"/>
        </w:rPr>
        <w:t>Reimbursement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2.05(f)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Related Parties</w:t>
      </w:r>
      <w:r>
        <w:rPr>
          <w:rFonts w:ascii="Times New Roman" w:hAnsi="Times New Roman"/>
          <w:color w:val="000000"/>
          <w:sz w:val="20"/>
        </w:rPr>
        <w:t xml:space="preserve">” </w:t>
      </w:r>
      <w:r>
        <w:rPr>
          <w:rFonts w:ascii="Times New Roman" w:hAnsi="Times New Roman"/>
          <w:color w:val="000000"/>
          <w:sz w:val="24"/>
        </w:rPr>
        <w:t>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pStyle w:val="TextBody"/>
        <w:bidi w:val="0"/>
        <w:spacing w:before="0" w:after="240"/>
        <w:jc w:val="both"/>
        <w:rPr/>
      </w:pPr>
      <w:r>
        <w:rPr>
          <w:color w:val="000000"/>
        </w:rPr>
        <w:t>“</w:t>
      </w:r>
      <w:r>
        <w:rPr>
          <w:rFonts w:ascii="Times New Roman" w:hAnsi="Times New Roman"/>
          <w:color w:val="000000"/>
          <w:sz w:val="24"/>
          <w:u w:val="single"/>
        </w:rPr>
        <w:t>Release</w:t>
      </w:r>
      <w:r>
        <w:rPr>
          <w:rFonts w:ascii="Times New Roman" w:hAnsi="Times New Roman"/>
          <w:color w:val="000000"/>
          <w:sz w:val="20"/>
        </w:rPr>
        <w:t xml:space="preserve">” </w:t>
      </w:r>
      <w:r>
        <w:rPr>
          <w:rFonts w:ascii="Times New Roman" w:hAnsi="Times New Roman"/>
          <w:color w:val="000000"/>
          <w:sz w:val="24"/>
        </w:rPr>
        <w:t>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or facility.</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(a) with respect to a Benchmark Replacement in respect of Secured Obligations, interest, fees, commissions or other amounts denominated in, or calculated with respect to, Dollars, the Federal Reserve Board or the Federal Reserve Bank of New York, or a committee officially endorsed or convened by the Federal Reserve Board or the Federal Reserve Bank of New York, or any successor thereto and (b) with respect to a Benchmark Replacement in respect of Secured Obligations, interest, fees, commissions or other amounts denominated in, or calculated with respect to, any Alternative Currency, (1) the central bank for the currency in which such Secured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Secured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before="0" w:after="240"/>
        <w:jc w:val="both"/>
        <w:rPr/>
      </w:pPr>
      <w:r>
        <w:rPr>
          <w:color w:val="000000"/>
        </w:rPr>
        <w:t>“</w:t>
      </w:r>
      <w:r>
        <w:rPr>
          <w:rFonts w:ascii="Times New Roman" w:hAnsi="Times New Roman"/>
          <w:color w:val="000000"/>
          <w:sz w:val="24"/>
          <w:u w:val="single"/>
        </w:rPr>
        <w:t>RemainCo</w:t>
      </w:r>
      <w:r>
        <w:rPr>
          <w:rFonts w:ascii="Times New Roman" w:hAnsi="Times New Roman"/>
          <w:color w:val="000000"/>
          <w:sz w:val="20"/>
        </w:rPr>
        <w:t xml:space="preserve">” </w:t>
      </w:r>
      <w:r>
        <w:rPr>
          <w:rFonts w:ascii="Times New Roman" w:hAnsi="Times New Roman"/>
          <w:color w:val="000000"/>
          <w:sz w:val="24"/>
        </w:rPr>
        <w:t>means, collectively, Hoya Intermediate, LLC, a Delaware limited liability company, and each of its Subsidiaries (excluding the Vegas Group).</w:t>
      </w:r>
    </w:p>
    <w:p>
      <w:pPr>
        <w:pStyle w:val="TextBody"/>
        <w:bidi w:val="0"/>
        <w:spacing w:before="0" w:after="240"/>
        <w:jc w:val="both"/>
        <w:rPr/>
      </w:pPr>
      <w:r>
        <w:rPr>
          <w:color w:val="000000"/>
        </w:rPr>
        <w:t>“</w:t>
      </w:r>
      <w:r>
        <w:rPr>
          <w:rFonts w:ascii="Times New Roman" w:hAnsi="Times New Roman"/>
          <w:color w:val="000000"/>
          <w:sz w:val="24"/>
          <w:u w:val="single"/>
        </w:rPr>
        <w:t>RemainCo Intercompany Loan</w:t>
      </w:r>
      <w:r>
        <w:rPr>
          <w:rFonts w:ascii="Times New Roman" w:hAnsi="Times New Roman"/>
          <w:color w:val="000000"/>
          <w:sz w:val="20"/>
        </w:rPr>
        <w:t xml:space="preserve">” </w:t>
      </w:r>
      <w:r>
        <w:rPr>
          <w:rFonts w:ascii="Times New Roman" w:hAnsi="Times New Roman"/>
          <w:color w:val="000000"/>
          <w:sz w:val="24"/>
        </w:rPr>
        <w:t>means that certain senior secured revolving credit facility in an aggregate principal amount not to exceed $75,000,000 (plus any amounts that are “paid in kind” and capitalized to the principal balance thereof in accordance with the terms thereof), by and among Vegas.com, LLC, as lender, and Hoya Midco, as borrower, as the same may be amended, restated, supplemented or otherwise modified from time to time to the extent not prohibited by the terms of this Agreement.</w:t>
      </w:r>
    </w:p>
    <w:p>
      <w:pPr>
        <w:pStyle w:val="TextBody"/>
        <w:bidi w:val="0"/>
        <w:spacing w:before="0" w:after="240"/>
        <w:jc w:val="both"/>
        <w:rPr/>
      </w:pPr>
      <w:r>
        <w:rPr>
          <w:color w:val="000000"/>
        </w:rPr>
        <w:t>“</w:t>
      </w:r>
      <w:r>
        <w:rPr>
          <w:rFonts w:ascii="Times New Roman" w:hAnsi="Times New Roman"/>
          <w:color w:val="000000"/>
          <w:sz w:val="24"/>
          <w:u w:val="single"/>
        </w:rPr>
        <w:t>Removal Effective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8.06</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Required Additional Debt Terms</w:t>
      </w:r>
      <w:r>
        <w:rPr>
          <w:rFonts w:ascii="Times New Roman" w:hAnsi="Times New Roman"/>
          <w:color w:val="000000"/>
          <w:sz w:val="20"/>
        </w:rPr>
        <w:t xml:space="preserve">” </w:t>
      </w:r>
      <w:r>
        <w:rPr>
          <w:rFonts w:ascii="Times New Roman" w:hAnsi="Times New Roman"/>
          <w:color w:val="000000"/>
          <w:sz w:val="24"/>
        </w:rPr>
        <w:t xml:space="preserve">means with respect to any Indebtedness, (a) such Indebtedness does not mature earlier than the date that is 91 days after the Latest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date that is 91 days after the Latest Maturity Date), (b) (x) if such Indebtedness is incurred as Additional Second Out Debt, such Indebtedness does not have scheduled amortization payments in excess of 5.0% of the original principal amount of such Indebtedness per fiscal year and (y) if such Indebtedness is unsecured or secured by the Collateral on a junior lien basis to the Liens securing the obligations under this Agreement, such Indebtedness does not have scheduled amortization or mandatory prepayment or redemption features (other than (i) change of control offers, offers upon an event of default or “AHYDO catch up payments”, customary asset sale, insurance and condemnation proceeds events or excess cash flow payments (in each case, subject to the prior prepayment and termination of the Initial Revolving Facility or the prior offer thereof to prepay and terminate the Initial Revolving Facility)) that could result in redemptions of such Indebtedness prior to the Latest Maturity Date, (c) such Indebtedness is not guaranteed by any entity that is not a Loan Party, (d) such Indebtedness that is secured (i) is not secured by any assets not securing the Secured Obligations and (ii) is subject to the relevant Intercreditor Agreement, and (e) the terms and conditions of such Indebtedness (excluding pricing, interest rate margins, rate floors, discounts, fees, collateral, guarantees, premiums and prepayment or redemption provisions) are not more favorable (when taken as a whole) to the lenders or investors providing such Indebtedness than the terms and conditions of this Agreement (when taken as a whole) are to the Lenders (unless (x) such terms and conditions are applicable only to periods after the Latest Maturity Date at such time, (y) the Lenders also receive the benefit of such more favorable terms and conditions or (z) such terms are reasonably satisfactory to the Administrative Agent) (together with, at the election of the Borrower, any applicable “equity cure” provisions with respect to any financial covenant) (it being understood that, to the extent that any covenant, event of default, guarantee or other provision is added or modified for the benefit of any such Indebtedness, no consent shall be required by the Administrative Agent or any of the Lenders if such covenant, event of default or guarantee is either (i) also added or modified for the benefit of any corresponding Loans remaining outstanding after the issuance or incurrence of any such Indebtedness in connection therewith or (ii) only applicable after the Latest Maturity Date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Borrower may, in its sole discretion, deliver a certificate of a Responsible Officer of the Borrower to the Administrative Agent at least ten (10)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and such certificate shall be conclusive evidence that such terms and conditions satisfy the foregoing requirement unless the Administrative Agent notifies the Borrower within such ten (10) Business Day period that it disagrees with such determination.</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 xml:space="preserve">means, at any time, (i) Lenders having Revolving Exposures, Term Loans and unused Commitments representing more than 50% of the aggregate Revolving Exposures, outstanding Term Loans and unused Commitments at such time and (ii) until the Payment in Full of the Revolving Commitments, the Required Revolving Lenders; </w:t>
      </w:r>
      <w:r>
        <w:rPr>
          <w:rFonts w:ascii="Times New Roman" w:hAnsi="Times New Roman"/>
          <w:color w:val="000000"/>
          <w:sz w:val="24"/>
          <w:u w:val="single"/>
        </w:rPr>
        <w:t xml:space="preserve">provided </w:t>
      </w:r>
      <w:r>
        <w:rPr>
          <w:rFonts w:ascii="Times New Roman" w:hAnsi="Times New Roman"/>
          <w:color w:val="000000"/>
          <w:sz w:val="24"/>
        </w:rPr>
        <w:t xml:space="preserve">that to the extent set forth in </w:t>
      </w:r>
      <w:r>
        <w:rPr>
          <w:rFonts w:ascii="Times New Roman" w:hAnsi="Times New Roman"/>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9.04</w:t>
      </w:r>
      <w:r>
        <w:rPr>
          <w:rFonts w:ascii="Times New Roman" w:hAnsi="Times New Roman"/>
          <w:color w:val="000000"/>
          <w:sz w:val="20"/>
        </w:rPr>
        <w:t xml:space="preserve"> </w:t>
      </w:r>
      <w:r>
        <w:rPr>
          <w:rFonts w:ascii="Times New Roman" w:hAnsi="Times New Roman"/>
          <w:color w:val="000000"/>
          <w:sz w:val="24"/>
        </w:rPr>
        <w:t>whenever there are one or more Defaulting Lenders, the total outstanding Term Loans and Revolving Exposures of, and the unused Revolving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Commitments of, each Defaulting Lender shall be excluded for purposes of making a determination of Required Lenders;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for purposes of this definition, the outstanding principal amount of Alternative Currency Loans at any time shall be determined using the Dollar Equivalent thereof at the most recent Revaluation Date.</w:t>
      </w:r>
    </w:p>
    <w:p>
      <w:pPr>
        <w:pStyle w:val="TextBody"/>
        <w:bidi w:val="0"/>
        <w:spacing w:before="0" w:after="240"/>
        <w:jc w:val="both"/>
        <w:rPr/>
      </w:pPr>
      <w:r>
        <w:rPr>
          <w:color w:val="000000"/>
        </w:rPr>
        <w:t>“</w:t>
      </w:r>
      <w:r>
        <w:rPr>
          <w:rFonts w:ascii="Times New Roman" w:hAnsi="Times New Roman"/>
          <w:color w:val="000000"/>
          <w:sz w:val="24"/>
          <w:u w:val="single"/>
        </w:rPr>
        <w:t>Required Revolving Lenders</w:t>
      </w:r>
      <w:r>
        <w:rPr>
          <w:rFonts w:ascii="Times New Roman" w:hAnsi="Times New Roman"/>
          <w:color w:val="000000"/>
          <w:sz w:val="20"/>
        </w:rPr>
        <w:t xml:space="preserve">” </w:t>
      </w:r>
      <w:r>
        <w:rPr>
          <w:rFonts w:ascii="Times New Roman" w:hAnsi="Times New Roman"/>
          <w:color w:val="000000"/>
          <w:sz w:val="24"/>
        </w:rPr>
        <w:t xml:space="preserve">means, at any time, Revolving Lenders having Revolving Exposures and unused Revolving Commitments representing more than 50.0% of the aggregate Revolving Exposures and unused Revolving Commitments at such time; </w:t>
      </w:r>
      <w:r>
        <w:rPr>
          <w:rFonts w:ascii="Times New Roman" w:hAnsi="Times New Roman"/>
          <w:color w:val="000000"/>
          <w:sz w:val="24"/>
          <w:u w:val="single"/>
        </w:rPr>
        <w:t xml:space="preserve">provided </w:t>
      </w:r>
      <w:r>
        <w:rPr>
          <w:rFonts w:ascii="Times New Roman" w:hAnsi="Times New Roman"/>
          <w:color w:val="000000"/>
          <w:sz w:val="24"/>
        </w:rPr>
        <w:t xml:space="preserve">that to the extent set forth in </w:t>
      </w:r>
      <w:r>
        <w:rPr>
          <w:rFonts w:ascii="Times New Roman" w:hAnsi="Times New Roman"/>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9.04</w:t>
      </w:r>
      <w:r>
        <w:rPr>
          <w:rFonts w:ascii="Times New Roman" w:hAnsi="Times New Roman"/>
          <w:color w:val="000000"/>
          <w:sz w:val="20"/>
        </w:rPr>
        <w:t xml:space="preserve"> </w:t>
      </w:r>
      <w:r>
        <w:rPr>
          <w:rFonts w:ascii="Times New Roman" w:hAnsi="Times New Roman"/>
          <w:color w:val="000000"/>
          <w:sz w:val="24"/>
        </w:rPr>
        <w:t xml:space="preserve">whenever there are one or more Defaulting Lenders, the total outstanding Revolving Exposures of, and the unused Revolving Commitments of, each Defaulting Lender, shall be excluded for purposes of making a determination of Required Revolving Lenders;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for purposes of this definition, the outstanding principal amount of Alternative Currency Loans at any time shall be determined using the Dollar Equivalent thereof at the most recent Revaluation Date.</w:t>
      </w:r>
    </w:p>
    <w:p>
      <w:pPr>
        <w:pStyle w:val="TextBody"/>
        <w:bidi w:val="0"/>
        <w:spacing w:before="0" w:after="240"/>
        <w:jc w:val="both"/>
        <w:rPr/>
      </w:pPr>
      <w:r>
        <w:rPr>
          <w:color w:val="000000"/>
        </w:rPr>
        <w:t>“</w:t>
      </w:r>
      <w:r>
        <w:rPr>
          <w:rFonts w:ascii="Times New Roman" w:hAnsi="Times New Roman"/>
          <w:color w:val="000000"/>
          <w:sz w:val="24"/>
          <w:u w:val="single"/>
        </w:rPr>
        <w:t>Requirements of Law</w:t>
      </w:r>
      <w:r>
        <w:rPr>
          <w:rFonts w:ascii="Times New Roman" w:hAnsi="Times New Roman"/>
          <w:color w:val="000000"/>
          <w:sz w:val="20"/>
        </w:rPr>
        <w:t xml:space="preserve">” </w:t>
      </w:r>
      <w:r>
        <w:rPr>
          <w:rFonts w:ascii="Times New Roman" w:hAnsi="Times New Roman"/>
          <w:color w:val="000000"/>
          <w:sz w:val="24"/>
        </w:rPr>
        <w:t>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4"/>
          <w:u w:val="single"/>
        </w:rPr>
        <w:t>Resignation Effective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8.06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the chief executive officer, president, vice president, chief financial officer, treasurer or assistant treasurer, director, company secretary or other similar officer, manager or a member of the Board of Directors of a Loan Party and with respect to certain limited liability companies or partnerships that do not have officers, any authorized signatory, director, manager, sole member, managing member or general partner thereof, and as to any document delivered on the Effective Date or thereafter pursuant to paragraph (a)(i) of the definition of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jc w:val="both"/>
        <w:rPr/>
      </w:pPr>
      <w:r>
        <w:rPr>
          <w:color w:val="000000"/>
        </w:rPr>
        <w:t>“</w:t>
      </w:r>
      <w:r>
        <w:rPr>
          <w:rFonts w:ascii="Times New Roman" w:hAnsi="Times New Roman"/>
          <w:color w:val="000000"/>
          <w:sz w:val="24"/>
          <w:u w:val="single"/>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(whether in cash, securities or other property) with respect to any Equity Interests in Holdings, the Borrower or any Restricted Subsidiary, or any payment (whether in cash, securities or other property), including any sinking fund or similar deposit, on account of the purchase, redemption, retirement, acquisition, cancellation or termination of any Equity Interests in Holdings, the Borrower or any Restricted Subsidiary or any option, warrant or other right to acquire any such Equity Interests in Holdings, the Borrower or any Restricted Subsidiary.</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Restricted Subsidiary</w:t>
      </w:r>
      <w:r>
        <w:rPr>
          <w:rFonts w:ascii="Times New Roman" w:hAnsi="Times New Roman"/>
          <w:color w:val="000000"/>
          <w:sz w:val="20"/>
        </w:rPr>
        <w:t xml:space="preserve">” </w:t>
      </w:r>
      <w:r>
        <w:rPr>
          <w:rFonts w:ascii="Times New Roman" w:hAnsi="Times New Roman"/>
          <w:color w:val="000000"/>
          <w:sz w:val="24"/>
        </w:rPr>
        <w:t>means, unless otherwise specified, any Subsidiary of Holdings.</w:t>
      </w:r>
    </w:p>
    <w:p>
      <w:pPr>
        <w:pStyle w:val="TextBody"/>
        <w:bidi w:val="0"/>
        <w:spacing w:before="0" w:after="240"/>
        <w:jc w:val="both"/>
        <w:rPr/>
      </w:pPr>
      <w:r>
        <w:rPr>
          <w:color w:val="000000"/>
        </w:rPr>
        <w:t>“</w:t>
      </w:r>
      <w:r>
        <w:rPr>
          <w:rFonts w:ascii="Times New Roman" w:hAnsi="Times New Roman"/>
          <w:color w:val="000000"/>
          <w:sz w:val="24"/>
          <w:u w:val="single"/>
        </w:rPr>
        <w:t>Revaluation Date</w:t>
      </w:r>
      <w:r>
        <w:rPr>
          <w:rFonts w:ascii="Times New Roman" w:hAnsi="Times New Roman"/>
          <w:color w:val="000000"/>
          <w:sz w:val="20"/>
        </w:rPr>
        <w:t xml:space="preserve">” </w:t>
      </w:r>
      <w:r>
        <w:rPr>
          <w:rFonts w:ascii="Times New Roman" w:hAnsi="Times New Roman"/>
          <w:color w:val="000000"/>
          <w:sz w:val="24"/>
        </w:rPr>
        <w:t xml:space="preserve">means (a) with respect to any Alternative Currency Loan, each of the following: (i) each date of a Borrowing of such Alternative Currency Loan and (ii) each date of a continuation of such Alternative Currency Loan pursuant to </w:t>
      </w:r>
      <w:r>
        <w:rPr>
          <w:rFonts w:ascii="Times New Roman" w:hAnsi="Times New Roman"/>
          <w:color w:val="000000"/>
          <w:sz w:val="24"/>
          <w:u w:val="single"/>
        </w:rPr>
        <w:t>Section 2.02</w:t>
      </w:r>
      <w:r>
        <w:rPr>
          <w:rFonts w:ascii="Times New Roman" w:hAnsi="Times New Roman"/>
          <w:color w:val="000000"/>
          <w:sz w:val="24"/>
        </w:rPr>
        <w:t>, and (iii) such additional dates as the Administrative Agent and the Borrower shall reasonably determine and (b) with respect to any Letter of Credit denominated in an Alternative Currency, each of the following: (i) each date of issuance of such Letter of Credit, (ii) each date of an amendment of such Letter of Credit having the effect of increasing the amount thereof, (iii) each date of any payment by the Issuing Bank under such Letter of Credit, and (iv) such additional dates as the Administrative Agent and the Borrower shall reasonably determine.</w:t>
      </w:r>
    </w:p>
    <w:p>
      <w:pPr>
        <w:pStyle w:val="TextBody"/>
        <w:bidi w:val="0"/>
        <w:spacing w:before="0" w:after="240"/>
        <w:jc w:val="both"/>
        <w:rPr/>
      </w:pPr>
      <w:r>
        <w:rPr>
          <w:color w:val="000000"/>
        </w:rPr>
        <w:t>“</w:t>
      </w:r>
      <w:r>
        <w:rPr>
          <w:rFonts w:ascii="Times New Roman" w:hAnsi="Times New Roman"/>
          <w:color w:val="000000"/>
          <w:sz w:val="24"/>
          <w:u w:val="single"/>
        </w:rPr>
        <w:t>Revolving Availability Period</w:t>
      </w:r>
      <w:r>
        <w:rPr>
          <w:rFonts w:ascii="Times New Roman" w:hAnsi="Times New Roman"/>
          <w:color w:val="000000"/>
          <w:sz w:val="20"/>
        </w:rPr>
        <w:t xml:space="preserve">” </w:t>
      </w:r>
      <w:r>
        <w:rPr>
          <w:rFonts w:ascii="Times New Roman" w:hAnsi="Times New Roman"/>
          <w:color w:val="000000"/>
          <w:sz w:val="24"/>
        </w:rPr>
        <w:t>means the period from and including the Effective Date to but excluding the earlier of the Revolving Maturity Date and the date of termination of the Revolving Commitments.</w:t>
      </w:r>
    </w:p>
    <w:p>
      <w:pPr>
        <w:pStyle w:val="TextBody"/>
        <w:bidi w:val="0"/>
        <w:spacing w:before="0" w:after="240"/>
        <w:jc w:val="both"/>
        <w:rPr/>
      </w:pPr>
      <w:r>
        <w:rPr>
          <w:color w:val="000000"/>
        </w:rPr>
        <w:t>“</w:t>
      </w:r>
      <w:r>
        <w:rPr>
          <w:rFonts w:ascii="Times New Roman" w:hAnsi="Times New Roman"/>
          <w:color w:val="000000"/>
          <w:sz w:val="24"/>
          <w:u w:val="single"/>
        </w:rPr>
        <w:t>Revolving Commitment</w:t>
      </w:r>
      <w:r>
        <w:rPr>
          <w:rFonts w:ascii="Times New Roman" w:hAnsi="Times New Roman"/>
          <w:color w:val="000000"/>
          <w:sz w:val="20"/>
        </w:rPr>
        <w:t xml:space="preserve">” </w:t>
      </w:r>
      <w:r>
        <w:rPr>
          <w:rFonts w:ascii="Times New Roman" w:hAnsi="Times New Roman"/>
          <w:color w:val="000000"/>
          <w:sz w:val="24"/>
        </w:rPr>
        <w:t xml:space="preserve">means, with respect to each Lender, its obligation to (i) make Revolving Loans, (ii) acquire participations in Swing Line Loans hereunder, expressed as an amount representing the maximum possible aggregate amount of such Lender’s Revolving Exposure hereunder and (iii) acquire participations in Letters of Credit in an aggregate principal amount at any time outstanding not to exceed the amount set forth opposite such Lender’s name in </w:t>
      </w:r>
      <w:r>
        <w:rPr>
          <w:rFonts w:ascii="Times New Roman" w:hAnsi="Times New Roman"/>
          <w:color w:val="000000"/>
          <w:sz w:val="24"/>
          <w:u w:val="single"/>
        </w:rPr>
        <w:t>Schedule 2.01</w:t>
      </w:r>
      <w:r>
        <w:rPr>
          <w:rFonts w:ascii="Times New Roman" w:hAnsi="Times New Roman"/>
          <w:color w:val="000000"/>
          <w:sz w:val="20"/>
        </w:rPr>
        <w:t xml:space="preserve"> </w:t>
      </w:r>
      <w:r>
        <w:rPr>
          <w:rFonts w:ascii="Times New Roman" w:hAnsi="Times New Roman"/>
          <w:color w:val="000000"/>
          <w:sz w:val="24"/>
        </w:rPr>
        <w:t xml:space="preserve">or in the Assignment and Assumption pursuant to which such Lender becomes a party hereto, as such commitment may be (a) reduced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and (b) reduced or increased from time to time pursuant to (i) assignments by or to such Lender pursuant to an Assignment and Assumption, (ii) a Refinancing Amendment, or (iii) an Incremental Revolving Commitment Increase. The initial amount of each Lender’s Revolving Commitment is set forth on </w:t>
      </w:r>
      <w:r>
        <w:rPr>
          <w:rFonts w:ascii="Times New Roman" w:hAnsi="Times New Roman"/>
          <w:color w:val="000000"/>
          <w:sz w:val="24"/>
          <w:u w:val="single"/>
        </w:rPr>
        <w:t>Schedule 2.01</w:t>
      </w:r>
      <w:r>
        <w:rPr>
          <w:rFonts w:ascii="Times New Roman" w:hAnsi="Times New Roman"/>
          <w:color w:val="000000"/>
          <w:sz w:val="20"/>
        </w:rPr>
        <w:t xml:space="preserve"> </w:t>
      </w:r>
      <w:r>
        <w:rPr>
          <w:rFonts w:ascii="Times New Roman" w:hAnsi="Times New Roman"/>
          <w:color w:val="000000"/>
          <w:sz w:val="24"/>
        </w:rPr>
        <w:t>or, in each case, in the Assignment and Assumption, Incremental Facility Amendment or Refinancing Amendment pursuant to which such Lender shall have assumed its Revolving Commitment, as the case may be. As of the Effective Date, the aggregate amount of the Lenders’ Revolving Commitments is $75,000,000.</w:t>
      </w:r>
    </w:p>
    <w:p>
      <w:pPr>
        <w:pStyle w:val="TextBody"/>
        <w:bidi w:val="0"/>
        <w:spacing w:before="0" w:after="240"/>
        <w:jc w:val="both"/>
        <w:rPr/>
      </w:pPr>
      <w:r>
        <w:rPr>
          <w:color w:val="000000"/>
        </w:rPr>
        <w:t>“</w:t>
      </w:r>
      <w:r>
        <w:rPr>
          <w:rFonts w:ascii="Times New Roman" w:hAnsi="Times New Roman"/>
          <w:color w:val="000000"/>
          <w:sz w:val="24"/>
          <w:u w:val="single"/>
        </w:rPr>
        <w:t>Revolving Exposure</w:t>
      </w:r>
      <w:r>
        <w:rPr>
          <w:rFonts w:ascii="Times New Roman" w:hAnsi="Times New Roman"/>
          <w:color w:val="000000"/>
          <w:sz w:val="20"/>
        </w:rPr>
        <w:t xml:space="preserve">” </w:t>
      </w:r>
      <w:r>
        <w:rPr>
          <w:rFonts w:ascii="Times New Roman" w:hAnsi="Times New Roman"/>
          <w:color w:val="000000"/>
          <w:sz w:val="24"/>
        </w:rPr>
        <w:t>means, with respect to any Revolving Lender at any time, the sum of the outstanding principal amount of such Revolving Lender’s Revolving Loans, its LC Exposure and its Swing Line Obligations at such time.</w:t>
      </w:r>
    </w:p>
    <w:p>
      <w:pPr>
        <w:pStyle w:val="TextBody"/>
        <w:bidi w:val="0"/>
        <w:spacing w:before="0" w:after="240"/>
        <w:jc w:val="both"/>
        <w:rPr/>
      </w:pPr>
      <w:r>
        <w:rPr>
          <w:color w:val="000000"/>
        </w:rPr>
        <w:t>“</w:t>
      </w:r>
      <w:r>
        <w:rPr>
          <w:rFonts w:ascii="Times New Roman" w:hAnsi="Times New Roman"/>
          <w:color w:val="000000"/>
          <w:sz w:val="24"/>
          <w:u w:val="single"/>
        </w:rPr>
        <w:t>Revolving Lender</w:t>
      </w:r>
      <w:r>
        <w:rPr>
          <w:rFonts w:ascii="Times New Roman" w:hAnsi="Times New Roman"/>
          <w:color w:val="000000"/>
          <w:sz w:val="20"/>
        </w:rPr>
        <w:t xml:space="preserve">” </w:t>
      </w:r>
      <w:r>
        <w:rPr>
          <w:rFonts w:ascii="Times New Roman" w:hAnsi="Times New Roman"/>
          <w:color w:val="000000"/>
          <w:sz w:val="24"/>
        </w:rPr>
        <w:t>means a Lender with a Revolving Commitment or, if the Revolving Commitments have terminated or expired, a Lender with Revolving Exposure.</w:t>
      </w:r>
    </w:p>
    <w:p>
      <w:pPr>
        <w:pStyle w:val="TextBody"/>
        <w:bidi w:val="0"/>
        <w:spacing w:before="0" w:after="240"/>
        <w:jc w:val="both"/>
        <w:rPr/>
      </w:pPr>
      <w:r>
        <w:rPr>
          <w:color w:val="000000"/>
        </w:rPr>
        <w:t>“</w:t>
      </w:r>
      <w:r>
        <w:rPr>
          <w:rFonts w:ascii="Times New Roman" w:hAnsi="Times New Roman"/>
          <w:color w:val="000000"/>
          <w:sz w:val="24"/>
          <w:u w:val="single"/>
        </w:rPr>
        <w:t>Revolving Loan</w:t>
      </w:r>
      <w:r>
        <w:rPr>
          <w:rFonts w:ascii="Times New Roman" w:hAnsi="Times New Roman"/>
          <w:color w:val="000000"/>
          <w:sz w:val="20"/>
        </w:rPr>
        <w:t xml:space="preserve">” </w:t>
      </w:r>
      <w:r>
        <w:rPr>
          <w:rFonts w:ascii="Times New Roman" w:hAnsi="Times New Roman"/>
          <w:color w:val="000000"/>
          <w:sz w:val="24"/>
        </w:rPr>
        <w:t xml:space="preserve">means a Loan made by a Revolving Lender pursuant to </w:t>
      </w:r>
      <w:r>
        <w:rPr>
          <w:rFonts w:ascii="Times New Roman" w:hAnsi="Times New Roman"/>
          <w:color w:val="000000"/>
          <w:sz w:val="24"/>
          <w:u w:val="single"/>
        </w:rPr>
        <w:t>Section 2.01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Revolving Maturity Date</w:t>
      </w:r>
      <w:r>
        <w:rPr>
          <w:rFonts w:ascii="Times New Roman" w:hAnsi="Times New Roman"/>
          <w:color w:val="000000"/>
          <w:sz w:val="20"/>
        </w:rPr>
        <w:t xml:space="preserve">” </w:t>
      </w:r>
      <w:r>
        <w:rPr>
          <w:rFonts w:ascii="Times New Roman" w:hAnsi="Times New Roman"/>
          <w:color w:val="000000"/>
          <w:sz w:val="24"/>
        </w:rPr>
        <w:t>means the earlier of (x) August 3, 2029 and (y) the Springing Maturity Date (or in each case, if such day is not a Business Day, the immediately preceding Business Day).</w:t>
      </w:r>
    </w:p>
    <w:p>
      <w:pPr>
        <w:pStyle w:val="TextBody"/>
        <w:bidi w:val="0"/>
        <w:spacing w:before="0" w:after="240"/>
        <w:jc w:val="both"/>
        <w:rPr/>
      </w:pPr>
      <w:r>
        <w:rPr>
          <w:color w:val="000000"/>
        </w:rPr>
        <w:t>“</w:t>
      </w:r>
      <w:r>
        <w:rPr>
          <w:rFonts w:ascii="Times New Roman" w:hAnsi="Times New Roman"/>
          <w:color w:val="000000"/>
          <w:sz w:val="24"/>
          <w:u w:val="single"/>
        </w:rPr>
        <w:t>RFR</w:t>
      </w:r>
      <w:r>
        <w:rPr>
          <w:rFonts w:ascii="Times New Roman" w:hAnsi="Times New Roman"/>
          <w:color w:val="000000"/>
          <w:sz w:val="20"/>
        </w:rPr>
        <w:t xml:space="preserve">” </w:t>
      </w:r>
      <w:r>
        <w:rPr>
          <w:rFonts w:ascii="Times New Roman" w:hAnsi="Times New Roman"/>
          <w:color w:val="000000"/>
          <w:sz w:val="24"/>
        </w:rPr>
        <w:t>means, for any Secured Obligations, interest, fees, commissions or other amounts denominated in, or calculated with respect to Sterling, SONIA.</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RFR Borrowing</w:t>
      </w:r>
      <w:r>
        <w:rPr>
          <w:rFonts w:ascii="Times New Roman" w:hAnsi="Times New Roman"/>
          <w:color w:val="000000"/>
          <w:sz w:val="20"/>
        </w:rPr>
        <w:t xml:space="preserve">” </w:t>
      </w:r>
      <w:r>
        <w:rPr>
          <w:rFonts w:ascii="Times New Roman" w:hAnsi="Times New Roman"/>
          <w:color w:val="000000"/>
          <w:sz w:val="24"/>
        </w:rPr>
        <w:t>means any Borrowing comprised of RFR Loans.</w:t>
      </w:r>
    </w:p>
    <w:p>
      <w:pPr>
        <w:pStyle w:val="TextBody"/>
        <w:bidi w:val="0"/>
        <w:spacing w:before="0" w:after="240"/>
        <w:jc w:val="both"/>
        <w:rPr/>
      </w:pPr>
      <w:r>
        <w:rPr>
          <w:color w:val="000000"/>
        </w:rPr>
        <w:t>“</w:t>
      </w:r>
      <w:r>
        <w:rPr>
          <w:rFonts w:ascii="Times New Roman" w:hAnsi="Times New Roman"/>
          <w:color w:val="000000"/>
          <w:sz w:val="24"/>
          <w:u w:val="single"/>
        </w:rPr>
        <w:t>RFR Business Day</w:t>
      </w:r>
      <w:r>
        <w:rPr>
          <w:rFonts w:ascii="Times New Roman" w:hAnsi="Times New Roman"/>
          <w:color w:val="000000"/>
          <w:sz w:val="20"/>
        </w:rPr>
        <w:t xml:space="preserve">” </w:t>
      </w:r>
      <w:r>
        <w:rPr>
          <w:rFonts w:ascii="Times New Roman" w:hAnsi="Times New Roman"/>
          <w:color w:val="000000"/>
          <w:sz w:val="24"/>
        </w:rPr>
        <w:t xml:space="preserve">means, for any Secured Obligations, interest, fees, commissions or other amounts denominated in, or calculated with respect to Sterling, any day except for (i) a Saturday, (ii) a Sunday or (iii) a day on which banks are closed for general business in London; </w:t>
      </w:r>
      <w:r>
        <w:rPr>
          <w:rFonts w:ascii="Times New Roman" w:hAnsi="Times New Roman"/>
          <w:color w:val="000000"/>
          <w:sz w:val="24"/>
          <w:u w:val="single"/>
        </w:rPr>
        <w:t xml:space="preserve">provided </w:t>
      </w:r>
      <w:r>
        <w:rPr>
          <w:rFonts w:ascii="Times New Roman" w:hAnsi="Times New Roman"/>
          <w:color w:val="000000"/>
          <w:sz w:val="24"/>
        </w:rPr>
        <w:t xml:space="preserve">that for purposes of notice requirements in </w:t>
      </w:r>
      <w:r>
        <w:rPr>
          <w:rFonts w:ascii="Times New Roman" w:hAnsi="Times New Roman"/>
          <w:color w:val="000000"/>
          <w:sz w:val="24"/>
          <w:u w:val="single"/>
        </w:rPr>
        <w:t>Sections 2.02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2.11</w:t>
      </w:r>
      <w:r>
        <w:rPr>
          <w:rFonts w:ascii="Times New Roman" w:hAnsi="Times New Roman"/>
          <w:color w:val="000000"/>
          <w:sz w:val="24"/>
        </w:rPr>
        <w:t>, in each case, such day is also a Business Day.</w:t>
      </w:r>
    </w:p>
    <w:p>
      <w:pPr>
        <w:pStyle w:val="TextBody"/>
        <w:bidi w:val="0"/>
        <w:spacing w:before="0" w:after="240"/>
        <w:jc w:val="both"/>
        <w:rPr/>
      </w:pPr>
      <w:r>
        <w:rPr>
          <w:color w:val="000000"/>
        </w:rPr>
        <w:t>“</w:t>
      </w:r>
      <w:r>
        <w:rPr>
          <w:rFonts w:ascii="Times New Roman" w:hAnsi="Times New Roman"/>
          <w:color w:val="000000"/>
          <w:sz w:val="24"/>
          <w:u w:val="single"/>
        </w:rPr>
        <w:t>RFR Loan</w:t>
      </w:r>
      <w:r>
        <w:rPr>
          <w:rFonts w:ascii="Times New Roman" w:hAnsi="Times New Roman"/>
          <w:color w:val="000000"/>
          <w:sz w:val="20"/>
        </w:rPr>
        <w:t xml:space="preserve">” </w:t>
      </w:r>
      <w:r>
        <w:rPr>
          <w:rFonts w:ascii="Times New Roman" w:hAnsi="Times New Roman"/>
          <w:color w:val="000000"/>
          <w:sz w:val="24"/>
        </w:rPr>
        <w:t>means a Loan that is bearing interest at a rate determined by reference to an RFR.</w:t>
      </w:r>
    </w:p>
    <w:p>
      <w:pPr>
        <w:pStyle w:val="TextBody"/>
        <w:bidi w:val="0"/>
        <w:spacing w:before="0" w:after="240"/>
        <w:jc w:val="both"/>
        <w:rPr/>
      </w:pPr>
      <w:r>
        <w:rPr>
          <w:color w:val="000000"/>
        </w:rPr>
        <w:t>“</w:t>
      </w:r>
      <w:r>
        <w:rPr>
          <w:rFonts w:ascii="Times New Roman" w:hAnsi="Times New Roman"/>
          <w:color w:val="000000"/>
          <w:sz w:val="24"/>
          <w:u w:val="single"/>
        </w:rPr>
        <w:t>RFR Rate Day</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“Daily Simple RFR”.</w:t>
      </w:r>
    </w:p>
    <w:p>
      <w:pPr>
        <w:pStyle w:val="TextBody"/>
        <w:bidi w:val="0"/>
        <w:spacing w:before="0" w:after="240"/>
        <w:jc w:val="both"/>
        <w:rPr/>
      </w:pPr>
      <w:r>
        <w:rPr>
          <w:color w:val="000000"/>
        </w:rPr>
        <w:t>“</w:t>
      </w:r>
      <w:r>
        <w:rPr>
          <w:rFonts w:ascii="Times New Roman" w:hAnsi="Times New Roman"/>
          <w:color w:val="000000"/>
          <w:sz w:val="24"/>
          <w:u w:val="single"/>
        </w:rPr>
        <w:t>S&amp;P</w:t>
      </w:r>
      <w:r>
        <w:rPr>
          <w:rFonts w:ascii="Times New Roman" w:hAnsi="Times New Roman"/>
          <w:color w:val="000000"/>
          <w:sz w:val="20"/>
        </w:rPr>
        <w:t xml:space="preserve">” </w:t>
      </w:r>
      <w:r>
        <w:rPr>
          <w:rFonts w:ascii="Times New Roman" w:hAnsi="Times New Roman"/>
          <w:color w:val="000000"/>
          <w:sz w:val="24"/>
        </w:rPr>
        <w:t>means S&amp;P Global Ratings, and any successor thereto.</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or territory which is the target of any comprehensive Sanctions (as of the date of this Agreement, the Crimea, the so-called Donetsk People’s Republic, and the so-called Luhansk People’s Republic regions of Ukraine, Cuba, Iran, North Korea, and Syria prior to June 30, 2025).</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means any economic or trade sanctions administered or enforced by the United States Government (including without limitation, OFAC, or the U.S. Department of State), the United Nations Security Council, the Japanese Government, the European Union, any European Union member state, or His Majesty’s Treasury (“</w:t>
      </w:r>
      <w:r>
        <w:rPr>
          <w:rFonts w:ascii="Times New Roman" w:hAnsi="Times New Roman"/>
          <w:color w:val="000000"/>
          <w:sz w:val="24"/>
          <w:u w:val="single"/>
        </w:rPr>
        <w:t>Sanctions Authorities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Sanctions Authorities</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“Sanctions”.</w:t>
      </w:r>
    </w:p>
    <w:p>
      <w:pPr>
        <w:pStyle w:val="TextBody"/>
        <w:bidi w:val="0"/>
        <w:spacing w:before="0" w:after="240"/>
        <w:jc w:val="both"/>
        <w:rPr/>
      </w:pPr>
      <w:r>
        <w:rPr>
          <w:color w:val="000000"/>
        </w:rPr>
        <w:t>“</w:t>
      </w:r>
      <w:r>
        <w:rPr>
          <w:rFonts w:ascii="Times New Roman" w:hAnsi="Times New Roman"/>
          <w:color w:val="000000"/>
          <w:sz w:val="24"/>
          <w:u w:val="single"/>
        </w:rPr>
        <w:t>SEC</w:t>
      </w:r>
      <w:r>
        <w:rPr>
          <w:rFonts w:ascii="Times New Roman" w:hAnsi="Times New Roman"/>
          <w:color w:val="000000"/>
          <w:sz w:val="20"/>
        </w:rPr>
        <w:t xml:space="preserve">” </w:t>
      </w:r>
      <w:r>
        <w:rPr>
          <w:rFonts w:ascii="Times New Roman" w:hAnsi="Times New Roman"/>
          <w:color w:val="000000"/>
          <w:sz w:val="24"/>
        </w:rPr>
        <w:t>means the Securities and Exchange Commission or any Governmental Authority succeeding to any of its principal functions.</w:t>
      </w:r>
    </w:p>
    <w:p>
      <w:pPr>
        <w:pStyle w:val="TextBody"/>
        <w:bidi w:val="0"/>
        <w:spacing w:before="0" w:after="240"/>
        <w:jc w:val="both"/>
        <w:rPr/>
      </w:pPr>
      <w:r>
        <w:rPr>
          <w:color w:val="000000"/>
        </w:rPr>
        <w:t>“</w:t>
      </w:r>
      <w:r>
        <w:rPr>
          <w:rFonts w:ascii="Times New Roman" w:hAnsi="Times New Roman"/>
          <w:color w:val="000000"/>
          <w:sz w:val="24"/>
          <w:u w:val="single"/>
        </w:rPr>
        <w:t>Secured Cash Management Obligations</w:t>
      </w:r>
      <w:r>
        <w:rPr>
          <w:rFonts w:ascii="Times New Roman" w:hAnsi="Times New Roman"/>
          <w:color w:val="000000"/>
          <w:sz w:val="20"/>
        </w:rPr>
        <w:t xml:space="preserve">” </w:t>
      </w:r>
      <w:r>
        <w:rPr>
          <w:rFonts w:ascii="Times New Roman" w:hAnsi="Times New Roman"/>
          <w:color w:val="000000"/>
          <w:sz w:val="24"/>
        </w:rPr>
        <w:t>means the due and punctual payment and performance of all obligations of the Hoya Group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hAnsi="Times New Roman"/>
          <w:color w:val="000000"/>
          <w:sz w:val="24"/>
          <w:u w:val="single"/>
        </w:rPr>
        <w:t>Cash Management Services</w:t>
      </w:r>
      <w:r>
        <w:rPr>
          <w:rFonts w:ascii="Times New Roman" w:hAnsi="Times New Roman"/>
          <w:color w:val="000000"/>
          <w:sz w:val="20"/>
        </w:rPr>
        <w:t>”</w:t>
      </w:r>
      <w:r>
        <w:rPr>
          <w:rFonts w:ascii="Times New Roman" w:hAnsi="Times New Roman"/>
          <w:color w:val="000000"/>
          <w:sz w:val="24"/>
        </w:rPr>
        <w:t>) provided to Holdings, the Borrower or any Restricted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or (c) owed to a Person that is an Agent, a Lender or an Affiliate of an Agent or Lender at the time such obligations are incurred, for which such Loan Party agrees to provide security and in each case that has been designated to the Administrative Agent in writing by the Borrower as being a “</w:t>
      </w:r>
      <w:r>
        <w:rPr>
          <w:rFonts w:ascii="Times New Roman" w:hAnsi="Times New Roman"/>
          <w:color w:val="000000"/>
          <w:sz w:val="24"/>
          <w:u w:val="single"/>
        </w:rPr>
        <w:t>Secured Cash Management Obligations</w:t>
      </w:r>
      <w:r>
        <w:rPr>
          <w:rFonts w:ascii="Times New Roman" w:hAnsi="Times New Roman"/>
          <w:color w:val="000000"/>
          <w:sz w:val="20"/>
        </w:rPr>
        <w:t xml:space="preserve">” </w:t>
      </w:r>
      <w:r>
        <w:rPr>
          <w:rFonts w:ascii="Times New Roman" w:hAnsi="Times New Roman"/>
          <w:color w:val="000000"/>
          <w:sz w:val="24"/>
        </w:rPr>
        <w:t>for purposes of the Loan Documents; it being understood that each counterparty thereto shall be deemed (A) to appoint the Administrative Agent as its agent under the applicable Loan Documents and (B) to agree to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bound by the provisions of </w:t>
      </w:r>
      <w:r>
        <w:rPr>
          <w:rFonts w:ascii="Times New Roman" w:hAnsi="Times New Roman"/>
          <w:color w:val="000000"/>
          <w:sz w:val="24"/>
          <w:u w:val="single"/>
        </w:rPr>
        <w:t>Article VIII</w:t>
      </w:r>
      <w:r>
        <w:rPr>
          <w:rFonts w:ascii="Times New Roman" w:hAnsi="Times New Roman"/>
          <w:color w:val="000000"/>
          <w:sz w:val="24"/>
        </w:rPr>
        <w:t xml:space="preserve">, </w:t>
      </w:r>
      <w:r>
        <w:rPr>
          <w:rFonts w:ascii="Times New Roman" w:hAnsi="Times New Roman"/>
          <w:color w:val="000000"/>
          <w:sz w:val="24"/>
          <w:u w:val="single"/>
        </w:rPr>
        <w:t>Section 9.03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9.09</w:t>
      </w:r>
      <w:r>
        <w:rPr>
          <w:rFonts w:ascii="Times New Roman" w:hAnsi="Times New Roman"/>
          <w:color w:val="000000"/>
          <w:sz w:val="20"/>
        </w:rPr>
        <w:t xml:space="preserve"> </w:t>
      </w:r>
      <w:r>
        <w:rPr>
          <w:rFonts w:ascii="Times New Roman" w:hAnsi="Times New Roman"/>
          <w:color w:val="000000"/>
          <w:sz w:val="24"/>
        </w:rPr>
        <w:t>and any applicable Intercreditor Agreement as if it were a Lender.</w:t>
      </w:r>
    </w:p>
    <w:p>
      <w:pPr>
        <w:pStyle w:val="TextBody"/>
        <w:bidi w:val="0"/>
        <w:spacing w:before="0" w:after="240"/>
        <w:jc w:val="both"/>
        <w:rPr/>
      </w:pPr>
      <w:r>
        <w:rPr>
          <w:color w:val="000000"/>
        </w:rPr>
        <w:t>“</w:t>
      </w:r>
      <w:r>
        <w:rPr>
          <w:rFonts w:ascii="Times New Roman" w:hAnsi="Times New Roman"/>
          <w:color w:val="000000"/>
          <w:sz w:val="24"/>
          <w:u w:val="single"/>
        </w:rPr>
        <w:t>Secured Obligations</w:t>
      </w:r>
      <w:r>
        <w:rPr>
          <w:rFonts w:ascii="Times New Roman" w:hAnsi="Times New Roman"/>
          <w:color w:val="000000"/>
          <w:sz w:val="20"/>
        </w:rPr>
        <w:t xml:space="preserve">” </w:t>
      </w:r>
      <w:r>
        <w:rPr>
          <w:rFonts w:ascii="Times New Roman" w:hAnsi="Times New Roman"/>
          <w:color w:val="000000"/>
          <w:sz w:val="24"/>
        </w:rPr>
        <w:t>means (a) the Loan Document Obligations, (b) the Secured Cash Management Obligations and (c) the Secured Swap Obligations (excluding with respect to any Loan Guarantor, Excluded Swap Obligations of such Loan Guarantor).</w:t>
      </w:r>
    </w:p>
    <w:p>
      <w:pPr>
        <w:pStyle w:val="TextBody"/>
        <w:bidi w:val="0"/>
        <w:spacing w:before="0" w:after="240"/>
        <w:jc w:val="both"/>
        <w:rPr/>
      </w:pPr>
      <w:r>
        <w:rPr>
          <w:color w:val="000000"/>
        </w:rPr>
        <w:t>“</w:t>
      </w:r>
      <w:r>
        <w:rPr>
          <w:rFonts w:ascii="Times New Roman" w:hAnsi="Times New Roman"/>
          <w:color w:val="000000"/>
          <w:sz w:val="24"/>
          <w:u w:val="single"/>
        </w:rPr>
        <w:t>Secured Parties</w:t>
      </w:r>
      <w:r>
        <w:rPr>
          <w:rFonts w:ascii="Times New Roman" w:hAnsi="Times New Roman"/>
          <w:color w:val="000000"/>
          <w:sz w:val="20"/>
        </w:rPr>
        <w:t xml:space="preserve">” </w:t>
      </w:r>
      <w:r>
        <w:rPr>
          <w:rFonts w:ascii="Times New Roman" w:hAnsi="Times New Roman"/>
          <w:color w:val="000000"/>
          <w:sz w:val="24"/>
        </w:rPr>
        <w:t>means (a) each Lender, (b) each Issuing Bank, (c) the Administrative Agent (and each co</w:t>
        <w:noBreakHyphen/>
        <w:t>agent or sub</w:t>
        <w:noBreakHyphen/>
        <w:t xml:space="preserve">agent appointed by the Administrative Agent pursuant to </w:t>
      </w:r>
      <w:r>
        <w:rPr>
          <w:rFonts w:ascii="Times New Roman" w:hAnsi="Times New Roman"/>
          <w:color w:val="000000"/>
          <w:sz w:val="24"/>
          <w:u w:val="single"/>
        </w:rPr>
        <w:t>Section 8.05</w:t>
      </w:r>
      <w:r>
        <w:rPr>
          <w:rFonts w:ascii="Times New Roman" w:hAnsi="Times New Roman"/>
          <w:color w:val="000000"/>
          <w:sz w:val="24"/>
        </w:rPr>
        <w:t>), (d) the Collateral Agent, (e) [reserved], (f) each Person to whom any Secured Cash Management Obligations are owed, (g) each counterparty to any Swap Agreement the obligations under which constitute Secured Swap Obligations, (h) the beneficiaries of each indemnification obligation undertaken by any Loan Party under any Loan Document, (i) the Swing Line Lender and (j) the permitted successors and assigns of each of the foregoing.</w:t>
      </w:r>
    </w:p>
    <w:p>
      <w:pPr>
        <w:pStyle w:val="TextBody"/>
        <w:bidi w:val="0"/>
        <w:spacing w:before="0" w:after="240"/>
        <w:jc w:val="both"/>
        <w:rPr/>
      </w:pPr>
      <w:r>
        <w:rPr>
          <w:color w:val="000000"/>
        </w:rPr>
        <w:t>“</w:t>
      </w:r>
      <w:r>
        <w:rPr>
          <w:rFonts w:ascii="Times New Roman" w:hAnsi="Times New Roman"/>
          <w:color w:val="000000"/>
          <w:sz w:val="24"/>
          <w:u w:val="single"/>
        </w:rPr>
        <w:t>Secured Swap Obligations</w:t>
      </w:r>
      <w:r>
        <w:rPr>
          <w:rFonts w:ascii="Times New Roman" w:hAnsi="Times New Roman"/>
          <w:color w:val="000000"/>
          <w:sz w:val="20"/>
        </w:rPr>
        <w:t xml:space="preserve">” </w:t>
      </w:r>
      <w:r>
        <w:rPr>
          <w:rFonts w:ascii="Times New Roman" w:hAnsi="Times New Roman"/>
          <w:color w:val="000000"/>
          <w:sz w:val="24"/>
        </w:rPr>
        <w:t>means the due and punctual payment and performance of all obligations of the Hoya Group under each Swap Agreement that (a) is with a counterparty that is the Administrative Agent or any of its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 for which such Loan Party agrees to provide security.</w:t>
      </w:r>
    </w:p>
    <w:p>
      <w:pPr>
        <w:pStyle w:val="TextBody"/>
        <w:bidi w:val="0"/>
        <w:spacing w:before="0" w:after="240"/>
        <w:jc w:val="both"/>
        <w:rPr/>
      </w:pPr>
      <w:r>
        <w:rPr>
          <w:color w:val="000000"/>
        </w:rPr>
        <w:t>“</w:t>
      </w:r>
      <w:r>
        <w:rPr>
          <w:rFonts w:ascii="Times New Roman" w:hAnsi="Times New Roman"/>
          <w:color w:val="000000"/>
          <w:sz w:val="24"/>
          <w:u w:val="single"/>
        </w:rPr>
        <w:t>Security Documents</w:t>
      </w:r>
      <w:r>
        <w:rPr>
          <w:rFonts w:ascii="Times New Roman" w:hAnsi="Times New Roman"/>
          <w:color w:val="000000"/>
          <w:sz w:val="20"/>
        </w:rPr>
        <w:t xml:space="preserve">” </w:t>
      </w:r>
      <w:r>
        <w:rPr>
          <w:rFonts w:ascii="Times New Roman" w:hAnsi="Times New Roman"/>
          <w:color w:val="000000"/>
          <w:sz w:val="24"/>
        </w:rPr>
        <w:t xml:space="preserve">means the Collateral Agreement, the Control Agreements, the Mortgages, the Wavedash Share Pledge, and each other security agreement or pledge agreement executed and delivered by a Loan Party pursuant to the Collateral and Guarantee Requirement or </w:t>
      </w:r>
      <w:r>
        <w:rPr>
          <w:rFonts w:ascii="Times New Roman" w:hAnsi="Times New Roman"/>
          <w:color w:val="000000"/>
          <w:sz w:val="24"/>
          <w:u w:val="single"/>
        </w:rPr>
        <w:t>Section 5.11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5.12</w:t>
      </w:r>
      <w:r>
        <w:rPr>
          <w:rFonts w:ascii="Times New Roman" w:hAnsi="Times New Roman"/>
          <w:color w:val="000000"/>
          <w:sz w:val="20"/>
        </w:rPr>
        <w:t xml:space="preserve"> </w:t>
      </w:r>
      <w:r>
        <w:rPr>
          <w:rFonts w:ascii="Times New Roman" w:hAnsi="Times New Roman"/>
          <w:color w:val="000000"/>
          <w:sz w:val="24"/>
        </w:rPr>
        <w:t>to secure any of the Secured Obligations.</w:t>
      </w:r>
    </w:p>
    <w:p>
      <w:pPr>
        <w:pStyle w:val="TextBody"/>
        <w:bidi w:val="0"/>
        <w:spacing w:before="0" w:after="240"/>
        <w:jc w:val="both"/>
        <w:rPr/>
      </w:pPr>
      <w:r>
        <w:rPr>
          <w:color w:val="000000"/>
        </w:rPr>
        <w:t>“</w:t>
      </w:r>
      <w:r>
        <w:rPr>
          <w:rFonts w:ascii="Times New Roman" w:hAnsi="Times New Roman"/>
          <w:color w:val="000000"/>
          <w:sz w:val="24"/>
          <w:u w:val="single"/>
        </w:rPr>
        <w:t>Senior Representative</w:t>
      </w:r>
      <w:r>
        <w:rPr>
          <w:rFonts w:ascii="Times New Roman" w:hAnsi="Times New Roman"/>
          <w:color w:val="000000"/>
          <w:sz w:val="20"/>
        </w:rPr>
        <w:t xml:space="preserve">” </w:t>
      </w:r>
      <w:r>
        <w:rPr>
          <w:rFonts w:ascii="Times New Roman" w:hAnsi="Times New Roman"/>
          <w:color w:val="000000"/>
          <w:sz w:val="24"/>
        </w:rPr>
        <w:t xml:space="preserve">means, with respect to any series of Indebtedness permitted by this Agreement to be secured on the Collateral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or junior basis,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0" w:after="240"/>
        <w:jc w:val="both"/>
        <w:rPr/>
      </w:pPr>
      <w:r>
        <w:rPr>
          <w:color w:val="000000"/>
        </w:rPr>
        <w:t>“</w:t>
      </w:r>
      <w:r>
        <w:rPr>
          <w:rFonts w:ascii="Times New Roman" w:hAnsi="Times New Roman"/>
          <w:color w:val="000000"/>
          <w:sz w:val="24"/>
          <w:u w:val="single"/>
        </w:rPr>
        <w:t>Settlement</w:t>
      </w:r>
      <w:r>
        <w:rPr>
          <w:rFonts w:ascii="Times New Roman" w:hAnsi="Times New Roman"/>
          <w:color w:val="000000"/>
          <w:sz w:val="20"/>
        </w:rPr>
        <w:t xml:space="preserve">” </w:t>
      </w:r>
      <w:r>
        <w:rPr>
          <w:rFonts w:ascii="Times New Roman" w:hAnsi="Times New Roman"/>
          <w:color w:val="000000"/>
          <w:sz w:val="24"/>
        </w:rPr>
        <w:t>means the transfer of cash or other property with respect to any credit or debit card charge, check or other instrument, electronic funds transfer, or other type of paper</w:t>
        <w:noBreakHyphen/>
        <w:t>based or electronic payment, transfer, or charge transaction for which a Person acts as a processor, remitter, funds recipient or funds transmitter in the ordinary course of its business.</w:t>
      </w:r>
    </w:p>
    <w:p>
      <w:pPr>
        <w:pStyle w:val="TextBody"/>
        <w:bidi w:val="0"/>
        <w:spacing w:before="0" w:after="240"/>
        <w:jc w:val="both"/>
        <w:rPr/>
      </w:pPr>
      <w:r>
        <w:rPr>
          <w:color w:val="000000"/>
        </w:rPr>
        <w:t>“</w:t>
      </w:r>
      <w:r>
        <w:rPr>
          <w:rFonts w:ascii="Times New Roman" w:hAnsi="Times New Roman"/>
          <w:color w:val="000000"/>
          <w:sz w:val="24"/>
          <w:u w:val="single"/>
        </w:rPr>
        <w:t>Settlement Asset</w:t>
      </w:r>
      <w:r>
        <w:rPr>
          <w:rFonts w:ascii="Times New Roman" w:hAnsi="Times New Roman"/>
          <w:color w:val="000000"/>
          <w:sz w:val="20"/>
        </w:rPr>
        <w:t xml:space="preserve">” </w:t>
      </w:r>
      <w:r>
        <w:rPr>
          <w:rFonts w:ascii="Times New Roman" w:hAnsi="Times New Roman"/>
          <w:color w:val="000000"/>
          <w:sz w:val="24"/>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before="0" w:after="240"/>
        <w:jc w:val="both"/>
        <w:rPr/>
      </w:pPr>
      <w:r>
        <w:rPr>
          <w:color w:val="000000"/>
        </w:rPr>
        <w:t>“</w:t>
      </w:r>
      <w:r>
        <w:rPr>
          <w:rFonts w:ascii="Times New Roman" w:hAnsi="Times New Roman"/>
          <w:color w:val="000000"/>
          <w:sz w:val="24"/>
          <w:u w:val="single"/>
        </w:rPr>
        <w:t>Settlement Indebtedness</w:t>
      </w:r>
      <w:r>
        <w:rPr>
          <w:rFonts w:ascii="Times New Roman" w:hAnsi="Times New Roman"/>
          <w:color w:val="000000"/>
          <w:sz w:val="20"/>
        </w:rPr>
        <w:t xml:space="preserve">” </w:t>
      </w:r>
      <w:r>
        <w:rPr>
          <w:rFonts w:ascii="Times New Roman" w:hAnsi="Times New Roman"/>
          <w:color w:val="000000"/>
          <w:sz w:val="24"/>
        </w:rPr>
        <w:t>means any payment or reimbursement obligation in respect of a Settlement Payment.</w:t>
      </w:r>
    </w:p>
    <w:p>
      <w:pPr>
        <w:pStyle w:val="TextBody"/>
        <w:bidi w:val="0"/>
        <w:spacing w:before="0" w:after="240"/>
        <w:jc w:val="both"/>
        <w:rPr/>
      </w:pPr>
      <w:r>
        <w:rPr>
          <w:color w:val="000000"/>
        </w:rPr>
        <w:t>“</w:t>
      </w:r>
      <w:r>
        <w:rPr>
          <w:rFonts w:ascii="Times New Roman" w:hAnsi="Times New Roman"/>
          <w:color w:val="000000"/>
          <w:sz w:val="24"/>
          <w:u w:val="single"/>
        </w:rPr>
        <w:t>Settlement Lien</w:t>
      </w:r>
      <w:r>
        <w:rPr>
          <w:rFonts w:ascii="Times New Roman" w:hAnsi="Times New Roman"/>
          <w:color w:val="000000"/>
          <w:sz w:val="20"/>
        </w:rPr>
        <w:t xml:space="preserve">” </w:t>
      </w:r>
      <w:r>
        <w:rPr>
          <w:rFonts w:ascii="Times New Roman" w:hAnsi="Times New Roman"/>
          <w:color w:val="000000"/>
          <w:sz w:val="24"/>
        </w:rPr>
        <w:t>means any Lien relating to any Settlement or Settlement Indebtedness (and may include, for the avoidance of doubt, the grant of a Lien in or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assignment of a Settlement Asset in consideration of a Settlement Payment, Liens securing intraday and overnight overdraft and automated clearing house exposure, and similar Liens).</w:t>
      </w:r>
    </w:p>
    <w:p>
      <w:pPr>
        <w:pStyle w:val="TextBody"/>
        <w:bidi w:val="0"/>
        <w:spacing w:before="0" w:after="240"/>
        <w:jc w:val="both"/>
        <w:rPr/>
      </w:pPr>
      <w:r>
        <w:rPr>
          <w:color w:val="000000"/>
        </w:rPr>
        <w:t>“</w:t>
      </w:r>
      <w:r>
        <w:rPr>
          <w:rFonts w:ascii="Times New Roman" w:hAnsi="Times New Roman"/>
          <w:color w:val="000000"/>
          <w:sz w:val="24"/>
          <w:u w:val="single"/>
        </w:rPr>
        <w:t>Settlement Payment</w:t>
      </w:r>
      <w:r>
        <w:rPr>
          <w:rFonts w:ascii="Times New Roman" w:hAnsi="Times New Roman"/>
          <w:color w:val="000000"/>
          <w:sz w:val="20"/>
        </w:rPr>
        <w:t xml:space="preserve">” </w:t>
      </w:r>
      <w:r>
        <w:rPr>
          <w:rFonts w:ascii="Times New Roman" w:hAnsi="Times New Roman"/>
          <w:color w:val="000000"/>
          <w:sz w:val="24"/>
        </w:rPr>
        <w:t>means the transfer, or contractual undertaking (including by automated clearing house transaction) to effect a transfer, of cash or other property to effect a Settlement.</w:t>
      </w:r>
    </w:p>
    <w:p>
      <w:pPr>
        <w:pStyle w:val="TextBody"/>
        <w:bidi w:val="0"/>
        <w:spacing w:before="0" w:after="240"/>
        <w:jc w:val="both"/>
        <w:rPr/>
      </w:pPr>
      <w:r>
        <w:rPr>
          <w:color w:val="000000"/>
        </w:rPr>
        <w:t>“</w:t>
      </w:r>
      <w:r>
        <w:rPr>
          <w:rFonts w:ascii="Times New Roman" w:hAnsi="Times New Roman"/>
          <w:color w:val="000000"/>
          <w:sz w:val="24"/>
          <w:u w:val="single"/>
        </w:rPr>
        <w:t>Settlement Receivable</w:t>
      </w:r>
      <w:r>
        <w:rPr>
          <w:rFonts w:ascii="Times New Roman" w:hAnsi="Times New Roman"/>
          <w:color w:val="000000"/>
          <w:sz w:val="20"/>
        </w:rPr>
        <w:t xml:space="preserve">” </w:t>
      </w:r>
      <w:r>
        <w:rPr>
          <w:rFonts w:ascii="Times New Roman" w:hAnsi="Times New Roman"/>
          <w:color w:val="000000"/>
          <w:sz w:val="24"/>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before="0" w:after="2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4"/>
          <w:u w:val="single"/>
        </w:rPr>
        <w:t>SOFR Administrator’s Website</w:t>
      </w:r>
      <w:r>
        <w:rPr>
          <w:rFonts w:ascii="Times New Roman" w:hAnsi="Times New Roman"/>
          <w:color w:val="000000"/>
          <w:sz w:val="20"/>
        </w:rPr>
        <w:t xml:space="preserve">” </w:t>
      </w:r>
      <w:r>
        <w:rPr>
          <w:rFonts w:ascii="Times New Roman" w:hAnsi="Times New Roman"/>
          <w:color w:val="000000"/>
          <w:sz w:val="24"/>
        </w:rPr>
        <w:t xml:space="preserve">means the website of the Federal Reserve Bank of New York, currently at </w:t>
      </w:r>
      <w:r>
        <w:rPr>
          <w:rFonts w:ascii="Times New Roman" w:hAnsi="Times New Roman"/>
          <w:sz w:val="24"/>
        </w:rPr>
        <w:t>http://www.newyorkfed.org,</w:t>
      </w:r>
      <w:r>
        <w:rPr>
          <w:rFonts w:ascii="Times New Roman" w:hAnsi="Times New Roman"/>
          <w:color w:val="000000"/>
          <w:sz w:val="20"/>
        </w:rPr>
        <w:t xml:space="preserve"> </w:t>
      </w:r>
      <w:r>
        <w:rPr>
          <w:rFonts w:ascii="Times New Roman" w:hAnsi="Times New Roman"/>
          <w:color w:val="000000"/>
          <w:sz w:val="24"/>
        </w:rPr>
        <w:t>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SOFR Borrowing</w:t>
      </w:r>
      <w:r>
        <w:rPr>
          <w:rFonts w:ascii="Times New Roman" w:hAnsi="Times New Roman"/>
          <w:color w:val="000000"/>
          <w:sz w:val="20"/>
        </w:rPr>
        <w:t xml:space="preserve">” </w:t>
      </w:r>
      <w:r>
        <w:rPr>
          <w:rFonts w:ascii="Times New Roman" w:hAnsi="Times New Roman"/>
          <w:color w:val="000000"/>
          <w:sz w:val="24"/>
        </w:rPr>
        <w:t>means, as to any Borrowing, the SOFR Loans comprising such Borrowing.</w:t>
      </w:r>
    </w:p>
    <w:p>
      <w:pPr>
        <w:pStyle w:val="TextBody"/>
        <w:bidi w:val="0"/>
        <w:spacing w:before="0" w:after="240"/>
        <w:jc w:val="both"/>
        <w:rPr/>
      </w:pPr>
      <w:r>
        <w:rPr>
          <w:color w:val="000000"/>
        </w:rPr>
        <w:t>“</w:t>
      </w:r>
      <w:r>
        <w:rPr>
          <w:rFonts w:ascii="Times New Roman" w:hAnsi="Times New Roman"/>
          <w:color w:val="000000"/>
          <w:sz w:val="24"/>
          <w:u w:val="single"/>
        </w:rPr>
        <w:t>SOFR Loan</w:t>
      </w:r>
      <w:r>
        <w:rPr>
          <w:rFonts w:ascii="Times New Roman" w:hAnsi="Times New Roman"/>
          <w:color w:val="000000"/>
          <w:sz w:val="20"/>
        </w:rPr>
        <w:t xml:space="preserve">” </w:t>
      </w:r>
      <w:r>
        <w:rPr>
          <w:rFonts w:ascii="Times New Roman" w:hAnsi="Times New Roman"/>
          <w:color w:val="000000"/>
          <w:sz w:val="24"/>
        </w:rPr>
        <w:t>means a Loan that bears interest at a rate based on Term SOFR, other than pursuant to clause (c) of the definition of “Alternate Base Rate”.</w:t>
      </w:r>
    </w:p>
    <w:p>
      <w:pPr>
        <w:pStyle w:val="TextBody"/>
        <w:bidi w:val="0"/>
        <w:spacing w:before="0" w:after="240"/>
        <w:jc w:val="both"/>
        <w:rPr/>
      </w:pPr>
      <w:r>
        <w:rPr>
          <w:color w:val="000000"/>
        </w:rPr>
        <w:t>“</w:t>
      </w:r>
      <w:r>
        <w:rPr>
          <w:rFonts w:ascii="Times New Roman" w:hAnsi="Times New Roman"/>
          <w:color w:val="000000"/>
          <w:sz w:val="24"/>
          <w:u w:val="single"/>
        </w:rPr>
        <w:t>Sold Entity or Business</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“Consolidated EBITDA”.</w:t>
      </w:r>
    </w:p>
    <w:p>
      <w:pPr>
        <w:pStyle w:val="TextBody"/>
        <w:bidi w:val="0"/>
        <w:spacing w:before="0" w:after="240"/>
        <w:jc w:val="both"/>
        <w:rPr/>
      </w:pPr>
      <w:r>
        <w:rPr>
          <w:color w:val="000000"/>
        </w:rPr>
        <w:t>“</w:t>
      </w:r>
      <w:r>
        <w:rPr>
          <w:rFonts w:ascii="Times New Roman" w:hAnsi="Times New Roman"/>
          <w:color w:val="000000"/>
          <w:sz w:val="24"/>
          <w:u w:val="single"/>
        </w:rPr>
        <w:t>SONIA</w:t>
      </w:r>
      <w:r>
        <w:rPr>
          <w:rFonts w:ascii="Times New Roman" w:hAnsi="Times New Roman"/>
          <w:color w:val="000000"/>
          <w:sz w:val="20"/>
        </w:rPr>
        <w:t xml:space="preserve">” </w:t>
      </w:r>
      <w:r>
        <w:rPr>
          <w:rFonts w:ascii="Times New Roman" w:hAnsi="Times New Roman"/>
          <w:color w:val="000000"/>
          <w:sz w:val="24"/>
        </w:rPr>
        <w:t>means, with respect to any RFR Business Day, a rate per annum equal to the Sterling Overnight Index Average for such RFR Business Day published by the SONIA Administrator on the SONIA Administrator’s Website on the immediately succeeding RFR Business Day.</w:t>
      </w:r>
    </w:p>
    <w:p>
      <w:pPr>
        <w:pStyle w:val="TextBody"/>
        <w:bidi w:val="0"/>
        <w:spacing w:before="0" w:after="240"/>
        <w:jc w:val="both"/>
        <w:rPr/>
      </w:pPr>
      <w:r>
        <w:rPr>
          <w:color w:val="000000"/>
        </w:rPr>
        <w:t>“</w:t>
      </w:r>
      <w:r>
        <w:rPr>
          <w:rFonts w:ascii="Times New Roman" w:hAnsi="Times New Roman"/>
          <w:color w:val="000000"/>
          <w:sz w:val="24"/>
          <w:u w:val="single"/>
        </w:rPr>
        <w:t>SONIA Administrator</w:t>
      </w:r>
      <w:r>
        <w:rPr>
          <w:rFonts w:ascii="Times New Roman" w:hAnsi="Times New Roman"/>
          <w:color w:val="000000"/>
          <w:sz w:val="20"/>
        </w:rPr>
        <w:t xml:space="preserve">” </w:t>
      </w:r>
      <w:r>
        <w:rPr>
          <w:rFonts w:ascii="Times New Roman" w:hAnsi="Times New Roman"/>
          <w:color w:val="000000"/>
          <w:sz w:val="24"/>
        </w:rPr>
        <w:t>means the Bank of England (or any successor administrator of the Sterling Overnight Index Average).</w:t>
      </w:r>
    </w:p>
    <w:p>
      <w:pPr>
        <w:pStyle w:val="TextBody"/>
        <w:bidi w:val="0"/>
        <w:spacing w:before="0" w:after="240"/>
        <w:jc w:val="both"/>
        <w:rPr/>
      </w:pPr>
      <w:r>
        <w:rPr>
          <w:color w:val="000000"/>
        </w:rPr>
        <w:t>“</w:t>
      </w:r>
      <w:r>
        <w:rPr>
          <w:rFonts w:ascii="Times New Roman" w:hAnsi="Times New Roman"/>
          <w:color w:val="000000"/>
          <w:sz w:val="24"/>
          <w:u w:val="single"/>
        </w:rPr>
        <w:t>SONIA Administrator’s Website</w:t>
      </w:r>
      <w:r>
        <w:rPr>
          <w:rFonts w:ascii="Times New Roman" w:hAnsi="Times New Roman"/>
          <w:color w:val="000000"/>
          <w:sz w:val="20"/>
        </w:rPr>
        <w:t xml:space="preserve">” </w:t>
      </w:r>
      <w:r>
        <w:rPr>
          <w:rFonts w:ascii="Times New Roman" w:hAnsi="Times New Roman"/>
          <w:color w:val="000000"/>
          <w:sz w:val="24"/>
        </w:rPr>
        <w:t xml:space="preserve">means the Bank of England’s website, currently at </w:t>
      </w:r>
      <w:r>
        <w:rPr>
          <w:rFonts w:ascii="Times New Roman" w:hAnsi="Times New Roman"/>
          <w:sz w:val="24"/>
        </w:rPr>
        <w:t>http://www.bankofengland.co.uk,</w:t>
      </w:r>
      <w:r>
        <w:rPr>
          <w:rFonts w:ascii="Times New Roman" w:hAnsi="Times New Roman"/>
          <w:color w:val="000000"/>
          <w:sz w:val="20"/>
        </w:rPr>
        <w:t xml:space="preserve"> </w:t>
      </w:r>
      <w:r>
        <w:rPr>
          <w:rFonts w:ascii="Times New Roman" w:hAnsi="Times New Roman"/>
          <w:color w:val="000000"/>
          <w:sz w:val="24"/>
        </w:rPr>
        <w:t>or any successor source for the Sterling Overnight Index Average identified as such by the SONIA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Specified Event of Default</w:t>
      </w:r>
      <w:r>
        <w:rPr>
          <w:rFonts w:ascii="Times New Roman" w:hAnsi="Times New Roman"/>
          <w:color w:val="000000"/>
          <w:sz w:val="20"/>
        </w:rPr>
        <w:t xml:space="preserve">” </w:t>
      </w:r>
      <w:r>
        <w:rPr>
          <w:rFonts w:ascii="Times New Roman" w:hAnsi="Times New Roman"/>
          <w:color w:val="000000"/>
          <w:sz w:val="24"/>
        </w:rPr>
        <w:t xml:space="preserve">means an Event of Default under </w:t>
      </w:r>
      <w:r>
        <w:rPr>
          <w:rFonts w:ascii="Times New Roman" w:hAnsi="Times New Roman"/>
          <w:color w:val="000000"/>
          <w:sz w:val="24"/>
          <w:u w:val="single"/>
        </w:rPr>
        <w:t>Section 7.01(a)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Specified Exchange Debt</w:t>
      </w:r>
      <w:r>
        <w:rPr>
          <w:rFonts w:ascii="Times New Roman" w:hAnsi="Times New Roman"/>
          <w:color w:val="000000"/>
          <w:sz w:val="20"/>
        </w:rPr>
        <w:t xml:space="preserve">” </w:t>
      </w:r>
      <w:r>
        <w:rPr>
          <w:rFonts w:ascii="Times New Roman" w:hAnsi="Times New Roman"/>
          <w:color w:val="000000"/>
          <w:sz w:val="24"/>
        </w:rPr>
        <w:t>has the meaning assigned to such term under the definition of “Incremental Cap”.</w:t>
      </w:r>
    </w:p>
    <w:p>
      <w:pPr>
        <w:pStyle w:val="TextBody"/>
        <w:bidi w:val="0"/>
        <w:spacing w:before="0" w:after="240"/>
        <w:jc w:val="both"/>
        <w:rPr/>
      </w:pPr>
      <w:r>
        <w:rPr>
          <w:color w:val="000000"/>
        </w:rPr>
        <w:t>“</w:t>
      </w:r>
      <w:r>
        <w:rPr>
          <w:rFonts w:ascii="Times New Roman" w:hAnsi="Times New Roman"/>
          <w:color w:val="000000"/>
          <w:sz w:val="24"/>
          <w:u w:val="single"/>
        </w:rPr>
        <w:t>Specified Transaction</w:t>
      </w:r>
      <w:r>
        <w:rPr>
          <w:rFonts w:ascii="Times New Roman" w:hAnsi="Times New Roman"/>
          <w:color w:val="000000"/>
          <w:sz w:val="20"/>
        </w:rPr>
        <w:t xml:space="preserve">” </w:t>
      </w:r>
      <w:r>
        <w:rPr>
          <w:rFonts w:ascii="Times New Roman" w:hAnsi="Times New Roman"/>
          <w:color w:val="000000"/>
          <w:sz w:val="24"/>
        </w:rPr>
        <w:t>means any Investment, acquisition (including the commitment of activities constituting such business), sale, transfer or other disposition of assets, incurrence or repayment of Indebtedness, Restricted Payment, subsidiary designation, the termination or discontinuation of activities constituting any business, commencement of any event that by the terms of the Loan Documents requires “Pro Forma Compliance” with a test or covenant hereunder or requires such test or covenant to be calculated on a Pro Forma Basis after giving Pro Forma Effect thereto.</w:t>
      </w:r>
    </w:p>
    <w:p>
      <w:pPr>
        <w:pStyle w:val="TextBody"/>
        <w:bidi w:val="0"/>
        <w:spacing w:before="0" w:after="240"/>
        <w:jc w:val="both"/>
        <w:rPr/>
      </w:pPr>
      <w:r>
        <w:rPr>
          <w:color w:val="000000"/>
        </w:rPr>
        <w:t>“</w:t>
      </w:r>
      <w:r>
        <w:rPr>
          <w:rFonts w:ascii="Times New Roman" w:hAnsi="Times New Roman"/>
          <w:color w:val="000000"/>
          <w:sz w:val="24"/>
          <w:u w:val="single"/>
        </w:rPr>
        <w:t>Sponsor</w:t>
      </w:r>
      <w:r>
        <w:rPr>
          <w:rFonts w:ascii="Times New Roman" w:hAnsi="Times New Roman"/>
          <w:color w:val="000000"/>
          <w:sz w:val="20"/>
        </w:rPr>
        <w:t xml:space="preserve">” </w:t>
      </w:r>
      <w:r>
        <w:rPr>
          <w:rFonts w:ascii="Times New Roman" w:hAnsi="Times New Roman"/>
          <w:color w:val="000000"/>
          <w:sz w:val="24"/>
        </w:rPr>
        <w:t>means each of GTCR Fund XI/B LP, GTCR Fund XI/C LP, GTCR Co-Invest XI LP and in each case, each of their respective associated funds and each of their respective Affiliates (other than any portfolio companies of any of the foregoing).</w:t>
      </w:r>
    </w:p>
    <w:p>
      <w:pPr>
        <w:pStyle w:val="TextBody"/>
        <w:bidi w:val="0"/>
        <w:spacing w:before="0" w:after="240"/>
        <w:jc w:val="both"/>
        <w:rPr/>
      </w:pPr>
      <w:r>
        <w:rPr>
          <w:color w:val="000000"/>
        </w:rPr>
        <w:t>“</w:t>
      </w:r>
      <w:r>
        <w:rPr>
          <w:rFonts w:ascii="Times New Roman" w:hAnsi="Times New Roman"/>
          <w:color w:val="000000"/>
          <w:sz w:val="24"/>
          <w:u w:val="single"/>
        </w:rPr>
        <w:t>Springing Maturity Date</w:t>
      </w:r>
      <w:r>
        <w:rPr>
          <w:rFonts w:ascii="Times New Roman" w:hAnsi="Times New Roman"/>
          <w:color w:val="000000"/>
          <w:sz w:val="20"/>
        </w:rPr>
        <w:t xml:space="preserve">” </w:t>
      </w:r>
      <w:r>
        <w:rPr>
          <w:rFonts w:ascii="Times New Roman" w:hAnsi="Times New Roman"/>
          <w:color w:val="000000"/>
          <w:sz w:val="24"/>
        </w:rPr>
        <w:t>means, as of any date of determination, the date that is 91 days prior to the earliest maturity date then in effect with respect to any Indebtedness for borrowed money owed by the Borrower or any of its Affiliates (which, for the avoidance of doubt, shall not include any letters of credit (unless drawn and remaining unreimbursed past the due date for reimbursement thereof) or Capitalized Lease Obligations) in an individual outstanding principal amount in excess of $20,000,000.</w:t>
      </w:r>
    </w:p>
    <w:p>
      <w:pPr>
        <w:pStyle w:val="TextBody"/>
        <w:bidi w:val="0"/>
        <w:spacing w:before="0" w:after="240"/>
        <w:jc w:val="both"/>
        <w:rPr/>
      </w:pPr>
      <w:r>
        <w:rPr>
          <w:color w:val="000000"/>
        </w:rPr>
        <w:t>“</w:t>
      </w:r>
      <w:r>
        <w:rPr>
          <w:rFonts w:ascii="Times New Roman" w:hAnsi="Times New Roman"/>
          <w:color w:val="000000"/>
          <w:sz w:val="24"/>
          <w:u w:val="single"/>
        </w:rPr>
        <w:t>Sterling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 the lawful currency of the United Kingdom.</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 xml:space="preserve">means, with respect to any Person, any corporation, partnership, limited liability company, association, joint venture or other business entity of which more than 50% of (i)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directly or indirectly, or (ii) the total economic interest of such Person, in each case of clause (i) and (ii), is at the time owned or controlled, directly or indirectly, by such Person or one or more of the other Subsidiaries of such Person or a combination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determining the percentage of ownership interests of any Person controlled by another Person, no ownership interests in the nature of a “qualifying share” of the former Person shall be deemed to be outstanding;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 entity shall cease to be a Subsidiary of a Person to the extent such Person transfers of all or any voting Equity Interests of such Subsidiary but retains any non-voting Equity Interests of such Subsidiary or otherwise directly or indirectly holds a majority of the economic interests of such Subsidiary.</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any direct or indirect subsidiary of Holdings (unless otherwise specified).</w:t>
      </w:r>
    </w:p>
    <w:p>
      <w:pPr>
        <w:pStyle w:val="TextBody"/>
        <w:bidi w:val="0"/>
        <w:spacing w:before="0" w:after="240"/>
        <w:jc w:val="both"/>
        <w:rPr/>
      </w:pPr>
      <w:r>
        <w:rPr>
          <w:color w:val="000000"/>
        </w:rPr>
        <w:t>“</w:t>
      </w:r>
      <w:r>
        <w:rPr>
          <w:rFonts w:ascii="Times New Roman" w:hAnsi="Times New Roman"/>
          <w:color w:val="000000"/>
          <w:sz w:val="24"/>
          <w:u w:val="single"/>
        </w:rPr>
        <w:t>Subsidiary Loan Party</w:t>
      </w:r>
      <w:r>
        <w:rPr>
          <w:rFonts w:ascii="Times New Roman" w:hAnsi="Times New Roman"/>
          <w:color w:val="000000"/>
          <w:sz w:val="20"/>
        </w:rPr>
        <w:t xml:space="preserve">” </w:t>
      </w:r>
      <w:r>
        <w:rPr>
          <w:rFonts w:ascii="Times New Roman" w:hAnsi="Times New Roman"/>
          <w:color w:val="000000"/>
          <w:sz w:val="24"/>
        </w:rPr>
        <w:t>means each Restricted Subsidiary of Holdings (other than the Borrower) that is a party to the Guarantee Agreement.</w:t>
      </w:r>
    </w:p>
    <w:p>
      <w:pPr>
        <w:pStyle w:val="TextBody"/>
        <w:bidi w:val="0"/>
        <w:spacing w:before="0" w:after="240"/>
        <w:jc w:val="both"/>
        <w:rPr/>
      </w:pPr>
      <w:r>
        <w:rPr>
          <w:color w:val="000000"/>
        </w:rPr>
        <w:t>“</w:t>
      </w:r>
      <w:r>
        <w:rPr>
          <w:rFonts w:ascii="Times New Roman" w:hAnsi="Times New Roman"/>
          <w:color w:val="000000"/>
          <w:sz w:val="24"/>
          <w:u w:val="single"/>
        </w:rPr>
        <w:t>Successor Borrower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6.03(a)(iv)</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Supermajority Revolving Lenders</w:t>
      </w:r>
      <w:r>
        <w:rPr>
          <w:rFonts w:ascii="Times New Roman" w:hAnsi="Times New Roman"/>
          <w:color w:val="000000"/>
          <w:sz w:val="20"/>
        </w:rPr>
        <w:t xml:space="preserve">” </w:t>
      </w:r>
      <w:r>
        <w:rPr>
          <w:rFonts w:ascii="Times New Roman" w:hAnsi="Times New Roman"/>
          <w:color w:val="000000"/>
          <w:sz w:val="24"/>
        </w:rPr>
        <w:t xml:space="preserve">means, at any time, Revolving Lenders having Revolving Exposures and unused Revolving Commitments representing more than 66.66% of the aggregate Revolving Exposures and unused Revolving Commitment at such time; </w:t>
      </w:r>
      <w:r>
        <w:rPr>
          <w:rFonts w:ascii="Times New Roman" w:hAnsi="Times New Roman"/>
          <w:color w:val="000000"/>
          <w:sz w:val="24"/>
          <w:u w:val="single"/>
        </w:rPr>
        <w:t xml:space="preserve">provided </w:t>
      </w:r>
      <w:r>
        <w:rPr>
          <w:rFonts w:ascii="Times New Roman" w:hAnsi="Times New Roman"/>
          <w:color w:val="000000"/>
          <w:sz w:val="24"/>
        </w:rPr>
        <w:t xml:space="preserve">that to the extent set forth in </w:t>
      </w:r>
      <w:r>
        <w:rPr>
          <w:rFonts w:ascii="Times New Roman" w:hAnsi="Times New Roman"/>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9.04</w:t>
      </w:r>
      <w:r>
        <w:rPr>
          <w:rFonts w:ascii="Times New Roman" w:hAnsi="Times New Roman"/>
          <w:color w:val="000000"/>
          <w:sz w:val="20"/>
        </w:rPr>
        <w:t xml:space="preserve"> </w:t>
      </w:r>
      <w:r>
        <w:rPr>
          <w:rFonts w:ascii="Times New Roman" w:hAnsi="Times New Roman"/>
          <w:color w:val="000000"/>
          <w:sz w:val="24"/>
        </w:rPr>
        <w:t xml:space="preserve">whenever there are one or more Defaulting Lenders, the total outstanding Revolving Exposures of, and the unused Revolving Commitments of, each Defaulting Lender, shall be excluded for purposes of making a determination of Supermajority Revolving Lenders;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for purposes of this definition, the outstanding principal amount of Alternative Currency Loans at any time shall be determined using the Dollar Equivalent thereof at the most recent Revaluation Date.</w:t>
      </w:r>
    </w:p>
    <w:p>
      <w:pPr>
        <w:pStyle w:val="TextBody"/>
        <w:bidi w:val="0"/>
        <w:spacing w:before="0" w:after="240"/>
        <w:jc w:val="both"/>
        <w:rPr/>
      </w:pPr>
      <w:r>
        <w:rPr>
          <w:color w:val="000000"/>
        </w:rPr>
        <w:t>“</w:t>
      </w:r>
      <w:r>
        <w:rPr>
          <w:rFonts w:ascii="Times New Roman" w:hAnsi="Times New Roman"/>
          <w:color w:val="000000"/>
          <w:sz w:val="24"/>
          <w:u w:val="single"/>
        </w:rPr>
        <w:t>Swap Agreement</w:t>
      </w:r>
      <w:r>
        <w:rPr>
          <w:rFonts w:ascii="Times New Roman" w:hAnsi="Times New Roman"/>
          <w:color w:val="000000"/>
          <w:sz w:val="20"/>
        </w:rPr>
        <w:t xml:space="preserve">” </w:t>
      </w:r>
      <w:r>
        <w:rPr>
          <w:rFonts w:ascii="Times New Roman" w:hAnsi="Times New Roman"/>
          <w:color w:val="000000"/>
          <w:sz w:val="24"/>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w:t>
        <w:noBreakHyphen/>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olor w:val="000000"/>
          <w:sz w:val="24"/>
          <w:u w:val="single"/>
        </w:rPr>
        <w:t>Master Agreement</w:t>
      </w:r>
      <w:r>
        <w:rPr>
          <w:rFonts w:ascii="Times New Roman" w:hAnsi="Times New Roman"/>
          <w:color w:val="000000"/>
          <w:sz w:val="20"/>
        </w:rPr>
        <w:t>”</w:t>
      </w:r>
      <w:r>
        <w:rPr>
          <w:rFonts w:ascii="Times New Roman" w:hAnsi="Times New Roman"/>
          <w:color w:val="000000"/>
          <w:sz w:val="24"/>
        </w:rPr>
        <w:t>), including any such obligations or liabilities under any Master Agreement.</w:t>
      </w:r>
    </w:p>
    <w:p>
      <w:pPr>
        <w:pStyle w:val="TextBody"/>
        <w:bidi w:val="0"/>
        <w:spacing w:before="0" w:after="240"/>
        <w:jc w:val="both"/>
        <w:rPr/>
      </w:pPr>
      <w:r>
        <w:rPr>
          <w:color w:val="000000"/>
        </w:rPr>
        <w:t>“</w:t>
      </w:r>
      <w:r>
        <w:rPr>
          <w:rFonts w:ascii="Times New Roman" w:hAnsi="Times New Roman"/>
          <w:color w:val="000000"/>
          <w:sz w:val="24"/>
          <w:u w:val="single"/>
        </w:rPr>
        <w:t>Swap Obligations</w:t>
      </w:r>
      <w:r>
        <w:rPr>
          <w:rFonts w:ascii="Times New Roman" w:hAnsi="Times New Roman"/>
          <w:color w:val="000000"/>
          <w:sz w:val="20"/>
        </w:rPr>
        <w:t xml:space="preserve">” </w:t>
      </w:r>
      <w:r>
        <w:rPr>
          <w:rFonts w:ascii="Times New Roman" w:hAnsi="Times New Roman"/>
          <w:color w:val="000000"/>
          <w:sz w:val="24"/>
        </w:rPr>
        <w:t>means, with respect to any Person, the obligations of such Person under any Swap Agreement.</w:t>
      </w:r>
    </w:p>
    <w:p>
      <w:pPr>
        <w:pStyle w:val="TextBody"/>
        <w:bidi w:val="0"/>
        <w:spacing w:before="0" w:after="240"/>
        <w:jc w:val="both"/>
        <w:rPr/>
      </w:pPr>
      <w:r>
        <w:rPr>
          <w:color w:val="000000"/>
        </w:rPr>
        <w:t>“</w:t>
      </w:r>
      <w:r>
        <w:rPr>
          <w:rFonts w:ascii="Times New Roman" w:hAnsi="Times New Roman"/>
          <w:color w:val="000000"/>
          <w:sz w:val="24"/>
          <w:u w:val="single"/>
        </w:rPr>
        <w:t>Swing Line Borrowing</w:t>
      </w:r>
      <w:r>
        <w:rPr>
          <w:rFonts w:ascii="Times New Roman" w:hAnsi="Times New Roman"/>
          <w:color w:val="000000"/>
          <w:sz w:val="20"/>
        </w:rPr>
        <w:t xml:space="preserve">” </w:t>
      </w:r>
      <w:r>
        <w:rPr>
          <w:rFonts w:ascii="Times New Roman" w:hAnsi="Times New Roman"/>
          <w:color w:val="000000"/>
          <w:sz w:val="24"/>
        </w:rPr>
        <w:t xml:space="preserve">means a borrowing of a Swing Line Loan pursuant to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Swing Line Facility</w:t>
      </w:r>
      <w:r>
        <w:rPr>
          <w:rFonts w:ascii="Times New Roman" w:hAnsi="Times New Roman"/>
          <w:color w:val="000000"/>
          <w:sz w:val="20"/>
        </w:rPr>
        <w:t xml:space="preserve">” </w:t>
      </w:r>
      <w:r>
        <w:rPr>
          <w:rFonts w:ascii="Times New Roman" w:hAnsi="Times New Roman"/>
          <w:color w:val="000000"/>
          <w:sz w:val="24"/>
        </w:rPr>
        <w:t xml:space="preserve">means the swing line loan facility made available by the Swing Line Lenders pursuant to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Swing Line Lender</w:t>
      </w:r>
      <w:r>
        <w:rPr>
          <w:rFonts w:ascii="Times New Roman" w:hAnsi="Times New Roman"/>
          <w:color w:val="000000"/>
          <w:sz w:val="20"/>
        </w:rPr>
        <w:t xml:space="preserve">” </w:t>
      </w:r>
      <w:r>
        <w:rPr>
          <w:rFonts w:ascii="Times New Roman" w:hAnsi="Times New Roman"/>
          <w:color w:val="000000"/>
          <w:sz w:val="24"/>
        </w:rPr>
        <w:t>means Barclays Bank PLC, in its capacity as a lender of Swing Line Loans hereunder, or any successor lender of Swing Line Loans hereunder.</w:t>
      </w:r>
    </w:p>
    <w:p>
      <w:pPr>
        <w:pStyle w:val="TextBody"/>
        <w:bidi w:val="0"/>
        <w:spacing w:before="0" w:after="240"/>
        <w:jc w:val="both"/>
        <w:rPr/>
      </w:pPr>
      <w:r>
        <w:rPr>
          <w:color w:val="000000"/>
        </w:rPr>
        <w:t>“</w:t>
      </w:r>
      <w:r>
        <w:rPr>
          <w:rFonts w:ascii="Times New Roman" w:hAnsi="Times New Roman"/>
          <w:color w:val="000000"/>
          <w:sz w:val="24"/>
          <w:u w:val="single"/>
        </w:rPr>
        <w:t>Swing Line Loan</w:t>
      </w:r>
      <w:r>
        <w:rPr>
          <w:rFonts w:ascii="Times New Roman" w:hAnsi="Times New Roman"/>
          <w:color w:val="000000"/>
          <w:sz w:val="20"/>
        </w:rPr>
        <w:t xml:space="preserve">” </w:t>
      </w:r>
      <w:r>
        <w:rPr>
          <w:rFonts w:ascii="Times New Roman" w:hAnsi="Times New Roman"/>
          <w:color w:val="000000"/>
          <w:sz w:val="24"/>
        </w:rPr>
        <w:t xml:space="preserve">means any Loan made pursuant to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Swing Line Loan Notice</w:t>
      </w:r>
      <w:r>
        <w:rPr>
          <w:rFonts w:ascii="Times New Roman" w:hAnsi="Times New Roman"/>
          <w:color w:val="000000"/>
          <w:sz w:val="20"/>
        </w:rPr>
        <w:t xml:space="preserve">” </w:t>
      </w:r>
      <w:r>
        <w:rPr>
          <w:rFonts w:ascii="Times New Roman" w:hAnsi="Times New Roman"/>
          <w:color w:val="000000"/>
          <w:sz w:val="24"/>
        </w:rPr>
        <w:t xml:space="preserve">means a written notice of a Swing Line Borrowing pursuant to </w:t>
      </w:r>
      <w:r>
        <w:rPr>
          <w:rFonts w:ascii="Times New Roman" w:hAnsi="Times New Roman"/>
          <w:color w:val="000000"/>
          <w:sz w:val="24"/>
          <w:u w:val="single"/>
        </w:rPr>
        <w:t>Section 2.04(b)</w:t>
      </w:r>
      <w:r>
        <w:rPr>
          <w:rFonts w:ascii="Times New Roman" w:hAnsi="Times New Roman"/>
          <w:color w:val="000000"/>
          <w:sz w:val="24"/>
        </w:rPr>
        <w:t xml:space="preserve">, which shall be substantially in the form of </w:t>
      </w:r>
      <w:r>
        <w:rPr>
          <w:rFonts w:ascii="Times New Roman" w:hAnsi="Times New Roman"/>
          <w:color w:val="000000"/>
          <w:sz w:val="24"/>
          <w:u w:val="single"/>
        </w:rPr>
        <w:t>Exhibit C</w:t>
        <w:noBreakHyphen/>
        <w:t>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Swing Line Obligations</w:t>
      </w:r>
      <w:r>
        <w:rPr>
          <w:rFonts w:ascii="Times New Roman" w:hAnsi="Times New Roman"/>
          <w:color w:val="000000"/>
          <w:sz w:val="20"/>
        </w:rPr>
        <w:t xml:space="preserve">” </w:t>
      </w:r>
      <w:r>
        <w:rPr>
          <w:rFonts w:ascii="Times New Roman" w:hAnsi="Times New Roman"/>
          <w:color w:val="000000"/>
          <w:sz w:val="24"/>
        </w:rPr>
        <w:t>means, as at any date of determination, the aggregate principal amount of all Swing Line Loans outstanding. The Swing Line Obligations of any Revolving Lender at any time shall be its Applicable Percentage of the aggregate Swing Line Obligations at such time.</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Swing Line Sublimit</w:t>
      </w:r>
      <w:r>
        <w:rPr>
          <w:rFonts w:ascii="Times New Roman" w:hAnsi="Times New Roman"/>
          <w:color w:val="000000"/>
          <w:sz w:val="20"/>
        </w:rPr>
        <w:t xml:space="preserve">” </w:t>
      </w:r>
      <w:r>
        <w:rPr>
          <w:rFonts w:ascii="Times New Roman" w:hAnsi="Times New Roman"/>
          <w:color w:val="000000"/>
          <w:sz w:val="24"/>
        </w:rPr>
        <w:t>means an amount equal to the lesser of (a) $10,000,000 and (b) the aggregate amount of the Revolving Commitments. The Swing Line Sublimit is part of, and not in addition to, the Revolving Commitments.</w:t>
      </w:r>
    </w:p>
    <w:p>
      <w:pPr>
        <w:pStyle w:val="TextBody"/>
        <w:bidi w:val="0"/>
        <w:spacing w:before="0" w:after="240"/>
        <w:jc w:val="both"/>
        <w:rPr/>
      </w:pPr>
      <w:r>
        <w:rPr>
          <w:color w:val="000000"/>
        </w:rPr>
        <w:t>“</w:t>
      </w:r>
      <w:r>
        <w:rPr>
          <w:rFonts w:ascii="Times New Roman" w:hAnsi="Times New Roman"/>
          <w:color w:val="000000"/>
          <w:sz w:val="24"/>
          <w:u w:val="single"/>
        </w:rPr>
        <w:t>TARGET Day</w:t>
      </w:r>
      <w:r>
        <w:rPr>
          <w:rFonts w:ascii="Times New Roman" w:hAnsi="Times New Roman"/>
          <w:color w:val="000000"/>
          <w:sz w:val="20"/>
        </w:rPr>
        <w:t xml:space="preserve">” </w:t>
      </w:r>
      <w:r>
        <w:rPr>
          <w:rFonts w:ascii="Times New Roman" w:hAnsi="Times New Roman"/>
          <w:color w:val="000000"/>
          <w:sz w:val="24"/>
        </w:rPr>
        <w:t>means any day on which the Trans</w:t>
        <w:noBreakHyphen/>
        <w:t>European Automated Real</w:t>
        <w:noBreakHyphen/>
        <w:t>time Gross Settlement Express Transfer (TARGET) payment system (or, if such payment system ceases to be operative, such other payment system (if any) determined by the Administrative Agent to be a suitable replacement) is open for the settlement of payments in Euro.</w:t>
      </w:r>
    </w:p>
    <w:p>
      <w:pPr>
        <w:pStyle w:val="TextBody"/>
        <w:bidi w:val="0"/>
        <w:spacing w:before="0" w:after="240"/>
        <w:jc w:val="both"/>
        <w:rPr/>
      </w:pPr>
      <w:r>
        <w:rPr>
          <w:color w:val="000000"/>
        </w:rPr>
        <w:t>“</w:t>
      </w:r>
      <w:r>
        <w:rPr>
          <w:rFonts w:ascii="Times New Roman" w:hAnsi="Times New Roman"/>
          <w:color w:val="000000"/>
          <w:sz w:val="24"/>
          <w:u w:val="single"/>
        </w:rPr>
        <w:t>Target Person</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Tax Distributions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6.07(a)(vii)(A)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4"/>
          <w:u w:val="single"/>
        </w:rPr>
        <w:t>Term CORRA</w:t>
      </w:r>
      <w:r>
        <w:rPr>
          <w:rFonts w:ascii="Times New Roman" w:hAnsi="Times New Roman"/>
          <w:color w:val="000000"/>
          <w:sz w:val="20"/>
        </w:rPr>
        <w:t xml:space="preserve">” </w:t>
      </w:r>
      <w:r>
        <w:rPr>
          <w:rFonts w:ascii="Times New Roman" w:hAnsi="Times New Roman"/>
          <w:color w:val="000000"/>
          <w:sz w:val="24"/>
        </w:rPr>
        <w:t>means, for any calculation with respect to a Term CORRA Loan, the Term CORRA Reference Rate for a tenor comparable to the applicable Interest Period on the day (such day, the “</w:t>
      </w:r>
      <w:r>
        <w:rPr>
          <w:rFonts w:ascii="Times New Roman" w:hAnsi="Times New Roman"/>
          <w:color w:val="000000"/>
          <w:sz w:val="24"/>
          <w:u w:val="single"/>
        </w:rPr>
        <w:t>Term CORRA Determination Day</w:t>
      </w:r>
      <w:r>
        <w:rPr>
          <w:rFonts w:ascii="Times New Roman" w:hAnsi="Times New Roman"/>
          <w:color w:val="000000"/>
          <w:sz w:val="20"/>
        </w:rPr>
        <w:t>”</w:t>
      </w:r>
      <w:r>
        <w:rPr>
          <w:rFonts w:ascii="Times New Roman" w:hAnsi="Times New Roman"/>
          <w:color w:val="000000"/>
          <w:sz w:val="24"/>
        </w:rPr>
        <w:t xml:space="preserve">) that is two (2) Business Days prior to the first day of such Interest Period, as such rate is published by the Term CORRA Administrator;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as of 5:00 p.m. (Toronto, Ontario time) on any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Term CORRA Determination Day.</w:t>
      </w:r>
    </w:p>
    <w:p>
      <w:pPr>
        <w:pStyle w:val="TextBody"/>
        <w:bidi w:val="0"/>
        <w:spacing w:before="0" w:after="240"/>
        <w:jc w:val="both"/>
        <w:rPr/>
      </w:pPr>
      <w:r>
        <w:rPr>
          <w:color w:val="000000"/>
        </w:rPr>
        <w:t>“</w:t>
      </w:r>
      <w:r>
        <w:rPr>
          <w:rFonts w:ascii="Times New Roman" w:hAnsi="Times New Roman"/>
          <w:color w:val="000000"/>
          <w:sz w:val="24"/>
          <w:u w:val="single"/>
        </w:rPr>
        <w:t>Term CORRA Administrator</w:t>
      </w:r>
      <w:r>
        <w:rPr>
          <w:rFonts w:ascii="Times New Roman" w:hAnsi="Times New Roman"/>
          <w:color w:val="000000"/>
          <w:sz w:val="20"/>
        </w:rPr>
        <w:t xml:space="preserve">” </w:t>
      </w:r>
      <w:r>
        <w:rPr>
          <w:rFonts w:ascii="Times New Roman" w:hAnsi="Times New Roman"/>
          <w:color w:val="000000"/>
          <w:sz w:val="24"/>
        </w:rPr>
        <w:t>means CanDeal Benchmark Administration Services Inc. (or any successor administrator of the Term CORRA rate selected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4"/>
          <w:u w:val="single"/>
        </w:rPr>
        <w:t>Term CORRA Determination Day</w:t>
      </w:r>
      <w:r>
        <w:rPr>
          <w:rFonts w:ascii="Times New Roman" w:hAnsi="Times New Roman"/>
          <w:color w:val="000000"/>
          <w:sz w:val="20"/>
        </w:rPr>
        <w:t xml:space="preserve">” </w:t>
      </w:r>
      <w:r>
        <w:rPr>
          <w:rFonts w:ascii="Times New Roman" w:hAnsi="Times New Roman"/>
          <w:color w:val="000000"/>
          <w:sz w:val="24"/>
        </w:rPr>
        <w:t>has the meaning assigned to it under the definition of “Term CORRA”.</w:t>
      </w:r>
    </w:p>
    <w:p>
      <w:pPr>
        <w:pStyle w:val="TextBody"/>
        <w:bidi w:val="0"/>
        <w:spacing w:before="0" w:after="240"/>
        <w:jc w:val="both"/>
        <w:rPr/>
      </w:pPr>
      <w:r>
        <w:rPr>
          <w:color w:val="000000"/>
        </w:rPr>
        <w:t>“</w:t>
      </w:r>
      <w:r>
        <w:rPr>
          <w:rFonts w:ascii="Times New Roman" w:hAnsi="Times New Roman"/>
          <w:color w:val="000000"/>
          <w:sz w:val="24"/>
          <w:u w:val="single"/>
        </w:rPr>
        <w:t>Term CORRA Rate</w:t>
      </w:r>
      <w:r>
        <w:rPr>
          <w:rFonts w:ascii="Times New Roman" w:hAnsi="Times New Roman"/>
          <w:color w:val="000000"/>
          <w:sz w:val="20"/>
        </w:rPr>
        <w:t xml:space="preserve">” </w:t>
      </w:r>
      <w:r>
        <w:rPr>
          <w:rFonts w:ascii="Times New Roman" w:hAnsi="Times New Roman"/>
          <w:color w:val="000000"/>
          <w:sz w:val="24"/>
        </w:rPr>
        <w:t xml:space="preserve">means, for purposes of any calculation, the rate per annum equal to Term CORRA for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Term CORRA Rate as so determined would be less than 0.00% per annum, such rate shall be deemed to be 0.00% per annum.</w:t>
      </w:r>
    </w:p>
    <w:p>
      <w:pPr>
        <w:pStyle w:val="TextBody"/>
        <w:bidi w:val="0"/>
        <w:spacing w:before="0" w:after="240"/>
        <w:jc w:val="both"/>
        <w:rPr/>
      </w:pPr>
      <w:r>
        <w:rPr>
          <w:color w:val="000000"/>
          <w:u w:val="single"/>
        </w:rPr>
        <w:t>“</w:t>
      </w:r>
      <w:r>
        <w:rPr>
          <w:rFonts w:ascii="Times New Roman" w:hAnsi="Times New Roman"/>
          <w:color w:val="000000"/>
          <w:sz w:val="24"/>
          <w:u w:val="single"/>
        </w:rPr>
        <w:t>Term CORRA Reference Rate</w:t>
      </w:r>
      <w:r>
        <w:rPr>
          <w:rFonts w:ascii="Times New Roman" w:hAnsi="Times New Roman"/>
          <w:color w:val="000000"/>
          <w:sz w:val="20"/>
        </w:rPr>
        <w:t xml:space="preserve">” </w:t>
      </w:r>
      <w:r>
        <w:rPr>
          <w:rFonts w:ascii="Times New Roman" w:hAnsi="Times New Roman"/>
          <w:color w:val="000000"/>
          <w:sz w:val="24"/>
        </w:rPr>
        <w:t>means the rate per annum determined by the Administrative Agent as the forward-looking term rate based on CORRA.</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Term Lender</w:t>
      </w:r>
      <w:r>
        <w:rPr>
          <w:rFonts w:ascii="Times New Roman" w:hAnsi="Times New Roman"/>
          <w:color w:val="000000"/>
          <w:sz w:val="20"/>
        </w:rPr>
        <w:t xml:space="preserve">” </w:t>
      </w:r>
      <w:r>
        <w:rPr>
          <w:rFonts w:ascii="Times New Roman" w:hAnsi="Times New Roman"/>
          <w:color w:val="000000"/>
          <w:sz w:val="24"/>
        </w:rPr>
        <w:t>means a Lender with an outstanding Term Loan (or an outstanding commitment in respect thereof).</w:t>
      </w:r>
    </w:p>
    <w:p>
      <w:pPr>
        <w:pStyle w:val="TextBody"/>
        <w:bidi w:val="0"/>
        <w:spacing w:before="0" w:after="240"/>
        <w:jc w:val="both"/>
        <w:rPr/>
      </w:pPr>
      <w:r>
        <w:rPr>
          <w:color w:val="000000"/>
        </w:rPr>
        <w:t>“</w:t>
      </w:r>
      <w:r>
        <w:rPr>
          <w:rFonts w:ascii="Times New Roman" w:hAnsi="Times New Roman"/>
          <w:color w:val="000000"/>
          <w:sz w:val="24"/>
          <w:u w:val="single"/>
        </w:rPr>
        <w:t>Term Loans</w:t>
      </w:r>
      <w:r>
        <w:rPr>
          <w:rFonts w:ascii="Times New Roman" w:hAnsi="Times New Roman"/>
          <w:color w:val="000000"/>
          <w:sz w:val="20"/>
        </w:rPr>
        <w:t xml:space="preserve">” </w:t>
      </w:r>
      <w:r>
        <w:rPr>
          <w:rFonts w:ascii="Times New Roman" w:hAnsi="Times New Roman"/>
          <w:color w:val="000000"/>
          <w:sz w:val="24"/>
        </w:rPr>
        <w:t>means Other Term Loans and Incremental Term Loans (if any), as the context requires.</w:t>
      </w:r>
    </w:p>
    <w:p>
      <w:pPr>
        <w:pStyle w:val="TextBody"/>
        <w:bidi w:val="0"/>
        <w:spacing w:before="0" w:after="240"/>
        <w:jc w:val="both"/>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(a) for any calculation with respect to a SOFR Loan, the Term SOFR Reference Rate for a tenor comparable to the applicable Interest Period on the day (such day, the “</w:t>
      </w:r>
      <w:r>
        <w:rPr>
          <w:rFonts w:ascii="Times New Roman" w:hAnsi="Times New Roman"/>
          <w:color w:val="000000"/>
          <w:sz w:val="24"/>
          <w:u w:val="single"/>
        </w:rPr>
        <w:t>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the first day of such Interest Period, as such rate is published by the Term SOFR Administrator;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and</w:t>
      </w:r>
    </w:p>
    <w:p>
      <w:pPr>
        <w:pStyle w:val="TextBody"/>
        <w:bidi w:val="0"/>
        <w:spacing w:before="0" w:after="240"/>
        <w:jc w:val="both"/>
        <w:rPr>
          <w:rFonts w:ascii="Times New Roman" w:hAnsi="Times New Roman"/>
          <w:sz w:val="20"/>
        </w:rPr>
      </w:pPr>
      <w:r>
        <w:rPr>
          <w:rFonts w:ascii="Times New Roman" w:hAnsi="Times New Roman"/>
          <w:color w:val="000000"/>
          <w:sz w:val="24"/>
        </w:rPr>
        <w:t>(b) for any calculation with respect to an ABR Loan on any day, the Term SOFR Reference Rate for a tenor of one month on the day (such day, the “</w:t>
      </w:r>
      <w:r>
        <w:rPr>
          <w:rFonts w:ascii="Times New Roman" w:hAnsi="Times New Roman"/>
          <w:color w:val="000000"/>
          <w:sz w:val="24"/>
          <w:u w:val="single"/>
        </w:rPr>
        <w:t>ABR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such day, as such rate is published by the Term SOFR Administrator;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pStyle w:val="TextBody"/>
        <w:bidi w:val="0"/>
        <w:spacing w:before="0" w:after="240"/>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0"/>
        </w:rPr>
        <w:t xml:space="preserve">” </w:t>
      </w:r>
      <w:r>
        <w:rPr>
          <w:rFonts w:ascii="Times New Roman" w:hAnsi="Times New Roman"/>
          <w:color w:val="000000"/>
          <w:sz w:val="24"/>
        </w:rPr>
        <w:t>means the CME Group Benchmark Administration Limited (CBA) (or a successor administrator of the Term SOFR Reference Rate selected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4"/>
          <w:u w:val="single"/>
        </w:rPr>
        <w:t>Term SOFR Determination Day</w:t>
      </w:r>
      <w:r>
        <w:rPr>
          <w:rFonts w:ascii="Times New Roman" w:hAnsi="Times New Roman"/>
          <w:color w:val="000000"/>
          <w:sz w:val="20"/>
        </w:rPr>
        <w:t xml:space="preserve">” </w:t>
      </w:r>
      <w:r>
        <w:rPr>
          <w:rFonts w:ascii="Times New Roman" w:hAnsi="Times New Roman"/>
          <w:color w:val="000000"/>
          <w:sz w:val="24"/>
        </w:rPr>
        <w:t>has the meaning assigned to it under the definition of “Term SOFR”.</w:t>
      </w:r>
    </w:p>
    <w:p>
      <w:pPr>
        <w:pStyle w:val="TextBody"/>
        <w:bidi w:val="0"/>
        <w:spacing w:before="0" w:after="240"/>
        <w:jc w:val="both"/>
        <w:rPr/>
      </w:pPr>
      <w:r>
        <w:rPr>
          <w:color w:val="000000"/>
        </w:rPr>
        <w:t>“</w:t>
      </w:r>
      <w:r>
        <w:rPr>
          <w:rFonts w:ascii="Times New Roman" w:hAnsi="Times New Roman"/>
          <w:color w:val="000000"/>
          <w:sz w:val="24"/>
          <w:u w:val="single"/>
        </w:rPr>
        <w:t>Term SOFR Rate</w:t>
      </w:r>
      <w:r>
        <w:rPr>
          <w:rFonts w:ascii="Times New Roman" w:hAnsi="Times New Roman"/>
          <w:color w:val="000000"/>
          <w:sz w:val="20"/>
        </w:rPr>
        <w:t xml:space="preserve">” </w:t>
      </w:r>
      <w:r>
        <w:rPr>
          <w:rFonts w:ascii="Times New Roman" w:hAnsi="Times New Roman"/>
          <w:color w:val="000000"/>
          <w:sz w:val="24"/>
        </w:rPr>
        <w:t xml:space="preserve">means, for purposes of any calculation, the rate per annum equal to Term SOFR for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Term SOFR Rate as so determined would be less than 0.00% per annum, such rate shall be deemed to be 0.00% per annum.</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the rate per annum determined by the Administrative Agent as the forward</w:t>
        <w:noBreakHyphen/>
        <w:t>looking term rate based on SOFR.</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means the date on which all Commitments have expired or been terminated, all Secured Obligations have been paid in full in cash (other than (x) Secured Swap Obligations not yet due and payable, (y) Secured Cash Management Obligations not yet due and payable and (z) contingent obligations not yet accrued and payable) and all Letters of Credit have expired or been terminated (other than Letters of Credit that have been cash collateralized or backstopped by an institution and otherwise pursuant to arrangements reasonably satisfactory to the applicable Issuing Bank).</w:t>
      </w:r>
    </w:p>
    <w:p>
      <w:pPr>
        <w:pStyle w:val="TextBody"/>
        <w:bidi w:val="0"/>
        <w:spacing w:before="0" w:after="240"/>
        <w:jc w:val="both"/>
        <w:rPr/>
      </w:pPr>
      <w:r>
        <w:rPr>
          <w:color w:val="000000"/>
        </w:rPr>
        <w:t>“</w:t>
      </w:r>
      <w:r>
        <w:rPr>
          <w:rFonts w:ascii="Times New Roman" w:hAnsi="Times New Roman"/>
          <w:color w:val="000000"/>
          <w:sz w:val="24"/>
          <w:u w:val="single"/>
        </w:rPr>
        <w:t>Test Period</w:t>
      </w:r>
      <w:r>
        <w:rPr>
          <w:rFonts w:ascii="Times New Roman" w:hAnsi="Times New Roman"/>
          <w:color w:val="000000"/>
          <w:sz w:val="20"/>
        </w:rPr>
        <w:t xml:space="preserve">” </w:t>
      </w:r>
      <w:r>
        <w:rPr>
          <w:rFonts w:ascii="Times New Roman" w:hAnsi="Times New Roman"/>
          <w:color w:val="000000"/>
          <w:sz w:val="24"/>
        </w:rPr>
        <w:t xml:space="preserve">means, at any date of determination, the period of four consecutive fiscal quarters of Holdings then last ended as of such time for which financial statements have been delivered pursuant to </w:t>
      </w:r>
      <w:r>
        <w:rPr>
          <w:rFonts w:ascii="Times New Roman" w:hAnsi="Times New Roman"/>
          <w:color w:val="000000"/>
          <w:sz w:val="24"/>
          <w:u w:val="single"/>
        </w:rPr>
        <w:t>Section 5.01(a)(ii)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for any date of determination before the delivery of the first financial statements pursuant to </w:t>
      </w:r>
      <w:r>
        <w:rPr>
          <w:rFonts w:ascii="Times New Roman" w:hAnsi="Times New Roman"/>
          <w:color w:val="000000"/>
          <w:sz w:val="24"/>
          <w:u w:val="single"/>
        </w:rPr>
        <w:t>Section 5.01(a)(ii)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the Test Period shall be the period of four consecutive fiscal quarters of Holdings ended as of March 31, 2026.</w:t>
      </w:r>
    </w:p>
    <w:p>
      <w:pPr>
        <w:pStyle w:val="TextBody"/>
        <w:bidi w:val="0"/>
        <w:spacing w:before="0" w:after="240"/>
        <w:jc w:val="both"/>
        <w:rPr/>
      </w:pPr>
      <w:r>
        <w:rPr>
          <w:color w:val="000000"/>
        </w:rPr>
        <w:t>“</w:t>
      </w:r>
      <w:r>
        <w:rPr>
          <w:rFonts w:ascii="Times New Roman" w:hAnsi="Times New Roman"/>
          <w:color w:val="000000"/>
          <w:sz w:val="24"/>
          <w:u w:val="single"/>
        </w:rPr>
        <w:t>Third Party Guarantor</w:t>
      </w:r>
      <w:r>
        <w:rPr>
          <w:rFonts w:ascii="Times New Roman" w:hAnsi="Times New Roman"/>
          <w:color w:val="000000"/>
          <w:sz w:val="20"/>
        </w:rPr>
        <w:t xml:space="preserve">” </w:t>
      </w:r>
      <w:r>
        <w:rPr>
          <w:rFonts w:ascii="Times New Roman" w:hAnsi="Times New Roman"/>
          <w:color w:val="000000"/>
          <w:sz w:val="24"/>
        </w:rPr>
        <w:t>means each of Wavedash and Vivid Seats Asia Pacific. =</w:t>
      </w:r>
    </w:p>
    <w:p>
      <w:pPr>
        <w:pStyle w:val="TextBody"/>
        <w:bidi w:val="0"/>
        <w:spacing w:before="0" w:after="240"/>
        <w:jc w:val="both"/>
        <w:rPr/>
      </w:pPr>
      <w:r>
        <w:rPr>
          <w:color w:val="000000"/>
        </w:rPr>
        <w:t>“</w:t>
      </w:r>
      <w:r>
        <w:rPr>
          <w:rFonts w:ascii="Times New Roman" w:hAnsi="Times New Roman"/>
          <w:color w:val="000000"/>
          <w:sz w:val="24"/>
          <w:u w:val="single"/>
        </w:rPr>
        <w:t>Total Net Leverage Ratio</w:t>
      </w:r>
      <w:r>
        <w:rPr>
          <w:rFonts w:ascii="Times New Roman" w:hAnsi="Times New Roman"/>
          <w:color w:val="000000"/>
          <w:sz w:val="20"/>
        </w:rPr>
        <w:t xml:space="preserve">” </w:t>
      </w:r>
      <w:r>
        <w:rPr>
          <w:rFonts w:ascii="Times New Roman" w:hAnsi="Times New Roman"/>
          <w:color w:val="000000"/>
          <w:sz w:val="24"/>
        </w:rPr>
        <w:t>means, as of any date of determination, the ratio, on a Pro Forma Basis, of (a) Consolidated Total Net Indebtedness as of such date to (b) Consolidated EBITDA for the most recently completed Test Period.</w:t>
      </w:r>
    </w:p>
    <w:p>
      <w:pPr>
        <w:pStyle w:val="TextBody"/>
        <w:bidi w:val="0"/>
        <w:spacing w:before="0" w:after="240"/>
        <w:jc w:val="both"/>
        <w:rPr/>
      </w:pPr>
      <w:r>
        <w:rPr>
          <w:color w:val="000000"/>
        </w:rPr>
        <w:t>“</w:t>
      </w:r>
      <w:r>
        <w:rPr>
          <w:rFonts w:ascii="Times New Roman" w:hAnsi="Times New Roman"/>
          <w:color w:val="000000"/>
          <w:sz w:val="24"/>
          <w:u w:val="single"/>
        </w:rPr>
        <w:t>Trademarks</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 =</w:t>
      </w:r>
    </w:p>
    <w:p>
      <w:pPr>
        <w:pStyle w:val="TextBody"/>
        <w:bidi w:val="0"/>
        <w:spacing w:before="0" w:after="240"/>
        <w:jc w:val="both"/>
        <w:rPr/>
      </w:pPr>
      <w:r>
        <w:rPr>
          <w:color w:val="000000"/>
        </w:rPr>
        <w:t>“</w:t>
      </w:r>
      <w:r>
        <w:rPr>
          <w:rFonts w:ascii="Times New Roman" w:hAnsi="Times New Roman"/>
          <w:color w:val="000000"/>
          <w:sz w:val="24"/>
          <w:u w:val="single"/>
        </w:rPr>
        <w:t>Transaction</w:t>
      </w:r>
      <w:r>
        <w:rPr>
          <w:rFonts w:ascii="Times New Roman" w:hAnsi="Times New Roman"/>
          <w:color w:val="000000"/>
          <w:sz w:val="20"/>
        </w:rPr>
        <w:t xml:space="preserve">” </w:t>
      </w:r>
      <w:r>
        <w:rPr>
          <w:rFonts w:ascii="Times New Roman" w:hAnsi="Times New Roman"/>
          <w:color w:val="000000"/>
          <w:sz w:val="24"/>
        </w:rPr>
        <w:t>means each of the following transactions consummated or to be consummated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execution and delivery of Loan Documents to be entered into on the Effective Date in connection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establishment of the RemainCo Intercompany Loan;</w:t>
      </w:r>
    </w:p>
    <w:p>
      <w:pPr>
        <w:pStyle w:val="TextBody"/>
        <w:bidi w:val="0"/>
        <w:spacing w:before="0" w:after="240"/>
        <w:jc w:val="both"/>
        <w:rPr>
          <w:rFonts w:ascii="Times New Roman" w:hAnsi="Times New Roman"/>
          <w:sz w:val="20"/>
        </w:rPr>
      </w:pPr>
      <w:r>
        <w:rPr>
          <w:rFonts w:ascii="Times New Roman" w:hAnsi="Times New Roman"/>
          <w:color w:val="000000"/>
          <w:sz w:val="24"/>
        </w:rPr>
        <w:t>(c) the refinancing or repayment of all outstanding revolving loans and the replacement, rolling or cash collateralization of all outstanding letters of credit under the Hoya Credit Agreement and the termination of all revolving commitments thereunder (the “</w:t>
      </w:r>
      <w:r>
        <w:rPr>
          <w:rFonts w:ascii="Times New Roman" w:hAnsi="Times New Roman"/>
          <w:color w:val="000000"/>
          <w:sz w:val="24"/>
          <w:u w:val="single"/>
        </w:rPr>
        <w:t>Refinancing</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payment of the Transaction Costs.</w:t>
      </w:r>
    </w:p>
    <w:p>
      <w:pPr>
        <w:pStyle w:val="TextBody"/>
        <w:bidi w:val="0"/>
        <w:spacing w:before="0" w:after="240"/>
        <w:jc w:val="both"/>
        <w:rPr/>
      </w:pPr>
      <w:r>
        <w:rPr>
          <w:color w:val="000000"/>
        </w:rPr>
        <w:t>“</w:t>
      </w:r>
      <w:r>
        <w:rPr>
          <w:rFonts w:ascii="Times New Roman" w:hAnsi="Times New Roman"/>
          <w:color w:val="000000"/>
          <w:sz w:val="24"/>
          <w:u w:val="single"/>
        </w:rPr>
        <w:t>Transaction Costs</w:t>
      </w:r>
      <w:r>
        <w:rPr>
          <w:rFonts w:ascii="Times New Roman" w:hAnsi="Times New Roman"/>
          <w:color w:val="000000"/>
          <w:sz w:val="20"/>
        </w:rPr>
        <w:t xml:space="preserve">” </w:t>
      </w:r>
      <w:r>
        <w:rPr>
          <w:rFonts w:ascii="Times New Roman" w:hAnsi="Times New Roman"/>
          <w:color w:val="000000"/>
          <w:sz w:val="24"/>
        </w:rPr>
        <w:t>means all fees, premiums, original issue discount, costs and expenses incurred or payable by Holdings, the Borrower or any other Subsidiary in connection with the Transactions, including fees, costs and expenses of any counsel, consultants and other advisors.</w:t>
      </w:r>
    </w:p>
    <w:p>
      <w:pPr>
        <w:pStyle w:val="TextBody"/>
        <w:bidi w:val="0"/>
        <w:spacing w:before="0" w:after="240"/>
        <w:jc w:val="both"/>
        <w:rPr/>
      </w:pPr>
      <w:r>
        <w:rPr>
          <w:color w:val="000000"/>
        </w:rPr>
        <w:t>“</w:t>
      </w:r>
      <w:r>
        <w:rPr>
          <w:rFonts w:ascii="Times New Roman" w:hAnsi="Times New Roman"/>
          <w:color w:val="000000"/>
          <w:sz w:val="24"/>
          <w:u w:val="single"/>
        </w:rPr>
        <w:t>Type</w:t>
      </w:r>
      <w:r>
        <w:rPr>
          <w:rFonts w:ascii="Times New Roman" w:hAnsi="Times New Roman"/>
          <w:color w:val="000000"/>
          <w:sz w:val="20"/>
        </w:rPr>
        <w:t>”</w:t>
      </w:r>
      <w:r>
        <w:rPr>
          <w:rFonts w:ascii="Times New Roman" w:hAnsi="Times New Roman"/>
          <w:color w:val="000000"/>
          <w:sz w:val="24"/>
        </w:rPr>
        <w:t>, when used in reference to any Loan or Borrowing, refers to whether the rate of interest on such Loan, or on the Loans comprising such Borrowing, is determined by reference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Term SOFR Rate, Term CORRA Rate, Daily Simple RFR, EURIBOR Rate or Alternate Base Rate.</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Uniform Commercial Code</w:t>
      </w:r>
      <w:r>
        <w:rPr>
          <w:rFonts w:ascii="Times New Roman" w:hAnsi="Times New Roman"/>
          <w:color w:val="000000"/>
          <w:sz w:val="20"/>
        </w:rPr>
        <w:t xml:space="preserve">” </w:t>
      </w:r>
      <w:r>
        <w:rPr>
          <w:rFonts w:ascii="Times New Roman" w:hAnsi="Times New Roman"/>
          <w:color w:val="000000"/>
          <w:sz w:val="24"/>
        </w:rPr>
        <w:t xml:space="preserve">means the Uniform Commercial Code as in effect from time to time in the State of New York;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Uniform Commercial Code</w:t>
      </w:r>
      <w:r>
        <w:rPr>
          <w:rFonts w:ascii="Times New Roman" w:hAnsi="Times New Roman"/>
          <w:color w:val="000000"/>
          <w:sz w:val="20"/>
        </w:rPr>
        <w:t xml:space="preserve">” </w:t>
      </w:r>
      <w:r>
        <w:rPr>
          <w:rFonts w:ascii="Times New Roman" w:hAnsi="Times New Roman"/>
          <w:color w:val="000000"/>
          <w:sz w:val="24"/>
        </w:rPr>
        <w:t>shall mean the Uniform Commercial Code as in effect, at such time, in such other jurisdiction for purposes of the provisions hereof relating to such perfection or priority and for purposes of definitions relating to such provisions.</w:t>
      </w:r>
    </w:p>
    <w:p>
      <w:pPr>
        <w:pStyle w:val="TextBody"/>
        <w:bidi w:val="0"/>
        <w:spacing w:before="0" w:after="240"/>
        <w:jc w:val="both"/>
        <w:rPr/>
      </w:pPr>
      <w:r>
        <w:rPr>
          <w:color w:val="000000"/>
        </w:rPr>
        <w:t>“</w:t>
      </w:r>
      <w:r>
        <w:rPr>
          <w:rFonts w:ascii="Times New Roman" w:hAnsi="Times New Roman"/>
          <w:color w:val="000000"/>
          <w:sz w:val="24"/>
          <w:u w:val="single"/>
        </w:rPr>
        <w:t>UCP</w:t>
      </w:r>
      <w:r>
        <w:rPr>
          <w:rFonts w:ascii="Times New Roman" w:hAnsi="Times New Roman"/>
          <w:color w:val="000000"/>
          <w:sz w:val="20"/>
        </w:rPr>
        <w:t xml:space="preserve">” </w:t>
      </w:r>
      <w:r>
        <w:rPr>
          <w:rFonts w:ascii="Times New Roman" w:hAnsi="Times New Roman"/>
          <w:color w:val="000000"/>
          <w:sz w:val="24"/>
        </w:rPr>
        <w:t>means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Letter of Credit may be issued subject to UCP.</w:t>
      </w:r>
    </w:p>
    <w:p>
      <w:pPr>
        <w:pStyle w:val="TextBody"/>
        <w:bidi w:val="0"/>
        <w:spacing w:before="0" w:after="240"/>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Unaudited Financial Statements</w:t>
      </w:r>
      <w:r>
        <w:rPr>
          <w:rFonts w:ascii="Times New Roman" w:hAnsi="Times New Roman"/>
          <w:color w:val="000000"/>
          <w:sz w:val="20"/>
        </w:rPr>
        <w:t xml:space="preserve">” </w:t>
      </w:r>
      <w:r>
        <w:rPr>
          <w:rFonts w:ascii="Times New Roman" w:hAnsi="Times New Roman"/>
          <w:color w:val="000000"/>
          <w:sz w:val="24"/>
        </w:rPr>
        <w:t>means unaudited consolidated balance sheets and the related consolidated statements of comprehensive income and cash flows of Holdings and its Subsidiaries for the fiscal quarter ended March 31, 2026.</w:t>
      </w:r>
    </w:p>
    <w:p>
      <w:pPr>
        <w:pStyle w:val="TextBody"/>
        <w:bidi w:val="0"/>
        <w:spacing w:before="0" w:after="240"/>
        <w:jc w:val="both"/>
        <w:rPr/>
      </w:pPr>
      <w:r>
        <w:rPr>
          <w:color w:val="000000"/>
        </w:rPr>
        <w:t>“</w:t>
      </w:r>
      <w:r>
        <w:rPr>
          <w:rFonts w:ascii="Times New Roman" w:hAnsi="Times New Roman"/>
          <w:color w:val="000000"/>
          <w:sz w:val="24"/>
          <w:u w:val="single"/>
        </w:rPr>
        <w:t>Unfunded Pension Liability</w:t>
      </w:r>
      <w:r>
        <w:rPr>
          <w:rFonts w:ascii="Times New Roman" w:hAnsi="Times New Roman"/>
          <w:color w:val="000000"/>
          <w:sz w:val="20"/>
        </w:rPr>
        <w:t xml:space="preserve">” </w:t>
      </w:r>
      <w:r>
        <w:rPr>
          <w:rFonts w:ascii="Times New Roman" w:hAnsi="Times New Roman"/>
          <w:color w:val="000000"/>
          <w:sz w:val="24"/>
        </w:rPr>
        <w:t>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bidi w:val="0"/>
        <w:spacing w:before="0" w:after="240"/>
        <w:jc w:val="both"/>
        <w:rPr/>
      </w:pPr>
      <w:r>
        <w:rPr>
          <w:color w:val="000000"/>
        </w:rPr>
        <w:t>“</w:t>
      </w:r>
      <w:r>
        <w:rPr>
          <w:rFonts w:ascii="Times New Roman" w:hAnsi="Times New Roman"/>
          <w:color w:val="000000"/>
          <w:sz w:val="24"/>
          <w:u w:val="single"/>
        </w:rPr>
        <w:t>United States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U.S.</w:t>
      </w:r>
      <w:r>
        <w:rPr>
          <w:rFonts w:ascii="Times New Roman" w:hAnsi="Times New Roman"/>
          <w:color w:val="000000"/>
          <w:sz w:val="20"/>
        </w:rPr>
        <w:t xml:space="preserve">” </w:t>
      </w:r>
      <w:r>
        <w:rPr>
          <w:rFonts w:ascii="Times New Roman" w:hAnsi="Times New Roman"/>
          <w:color w:val="000000"/>
          <w:sz w:val="24"/>
        </w:rPr>
        <w:t>mean the United States of America.</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United States Tax Compliance Certificate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2.17(g)(ii)(C)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USA PATRIOT Act</w:t>
      </w:r>
      <w:r>
        <w:rPr>
          <w:rFonts w:ascii="Times New Roman" w:hAnsi="Times New Roman"/>
          <w:color w:val="000000"/>
          <w:sz w:val="20"/>
        </w:rPr>
        <w:t xml:space="preserve">” </w:t>
      </w:r>
      <w:r>
        <w:rPr>
          <w:rFonts w:ascii="Times New Roman" w:hAnsi="Times New Roman"/>
          <w:color w:val="000000"/>
          <w:sz w:val="24"/>
        </w:rPr>
        <w:t>means the Uniting and Strengthening America by Providing Appropriate Tools Required to Intercept and Obstruct Terrorism Act of 2001, as amended from time to time.</w:t>
      </w:r>
    </w:p>
    <w:p>
      <w:pPr>
        <w:pStyle w:val="TextBody"/>
        <w:bidi w:val="0"/>
        <w:spacing w:before="0" w:after="240"/>
        <w:jc w:val="both"/>
        <w:rPr/>
      </w:pPr>
      <w:r>
        <w:rPr>
          <w:color w:val="000000"/>
        </w:rPr>
        <w:t>“</w:t>
      </w:r>
      <w:r>
        <w:rPr>
          <w:rFonts w:ascii="Times New Roman" w:hAnsi="Times New Roman"/>
          <w:color w:val="000000"/>
          <w:sz w:val="24"/>
          <w:u w:val="single"/>
        </w:rPr>
        <w:t>Vegas Group</w:t>
      </w:r>
      <w:r>
        <w:rPr>
          <w:rFonts w:ascii="Times New Roman" w:hAnsi="Times New Roman"/>
          <w:color w:val="000000"/>
          <w:sz w:val="20"/>
        </w:rPr>
        <w:t xml:space="preserve">” </w:t>
      </w:r>
      <w:r>
        <w:rPr>
          <w:rFonts w:ascii="Times New Roman" w:hAnsi="Times New Roman"/>
          <w:color w:val="000000"/>
          <w:sz w:val="24"/>
        </w:rPr>
        <w:t>means, collectively, Holdings and its Subsidiaries.</w:t>
      </w:r>
    </w:p>
    <w:p>
      <w:pPr>
        <w:pStyle w:val="TextBody"/>
        <w:bidi w:val="0"/>
        <w:spacing w:before="0" w:after="240"/>
        <w:jc w:val="both"/>
        <w:rPr/>
      </w:pPr>
      <w:r>
        <w:rPr>
          <w:color w:val="000000"/>
        </w:rPr>
        <w:t>“</w:t>
      </w:r>
      <w:r>
        <w:rPr>
          <w:rFonts w:ascii="Times New Roman" w:hAnsi="Times New Roman"/>
          <w:color w:val="000000"/>
          <w:sz w:val="24"/>
          <w:u w:val="single"/>
        </w:rPr>
        <w:t>Vivid Seats Asia Pacific</w:t>
      </w:r>
      <w:r>
        <w:rPr>
          <w:rFonts w:ascii="Times New Roman" w:hAnsi="Times New Roman"/>
          <w:color w:val="000000"/>
          <w:sz w:val="20"/>
        </w:rPr>
        <w:t xml:space="preserve">” </w:t>
      </w:r>
      <w:r>
        <w:rPr>
          <w:rFonts w:ascii="Times New Roman" w:hAnsi="Times New Roman"/>
          <w:color w:val="000000"/>
          <w:sz w:val="24"/>
        </w:rPr>
        <w:t>means Vivid Seats Asia Pacific Inc., a Delaware corporation.</w:t>
      </w:r>
    </w:p>
    <w:p>
      <w:pPr>
        <w:pStyle w:val="TextBody"/>
        <w:bidi w:val="0"/>
        <w:spacing w:before="0" w:after="240"/>
        <w:jc w:val="both"/>
        <w:rPr/>
      </w:pPr>
      <w:r>
        <w:rPr>
          <w:color w:val="000000"/>
        </w:rPr>
        <w:t>“</w:t>
      </w:r>
      <w:r>
        <w:rPr>
          <w:rFonts w:ascii="Times New Roman" w:hAnsi="Times New Roman"/>
          <w:color w:val="000000"/>
          <w:sz w:val="24"/>
          <w:u w:val="single"/>
        </w:rPr>
        <w:t>Vivid Seats Inc.</w:t>
      </w:r>
      <w:r>
        <w:rPr>
          <w:rFonts w:ascii="Times New Roman" w:hAnsi="Times New Roman"/>
          <w:color w:val="000000"/>
          <w:sz w:val="20"/>
        </w:rPr>
        <w:t xml:space="preserve">” </w:t>
      </w:r>
      <w:r>
        <w:rPr>
          <w:rFonts w:ascii="Times New Roman" w:hAnsi="Times New Roman"/>
          <w:color w:val="000000"/>
          <w:sz w:val="24"/>
        </w:rPr>
        <w:t>means Vivid Seats Inc., a Delaware corporation.</w:t>
      </w:r>
    </w:p>
    <w:p>
      <w:pPr>
        <w:pStyle w:val="TextBody"/>
        <w:bidi w:val="0"/>
        <w:spacing w:before="0" w:after="240"/>
        <w:jc w:val="both"/>
        <w:rPr/>
      </w:pPr>
      <w:r>
        <w:rPr>
          <w:color w:val="000000"/>
        </w:rPr>
        <w:t>“</w:t>
      </w:r>
      <w:r>
        <w:rPr>
          <w:rFonts w:ascii="Times New Roman" w:hAnsi="Times New Roman"/>
          <w:color w:val="000000"/>
          <w:sz w:val="24"/>
          <w:u w:val="single"/>
        </w:rPr>
        <w:t>Wavedash</w:t>
      </w:r>
      <w:r>
        <w:rPr>
          <w:rFonts w:ascii="Times New Roman" w:hAnsi="Times New Roman"/>
          <w:color w:val="000000"/>
          <w:sz w:val="20"/>
        </w:rPr>
        <w:t xml:space="preserve">” </w:t>
      </w:r>
      <w:r>
        <w:rPr>
          <w:rFonts w:ascii="Times New Roman" w:hAnsi="Times New Roman"/>
          <w:color w:val="000000"/>
          <w:sz w:val="24"/>
        </w:rPr>
        <w:t>means Wavedash Co., Ltd., an entity organized under the laws of Japan.</w:t>
      </w:r>
    </w:p>
    <w:p>
      <w:pPr>
        <w:pStyle w:val="TextBody"/>
        <w:bidi w:val="0"/>
        <w:spacing w:before="0" w:after="240"/>
        <w:jc w:val="both"/>
        <w:rPr/>
      </w:pPr>
      <w:r>
        <w:rPr>
          <w:color w:val="000000"/>
        </w:rPr>
        <w:t>“</w:t>
      </w:r>
      <w:r>
        <w:rPr>
          <w:rFonts w:ascii="Times New Roman" w:hAnsi="Times New Roman"/>
          <w:color w:val="000000"/>
          <w:sz w:val="24"/>
          <w:u w:val="single"/>
        </w:rPr>
        <w:t>Wavedash Guarantee</w:t>
      </w:r>
      <w:r>
        <w:rPr>
          <w:rFonts w:ascii="Times New Roman" w:hAnsi="Times New Roman"/>
          <w:color w:val="000000"/>
          <w:sz w:val="20"/>
        </w:rPr>
        <w:t xml:space="preserve">” </w:t>
      </w:r>
      <w:r>
        <w:rPr>
          <w:rFonts w:ascii="Times New Roman" w:hAnsi="Times New Roman"/>
          <w:color w:val="000000"/>
          <w:sz w:val="24"/>
        </w:rPr>
        <w:t>means the Limited Guarantee Agreement, dated as of the Effective Date and governed by the laws of New York, by and among Vivid Seats Asia Pacific, Wavedash and the Administrative Agent.</w:t>
      </w:r>
    </w:p>
    <w:p>
      <w:pPr>
        <w:pStyle w:val="TextBody"/>
        <w:bidi w:val="0"/>
        <w:spacing w:before="0" w:after="240"/>
        <w:jc w:val="both"/>
        <w:rPr/>
      </w:pPr>
      <w:r>
        <w:rPr>
          <w:color w:val="000000"/>
        </w:rPr>
        <w:t>“</w:t>
      </w:r>
      <w:r>
        <w:rPr>
          <w:rFonts w:ascii="Times New Roman" w:hAnsi="Times New Roman"/>
          <w:color w:val="000000"/>
          <w:sz w:val="24"/>
          <w:u w:val="single"/>
        </w:rPr>
        <w:t>Wavedash Share Pledge</w:t>
      </w:r>
      <w:r>
        <w:rPr>
          <w:rFonts w:ascii="Times New Roman" w:hAnsi="Times New Roman"/>
          <w:color w:val="000000"/>
          <w:sz w:val="20"/>
        </w:rPr>
        <w:t xml:space="preserve">” </w:t>
      </w:r>
      <w:r>
        <w:rPr>
          <w:rFonts w:ascii="Times New Roman" w:hAnsi="Times New Roman"/>
          <w:color w:val="000000"/>
          <w:sz w:val="24"/>
        </w:rPr>
        <w:t>means the Japan Share Revolving (</w:t>
      </w:r>
      <w:r>
        <w:rPr>
          <w:rFonts w:ascii="Times New Roman" w:hAnsi="Times New Roman"/>
          <w:i/>
          <w:color w:val="000000"/>
          <w:sz w:val="24"/>
        </w:rPr>
        <w:t>NE</w:t>
      </w:r>
      <w:r>
        <w:rPr>
          <w:rFonts w:ascii="Times New Roman" w:hAnsi="Times New Roman"/>
          <w:color w:val="000000"/>
          <w:sz w:val="24"/>
        </w:rPr>
        <w:t>) Pledge Agreement, dated as of the Effective Date and governed by the laws of Japan, by and between Vivid Seats Asia Pacific and the Collateral Agent, pursuant to which Vivid Seats Asia Pacific shall grant a Lien in all of the Equity Interests it holds in Wavedash, in favor of the Collateral Agent, pursuant to the terms thereof.</w:t>
      </w:r>
    </w:p>
    <w:p>
      <w:pPr>
        <w:pStyle w:val="TextBody"/>
        <w:bidi w:val="0"/>
        <w:spacing w:before="0" w:after="240"/>
        <w:jc w:val="both"/>
        <w:rPr/>
      </w:pPr>
      <w:r>
        <w:rPr>
          <w:color w:val="000000"/>
        </w:rPr>
        <w:t>“</w:t>
      </w:r>
      <w:r>
        <w:rPr>
          <w:rFonts w:ascii="Times New Roman" w:hAnsi="Times New Roman"/>
          <w:color w:val="000000"/>
          <w:sz w:val="24"/>
          <w:u w:val="single"/>
        </w:rPr>
        <w:t>Weighted Average Life to Maturity</w:t>
      </w:r>
      <w:r>
        <w:rPr>
          <w:rFonts w:ascii="Times New Roman" w:hAnsi="Times New Roman"/>
          <w:color w:val="000000"/>
          <w:sz w:val="20"/>
        </w:rPr>
        <w:t xml:space="preserve">” </w:t>
      </w:r>
      <w:r>
        <w:rPr>
          <w:rFonts w:ascii="Times New Roman" w:hAnsi="Times New Roman"/>
          <w:color w:val="000000"/>
          <w:sz w:val="24"/>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without giving effect to any reductions of amortization or other scheduled payments for periods where amortization has been reduced as a result of the prepayment of the applicable Indebtedness.</w:t>
      </w:r>
    </w:p>
    <w:p>
      <w:pPr>
        <w:pStyle w:val="TextBody"/>
        <w:bidi w:val="0"/>
        <w:spacing w:before="0" w:after="240"/>
        <w:jc w:val="both"/>
        <w:rPr/>
      </w:pPr>
      <w:r>
        <w:rPr>
          <w:color w:val="000000"/>
        </w:rPr>
        <w:t>“</w:t>
      </w:r>
      <w:r>
        <w:rPr>
          <w:rFonts w:ascii="Times New Roman" w:hAnsi="Times New Roman"/>
          <w:color w:val="000000"/>
          <w:sz w:val="24"/>
          <w:u w:val="single"/>
        </w:rPr>
        <w:t>Wholly Owned Restricted Subsidiary</w:t>
      </w:r>
      <w:r>
        <w:rPr>
          <w:rFonts w:ascii="Times New Roman" w:hAnsi="Times New Roman"/>
          <w:color w:val="000000"/>
          <w:sz w:val="20"/>
        </w:rPr>
        <w:t xml:space="preserve">” </w:t>
      </w:r>
      <w:r>
        <w:rPr>
          <w:rFonts w:ascii="Times New Roman" w:hAnsi="Times New Roman"/>
          <w:color w:val="000000"/>
          <w:sz w:val="24"/>
        </w:rPr>
        <w:t>means any Restricted Subsidiary that is a Wholly Owned Subsidiary.</w:t>
      </w:r>
    </w:p>
    <w:p>
      <w:pPr>
        <w:pStyle w:val="TextBody"/>
        <w:bidi w:val="0"/>
        <w:spacing w:before="0" w:after="240"/>
        <w:jc w:val="both"/>
        <w:rPr/>
      </w:pPr>
      <w:r>
        <w:rPr>
          <w:color w:val="000000"/>
        </w:rPr>
        <w:t>“</w:t>
      </w:r>
      <w:r>
        <w:rPr>
          <w:rFonts w:ascii="Times New Roman" w:hAnsi="Times New Roman"/>
          <w:color w:val="000000"/>
          <w:sz w:val="24"/>
          <w:u w:val="single"/>
        </w:rPr>
        <w:t>Wholly Owned Subsidiary</w:t>
      </w:r>
      <w:r>
        <w:rPr>
          <w:rFonts w:ascii="Times New Roman" w:hAnsi="Times New Roman"/>
          <w:color w:val="000000"/>
          <w:sz w:val="20"/>
        </w:rPr>
        <w:t xml:space="preserve">” </w:t>
      </w:r>
      <w:r>
        <w:rPr>
          <w:rFonts w:ascii="Times New Roman" w:hAnsi="Times New Roman"/>
          <w:color w:val="000000"/>
          <w:sz w:val="24"/>
        </w:rPr>
        <w:t>means, as to any Person, (i) any corporation 100% of whose capital stock is at the time owned by such Person and/or one or more Wholly Owned Subsidiaries of such Person and (ii) any partnership, limited liability company, association, or other similar non</w:t>
        <w:noBreakHyphen/>
        <w:t>corporate entity in which such Person and/or one or more Wholly Owned Subsidiaries of such Person has a 100% equity interest at such time (other than, in the case of the preceding clauses (i) and (ii), director’s qualifying shares and/or other nominal amount of shares required to be held by Persons other than the Borrower and its Subsidiaries under applicable law).</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Withdrawal Liability</w:t>
      </w:r>
      <w:r>
        <w:rPr>
          <w:rFonts w:ascii="Times New Roman" w:hAnsi="Times New Roman"/>
          <w:color w:val="000000"/>
          <w:sz w:val="20"/>
        </w:rPr>
        <w:t xml:space="preserve">” </w:t>
      </w:r>
      <w:r>
        <w:rPr>
          <w:rFonts w:ascii="Times New Roman" w:hAnsi="Times New Roman"/>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color w:val="000000"/>
          <w:sz w:val="24"/>
          <w:u w:val="single"/>
        </w:rPr>
        <w:t>Write</w:t>
        <w:noBreakHyphen/>
        <w:t>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w:t>
        <w:noBreakHyphen/>
        <w:t>down and conversion powers of such EEA Resolution Authority from time to time under the Bail</w:t>
        <w:noBreakHyphen/>
        <w:t>In Legislation for the applicable EEA Member Country, which write</w:t>
        <w:noBreakHyphen/>
        <w:t>down and conversion powers are described in the EU Bail</w:t>
        <w:noBreakHyphen/>
        <w:t>In Legislation Schedule, and (b) with respect to the United Kingdom, any powers of the applicable Resolution Authority under the Bail</w:t>
        <w:noBreakHyphen/>
        <w:t>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w:t>
        <w:noBreakHyphen/>
        <w:t>In Legislation that are related to or ancillary to any of those powers.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1.02 </w:t>
      </w:r>
      <w:r>
        <w:rPr>
          <w:rFonts w:ascii="Times New Roman" w:hAnsi="Times New Roman"/>
          <w:b w:val="false"/>
          <w:color w:val="000000"/>
          <w:sz w:val="24"/>
          <w:u w:val="single"/>
        </w:rPr>
        <w:t>Classification of Loans and Borrowings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this Agreement, Loans may be classified and referred to by Class (e.g., a “</w:t>
      </w:r>
      <w:r>
        <w:rPr>
          <w:rFonts w:ascii="Times New Roman" w:hAnsi="Times New Roman"/>
          <w:color w:val="000000"/>
          <w:sz w:val="24"/>
          <w:u w:val="single"/>
        </w:rPr>
        <w:t>Revolving Loan</w:t>
      </w:r>
      <w:r>
        <w:rPr>
          <w:rFonts w:ascii="Times New Roman" w:hAnsi="Times New Roman"/>
          <w:color w:val="000000"/>
          <w:sz w:val="20"/>
        </w:rPr>
        <w:t>”</w:t>
      </w:r>
      <w:r>
        <w:rPr>
          <w:rFonts w:ascii="Times New Roman" w:hAnsi="Times New Roman"/>
          <w:color w:val="000000"/>
          <w:sz w:val="24"/>
        </w:rPr>
        <w:t>) or by Type (e.g., a “</w:t>
      </w:r>
      <w:r>
        <w:rPr>
          <w:rFonts w:ascii="Times New Roman" w:hAnsi="Times New Roman"/>
          <w:color w:val="000000"/>
          <w:sz w:val="24"/>
          <w:u w:val="single"/>
        </w:rPr>
        <w:t>Term SOFR Loan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ABR Loan</w:t>
      </w:r>
      <w:r>
        <w:rPr>
          <w:rFonts w:ascii="Times New Roman" w:hAnsi="Times New Roman"/>
          <w:color w:val="000000"/>
          <w:sz w:val="20"/>
        </w:rPr>
        <w:t>”</w:t>
      </w:r>
      <w:r>
        <w:rPr>
          <w:rFonts w:ascii="Times New Roman" w:hAnsi="Times New Roman"/>
          <w:color w:val="000000"/>
          <w:sz w:val="24"/>
        </w:rPr>
        <w:t>) or by Class and Type (e.g., a “</w:t>
      </w:r>
      <w:r>
        <w:rPr>
          <w:rFonts w:ascii="Times New Roman" w:hAnsi="Times New Roman"/>
          <w:color w:val="000000"/>
          <w:sz w:val="24"/>
          <w:u w:val="single"/>
        </w:rPr>
        <w:t>Term SOFR Revolving Loan</w:t>
      </w:r>
      <w:r>
        <w:rPr>
          <w:rFonts w:ascii="Times New Roman" w:hAnsi="Times New Roman"/>
          <w:color w:val="000000"/>
          <w:sz w:val="20"/>
        </w:rPr>
        <w:t>”</w:t>
      </w:r>
      <w:r>
        <w:rPr>
          <w:rFonts w:ascii="Times New Roman" w:hAnsi="Times New Roman"/>
          <w:color w:val="000000"/>
          <w:sz w:val="24"/>
        </w:rPr>
        <w:t>). Borrowings also may be classified and referred to by Class (e.g., a “</w:t>
      </w:r>
      <w:r>
        <w:rPr>
          <w:rFonts w:ascii="Times New Roman" w:hAnsi="Times New Roman"/>
          <w:color w:val="000000"/>
          <w:sz w:val="24"/>
          <w:u w:val="single"/>
        </w:rPr>
        <w:t>Revolving Borrowing</w:t>
      </w:r>
      <w:r>
        <w:rPr>
          <w:rFonts w:ascii="Times New Roman" w:hAnsi="Times New Roman"/>
          <w:color w:val="000000"/>
          <w:sz w:val="20"/>
        </w:rPr>
        <w:t>”</w:t>
      </w:r>
      <w:r>
        <w:rPr>
          <w:rFonts w:ascii="Times New Roman" w:hAnsi="Times New Roman"/>
          <w:color w:val="000000"/>
          <w:sz w:val="24"/>
        </w:rPr>
        <w:t>) or by Type (e.g., a “</w:t>
      </w:r>
      <w:r>
        <w:rPr>
          <w:rFonts w:ascii="Times New Roman" w:hAnsi="Times New Roman"/>
          <w:color w:val="000000"/>
          <w:sz w:val="24"/>
          <w:u w:val="single"/>
        </w:rPr>
        <w:t>Term SOFR Borrowing</w:t>
      </w:r>
      <w:r>
        <w:rPr>
          <w:rFonts w:ascii="Times New Roman" w:hAnsi="Times New Roman"/>
          <w:color w:val="000000"/>
          <w:sz w:val="20"/>
        </w:rPr>
        <w:t>”</w:t>
      </w:r>
      <w:r>
        <w:rPr>
          <w:rFonts w:ascii="Times New Roman" w:hAnsi="Times New Roman"/>
          <w:color w:val="000000"/>
          <w:sz w:val="24"/>
        </w:rPr>
        <w:t>) or by Class and Type (e.g., a “</w:t>
      </w:r>
      <w:r>
        <w:rPr>
          <w:rFonts w:ascii="Times New Roman" w:hAnsi="Times New Roman"/>
          <w:color w:val="000000"/>
          <w:sz w:val="24"/>
          <w:u w:val="single"/>
        </w:rPr>
        <w:t>Term SOFR Revolving Borrowing</w:t>
      </w:r>
      <w:r>
        <w:rPr>
          <w:rFonts w:ascii="Times New Roman" w:hAnsi="Times New Roman"/>
          <w:color w:val="000000"/>
          <w:sz w:val="20"/>
        </w:rPr>
        <w:t>”</w:t>
      </w:r>
      <w:r>
        <w:rPr>
          <w:rFonts w:ascii="Times New Roman" w:hAnsi="Times New Roman"/>
          <w:color w:val="000000"/>
          <w:sz w:val="24"/>
        </w:rPr>
        <w:t>). Borrowings of Revolving Loans are sometimes referred to herein as “</w:t>
      </w:r>
      <w:r>
        <w:rPr>
          <w:rFonts w:ascii="Times New Roman" w:hAnsi="Times New Roman"/>
          <w:color w:val="000000"/>
          <w:sz w:val="24"/>
          <w:u w:val="single"/>
        </w:rPr>
        <w:t>Revolving Borrowings</w:t>
      </w:r>
      <w:r>
        <w:rPr>
          <w:rFonts w:ascii="Times New Roman" w:hAnsi="Times New Roman"/>
          <w:color w:val="000000"/>
          <w:sz w:val="20"/>
        </w:rPr>
        <w:t>”</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1.03 </w:t>
      </w:r>
      <w:r>
        <w:rPr>
          <w:rFonts w:ascii="Times New Roman" w:hAnsi="Times New Roman"/>
          <w:b w:val="false"/>
          <w:color w:val="000000"/>
          <w:sz w:val="24"/>
          <w:u w:val="single"/>
        </w:rPr>
        <w:t>Terms Generally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Organizational Document, agreement (including this Agreement and the other Loan Documents), instrument or other document herein shall be construed as referring to such Organizational Document,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Requirement of Law or any law statute,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treaty, rule, guideline, regulation, ordinance or code, shall, unless otherwise specified, refer to such Requirement of Law, law, statute, treaty, rule, guideline, regulation, ordinance or code as amended, modified or supplemented from time to time and shall include all statutory and regulatory provisions consolidating, amending, replacing, supplementing, interpreting or administering such Requirement of Law, law, statute, treaty, rule, guideline, regulation, ordinance or code.</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1.04 </w:t>
      </w:r>
      <w:r>
        <w:rPr>
          <w:rFonts w:ascii="Times New Roman" w:hAnsi="Times New Roman"/>
          <w:b w:val="false"/>
          <w:color w:val="000000"/>
          <w:sz w:val="24"/>
          <w:u w:val="single"/>
        </w:rPr>
        <w:t>Accounting Terms; GAAP</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prescribed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Notwithstanding anything in this Agreement to the contrary, for purposes of determining compliance with any test contained in this Agreement, the Total Net Leverage Ratio and the First Lien Net Leverage Ratio shall be calculated on a Pro Forma Basis to give effect to the Transaction and all Specified Transactions that have been made during the applicable period of measurement or subsequent to such period and prior to or simultaneously with the event for which the calculation is made.</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1.05 </w:t>
      </w:r>
      <w:r>
        <w:rPr>
          <w:rFonts w:ascii="Times New Roman" w:hAnsi="Times New Roman"/>
          <w:b w:val="false"/>
          <w:color w:val="000000"/>
          <w:sz w:val="24"/>
          <w:u w:val="single"/>
        </w:rPr>
        <w:t>Effectuation of Transactions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herein to Holdings, the Borrower and their respective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Effective Date, unless the context otherwise requires.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1.06 </w:t>
      </w:r>
      <w:r>
        <w:rPr>
          <w:rFonts w:ascii="Times New Roman" w:hAnsi="Times New Roman"/>
          <w:b w:val="false"/>
          <w:color w:val="000000"/>
          <w:sz w:val="24"/>
          <w:u w:val="single"/>
        </w:rPr>
        <w:t>[Reserved]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1.07 </w:t>
      </w:r>
      <w:r>
        <w:rPr>
          <w:rFonts w:ascii="Times New Roman" w:hAnsi="Times New Roman"/>
          <w:b w:val="false"/>
          <w:color w:val="000000"/>
          <w:sz w:val="24"/>
          <w:u w:val="single"/>
        </w:rPr>
        <w:t>Currency Equivalents Generally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as of any date with any covenant or incurrence test (other than </w:t>
      </w:r>
      <w:r>
        <w:rPr>
          <w:rFonts w:ascii="Times New Roman" w:hAnsi="Times New Roman"/>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and the calculation of compliance with any financial ratio for purposes of taking action hereunder) under any Loan Document or for purposes of making any determination under any Default or Event of Default hereunder or for any other specified purpose hereunder, amounts incurred or outstanding in currencies (other than Dollars) shall be translated into Dollars at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(the “</w:t>
      </w:r>
      <w:r>
        <w:rPr>
          <w:rFonts w:ascii="Times New Roman" w:hAnsi="Times New Roman"/>
          <w:color w:val="000000"/>
          <w:sz w:val="24"/>
          <w:u w:val="single"/>
        </w:rPr>
        <w:t>Exchange Rate</w:t>
      </w:r>
      <w:r>
        <w:rPr>
          <w:rFonts w:ascii="Times New Roman" w:hAnsi="Times New Roman"/>
          <w:color w:val="000000"/>
          <w:sz w:val="20"/>
        </w:rPr>
        <w:t>”</w:t>
      </w:r>
      <w:r>
        <w:rPr>
          <w:rFonts w:ascii="Times New Roman" w:hAnsi="Times New Roman"/>
          <w:color w:val="000000"/>
          <w:sz w:val="24"/>
        </w:rPr>
        <w:t xml:space="preserve">), as in effect at 11:00 a.m. (London time) on the date of such Specified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any Indebtedness or Liens are incurred to extend, replace, refund, refinance, renew or defease other Indebtedness or Liens denominated in currencies (other than Dollars)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amount of such refinancing Indebtedness does not exceed the principal amount of such Indebtedness being extended, replaced, refunded, refinanced, renewed or defeased, plus the amount of any premium paid, and fees and expenses incurred, in connection with such extension, replacement, refunding, refinancing, renewal or defeasance (including any fees and original issue discount incurred in respect of such resulting Indebtedness). No Default or Event of Default shall arise as a result of changes in currency exchange rates occurring after the time any Specified Transaction has been consummated so long as such Specified Transaction was permitted at the time incurred, made, acquired, committed, entered or declared as set forth above. For purposes of </w:t>
      </w:r>
      <w:r>
        <w:rPr>
          <w:rFonts w:ascii="Times New Roman" w:hAnsi="Times New Roman"/>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 xml:space="preserve">and the calculation of compliance with any financial ratio for purposes of taking any action hereunder (including for purposes of calculating compliance with the Incremental Cap), on any relevant date of determination, amounts denominated in currencies other than Dollars shall be translated into Dollars at the applicable currency exchange rate used in preparing the financial statements delivered pursuant to </w:t>
      </w:r>
      <w:r>
        <w:rPr>
          <w:rFonts w:ascii="Times New Roman" w:hAnsi="Times New Roman"/>
          <w:color w:val="000000"/>
          <w:sz w:val="24"/>
          <w:u w:val="single"/>
        </w:rPr>
        <w:t>Sections 5.01(a)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prior to the first such delivery, the financial statements referred to in </w:t>
      </w:r>
      <w:r>
        <w:rPr>
          <w:rFonts w:ascii="Times New Roman" w:hAnsi="Times New Roman"/>
          <w:color w:val="000000"/>
          <w:sz w:val="24"/>
          <w:u w:val="single"/>
        </w:rPr>
        <w:t>Section 4.01(h)</w:t>
      </w:r>
      <w:r>
        <w:rPr>
          <w:rFonts w:ascii="Times New Roman" w:hAnsi="Times New Roman"/>
          <w:color w:val="000000"/>
          <w:sz w:val="24"/>
        </w:rPr>
        <w:t xml:space="preserve">), as applicable, for the relevant Test Period and will, with respect to any Indebtedness, reflect the currency translation effects, determined in accordance with GAAP, of any Swap Agreement permitted hereunder in respect of currency exchange risks with respect to the applicable currency in effect on the date of determination for the Dollar equivalent amount of such Indebtedness. Any determinations as to the Dollar Equivalent of Revolving Loans or Letters of Credit denominated in an Alternative Currency, the amount of fees owing in respect of Letters of Credit denominated in an Alternative Currency and the amount of the LC Disbursement reimbursement owing to each Issuing Bank under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shall be made by the Administrative Agent as of the most recent Revaluation Date and such determination shall be conclusive absent manifest error. The Administrative Agent or any Issuing Bank, as applicable, shall use the Exchange Rate as of each Revaluation Date for the purpose of calculating Dollar Equivalent amounts of the Revolving Loans denominated in an Alternative Currency. Such Exchange Rates shall become effective as of such Revaluation Date and shall be the Exchange Rates employed in converting any amounts between the applicable currencies for such purposes until the next Revaluation Date to occur.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1.08 </w:t>
      </w:r>
      <w:r>
        <w:rPr>
          <w:rFonts w:ascii="Times New Roman" w:hAnsi="Times New Roman"/>
          <w:b w:val="false"/>
          <w:color w:val="000000"/>
          <w:sz w:val="24"/>
          <w:u w:val="single"/>
        </w:rPr>
        <w:t>Times of Day</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specified, all references herein to times of day shall be references to New York City time (daylight or standard, as applicable).</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1.09 </w:t>
      </w:r>
      <w:r>
        <w:rPr>
          <w:rFonts w:ascii="Times New Roman" w:hAnsi="Times New Roman"/>
          <w:b w:val="false"/>
          <w:color w:val="000000"/>
          <w:sz w:val="24"/>
          <w:u w:val="single"/>
        </w:rPr>
        <w:t>Timing of Payment or Performance</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expressly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1.10 </w:t>
      </w:r>
      <w:r>
        <w:rPr>
          <w:rFonts w:ascii="Times New Roman" w:hAnsi="Times New Roman"/>
          <w:b w:val="false"/>
          <w:color w:val="000000"/>
          <w:sz w:val="24"/>
          <w:u w:val="single"/>
        </w:rPr>
        <w:t>Certifications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certifications to be made hereunder by an officer or representative of a Loan Party shall be made by such a Person in his or her capacity solely as an officer or a representative of such Loan Party, on such Loan Party’s behalf and not in such Person’s individual capacity.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1.11 </w:t>
      </w:r>
      <w:r>
        <w:rPr>
          <w:rFonts w:ascii="Times New Roman" w:hAnsi="Times New Roman"/>
          <w:b w:val="false"/>
          <w:color w:val="000000"/>
          <w:sz w:val="24"/>
          <w:u w:val="single"/>
        </w:rPr>
        <w:t>Effect of Benchmark Transition Event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Benchmark Replacement</w:t>
      </w:r>
      <w:r>
        <w:rPr>
          <w:rFonts w:ascii="Times New Roman" w:hAnsi="Times New Roman"/>
          <w:color w:val="000000"/>
          <w:sz w:val="24"/>
        </w:rPr>
        <w:t>. Notwithstanding anything to the contrary herein or in any other Loan Document (and any Derivative Transaction shall be deemed not to be a “</w:t>
      </w:r>
      <w:r>
        <w:rPr>
          <w:rFonts w:ascii="Times New Roman" w:hAnsi="Times New Roman"/>
          <w:color w:val="000000"/>
          <w:sz w:val="24"/>
          <w:u w:val="single"/>
        </w:rPr>
        <w:t>Loan Document</w:t>
      </w:r>
      <w:r>
        <w:rPr>
          <w:rFonts w:ascii="Times New Roman" w:hAnsi="Times New Roman"/>
          <w:color w:val="000000"/>
          <w:sz w:val="20"/>
        </w:rPr>
        <w:t xml:space="preserve">” </w:t>
      </w:r>
      <w:r>
        <w:rPr>
          <w:rFonts w:ascii="Times New Roman" w:hAnsi="Times New Roman"/>
          <w:color w:val="000000"/>
          <w:sz w:val="24"/>
        </w:rPr>
        <w:t xml:space="preserve">for purposes of this </w:t>
      </w:r>
      <w:r>
        <w:rPr>
          <w:rFonts w:ascii="Times New Roman" w:hAnsi="Times New Roman"/>
          <w:color w:val="000000"/>
          <w:sz w:val="24"/>
          <w:u w:val="single"/>
        </w:rPr>
        <w:t>Section 1.11</w:t>
      </w:r>
      <w:r>
        <w:rPr>
          <w:rFonts w:ascii="Times New Roman" w:hAnsi="Times New Roman"/>
          <w:color w:val="000000"/>
          <w:sz w:val="24"/>
        </w:rPr>
        <w:t>), if a Benchmark Transition Event and its related Benchmark Replacement Date have occurred prior to the Reference Time in respect of any setting of the then</w:t>
        <w:noBreakHyphen/>
        <w:t>current Benchmark, then (i)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(ii)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on which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any outstanding Class.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Benchmark Replacement Conforming Changes</w:t>
      </w:r>
      <w:r>
        <w:rPr>
          <w:rFonts w:ascii="Times New Roman" w:hAnsi="Times New Roman"/>
          <w:color w:val="000000"/>
          <w:sz w:val="24"/>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 implementing such Benchmark Replacement Conforming Changes will become effective without any further action or consent of any other party to this Agreement or any other Loan Document other than the consent of the Borrower in accordance with the definition of “Benchmark Replacement Conforming Changes”.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 (iv) the removal or reinstatement of any tenor of a Benchmark pursuant to clause (d) below and (v) the commencement or conclusion of any Benchmark Unavailability Period. Any determination, decision or election that may be made by the Administrative Agent and/or the Borrower, as applicable,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4"/>
          <w:u w:val="single"/>
        </w:rPr>
        <w:t>Section 1.11</w:t>
      </w:r>
      <w:r>
        <w:rPr>
          <w:rFonts w:ascii="Times New Roman" w:hAnsi="Times New Roman"/>
          <w:color w:val="000000"/>
          <w:sz w:val="20"/>
        </w:rPr>
        <w:t xml:space="preserve"> </w:t>
      </w:r>
      <w:r>
        <w:rPr>
          <w:rFonts w:ascii="Times New Roman" w:hAnsi="Times New Roman"/>
          <w:color w:val="000000"/>
          <w:sz w:val="24"/>
        </w:rPr>
        <w:t>and/or any component definition used herein.</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Unavailability of Tenor of Benchmark</w:t>
      </w:r>
      <w:r>
        <w:rPr>
          <w:rFonts w:ascii="Times New Roman" w:hAnsi="Times New Roman"/>
          <w:color w:val="000000"/>
          <w:sz w:val="24"/>
        </w:rPr>
        <w:t>. Notwithstanding anything to the contrary herein or in any other Loan Document, at any time (including in connection with the implementation of a Benchmark Replacement), (i) if the then</w:t>
        <w:noBreakHyphen/>
        <w:t>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and the Borrower may modify the definition of “Interest Period” for any Benchmark setting at or after such time to remove such unavailable or non</w:t>
        <w:noBreakHyphen/>
        <w:t>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Benchmark Unavailability Period</w:t>
      </w:r>
      <w:r>
        <w:rPr>
          <w:rFonts w:ascii="Times New Roman" w:hAnsi="Times New Roman"/>
          <w:color w:val="000000"/>
          <w:sz w:val="24"/>
        </w:rPr>
        <w:t>. Upon the Borrower’s receipt of notice of the commencement of a Benchmark Unavailability Period, the Borrower may revoke any request for a Term SOFR Borrowing, Term CORRA Borrowing, RFR Borrowing or EURIBOR Borrowing of, conversion to or continuation of SOFR Loans, Term CORRA Loans, RFR Loans or EURIBOR Loans to be made, converted or continued during any Benchmark Unavailability Period and, failing that, the Borrower will be deemed to have converted any such request into a request for a Borrowing of or conversion to ABR Loans (or, in the case of Term CORRA Loans, Canadian Prime Rate Loans).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Interest Rate</w:t>
      </w:r>
      <w:r>
        <w:rPr>
          <w:rFonts w:ascii="Times New Roman" w:hAnsi="Times New Roman"/>
          <w:color w:val="000000"/>
          <w:sz w:val="24"/>
        </w:rPr>
        <w:t xml:space="preserve">. The Administrative Agent does not warrant or accept responsibility for, and shall not have any liability with respect to the continuation of, administration of, submission of, calculation of or any other matter related to the Alternate Base Rate (to the extent determined in reference to Term SOFR Rate), Term SOFR Reference Rate, Term SOFR Rate or Term SOFR, or any component definition thereof or rates referred to in the definitions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Term SOFR Rate, Term SOFR or any other Benchmark prior to its discontinuance or unavailability; it being understood and agreed that this </w:t>
      </w:r>
      <w:r>
        <w:rPr>
          <w:rFonts w:ascii="Times New Roman" w:hAnsi="Times New Roman"/>
          <w:color w:val="000000"/>
          <w:sz w:val="24"/>
          <w:u w:val="single"/>
        </w:rPr>
        <w:t>Section 1.11(f)</w:t>
      </w:r>
      <w:r>
        <w:rPr>
          <w:rFonts w:ascii="Times New Roman" w:hAnsi="Times New Roman"/>
          <w:color w:val="000000"/>
          <w:sz w:val="20"/>
        </w:rPr>
        <w:t xml:space="preserve"> </w:t>
      </w:r>
      <w:r>
        <w:rPr>
          <w:rFonts w:ascii="Times New Roman" w:hAnsi="Times New Roman"/>
          <w:color w:val="000000"/>
          <w:sz w:val="24"/>
        </w:rPr>
        <w:t>shall not impair or otherwise limit the express provisions of this Agreement. The Administrative Agent may select information sources or services in its reasonable discretion to ascertain the Term SOFR Reference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 and whether at law or in equity), for any error in the calculation of any such rate (or component thereof) by any such reasonably selected information source or service.</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1.12 </w:t>
      </w:r>
      <w:r>
        <w:rPr>
          <w:rFonts w:ascii="Times New Roman" w:hAnsi="Times New Roman"/>
          <w:b w:val="false"/>
          <w:color w:val="000000"/>
          <w:sz w:val="24"/>
          <w:u w:val="single"/>
        </w:rPr>
        <w:t>Compliance with Certain Sections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limiting the reclassification rights described in any Section of </w:t>
      </w:r>
      <w:r>
        <w:rPr>
          <w:rFonts w:ascii="Times New Roman" w:hAnsi="Times New Roman"/>
          <w:color w:val="000000"/>
          <w:sz w:val="24"/>
          <w:u w:val="single"/>
        </w:rPr>
        <w:t>Article VI</w:t>
      </w:r>
      <w:r>
        <w:rPr>
          <w:rFonts w:ascii="Times New Roman" w:hAnsi="Times New Roman"/>
          <w:color w:val="000000"/>
          <w:sz w:val="24"/>
        </w:rPr>
        <w:t xml:space="preserve">, for purposes of determining compliance with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6.11</w:t>
      </w:r>
      <w:r>
        <w:rPr>
          <w:rFonts w:ascii="Times New Roman" w:hAnsi="Times New Roman"/>
          <w:color w:val="000000"/>
          <w:sz w:val="24"/>
        </w:rPr>
        <w:t xml:space="preserve">), in the event that any Lien, Investment, Indebtedness (whether at the time of incurrence or upon application of all or a portion of the proceeds thereof), Disposition, Affiliate transaction, restrictive agreement, or prepayment of Indebtedness meets the criteria of one, or more than one, of the “baskets” or categories of transactions of the same covenant then permitted pursuant to any clause or subsection of such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Sections 6.01(a)(i)</w:t>
      </w:r>
      <w:r>
        <w:rPr>
          <w:rFonts w:ascii="Times New Roman" w:hAnsi="Times New Roman"/>
          <w:color w:val="000000"/>
          <w:sz w:val="24"/>
        </w:rPr>
        <w:t xml:space="preserve">, </w:t>
      </w:r>
      <w:r>
        <w:rPr>
          <w:rFonts w:ascii="Times New Roman" w:hAnsi="Times New Roman"/>
          <w:color w:val="000000"/>
          <w:sz w:val="24"/>
          <w:u w:val="single"/>
        </w:rPr>
        <w:t>6.01(a)(xxxv)</w:t>
      </w:r>
      <w:r>
        <w:rPr>
          <w:rFonts w:ascii="Times New Roman" w:hAnsi="Times New Roman"/>
          <w:color w:val="000000"/>
          <w:sz w:val="24"/>
        </w:rPr>
        <w:t xml:space="preserve">, </w:t>
      </w:r>
      <w:r>
        <w:rPr>
          <w:rFonts w:ascii="Times New Roman" w:hAnsi="Times New Roman"/>
          <w:color w:val="000000"/>
          <w:sz w:val="24"/>
          <w:u w:val="single"/>
        </w:rPr>
        <w:t>6.02(i)</w:t>
      </w:r>
      <w:r>
        <w:rPr>
          <w:rFonts w:ascii="Times New Roman" w:hAnsi="Times New Roman"/>
          <w:color w:val="000000"/>
          <w:sz w:val="24"/>
        </w:rPr>
        <w:t xml:space="preserve">, </w:t>
      </w:r>
      <w:r>
        <w:rPr>
          <w:rFonts w:ascii="Times New Roman" w:hAnsi="Times New Roman"/>
          <w:color w:val="000000"/>
          <w:sz w:val="24"/>
          <w:u w:val="single"/>
        </w:rPr>
        <w:t>6.02(xix)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6.07(a)(xix</w:t>
      </w:r>
      <w:r>
        <w:rPr>
          <w:rFonts w:ascii="Times New Roman" w:hAnsi="Times New Roman"/>
          <w:color w:val="000000"/>
          <w:sz w:val="24"/>
        </w:rPr>
        <w:t>)), such transaction (or portion thereof) at any time shall be permitted under one or more of such clauses at the time of such transaction or any later time from time to time, in each case, as determined by the Borrower in its sole discretion at such time and thereafter may be reclassified by the Borrower in any manner not expressly prohibited by this Agreement.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1.13 </w:t>
      </w:r>
      <w:r>
        <w:rPr>
          <w:rFonts w:ascii="Times New Roman" w:hAnsi="Times New Roman"/>
          <w:b w:val="false"/>
          <w:color w:val="000000"/>
          <w:sz w:val="24"/>
          <w:u w:val="single"/>
        </w:rPr>
        <w:t>Divisions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II</w:t>
      </w:r>
      <w:r>
        <w:rPr>
          <w:rFonts w:ascii="Times New Roman" w:hAnsi="Times New Roman"/>
          <w:b w:val="false"/>
          <w:caps/>
          <w:color w:val="000000"/>
          <w:sz w:val="24"/>
          <w:u w:val="single"/>
        </w:rPr>
        <w:br/>
        <w:t>THE CREDITS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2.01 </w:t>
      </w:r>
      <w:r>
        <w:rPr>
          <w:rFonts w:ascii="Times New Roman" w:hAnsi="Times New Roman"/>
          <w:b w:val="false"/>
          <w:color w:val="000000"/>
          <w:sz w:val="24"/>
          <w:u w:val="single"/>
        </w:rPr>
        <w:t>Commitments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terms and conditions set forth herein,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2.02 </w:t>
      </w:r>
      <w:r>
        <w:rPr>
          <w:rFonts w:ascii="Times New Roman" w:hAnsi="Times New Roman"/>
          <w:b w:val="false"/>
          <w:color w:val="000000"/>
          <w:sz w:val="24"/>
          <w:u w:val="single"/>
        </w:rPr>
        <w:t>Loans and Borrowings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(i) Loan shall be made as part of a Borrowing consisting of Loans of the same Class and Type made by the Lenders ratably in accordance with their respective Commitments of the applicable Class and (ii) Revolving Loans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 w:hAnsi="Times New Roman"/>
          <w:color w:val="000000"/>
          <w:sz w:val="24"/>
          <w:u w:val="single"/>
        </w:rPr>
        <w:t xml:space="preserve">provided </w:t>
      </w:r>
      <w:r>
        <w:rPr>
          <w:rFonts w:ascii="Times New Roman" w:hAnsi="Times New Roman"/>
          <w:color w:val="000000"/>
          <w:sz w:val="24"/>
        </w:rPr>
        <w:t>that the Commitments of the Lenders are several and other than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expressly provided herein with respect to a Defaulting Lender, no Lender shall be responsible for any other Lender’s failure to make Loans as required 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Revolving Loans may be ABR Loans, Term SOFR Loans, Term CORRA Loans, RFR Loans or EURIBOR Loans. Each Lender at its option may make any Loan by causing any domestic or foreign branch or Affiliate of such Lender to make such Loan; </w:t>
      </w:r>
      <w:r>
        <w:rPr>
          <w:rFonts w:ascii="Times New Roman" w:hAnsi="Times New Roman"/>
          <w:color w:val="000000"/>
          <w:sz w:val="24"/>
          <w:u w:val="single"/>
        </w:rPr>
        <w:t xml:space="preserve">provided </w:t>
      </w:r>
      <w:r>
        <w:rPr>
          <w:rFonts w:ascii="Times New Roman" w:hAnsi="Times New Roman"/>
          <w:color w:val="000000"/>
          <w:sz w:val="24"/>
        </w:rPr>
        <w:t>that any exercise of such option shall not affect the obligation of the Borrower to repay such Loan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At the commencement of each Interest Period for any Borrowing (other than an ABR Borrowing), such Borrowing shall be in an aggregate amount that is an integral multiple of the Borrowing Multiple and not less than the Borrowing Minimum; </w:t>
      </w:r>
      <w:r>
        <w:rPr>
          <w:rFonts w:ascii="Times New Roman" w:hAnsi="Times New Roman"/>
          <w:color w:val="000000"/>
          <w:sz w:val="24"/>
          <w:u w:val="single"/>
        </w:rPr>
        <w:t xml:space="preserve">provided </w:t>
      </w:r>
      <w:r>
        <w:rPr>
          <w:rFonts w:ascii="Times New Roman" w:hAnsi="Times New Roman"/>
          <w:color w:val="000000"/>
          <w:sz w:val="24"/>
        </w:rPr>
        <w:t xml:space="preserve">that a Borrowing (other than an ABR Borrowing) that results from a continuation of one or more outstanding Term SOFR Borrowings, Term CORRA Borrowings, RFR Borrowings or EURIBOR Borrowings may be in an aggregate amount that is equal to such outstanding Borrowings. At the time that each ABR Borrowing is made, such Borrowing shall be in an aggregate amount that is an integral multiple of the Borrowing Multiple and not less than the Borrowing Minimum. Borrowings of more than one Type and Class may be outstanding at the same time. Notwithstanding anything to the contrary herein, a Revolving Borrowing of the applicable Class may be in an aggregate amount equal to the entire unused balance of the aggregate Revolving Commitments of such Class or that is required to finance the reimbursement of an LC Disbursement as contemplated by </w:t>
      </w:r>
      <w:r>
        <w:rPr>
          <w:rFonts w:ascii="Times New Roman" w:hAnsi="Times New Roman"/>
          <w:color w:val="000000"/>
          <w:sz w:val="24"/>
          <w:u w:val="single"/>
        </w:rPr>
        <w:t>Section 2.05(f)</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2.03 </w:t>
      </w:r>
      <w:r>
        <w:rPr>
          <w:rFonts w:ascii="Times New Roman" w:hAnsi="Times New Roman"/>
          <w:b w:val="false"/>
          <w:color w:val="000000"/>
          <w:sz w:val="24"/>
          <w:u w:val="single"/>
        </w:rPr>
        <w:t>Requests for Borrowings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request a Revolving Borrowing, the Borrower shall notify the Administrative Agent of such request by email or facsimile to the Administrative Agent of a written Borrowing Request signed by the Borrower substantially in the form of </w:t>
      </w:r>
      <w:r>
        <w:rPr>
          <w:rFonts w:ascii="Times New Roman" w:hAnsi="Times New Roman"/>
          <w:color w:val="000000"/>
          <w:sz w:val="24"/>
          <w:u w:val="single"/>
        </w:rPr>
        <w:t>Exhibit C</w:t>
        <w:noBreakHyphen/>
        <w:t>1</w:t>
      </w:r>
      <w:r>
        <w:rPr>
          <w:rFonts w:ascii="Times New Roman" w:hAnsi="Times New Roman"/>
          <w:color w:val="000000"/>
          <w:sz w:val="20"/>
        </w:rPr>
        <w:t xml:space="preserve"> </w:t>
      </w:r>
      <w:r>
        <w:rPr>
          <w:rFonts w:ascii="Times New Roman" w:hAnsi="Times New Roman"/>
          <w:color w:val="000000"/>
          <w:sz w:val="24"/>
        </w:rPr>
        <w:t>(a) in the case of a Term SOFR Borrowing, Term CORRA Borrowing, RFR Borrowing or EURIBOR Borrowing, not later than 12:00 p.m. (New York City time) three (3) Business Days before the date of the proposed Borrowing (or, in the case of any Term SOFR Borrowing to be made on the Effective Date, the same Business Day) or (b) in the case of an ABR Borrowing, not later than 12:00 p.m. (New York City time) one (1) Business Day prior to the date of the proposed Borrowing, or, in each case, such later time as is acceptable to the Administrative Agent. Each such written Borrowing Request shall specify the following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Class of the requested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aggregate amount and currency of such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date of such Borrowing, which shall be a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whether such Borrowing is to be an ABR Borrowing, a Term SOFR Borrowing, a Term CORRA Borrowing, an RFR Borrowing or a EURIBOR Borrowing;</w:t>
      </w:r>
    </w:p>
    <w:p>
      <w:pPr>
        <w:pStyle w:val="TextBody"/>
        <w:bidi w:val="0"/>
        <w:spacing w:before="0" w:after="240"/>
        <w:jc w:val="both"/>
        <w:rPr>
          <w:rFonts w:ascii="Times New Roman" w:hAnsi="Times New Roman"/>
          <w:sz w:val="20"/>
        </w:rPr>
      </w:pPr>
      <w:r>
        <w:rPr>
          <w:rFonts w:ascii="Times New Roman" w:hAnsi="Times New Roman"/>
          <w:color w:val="000000"/>
          <w:sz w:val="24"/>
        </w:rPr>
        <w:t>(v) in the case of a Term SOFR Borrowing, a Term CORRA Borrowings, an RFR Borrowing or a EURIBOR Borrowing, the initial Interest Period to be applicable thereto, which shall be a period contemplated by the definition of “Interest Period”;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the location and number of the Borrower’s account or accounts to which funds are to be disbursed.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no election as to the Type of Borrowing is specified as to any requested Borrowing in Dollars, then the requested Borrowing shall be an ABR Borrowing. If no Interest Period is specified with respect to any requested Borrowing (other than an ABR Borrowing), then the Borrower shall be deemed to have selected an Interest Period of one (1) month’s duration. If no currency for a Revolving Borrowing is specified, the requested Borrowing shall be in Dollars. Promptly following receipt of a Borrowing Request in accordance with this </w:t>
      </w:r>
      <w:r>
        <w:rPr>
          <w:rFonts w:ascii="Times New Roman" w:hAnsi="Times New Roman"/>
          <w:color w:val="000000"/>
          <w:sz w:val="24"/>
          <w:u w:val="single"/>
        </w:rPr>
        <w:t>Section 2.03</w:t>
      </w:r>
      <w:r>
        <w:rPr>
          <w:rFonts w:ascii="Times New Roman" w:hAnsi="Times New Roman"/>
          <w:color w:val="000000"/>
          <w:sz w:val="24"/>
        </w:rPr>
        <w:t>, the Administrative Agent shall advise each Lender of the applicable Class of the details thereof and of the amount of such Lender’s Loan to be made as part of the requested Borrowing.</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2.04 </w:t>
      </w:r>
      <w:r>
        <w:rPr>
          <w:rFonts w:ascii="Times New Roman" w:hAnsi="Times New Roman"/>
          <w:b w:val="false"/>
          <w:color w:val="000000"/>
          <w:sz w:val="24"/>
          <w:u w:val="single"/>
        </w:rPr>
        <w:t>Swing Line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The Swing Line</w:t>
      </w:r>
      <w:r>
        <w:rPr>
          <w:rFonts w:ascii="Times New Roman" w:hAnsi="Times New Roman"/>
          <w:color w:val="000000"/>
          <w:sz w:val="24"/>
        </w:rPr>
        <w:t>. Subject to the terms and conditions set forth herein, the Swing Line Lender agrees to make loans in Dollars to the Borrower (each such loan, a “</w:t>
      </w:r>
      <w:r>
        <w:rPr>
          <w:rFonts w:ascii="Times New Roman" w:hAnsi="Times New Roman"/>
          <w:color w:val="000000"/>
          <w:sz w:val="24"/>
          <w:u w:val="single"/>
        </w:rPr>
        <w:t>Swing Line Loan</w:t>
      </w:r>
      <w:r>
        <w:rPr>
          <w:rFonts w:ascii="Times New Roman" w:hAnsi="Times New Roman"/>
          <w:color w:val="000000"/>
          <w:sz w:val="20"/>
        </w:rPr>
        <w:t>”</w:t>
      </w:r>
      <w:r>
        <w:rPr>
          <w:rFonts w:ascii="Times New Roman" w:hAnsi="Times New Roman"/>
          <w:color w:val="000000"/>
          <w:sz w:val="24"/>
        </w:rPr>
        <w:t xml:space="preserve">), from time to time on any Business Day during the Revolving Availability Period in an aggregate amount not to exceed at any time outstanding the amount of the Swing Line Sublimit, notwithstanding the fact that such Swing Line Loans, when aggregated with the Applicable Percentage or other applicable share provided for under this Agreement of the Outstanding Amount of Revolving Loans and LC Exposure of the Revolving Lender acting as Swing Line Lender, may exceed the amount of such Swing Line Lender’s Revolving Commitment; </w:t>
      </w:r>
      <w:r>
        <w:rPr>
          <w:rFonts w:ascii="Times New Roman" w:hAnsi="Times New Roman"/>
          <w:color w:val="000000"/>
          <w:sz w:val="24"/>
          <w:u w:val="single"/>
        </w:rPr>
        <w:t>provided</w:t>
      </w:r>
      <w:r>
        <w:rPr>
          <w:rFonts w:ascii="Times New Roman" w:hAnsi="Times New Roman"/>
          <w:color w:val="000000"/>
          <w:sz w:val="20"/>
          <w:u w:val="single"/>
        </w:rPr>
        <w:t xml:space="preserve"> </w:t>
      </w:r>
      <w:r>
        <w:rPr>
          <w:rFonts w:ascii="Times New Roman" w:hAnsi="Times New Roman"/>
          <w:color w:val="000000"/>
          <w:sz w:val="24"/>
        </w:rPr>
        <w:t xml:space="preserve">that, after giving effect to any Swing Line Loan, (i) the aggregate Revolving Exposures shall not exceed the aggregate Revolving Commitment, then in effect and (ii) the aggregate principal amount of all Swing Line Loans outstanding shall not exceed the Swing Line Sublimit;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the Borrower shall not use the proceeds of any Swing Line Loan to refinance any outstanding Swing Line Loan. Within the foregoing limits, and subject to the other terms and conditions hereof, the Borrower may borrow under this </w:t>
      </w:r>
      <w:r>
        <w:rPr>
          <w:rFonts w:ascii="Times New Roman" w:hAnsi="Times New Roman"/>
          <w:color w:val="000000"/>
          <w:sz w:val="24"/>
          <w:u w:val="single"/>
        </w:rPr>
        <w:t>Section 2.04</w:t>
      </w:r>
      <w:r>
        <w:rPr>
          <w:rFonts w:ascii="Times New Roman" w:hAnsi="Times New Roman"/>
          <w:color w:val="000000"/>
          <w:sz w:val="24"/>
        </w:rPr>
        <w:t xml:space="preserve">, prepay under </w:t>
      </w:r>
      <w:r>
        <w:rPr>
          <w:rFonts w:ascii="Times New Roman" w:hAnsi="Times New Roman"/>
          <w:color w:val="000000"/>
          <w:sz w:val="24"/>
          <w:u w:val="single"/>
        </w:rPr>
        <w:t>Section 2.11</w:t>
      </w:r>
      <w:r>
        <w:rPr>
          <w:rFonts w:ascii="Times New Roman" w:hAnsi="Times New Roman"/>
          <w:color w:val="000000"/>
          <w:sz w:val="24"/>
        </w:rPr>
        <w:t>, and re</w:t>
        <w:noBreakHyphen/>
        <w:t xml:space="preserve">borrow under this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without premium or penalty. Each Swing Line Loan shall be an ABR Loan.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Percentage or other applicable share provided for under this Agreement times the amount of such Swing Line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Borrowing Procedures</w:t>
      </w:r>
      <w:r>
        <w:rPr>
          <w:rFonts w:ascii="Times New Roman" w:hAnsi="Times New Roman"/>
          <w:color w:val="000000"/>
          <w:sz w:val="24"/>
        </w:rPr>
        <w:t>. Each Swing Line Borrowing shall be made upon the Borrower’s delivery to the relevant Swing Line Lender and the Administrative Agent of a Swing Line Loan Notice, appropriately completed and signed by a Responsible Officer of the Borrower. Each such notice must be received by the Swing Line Lender and the Administrative Agent not later than 12:00 p.m. (New York City time) on the requested borrowing date (or such later time as is acceptable to the Administrative Agent) and shall specify (i) the amount to be borrowed, which shall be a minimum of $250,000 (and any amount in excess of $250,000 shall be an integral multiple of $100,000) and (ii) the requested borrowing date, which shall be a Business Day. Promptly after receipt by the Swing Line Lender of any Swing Line Loan Notice, Swing Line Lender will confirm with the Administrative Agent in writing that the Administrative Agent has also received such Swing Line Loan Notice and, if not, the Swing Line Lender will notify the Administrative Agent in writing of the contents thereof. Unless the Swing Line Lender has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received a written notice from the Administrative Agent (including at the request of any Revolving Lender) prior to 2:00 p.m. (New York City time) on the date of the proposed Swing Line Borrowing (A) directing the Swing Line Lender not to make such Swing Line Loan as a result of the limitations set forth in the first proviso to the first sentence of </w:t>
      </w:r>
      <w:r>
        <w:rPr>
          <w:rFonts w:ascii="Times New Roman" w:hAnsi="Times New Roman"/>
          <w:color w:val="000000"/>
          <w:sz w:val="24"/>
          <w:u w:val="single"/>
        </w:rPr>
        <w:t>Section 2.04(a)</w:t>
      </w:r>
      <w:r>
        <w:rPr>
          <w:rFonts w:ascii="Times New Roman" w:hAnsi="Times New Roman"/>
          <w:color w:val="000000"/>
          <w:sz w:val="24"/>
        </w:rPr>
        <w:t xml:space="preserve">, or (B) that one or more of the applicable conditions specified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is not then satisfied or waived, then, subject to the terms and conditions hereof, the Swing Line Lender will, not later than 5:00 p.m. (New York City time) on the borrowing date specified in such Swing Line Loan Notice, make the amount of its Swing Line Loan available to the Borrower. Notwithstanding anything to the contrary contained in this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 xml:space="preserve">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Defaulting Lender Fronting Exposure (solely after giving effect to </w:t>
      </w:r>
      <w:r>
        <w:rPr>
          <w:rFonts w:ascii="Times New Roman" w:hAnsi="Times New Roman"/>
          <w:color w:val="000000"/>
          <w:sz w:val="24"/>
          <w:u w:val="single"/>
        </w:rPr>
        <w:t>Section 2.22(a)(iv)</w:t>
      </w:r>
      <w:r>
        <w:rPr>
          <w:rFonts w:ascii="Times New Roman" w:hAnsi="Times New Roman"/>
          <w:color w:val="000000"/>
          <w:sz w:val="24"/>
        </w:rPr>
        <w:t>)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Applicable Percentage of the outstanding Swing Line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Refinancing of Swing Line Loans</w:t>
      </w:r>
      <w:r>
        <w:rPr>
          <w:rFonts w:ascii="Times New Roman" w:hAnsi="Times New Roman"/>
          <w:color w:val="000000"/>
          <w:sz w:val="24"/>
        </w:rPr>
        <w:t xml:space="preserve">. (i) The Swing Line Lender at any time in its sole and absolute discretion may request, on behalf of the Borrower (which hereby irrevocably authorizes the Swing Line Lender to so request on its behalf), that each Revolving Lender make a ABR Loan in an amount equal to such Revolving Lender’s Applicable Percentage or other applicable share provided for under this Agreement of the aggregate principal amount of Swing Line Loans of the Borrower then outstanding. Such request shall be made in writing and delivered prior to 11:00 a.m. (New York City time) on the date of the proposed refinancing to the Administrative Agent and Revolving Lenders (which written request shall be deemed to be a Borrowing Request for purposes hereof) and in accordance with the requirements of </w:t>
      </w:r>
      <w:r>
        <w:rPr>
          <w:rFonts w:ascii="Times New Roman" w:hAnsi="Times New Roman"/>
          <w:color w:val="000000"/>
          <w:sz w:val="24"/>
          <w:u w:val="single"/>
        </w:rPr>
        <w:t>Section 2.02</w:t>
      </w:r>
      <w:r>
        <w:rPr>
          <w:rFonts w:ascii="Times New Roman" w:hAnsi="Times New Roman"/>
          <w:color w:val="000000"/>
          <w:sz w:val="24"/>
        </w:rPr>
        <w:t xml:space="preserve">, without regard to the minimum and multiples specified therein for the principal amount of ABR Loans, but subject to the unutilized portion of the aggregate Revolving Commitments and the conditions set forth in </w:t>
      </w:r>
      <w:r>
        <w:rPr>
          <w:rFonts w:ascii="Times New Roman" w:hAnsi="Times New Roman"/>
          <w:color w:val="000000"/>
          <w:sz w:val="24"/>
          <w:u w:val="single"/>
        </w:rPr>
        <w:t>Section 4.02</w:t>
      </w:r>
      <w:r>
        <w:rPr>
          <w:rFonts w:ascii="Times New Roman" w:hAnsi="Times New Roman"/>
          <w:color w:val="000000"/>
          <w:sz w:val="24"/>
        </w:rPr>
        <w:t xml:space="preserve">. The Swing Line Lender shall furnish the Borrower with a copy of the applicable Borrowing Request promptly after delivering such notice to the Administrative Agent. Each Revolving Lender shall make an amount equal to its Applicable Percentage or other applicable share provided for under this Agreement of the amount specified in such Borrowing Request available to the Administrative Agent in same day funds for the account of the Swing Line Lender at the Administrative Agent’s Office not later than 1:00 p.m. (New York City time) on the day specified in such Borrowing Request, whereupon, subject to </w:t>
      </w:r>
      <w:r>
        <w:rPr>
          <w:rFonts w:ascii="Times New Roman" w:hAnsi="Times New Roman"/>
          <w:color w:val="000000"/>
          <w:sz w:val="24"/>
          <w:u w:val="single"/>
        </w:rPr>
        <w:t>Section 2.04(c)(ii)</w:t>
      </w:r>
      <w:r>
        <w:rPr>
          <w:rFonts w:ascii="Times New Roman" w:hAnsi="Times New Roman"/>
          <w:color w:val="000000"/>
          <w:sz w:val="24"/>
        </w:rPr>
        <w:t>, each Revolving Lender that so makes funds available shall be deemed to have made a ABR Loan, as applicable, to the Borrower in such amount. The Administrative Agent shall remit the funds so received to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for any reason any Swing Line Loan cannot be refinanced by such a Revolving Borrowing in accordance with </w:t>
      </w:r>
      <w:r>
        <w:rPr>
          <w:rFonts w:ascii="Times New Roman" w:hAnsi="Times New Roman"/>
          <w:color w:val="000000"/>
          <w:sz w:val="24"/>
          <w:u w:val="single"/>
        </w:rPr>
        <w:t>Section 2.04(c)(i)</w:t>
      </w:r>
      <w:r>
        <w:rPr>
          <w:rFonts w:ascii="Times New Roman" w:hAnsi="Times New Roman"/>
          <w:color w:val="000000"/>
          <w:sz w:val="24"/>
        </w:rPr>
        <w:t xml:space="preserve">, the request for ABR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 w:hAnsi="Times New Roman"/>
          <w:color w:val="000000"/>
          <w:sz w:val="24"/>
          <w:u w:val="single"/>
        </w:rPr>
        <w:t>Section 2.04(c)(i)</w:t>
      </w:r>
      <w:r>
        <w:rPr>
          <w:rFonts w:ascii="Times New Roman" w:hAnsi="Times New Roman"/>
          <w:color w:val="000000"/>
          <w:sz w:val="20"/>
        </w:rPr>
        <w:t xml:space="preserve"> </w:t>
      </w:r>
      <w:r>
        <w:rPr>
          <w:rFonts w:ascii="Times New Roman" w:hAnsi="Times New Roman"/>
          <w:color w:val="000000"/>
          <w:sz w:val="24"/>
        </w:rPr>
        <w:t>shall be deemed payment in respect of such participation.</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any Revolving Lender fails to make available to the Administrative Agent for the account of the Swing Line Lender any amount required to be paid by the Revolving Lender pursuant to the foregoing provisions of this </w:t>
      </w:r>
      <w:r>
        <w:rPr>
          <w:rFonts w:ascii="Times New Roman" w:hAnsi="Times New Roman"/>
          <w:color w:val="000000"/>
          <w:sz w:val="24"/>
          <w:u w:val="single"/>
        </w:rPr>
        <w:t>Section 2.04(c)</w:t>
      </w:r>
      <w:r>
        <w:rPr>
          <w:rFonts w:ascii="Times New Roman" w:hAnsi="Times New Roman"/>
          <w:color w:val="000000"/>
          <w:sz w:val="20"/>
        </w:rPr>
        <w:t xml:space="preserve"> </w:t>
      </w:r>
      <w:r>
        <w:rPr>
          <w:rFonts w:ascii="Times New Roman" w:hAnsi="Times New Roman"/>
          <w:color w:val="000000"/>
          <w:sz w:val="24"/>
        </w:rPr>
        <w:t xml:space="preserve">by the time specified in </w:t>
      </w:r>
      <w:r>
        <w:rPr>
          <w:rFonts w:ascii="Times New Roman" w:hAnsi="Times New Roman"/>
          <w:color w:val="000000"/>
          <w:sz w:val="24"/>
          <w:u w:val="single"/>
        </w:rPr>
        <w:t>Section 2.04(c)(i)</w:t>
      </w:r>
      <w:r>
        <w:rPr>
          <w:rFonts w:ascii="Times New Roman" w:hAnsi="Times New Roman"/>
          <w:color w:val="000000"/>
          <w:sz w:val="24"/>
        </w:rPr>
        <w:t>,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A certificate of the Swing Line Lender submitted to any Revolving Lender (through the Administrative Agent) with respect to any amounts owing under this clause (iii)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Each Revolving Lender’s obligation to make Revolving Loans or to purchase and fund risk participations in Swing Line Loans pursuant to this </w:t>
      </w:r>
      <w:r>
        <w:rPr>
          <w:rFonts w:ascii="Times New Roman" w:hAnsi="Times New Roman"/>
          <w:color w:val="000000"/>
          <w:sz w:val="24"/>
          <w:u w:val="single"/>
        </w:rPr>
        <w:t>Section 2.04(c)</w:t>
      </w:r>
      <w:r>
        <w:rPr>
          <w:rFonts w:ascii="Times New Roman" w:hAnsi="Times New Roman"/>
          <w:color w:val="000000"/>
          <w:sz w:val="20"/>
        </w:rPr>
        <w:t xml:space="preserve"> </w:t>
      </w:r>
      <w:r>
        <w:rPr>
          <w:rFonts w:ascii="Times New Roman" w:hAnsi="Times New Roman"/>
          <w:color w:val="000000"/>
          <w:sz w:val="24"/>
        </w:rPr>
        <w:t xml:space="preserve">shall be absolute and unconditional and shall not be affected by any circumstance, including (A) any setoff, counterclaim, recoupment, defense or other right which such Revolving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hAnsi="Times New Roman"/>
          <w:color w:val="000000"/>
          <w:sz w:val="24"/>
          <w:u w:val="single"/>
        </w:rPr>
        <w:t>provided</w:t>
      </w:r>
      <w:r>
        <w:rPr>
          <w:rFonts w:ascii="Times New Roman" w:hAnsi="Times New Roman"/>
          <w:color w:val="000000"/>
          <w:sz w:val="20"/>
          <w:u w:val="single"/>
        </w:rPr>
        <w:t xml:space="preserve"> </w:t>
      </w:r>
      <w:r>
        <w:rPr>
          <w:rFonts w:ascii="Times New Roman" w:hAnsi="Times New Roman"/>
          <w:color w:val="000000"/>
          <w:sz w:val="24"/>
        </w:rPr>
        <w:t xml:space="preserve">that each Revolving Lender’s obligation to make Revolving Loans pursuant to this </w:t>
      </w:r>
      <w:r>
        <w:rPr>
          <w:rFonts w:ascii="Times New Roman" w:hAnsi="Times New Roman"/>
          <w:color w:val="000000"/>
          <w:sz w:val="24"/>
          <w:u w:val="single"/>
        </w:rPr>
        <w:t>Section 2.04(c)</w:t>
      </w:r>
      <w:r>
        <w:rPr>
          <w:rFonts w:ascii="Times New Roman" w:hAnsi="Times New Roman"/>
          <w:color w:val="000000"/>
          <w:sz w:val="20"/>
        </w:rPr>
        <w:t xml:space="preserve"> </w:t>
      </w:r>
      <w:r>
        <w:rPr>
          <w:rFonts w:ascii="Times New Roman" w:hAnsi="Times New Roman"/>
          <w:color w:val="000000"/>
          <w:sz w:val="24"/>
        </w:rPr>
        <w:t xml:space="preserve">(but not to purchase and fund risk participations in Swing Line Loans) is subject to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(other than delivery by the Borrower of a Borrowing Request). No such funding of risk participations shall relieve or otherwise impair the obligation of the Borrower to repay the applicable Swing Line Loans, together with interest as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Repayment of Participations</w:t>
      </w:r>
      <w:r>
        <w:rPr>
          <w:rFonts w:ascii="Times New Roman" w:hAnsi="Times New Roman"/>
          <w:color w:val="000000"/>
          <w:sz w:val="24"/>
        </w:rPr>
        <w:t>. (i) At any time after any Revolving Lender has purchased and funded a risk participation in a Swing Line Loan, if the Swing Line Lender receives any payment on account of such Swing Line Loan, the Swing Line Lender will distribute to such Revolving Lender its Applicable Percentage or other applicable share provided for under this Agreement of such payment (appropriately adjusted, in the case of interest payments, to reflect the period of time during which such Revolving Lender’s risk participation was funded) in the same funds as those received by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any payment received by the Swing Line Lender in respect of principal or interest on any Swing Line Loan is required to be returned by the Swing Line Lender under any of the circumstances described in </w:t>
      </w:r>
      <w:r>
        <w:rPr>
          <w:rFonts w:ascii="Times New Roman" w:hAnsi="Times New Roman"/>
          <w:color w:val="000000"/>
          <w:sz w:val="24"/>
          <w:u w:val="single"/>
        </w:rPr>
        <w:t>Section 9.08</w:t>
      </w:r>
      <w:r>
        <w:rPr>
          <w:rFonts w:ascii="Times New Roman" w:hAnsi="Times New Roman"/>
          <w:color w:val="000000"/>
          <w:sz w:val="20"/>
        </w:rPr>
        <w:t xml:space="preserve"> </w:t>
      </w:r>
      <w:r>
        <w:rPr>
          <w:rFonts w:ascii="Times New Roman" w:hAnsi="Times New Roman"/>
          <w:color w:val="000000"/>
          <w:sz w:val="24"/>
        </w:rPr>
        <w:t xml:space="preserve">(including pursuant to any settlement entered into by the Swing Line Lender in its discretion), each Revolving Lender shall pay to the Swing Line Lender its Applicable Percentage or other applicable share provided for under this Agreement thereof on demand of the Administrative Agent, </w:t>
      </w:r>
      <w:r>
        <w:rPr>
          <w:rFonts w:ascii="Times New Roman" w:hAnsi="Times New Roman"/>
          <w:i/>
          <w:color w:val="000000"/>
          <w:sz w:val="24"/>
        </w:rPr>
        <w:t xml:space="preserve">plus </w:t>
      </w:r>
      <w:r>
        <w:rPr>
          <w:rFonts w:ascii="Times New Roman" w:hAnsi="Times New Roman"/>
          <w:color w:val="000000"/>
          <w:sz w:val="24"/>
        </w:rPr>
        <w:t>interest thereon from the date of such demand to the date such amount is returned, at a rate per annum equal to the applicable Overnight Rate. The Administrative Agent will make such demand upon the request of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Interest for Account of Swing Line Lender</w:t>
      </w:r>
      <w:r>
        <w:rPr>
          <w:rFonts w:ascii="Times New Roman" w:hAnsi="Times New Roman"/>
          <w:color w:val="000000"/>
          <w:sz w:val="24"/>
        </w:rPr>
        <w:t xml:space="preserve">. The Swing Line Lender shall be responsible for invoicing the Borrower for interest on the Swing Line Loans. Until each Revolving Lender funds its ABR Loan or risk participation pursuant to this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to refinance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Revolving Lender’s Applicable Percentage of any Swing Line Loan, interest in respect of such Applicable Percentage shall be solely for the account of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Payments Directly to Swing Line Lender</w:t>
      </w:r>
      <w:r>
        <w:rPr>
          <w:rFonts w:ascii="Times New Roman" w:hAnsi="Times New Roman"/>
          <w:color w:val="000000"/>
          <w:sz w:val="24"/>
        </w:rPr>
        <w:t>. The Borrower shall make all payments of principal and interest in respect of the Swing Line Loans directly to the Swing Line Lender.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2.05 </w:t>
      </w:r>
      <w:r>
        <w:rPr>
          <w:rFonts w:ascii="Times New Roman" w:hAnsi="Times New Roman"/>
          <w:b w:val="false"/>
          <w:color w:val="000000"/>
          <w:sz w:val="24"/>
          <w:u w:val="single"/>
        </w:rPr>
        <w:t>Letters of Credit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General</w:t>
      </w:r>
      <w:r>
        <w:rPr>
          <w:rFonts w:ascii="Times New Roman" w:hAnsi="Times New Roman"/>
          <w:color w:val="000000"/>
          <w:sz w:val="24"/>
        </w:rPr>
        <w:t xml:space="preserve">. Subject to the terms and conditions set forth herein (including </w:t>
      </w:r>
      <w:r>
        <w:rPr>
          <w:rFonts w:ascii="Times New Roman" w:hAnsi="Times New Roman"/>
          <w:color w:val="000000"/>
          <w:sz w:val="24"/>
          <w:u w:val="single"/>
        </w:rPr>
        <w:t>Section 2.22</w:t>
      </w:r>
      <w:r>
        <w:rPr>
          <w:rFonts w:ascii="Times New Roman" w:hAnsi="Times New Roman"/>
          <w:color w:val="000000"/>
          <w:sz w:val="24"/>
        </w:rPr>
        <w:t xml:space="preserve">), each Issuing Bank agrees, in reliance upon the agreements of the Revolving Lenders and the Borrower set forth in this </w:t>
      </w:r>
      <w:r>
        <w:rPr>
          <w:rFonts w:ascii="Times New Roman" w:hAnsi="Times New Roman"/>
          <w:color w:val="000000"/>
          <w:sz w:val="24"/>
          <w:u w:val="single"/>
        </w:rPr>
        <w:t>Section 2.05</w:t>
      </w:r>
      <w:r>
        <w:rPr>
          <w:rFonts w:ascii="Times New Roman" w:hAnsi="Times New Roman"/>
          <w:color w:val="000000"/>
          <w:sz w:val="20"/>
        </w:rPr>
        <w:t xml:space="preserve"> </w:t>
      </w:r>
      <w:r>
        <w:rPr>
          <w:rFonts w:ascii="Times New Roman" w:hAnsi="Times New Roman"/>
          <w:color w:val="000000"/>
          <w:sz w:val="24"/>
        </w:rPr>
        <w:t xml:space="preserve">and elsewhere in the Loan Documents, to issue Letters of Credit denominated in Dollars or any Alternative Currency for the Borrower’s own account (or for the account of any member of the Hoya Group so long as the Borrower is an obligor in respect of all Loan Document Obligations arising under or in respect of such Letter of Credit), in a form reasonably acceptable to the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w:t>
      </w:r>
      <w:r>
        <w:rPr>
          <w:rFonts w:ascii="Times New Roman" w:hAnsi="Times New Roman"/>
          <w:color w:val="000000"/>
          <w:sz w:val="24"/>
          <w:u w:val="single"/>
        </w:rPr>
        <w:t xml:space="preserve">provided </w:t>
      </w:r>
      <w:r>
        <w:rPr>
          <w:rFonts w:ascii="Times New Roman" w:hAnsi="Times New Roman"/>
          <w:color w:val="000000"/>
          <w:sz w:val="24"/>
        </w:rPr>
        <w:t xml:space="preserve">that (x) no Issuing Bank shall be required to issue any trade or commercial letters of credit hereunder and (y) no Issuing Bank shall be required to issue any Letter of Credit if after giving effect thereto the LC Exposure with respect to all Letters of Credit issued by such Issuing Bank would exceed the amount set forth across from its name on </w:t>
      </w:r>
      <w:r>
        <w:rPr>
          <w:rFonts w:ascii="Times New Roman" w:hAnsi="Times New Roman"/>
          <w:color w:val="000000"/>
          <w:sz w:val="24"/>
          <w:u w:val="single"/>
        </w:rPr>
        <w:t>Schedule 2.05</w:t>
      </w:r>
      <w:r>
        <w:rPr>
          <w:rFonts w:ascii="Times New Roman" w:hAnsi="Times New Roman"/>
          <w:color w:val="000000"/>
          <w:sz w:val="20"/>
        </w:rPr>
        <w:t xml:space="preserve"> </w:t>
      </w:r>
      <w:r>
        <w:rPr>
          <w:rFonts w:ascii="Times New Roman" w:hAnsi="Times New Roman"/>
          <w:color w:val="000000"/>
          <w:sz w:val="24"/>
        </w:rPr>
        <w:t>(or in the documents pursuant to which such Issuing Bank became an Issuing Bank).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Issuance, Amendment, Renewal or Extension; Certain Conditions</w:t>
      </w:r>
      <w:r>
        <w:rPr>
          <w:rFonts w:ascii="Times New Roman" w:hAnsi="Times New Roman"/>
          <w:color w:val="000000"/>
          <w:sz w:val="24"/>
        </w:rPr>
        <w:t xml:space="preserve">. To request the issuance of a Letter of Credit (or the amendment, renewal or extension of an outstanding Letter of Credit), the Borrower shall deliver in writing by facsimile, or transmit by electronic communication, to the applicable Issuing Bank and the Administrative Agent (by 12:00 p.m. (New York City time) at least three (3) Business Days before the requested date of issuance, amendment, renewal or extension (or, in the case of any such request to be made on the Effective Date, one (1) Business Day) or such shorter period as the applicable Issuing Bank and the Administrative Agent may agree) a notice requesting the issuance of a Letter of Credit, or identifying the Letter of Credit to be amended or extended, and specifying the date of issuance, amendment, renewal or extension, as the case may be (which shall be a Business Day), the date on which such Letter of Credit is to expire (which shall comply with </w:t>
      </w:r>
      <w:r>
        <w:rPr>
          <w:rFonts w:ascii="Times New Roman" w:hAnsi="Times New Roman"/>
          <w:color w:val="000000"/>
          <w:sz w:val="24"/>
          <w:u w:val="single"/>
        </w:rPr>
        <w:t>Section 2.05(d)</w:t>
      </w:r>
      <w:r>
        <w:rPr>
          <w:rFonts w:ascii="Times New Roman" w:hAnsi="Times New Roman"/>
          <w:color w:val="000000"/>
          <w:sz w:val="24"/>
        </w:rPr>
        <w:t xml:space="preserve">), the amount and currency of such Letter of Credit, the name and address of the beneficiary thereof and such other information as shall be necessary to prepare, amend or extend, as the case may be, such Letter of Credit. Each such notice shall be in the form of </w:t>
      </w:r>
      <w:r>
        <w:rPr>
          <w:rFonts w:ascii="Times New Roman" w:hAnsi="Times New Roman"/>
          <w:color w:val="000000"/>
          <w:sz w:val="24"/>
          <w:u w:val="single"/>
        </w:rPr>
        <w:t>Exhibit K</w:t>
      </w:r>
      <w:r>
        <w:rPr>
          <w:rFonts w:ascii="Times New Roman" w:hAnsi="Times New Roman"/>
          <w:color w:val="000000"/>
          <w:sz w:val="24"/>
        </w:rPr>
        <w:t>, appropriately completed (each, a “</w:t>
      </w:r>
      <w:r>
        <w:rPr>
          <w:rFonts w:ascii="Times New Roman" w:hAnsi="Times New Roman"/>
          <w:color w:val="000000"/>
          <w:sz w:val="24"/>
          <w:u w:val="single"/>
        </w:rPr>
        <w:t>Letter of Credit Request</w:t>
      </w:r>
      <w:r>
        <w:rPr>
          <w:rFonts w:ascii="Times New Roman" w:hAnsi="Times New Roman"/>
          <w:color w:val="000000"/>
          <w:sz w:val="20"/>
        </w:rPr>
        <w:t>”</w:t>
      </w:r>
      <w:r>
        <w:rPr>
          <w:rFonts w:ascii="Times New Roman" w:hAnsi="Times New Roman"/>
          <w:color w:val="000000"/>
          <w:sz w:val="24"/>
        </w:rPr>
        <w:t>). If requested by the applicable Issuing Bank, the Borrower also shall submit a letter of credit application on such Issuing Bank’s standard form in connection with any request for a Letter of Credit. A Letter of Credit shall be issued, amended or extended only if (and upon issuance, amendment, renewal or extension of any Letter of Credit the Borrower shall be deemed to, with respect to clauses (ii) and (iii), represent and warrant that), after giving effect to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issuance, amendment, renewal or extension, (i) subject to </w:t>
      </w:r>
      <w:r>
        <w:rPr>
          <w:rFonts w:ascii="Times New Roman" w:hAnsi="Times New Roman"/>
          <w:color w:val="000000"/>
          <w:sz w:val="24"/>
          <w:u w:val="single"/>
        </w:rPr>
        <w:t>Section 9.04(b)(ii)</w:t>
      </w:r>
      <w:r>
        <w:rPr>
          <w:rFonts w:ascii="Times New Roman" w:hAnsi="Times New Roman"/>
          <w:color w:val="000000"/>
          <w:sz w:val="24"/>
        </w:rPr>
        <w:t xml:space="preserve">, the Applicable Fronting Exposure of each Issuing Bank shall not exceed its Fronting Exposure Cap, (ii) the aggregate Revolving Exposures shall not exceed the aggregate Revolving Commitments then in effect and (iii) the aggregate LC Exposure shall not exceed the Letter of Credit Sublimit. Letters of Credit will be available to be issued up to an aggregate face amount not to exceed the Letter of Credit Sublimit.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[reserved], (iv) except as otherwise agreed by the Administrative Agent and such Issuing Bank, the Letter of Credit is in an initial stated amount less than $100,000, or (v) any Lender is at that time a Defaulting Lender, if after giving effect to </w:t>
      </w:r>
      <w:r>
        <w:rPr>
          <w:rFonts w:ascii="Times New Roman" w:hAnsi="Times New Roman"/>
          <w:color w:val="000000"/>
          <w:sz w:val="24"/>
          <w:u w:val="single"/>
        </w:rPr>
        <w:t>Section 2.22(a)(iv)</w:t>
      </w:r>
      <w:r>
        <w:rPr>
          <w:rFonts w:ascii="Times New Roman" w:hAnsi="Times New Roman"/>
          <w:color w:val="000000"/>
          <w:sz w:val="24"/>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w:t>
      </w:r>
      <w:r>
        <w:rPr>
          <w:rFonts w:ascii="Times New Roman" w:hAnsi="Times New Roman"/>
          <w:color w:val="000000"/>
          <w:sz w:val="24"/>
          <w:u w:val="single"/>
        </w:rPr>
        <w:t xml:space="preserve">provided </w:t>
      </w:r>
      <w:r>
        <w:rPr>
          <w:rFonts w:ascii="Times New Roman" w:hAnsi="Times New Roman"/>
          <w:color w:val="000000"/>
          <w:sz w:val="24"/>
        </w:rPr>
        <w:t>that any Letter of Credit with a one</w:t>
        <w:noBreakHyphen/>
        <w:t>year tenor may provide for the renewal thereof for additional one</w:t>
        <w:noBreakHyphen/>
        <w:t xml:space="preserve">year periods as provided in </w:t>
      </w:r>
      <w:r>
        <w:rPr>
          <w:rFonts w:ascii="Times New Roman" w:hAnsi="Times New Roman"/>
          <w:color w:val="000000"/>
          <w:sz w:val="24"/>
          <w:u w:val="single"/>
        </w:rPr>
        <w:t>Section 2.05(d)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Notice</w:t>
      </w:r>
      <w:r>
        <w:rPr>
          <w:rFonts w:ascii="Times New Roman" w:hAnsi="Times New Roman"/>
          <w:color w:val="000000"/>
          <w:sz w:val="24"/>
        </w:rPr>
        <w:t xml:space="preserve">. Each Issuing Bank agrees that, upon any issuance, amendment, renewal or extension of a Letter of Credit, it shall have given to the Administrative Agent written notice thereof required under clause (ii) of </w:t>
      </w:r>
      <w:r>
        <w:rPr>
          <w:rFonts w:ascii="Times New Roman" w:hAnsi="Times New Roman"/>
          <w:color w:val="000000"/>
          <w:sz w:val="24"/>
          <w:u w:val="single"/>
        </w:rPr>
        <w:t>Section 2.05(m)</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Expiration Date</w:t>
      </w:r>
      <w:r>
        <w:rPr>
          <w:rFonts w:ascii="Times New Roman" w:hAnsi="Times New Roman"/>
          <w:color w:val="000000"/>
          <w:sz w:val="24"/>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or such later date as agreed to by the applicable Issuing Bank in its sole discretion and (ii) the date that is five (5) Business Days prior to the Revolving Maturity Date; </w:t>
      </w:r>
      <w:r>
        <w:rPr>
          <w:rFonts w:ascii="Times New Roman" w:hAnsi="Times New Roman"/>
          <w:color w:val="000000"/>
          <w:sz w:val="24"/>
          <w:u w:val="single"/>
        </w:rPr>
        <w:t xml:space="preserve">provided </w:t>
      </w:r>
      <w:r>
        <w:rPr>
          <w:rFonts w:ascii="Times New Roman" w:hAnsi="Times New Roman"/>
          <w:color w:val="000000"/>
          <w:sz w:val="24"/>
        </w:rPr>
        <w:t xml:space="preserve">that if such expiry date is not a Business Day, such Letter of Credit shall expire at or prior to the close of business on the next succeeding Business Day;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any Letter of Credit may, upon the request of the Borrower, include a provision whereby such Letter of Credit shall be renewed or extended automatically for additional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w:t>
        <w:noBreakHyphen/>
        <w:t xml:space="preserve">applicable expiration date, that such Letter of Credit will not be renewed or extended;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such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Participations</w:t>
      </w:r>
      <w:r>
        <w:rPr>
          <w:rFonts w:ascii="Times New Roman" w:hAnsi="Times New Roman"/>
          <w:color w:val="000000"/>
          <w:sz w:val="24"/>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Borrower on the date due as provided in </w:t>
      </w:r>
      <w:r>
        <w:rPr>
          <w:rFonts w:ascii="Times New Roman" w:hAnsi="Times New Roman"/>
          <w:color w:val="000000"/>
          <w:sz w:val="24"/>
          <w:u w:val="single"/>
        </w:rPr>
        <w:t>Section 2.05(f)</w:t>
      </w:r>
      <w:r>
        <w:rPr>
          <w:rFonts w:ascii="Times New Roman" w:hAnsi="Times New Roman"/>
          <w:color w:val="000000"/>
          <w:sz w:val="24"/>
        </w:rPr>
        <w:t xml:space="preserve">, or of any reimbursement payment required to be refunded to the Borrower for any reason. All fundings of such participations shall be denominated in Dollars or, if applicable, the Dollar Equivalent of the relevant amount of such Letter of Credit. Each Revolving Lender acknowledges and agrees that its acquisition of participations pursuant to this </w:t>
      </w:r>
      <w:r>
        <w:rPr>
          <w:rFonts w:ascii="Times New Roman" w:hAnsi="Times New Roman"/>
          <w:color w:val="000000"/>
          <w:sz w:val="24"/>
          <w:u w:val="single"/>
        </w:rPr>
        <w:t>Section 2.05(e)</w:t>
      </w:r>
      <w:r>
        <w:rPr>
          <w:rFonts w:ascii="Times New Roman" w:hAnsi="Times New Roman"/>
          <w:color w:val="000000"/>
          <w:sz w:val="20"/>
        </w:rPr>
        <w:t xml:space="preserve"> </w:t>
      </w:r>
      <w:r>
        <w:rPr>
          <w:rFonts w:ascii="Times New Roman" w:hAnsi="Times New Roman"/>
          <w:color w:val="000000"/>
          <w:sz w:val="24"/>
        </w:rPr>
        <w:t>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Reimbursement</w:t>
      </w:r>
      <w:r>
        <w:rPr>
          <w:rFonts w:ascii="Times New Roman" w:hAnsi="Times New Roman"/>
          <w:color w:val="000000"/>
          <w:sz w:val="24"/>
        </w:rPr>
        <w:t>. If an Issuing Bank shall make any LC Disbursement in respect of a Letter of Credit, the Borrower shall reimburse such LC Disbursement by paying to the Administrative Agent an amount (in same day funds) equal to such LC Disbursement not later than 4:00 p.m.(New York City time), on the Business Day immediately following the Business Day that the Borrower receives written notice (including via e</w:t>
        <w:noBreakHyphen/>
        <w:t>mail) of such LC Disbursement (the “</w:t>
      </w:r>
      <w:r>
        <w:rPr>
          <w:rFonts w:ascii="Times New Roman" w:hAnsi="Times New Roman"/>
          <w:color w:val="000000"/>
          <w:sz w:val="24"/>
          <w:u w:val="single"/>
        </w:rPr>
        <w:t>Reimbursement Date</w:t>
      </w:r>
      <w:r>
        <w:rPr>
          <w:rFonts w:ascii="Times New Roman" w:hAnsi="Times New Roman"/>
          <w:color w:val="000000"/>
          <w:sz w:val="20"/>
        </w:rPr>
        <w:t>”</w:t>
      </w:r>
      <w:r>
        <w:rPr>
          <w:rFonts w:ascii="Times New Roman" w:hAnsi="Times New Roman"/>
          <w:color w:val="000000"/>
          <w:sz w:val="24"/>
        </w:rPr>
        <w:t xml:space="preserve">), together with accrued interest or fees thereon in accordance with clause (i) of this </w:t>
      </w:r>
      <w:r>
        <w:rPr>
          <w:rFonts w:ascii="Times New Roman" w:hAnsi="Times New Roman"/>
          <w:color w:val="000000"/>
          <w:sz w:val="24"/>
          <w:u w:val="single"/>
        </w:rPr>
        <w:t>Section 2.05</w:t>
      </w:r>
      <w:r>
        <w:rPr>
          <w:rFonts w:ascii="Times New Roman" w:hAnsi="Times New Roman"/>
          <w:color w:val="000000"/>
          <w:sz w:val="24"/>
        </w:rPr>
        <w:t>. Anything contained herein to the contrary notwithstanding, (i) unless the Borrower shall have notified the Administrative Agent and the applicable Issuing Bank prior to 2:00 p.m. (New York City time), on the Reimbursement Date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Administrative Agent requesting Revolving Lenders to make Revolving Loans that are ABR Revolving Loans on the Reimbursement Date in an amount equal to such LC Disbursement (together with any accrued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interest or fees thereon), and (ii) subject to satisfaction or waiver of the conditions specified in </w:t>
      </w:r>
      <w:r>
        <w:rPr>
          <w:rFonts w:ascii="Times New Roman" w:hAnsi="Times New Roman"/>
          <w:color w:val="000000"/>
          <w:sz w:val="24"/>
          <w:u w:val="single"/>
        </w:rPr>
        <w:t>Section 4.02</w:t>
      </w:r>
      <w:r>
        <w:rPr>
          <w:rFonts w:ascii="Times New Roman" w:hAnsi="Times New Roman"/>
          <w:color w:val="000000"/>
          <w:sz w:val="24"/>
        </w:rPr>
        <w:t xml:space="preserve">, Revolving Lenders shall, on the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 the amount of such LC Disbursement (together with any accrued interest or fees thereon); </w:t>
      </w:r>
      <w:r>
        <w:rPr>
          <w:rFonts w:ascii="Times New Roman" w:hAnsi="Times New Roman"/>
          <w:color w:val="000000"/>
          <w:sz w:val="24"/>
          <w:u w:val="single"/>
        </w:rPr>
        <w:t xml:space="preserve">provided </w:t>
      </w:r>
      <w:r>
        <w:rPr>
          <w:rFonts w:ascii="Times New Roman" w:hAnsi="Times New Roman"/>
          <w:color w:val="000000"/>
          <w:sz w:val="24"/>
        </w:rPr>
        <w:t xml:space="preserve">that if for any reason proceeds of Revolving Loans are not received by the applicable Issuing Bank on the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shall be made without regard to the Borrowing Minimum.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Obligations Absolute</w:t>
      </w:r>
      <w:r>
        <w:rPr>
          <w:rFonts w:ascii="Times New Roman" w:hAnsi="Times New Roman"/>
          <w:color w:val="000000"/>
          <w:sz w:val="24"/>
        </w:rPr>
        <w:t xml:space="preserve">. The Borrower’s obligation to reimburse LC Disbursements as provided in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w:t>
        <w:noBreakHyphen/>
        <w:t>off, defense or other right which the Borrower or any Lender may have at any time against a beneficiary or any transferee of any Letter of Credit (or any Persons for whom any such transferee may be acting), the applicable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 w:hAnsi="Times New Roman"/>
          <w:color w:val="000000"/>
          <w:sz w:val="24"/>
          <w:u w:val="single"/>
        </w:rPr>
        <w:t xml:space="preserve">provided </w:t>
      </w:r>
      <w:r>
        <w:rPr>
          <w:rFonts w:ascii="Times New Roman" w:hAnsi="Times New Roman"/>
          <w:color w:val="000000"/>
          <w:sz w:val="24"/>
        </w:rPr>
        <w:t xml:space="preserve">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Times New Roman" w:hAnsi="Times New Roman"/>
          <w:color w:val="000000"/>
          <w:sz w:val="24"/>
          <w:u w:val="single"/>
        </w:rPr>
        <w:t>Section 2.05</w:t>
      </w:r>
      <w:r>
        <w:rPr>
          <w:rFonts w:ascii="Times New Roman" w:hAnsi="Times New Roman"/>
          <w:color w:val="000000"/>
          <w:sz w:val="24"/>
        </w:rPr>
        <w:t>, constitute a legal or equitable discharge of, or provide a right of setoff against, the Borrower’s obligations hereunder. As between the Borrower and any Issuing Bank, the Borrower assumes all risks of the acts and omissions of, or misuse of the Letters of Credit issued by such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applicable Issuing Bank, including any act by a Governmental Authority and fluctuation in currency exchange rates. None of the above shall affect or impair, or prevent the vesting of, any of the applicable Issuing Bank’s rights or powers hereunder or place any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Disbursement Procedures</w:t>
      </w:r>
      <w:r>
        <w:rPr>
          <w:rFonts w:ascii="Times New Roman" w:hAnsi="Times New Roman"/>
          <w:color w:val="000000"/>
          <w:sz w:val="24"/>
        </w:rPr>
        <w:t xml:space="preserve">. Each Issuing Bank shall, promptly following its receipt thereof, examine all documents purporting to represent a demand for payment under a Letter of Credit. Each Issuing Bank shall promptly notify the Administrative Agent and the Borrower in writing delivered by facsimile of such demand for payment and whether such Issuing Bank has made or will make an LC Disbursement thereunder; </w:t>
      </w:r>
      <w:r>
        <w:rPr>
          <w:rFonts w:ascii="Times New Roman" w:hAnsi="Times New Roman"/>
          <w:color w:val="000000"/>
          <w:sz w:val="24"/>
          <w:u w:val="single"/>
        </w:rPr>
        <w:t xml:space="preserve">provided </w:t>
      </w:r>
      <w:r>
        <w:rPr>
          <w:rFonts w:ascii="Times New Roman" w:hAnsi="Times New Roman"/>
          <w:color w:val="000000"/>
          <w:sz w:val="24"/>
        </w:rPr>
        <w:t xml:space="preserve">that any failure to give or delay in giving such notice shall not relieve the Borrower of its obligations to reimburse such Issuing Bank and the Revolving Lenders with respect to any such LC Disbursement in accordance with </w:t>
      </w:r>
      <w:r>
        <w:rPr>
          <w:rFonts w:ascii="Times New Roman" w:hAnsi="Times New Roman"/>
          <w:color w:val="000000"/>
          <w:sz w:val="24"/>
          <w:u w:val="single"/>
        </w:rPr>
        <w:t>Section 2.05(f)</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Interim Interest</w:t>
      </w:r>
      <w:r>
        <w:rPr>
          <w:rFonts w:ascii="Times New Roman" w:hAnsi="Times New Roman"/>
          <w:color w:val="000000"/>
          <w:sz w:val="24"/>
        </w:rPr>
        <w:t>.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provided </w:t>
      </w:r>
      <w:r>
        <w:rPr>
          <w:rFonts w:ascii="Times New Roman" w:hAnsi="Times New Roman"/>
          <w:color w:val="000000"/>
          <w:sz w:val="24"/>
        </w:rPr>
        <w:t xml:space="preserve">that, if the Borrower fails to reimburse such LC Disbursement when due pursuant to </w:t>
      </w:r>
      <w:r>
        <w:rPr>
          <w:rFonts w:ascii="Times New Roman" w:hAnsi="Times New Roman"/>
          <w:color w:val="000000"/>
          <w:sz w:val="24"/>
          <w:u w:val="single"/>
        </w:rPr>
        <w:t>Section 2.05(f)</w:t>
      </w:r>
      <w:r>
        <w:rPr>
          <w:rFonts w:ascii="Times New Roman" w:hAnsi="Times New Roman"/>
          <w:color w:val="000000"/>
          <w:sz w:val="24"/>
        </w:rPr>
        <w:t xml:space="preserve">, then </w:t>
      </w:r>
      <w:r>
        <w:rPr>
          <w:rFonts w:ascii="Times New Roman" w:hAnsi="Times New Roman"/>
          <w:color w:val="000000"/>
          <w:sz w:val="24"/>
          <w:u w:val="single"/>
        </w:rPr>
        <w:t>Section 2.13(c)</w:t>
      </w:r>
      <w:r>
        <w:rPr>
          <w:rFonts w:ascii="Times New Roman" w:hAnsi="Times New Roman"/>
          <w:color w:val="000000"/>
          <w:sz w:val="20"/>
        </w:rPr>
        <w:t xml:space="preserve"> </w:t>
      </w:r>
      <w:r>
        <w:rPr>
          <w:rFonts w:ascii="Times New Roman" w:hAnsi="Times New Roman"/>
          <w:color w:val="000000"/>
          <w:sz w:val="24"/>
        </w:rPr>
        <w:t xml:space="preserve">shall apply. Interest accrued pursuant to this </w:t>
      </w:r>
      <w:r>
        <w:rPr>
          <w:rFonts w:ascii="Times New Roman" w:hAnsi="Times New Roman"/>
          <w:color w:val="000000"/>
          <w:sz w:val="24"/>
          <w:u w:val="single"/>
        </w:rPr>
        <w:t>Section 2.05(i)</w:t>
      </w:r>
      <w:r>
        <w:rPr>
          <w:rFonts w:ascii="Times New Roman" w:hAnsi="Times New Roman"/>
          <w:color w:val="000000"/>
          <w:sz w:val="20"/>
        </w:rPr>
        <w:t xml:space="preserve"> </w:t>
      </w:r>
      <w:r>
        <w:rPr>
          <w:rFonts w:ascii="Times New Roman" w:hAnsi="Times New Roman"/>
          <w:color w:val="000000"/>
          <w:sz w:val="24"/>
        </w:rPr>
        <w:t xml:space="preserve">shall be paid to the Administrative Agent, for the account of the applicable Issuing Bank, except that interest accrued on and after the date of payment by any Revolving Lender pursuant to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to reimburse such Issuing Bank shall be for the account of such Lender to the extent of such payment and shall be payable on demand or, if no demand has been made, on the date on which the Borrower reimburses the applicable LC Disbursement in full.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Cash Collateralization</w:t>
      </w:r>
      <w:r>
        <w:rPr>
          <w:rFonts w:ascii="Times New Roman" w:hAnsi="Times New Roman"/>
          <w:color w:val="000000"/>
          <w:sz w:val="24"/>
        </w:rPr>
        <w:t xml:space="preserve">.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and during the continuance of any Event of Default under </w:t>
      </w:r>
      <w:r>
        <w:rPr>
          <w:rFonts w:ascii="Times New Roman" w:hAnsi="Times New Roman"/>
          <w:color w:val="000000"/>
          <w:sz w:val="24"/>
          <w:u w:val="single"/>
        </w:rPr>
        <w:t>Section 7.01(h)</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w:t>
      </w:r>
      <w:r>
        <w:rPr>
          <w:rFonts w:ascii="Times New Roman" w:hAnsi="Times New Roman"/>
          <w:color w:val="000000"/>
          <w:sz w:val="24"/>
        </w:rPr>
        <w:t xml:space="preserve">, or (iii) any Event of Default under </w:t>
      </w:r>
      <w:r>
        <w:rPr>
          <w:rFonts w:ascii="Times New Roman" w:hAnsi="Times New Roman"/>
          <w:color w:val="000000"/>
          <w:sz w:val="24"/>
          <w:u w:val="single"/>
        </w:rPr>
        <w:t>Section 7.01(a)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shall occur and be continuing, on the Business Day on which the Borrower receives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w:t>
      </w:r>
      <w:r>
        <w:rPr>
          <w:rFonts w:ascii="Times New Roman" w:hAnsi="Times New Roman"/>
          <w:color w:val="000000"/>
          <w:sz w:val="24"/>
          <w:u w:val="single"/>
        </w:rPr>
        <w:t>Section 2.05(j)</w:t>
      </w:r>
      <w:r>
        <w:rPr>
          <w:rFonts w:ascii="Times New Roman" w:hAnsi="Times New Roman"/>
          <w:color w:val="000000"/>
          <w:sz w:val="24"/>
        </w:rPr>
        <w:t xml:space="preserve">, the Borrower shall deposit in an account with the Administrative Agent, in the name of the Administrative Agent and for the benefit of the Secured Parties, an amount of cash in Dollars, equal to the portions of the LC Exposure attributable to Letters of Credit, as of such date plus any accrued and unpaid interest and fees thereon. The Borrower also shall deposit cash collateral pursuant to this </w:t>
      </w:r>
      <w:r>
        <w:rPr>
          <w:rFonts w:ascii="Times New Roman" w:hAnsi="Times New Roman"/>
          <w:color w:val="000000"/>
          <w:sz w:val="24"/>
          <w:u w:val="single"/>
        </w:rPr>
        <w:t>Section 2.05(j)</w:t>
      </w:r>
      <w:r>
        <w:rPr>
          <w:rFonts w:ascii="Times New Roman" w:hAnsi="Times New Roman"/>
          <w:color w:val="000000"/>
          <w:sz w:val="20"/>
        </w:rPr>
        <w:t xml:space="preserve"> </w:t>
      </w:r>
      <w:r>
        <w:rPr>
          <w:rFonts w:ascii="Times New Roman" w:hAnsi="Times New Roman"/>
          <w:color w:val="000000"/>
          <w:sz w:val="24"/>
        </w:rPr>
        <w:t xml:space="preserve">as and to the extent required by </w:t>
      </w:r>
      <w:r>
        <w:rPr>
          <w:rFonts w:ascii="Times New Roman" w:hAnsi="Times New Roman"/>
          <w:color w:val="000000"/>
          <w:sz w:val="24"/>
          <w:u w:val="single"/>
        </w:rPr>
        <w:t>Section 2.11(b)</w:t>
      </w:r>
      <w:r>
        <w:rPr>
          <w:rFonts w:ascii="Times New Roman" w:hAnsi="Times New Roman"/>
          <w:color w:val="000000"/>
          <w:sz w:val="24"/>
        </w:rPr>
        <w:t xml:space="preserve">. Each such deposit shall be held by the Administrative Agent as collateral for the payment and performance of the obligations of the Borrower under this Agreement and the other Loan Documents. At any time that there shall exist a Defaulting Lender, if any Defaulting Lender Fronting Exposure remains outstanding (after giving effect to </w:t>
      </w:r>
      <w:r>
        <w:rPr>
          <w:rFonts w:ascii="Times New Roman" w:hAnsi="Times New Roman"/>
          <w:color w:val="000000"/>
          <w:sz w:val="24"/>
          <w:u w:val="single"/>
        </w:rPr>
        <w:t>Section 2.22(a)(iv)</w:t>
      </w:r>
      <w:r>
        <w:rPr>
          <w:rFonts w:ascii="Times New Roman" w:hAnsi="Times New Roman"/>
          <w:color w:val="000000"/>
          <w:sz w:val="24"/>
        </w:rPr>
        <w:t>), then promptly upon the request of the Administrative Agent, the Swing Line Lender or any Issuing Bank, the Borrower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(3) Business Days after all Events of Default have been cured or waived or after the termination of Defaulting Lender status, as applicable. If the Borrower is required to provide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amount of cash collateral hereunder pursuant to </w:t>
      </w:r>
      <w:r>
        <w:rPr>
          <w:rFonts w:ascii="Times New Roman" w:hAnsi="Times New Roman"/>
          <w:color w:val="000000"/>
          <w:sz w:val="24"/>
          <w:u w:val="single"/>
        </w:rPr>
        <w:t>Section 2.11(b)</w:t>
      </w:r>
      <w:r>
        <w:rPr>
          <w:rFonts w:ascii="Times New Roman" w:hAnsi="Times New Roman"/>
          <w:color w:val="000000"/>
          <w:sz w:val="24"/>
        </w:rPr>
        <w:t xml:space="preserve">, such amount (to the extent not applied as aforesaid) shall be returned to the Borrower as and to the extent that, after giving effect to such return, the Borrower would remain in compliance with </w:t>
      </w:r>
      <w:r>
        <w:rPr>
          <w:rFonts w:ascii="Times New Roman" w:hAnsi="Times New Roman"/>
          <w:color w:val="000000"/>
          <w:sz w:val="24"/>
          <w:u w:val="single"/>
        </w:rPr>
        <w:t>Section 2.11(b)</w:t>
      </w:r>
      <w:r>
        <w:rPr>
          <w:rFonts w:ascii="Times New Roman" w:hAnsi="Times New Roman"/>
          <w:color w:val="000000"/>
          <w:sz w:val="20"/>
        </w:rPr>
        <w:t xml:space="preserve"> </w:t>
      </w:r>
      <w:r>
        <w:rPr>
          <w:rFonts w:ascii="Times New Roman" w:hAnsi="Times New Roman"/>
          <w:color w:val="000000"/>
          <w:sz w:val="24"/>
        </w:rPr>
        <w:t>and no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Designation of Additional Issuing Banks</w:t>
      </w:r>
      <w:r>
        <w:rPr>
          <w:rFonts w:ascii="Times New Roman" w:hAnsi="Times New Roman"/>
          <w:color w:val="000000"/>
          <w:sz w:val="24"/>
        </w:rPr>
        <w:t>. The Borrower may, at any time and from time to time, designate as additional Issuing Banks one or more Revolving Lenders that agree (in such Revolving Lender’s sole discretion) in writing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Resignation or Termination of an Issuing Bank</w:t>
      </w:r>
      <w:r>
        <w:rPr>
          <w:rFonts w:ascii="Times New Roman" w:hAnsi="Times New Roman"/>
          <w:color w:val="000000"/>
          <w:sz w:val="24"/>
        </w:rPr>
        <w:t>. Subject to the appointment and acceptance of a successor Issuing Bank reasonably acceptable to the Borrower with an LC Commitment equal to or greater than (or if agreed to by the Borrower in its sole discretion, less than) the LC Commitment of the resigning Issuing Bank, any Issuing Bank may resign at any time by giving thirty (30) days’ written notice to the Administrative Agent, the Lenders and the Borrower. The Borrower may terminate the appointment of any Issuing Bank as an “</w:t>
      </w:r>
      <w:r>
        <w:rPr>
          <w:rFonts w:ascii="Times New Roman" w:hAnsi="Times New Roman"/>
          <w:color w:val="000000"/>
          <w:sz w:val="24"/>
          <w:u w:val="single"/>
        </w:rPr>
        <w:t>Issuing Bank</w:t>
      </w:r>
      <w:r>
        <w:rPr>
          <w:rFonts w:ascii="Times New Roman" w:hAnsi="Times New Roman"/>
          <w:color w:val="000000"/>
          <w:sz w:val="20"/>
        </w:rPr>
        <w:t xml:space="preserve">” </w:t>
      </w:r>
      <w:r>
        <w:rPr>
          <w:rFonts w:ascii="Times New Roman" w:hAnsi="Times New Roman"/>
          <w:color w:val="000000"/>
          <w:sz w:val="24"/>
        </w:rPr>
        <w:t xml:space="preserve">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the delivery thereof; </w:t>
      </w:r>
      <w:r>
        <w:rPr>
          <w:rFonts w:ascii="Times New Roman" w:hAnsi="Times New Roman"/>
          <w:color w:val="000000"/>
          <w:sz w:val="24"/>
          <w:u w:val="single"/>
        </w:rPr>
        <w:t xml:space="preserve">provided </w:t>
      </w:r>
      <w:r>
        <w:rPr>
          <w:rFonts w:ascii="Times New Roman" w:hAnsi="Times New Roman"/>
          <w:color w:val="000000"/>
          <w:sz w:val="24"/>
        </w:rPr>
        <w:t xml:space="preserve">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w:t>
      </w:r>
      <w:r>
        <w:rPr>
          <w:rFonts w:ascii="Times New Roman" w:hAnsi="Times New Roman"/>
          <w:color w:val="000000"/>
          <w:sz w:val="24"/>
          <w:u w:val="single"/>
        </w:rPr>
        <w:t>Section 2.12(b)</w:t>
      </w:r>
      <w:r>
        <w:rPr>
          <w:rFonts w:ascii="Times New Roman" w:hAnsi="Times New Roman"/>
          <w:color w:val="000000"/>
          <w:sz w:val="24"/>
        </w:rPr>
        <w:t>.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w:t>
      </w:r>
      <w:r>
        <w:rPr>
          <w:rFonts w:ascii="Times New Roman" w:hAnsi="Times New Roman"/>
          <w:i/>
          <w:color w:val="000000"/>
          <w:sz w:val="24"/>
        </w:rPr>
        <w:t>Issuing Bank Reports to the Administrative Agent</w:t>
      </w:r>
      <w:r>
        <w:rPr>
          <w:rFonts w:ascii="Times New Roman" w:hAnsi="Times New Roman"/>
          <w:color w:val="000000"/>
          <w:sz w:val="24"/>
        </w:rPr>
        <w:t xml:space="preserve">. Unless otherwise agreed by the Administrative Agent, each Issuing Bank shall, in addition to its notification obligations set forth elsewhere in this </w:t>
      </w:r>
      <w:r>
        <w:rPr>
          <w:rFonts w:ascii="Times New Roman" w:hAnsi="Times New Roman"/>
          <w:color w:val="000000"/>
          <w:sz w:val="24"/>
          <w:u w:val="single"/>
        </w:rPr>
        <w:t>Section 2.05</w:t>
      </w:r>
      <w:r>
        <w:rPr>
          <w:rFonts w:ascii="Times New Roman" w:hAnsi="Times New Roman"/>
          <w:color w:val="000000"/>
          <w:sz w:val="24"/>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Times New Roman" w:hAnsi="Times New Roman"/>
          <w:color w:val="000000"/>
          <w:sz w:val="24"/>
          <w:u w:val="single"/>
        </w:rPr>
        <w:t xml:space="preserve">provided </w:t>
      </w:r>
      <w:r>
        <w:rPr>
          <w:rFonts w:ascii="Times New Roman" w:hAnsi="Times New Roman"/>
          <w:color w:val="000000"/>
          <w:sz w:val="24"/>
        </w:rPr>
        <w:t xml:space="preserve">that no Issuing Bank shall have any liability hereunder to any Person for any failure to deliver the reports contemplated by this </w:t>
      </w:r>
      <w:r>
        <w:rPr>
          <w:rFonts w:ascii="Times New Roman" w:hAnsi="Times New Roman"/>
          <w:color w:val="000000"/>
          <w:sz w:val="24"/>
          <w:u w:val="single"/>
        </w:rPr>
        <w:t>Section 2.05(m)</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t>
      </w:r>
      <w:r>
        <w:rPr>
          <w:rFonts w:ascii="Times New Roman" w:hAnsi="Times New Roman"/>
          <w:i/>
          <w:color w:val="000000"/>
          <w:sz w:val="24"/>
        </w:rPr>
        <w:t>Applicability of ISP and UCP</w:t>
      </w:r>
      <w:r>
        <w:rPr>
          <w:rFonts w:ascii="Times New Roman" w:hAnsi="Times New Roman"/>
          <w:color w:val="000000"/>
          <w:sz w:val="24"/>
        </w:rPr>
        <w:t>. Unless otherwise expressly agreed by the applicable Issuing Bank and the Borrower when a Letter of Credit is issued or when it is amended with the consent of the beneficiary thereof the rules of the ISP shall apply to each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w:t>
      </w:r>
      <w:r>
        <w:rPr>
          <w:rFonts w:ascii="Times New Roman" w:hAnsi="Times New Roman"/>
          <w:i/>
          <w:color w:val="000000"/>
          <w:sz w:val="24"/>
        </w:rPr>
        <w:t>Existing Letters of Credit</w:t>
      </w:r>
      <w:r>
        <w:rPr>
          <w:rFonts w:ascii="Times New Roman" w:hAnsi="Times New Roman"/>
          <w:color w:val="000000"/>
          <w:sz w:val="24"/>
        </w:rPr>
        <w:t>. As of the Effective Date, each Existing Letter of Credit shall be immediately and automatically deemed to be a Letter of Credit issued and outstanding under this Agreement, without any further action from any Person, until the expiration or termination of such Existing Letter of Credit in accordance with the terms thereof and 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2.06 </w:t>
      </w:r>
      <w:r>
        <w:rPr>
          <w:rFonts w:ascii="Times New Roman" w:hAnsi="Times New Roman"/>
          <w:b w:val="false"/>
          <w:color w:val="000000"/>
          <w:sz w:val="24"/>
          <w:u w:val="single"/>
        </w:rPr>
        <w:t>Funding of Borrowings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Lender shall make each Loan to be made by it hereunder on the proposed date thereof by wire transfer of immediately available funds by 12:00 noon, New York City time, to the Applicable Account of the Administrative Agent most recently designated by it for such purpose by notice to the Lenders. The Administrative Agent will make such Loans available to the Borrower by promptly crediting the amounts so received, in like funds, to an account of the Borrower designated by the Borrower; </w:t>
      </w:r>
      <w:r>
        <w:rPr>
          <w:rFonts w:ascii="Times New Roman" w:hAnsi="Times New Roman"/>
          <w:color w:val="000000"/>
          <w:sz w:val="24"/>
          <w:u w:val="single"/>
        </w:rPr>
        <w:t xml:space="preserve">provided </w:t>
      </w:r>
      <w:r>
        <w:rPr>
          <w:rFonts w:ascii="Times New Roman" w:hAnsi="Times New Roman"/>
          <w:color w:val="000000"/>
          <w:sz w:val="24"/>
        </w:rPr>
        <w:t xml:space="preserve">that ABR Revolving Loans made to finance the reimbursement of an LC Disbursement as provided in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shall be remitted by the Administrative Agent to the applicable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4"/>
          <w:u w:val="single"/>
        </w:rPr>
        <w:t>Section 2.06(a)</w:t>
      </w:r>
      <w:r>
        <w:rPr>
          <w:rFonts w:ascii="Times New Roman" w:hAnsi="Times New Roman"/>
          <w:color w:val="000000"/>
          <w:sz w:val="20"/>
        </w:rPr>
        <w:t xml:space="preserve"> </w:t>
      </w:r>
      <w:r>
        <w:rPr>
          <w:rFonts w:ascii="Times New Roman" w:hAnsi="Times New Roman"/>
          <w:color w:val="000000"/>
          <w:sz w:val="24"/>
        </w:rPr>
        <w:t>and may, in reliance on such assumption and in its sole discretion, make available to the Borrower a corresponding amount. In such event, if a Lender has not in fact made its share of the applicable Borrowing available to the Administrative Agent, then the applicable Lender agrees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Times New Roman" w:hAnsi="Times New Roman"/>
          <w:color w:val="000000"/>
          <w:sz w:val="24"/>
          <w:u w:val="single"/>
        </w:rPr>
        <w:t>Section 2.13</w:t>
      </w:r>
      <w:r>
        <w:rPr>
          <w:rFonts w:ascii="Times New Roman" w:hAnsi="Times New Roman"/>
          <w:color w:val="000000"/>
          <w:sz w:val="24"/>
        </w:rPr>
        <w:t>. If such Lender pays such amount to the Administrative Agent, then such amount shall constitute such Lender’s Loan included in such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obligations of the Lenders hereunder to make Revolving Loans, to fund participations in Letters of Credit and Swing Line Loans and to make payments pursuant to </w:t>
      </w:r>
      <w:r>
        <w:rPr>
          <w:rFonts w:ascii="Times New Roman" w:hAnsi="Times New Roman"/>
          <w:color w:val="000000"/>
          <w:sz w:val="24"/>
          <w:u w:val="single"/>
        </w:rPr>
        <w:t>Section 9.03(c)</w:t>
      </w:r>
      <w:r>
        <w:rPr>
          <w:rFonts w:ascii="Times New Roman" w:hAnsi="Times New Roman"/>
          <w:color w:val="000000"/>
          <w:sz w:val="20"/>
        </w:rPr>
        <w:t xml:space="preserve"> </w:t>
      </w:r>
      <w:r>
        <w:rPr>
          <w:rFonts w:ascii="Times New Roman" w:hAnsi="Times New Roman"/>
          <w:color w:val="000000"/>
          <w:sz w:val="24"/>
        </w:rPr>
        <w:t xml:space="preserve">are several and not joint. The failure of any Lender to make any Loan, to fund any such participation or to make any payment under </w:t>
      </w:r>
      <w:r>
        <w:rPr>
          <w:rFonts w:ascii="Times New Roman" w:hAnsi="Times New Roman"/>
          <w:color w:val="000000"/>
          <w:sz w:val="24"/>
          <w:u w:val="single"/>
        </w:rPr>
        <w:t>Section 9.03(c)</w:t>
      </w:r>
      <w:r>
        <w:rPr>
          <w:rFonts w:ascii="Times New Roman" w:hAnsi="Times New Roman"/>
          <w:color w:val="000000"/>
          <w:sz w:val="20"/>
        </w:rPr>
        <w:t xml:space="preserve"> </w:t>
      </w:r>
      <w:r>
        <w:rPr>
          <w:rFonts w:ascii="Times New Roman" w:hAnsi="Times New Roman"/>
          <w:color w:val="000000"/>
          <w:sz w:val="24"/>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color w:val="000000"/>
          <w:sz w:val="24"/>
          <w:u w:val="single"/>
        </w:rPr>
        <w:t>Section 9.03(c)</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2.07 </w:t>
      </w:r>
      <w:r>
        <w:rPr>
          <w:rFonts w:ascii="Times New Roman" w:hAnsi="Times New Roman"/>
          <w:b w:val="false"/>
          <w:color w:val="000000"/>
          <w:sz w:val="24"/>
          <w:u w:val="single"/>
        </w:rPr>
        <w:t>Interest Elections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Revolving Borrowing of the applicable Class initially shall be of the Type specified in the applicable Borrowing Request or designated by </w:t>
      </w:r>
      <w:r>
        <w:rPr>
          <w:rFonts w:ascii="Times New Roman" w:hAnsi="Times New Roman"/>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 xml:space="preserve">and, in the case of a Borrowing other than an ABR Borrowing, shall have an initial Interest Period as specified in such Borrowing Request or designated by </w:t>
      </w:r>
      <w:r>
        <w:rPr>
          <w:rFonts w:ascii="Times New Roman" w:hAnsi="Times New Roman"/>
          <w:color w:val="000000"/>
          <w:sz w:val="24"/>
          <w:u w:val="single"/>
        </w:rPr>
        <w:t>Section 2.03</w:t>
      </w:r>
      <w:r>
        <w:rPr>
          <w:rFonts w:ascii="Times New Roman" w:hAnsi="Times New Roman"/>
          <w:color w:val="000000"/>
          <w:sz w:val="24"/>
        </w:rPr>
        <w:t xml:space="preserve">. Thereafter, the Borrower may elect to convert such Borrowing to a different Type or to continue such Borrowing and, in the case of a Borrowing other than an ABR Borrowing, may elect Interest Periods therefor, all as provided in this </w:t>
      </w:r>
      <w:r>
        <w:rPr>
          <w:rFonts w:ascii="Times New Roman" w:hAnsi="Times New Roman"/>
          <w:color w:val="000000"/>
          <w:sz w:val="24"/>
          <w:u w:val="single"/>
        </w:rPr>
        <w:t>Section 2.07</w:t>
      </w:r>
      <w:r>
        <w:rPr>
          <w:rFonts w:ascii="Times New Roman" w:hAnsi="Times New Roman"/>
          <w:color w:val="000000"/>
          <w:sz w:val="24"/>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make an election pursuant to this </w:t>
      </w:r>
      <w:r>
        <w:rPr>
          <w:rFonts w:ascii="Times New Roman" w:hAnsi="Times New Roman"/>
          <w:color w:val="000000"/>
          <w:sz w:val="24"/>
          <w:u w:val="single"/>
        </w:rPr>
        <w:t>Section 2.07</w:t>
      </w:r>
      <w:r>
        <w:rPr>
          <w:rFonts w:ascii="Times New Roman" w:hAnsi="Times New Roman"/>
          <w:color w:val="000000"/>
          <w:sz w:val="24"/>
        </w:rPr>
        <w:t xml:space="preserve">, the Borrower shall notify the Administrative Agent of such election by facsimile or other electronic transmission of a written Interest Election Request signed by the Borrower, by the time that a Borrowing Request for Revolving Loans would be required under </w:t>
      </w:r>
      <w:r>
        <w:rPr>
          <w:rFonts w:ascii="Times New Roman" w:hAnsi="Times New Roman"/>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if the Borrower were requesting a Borrowing of the Type resulting from such election to be made on the effective date of such election.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written Interest Election Request shall specify the following information in compliance with </w:t>
      </w:r>
      <w:r>
        <w:rPr>
          <w:rFonts w:ascii="Times New Roman" w:hAnsi="Times New Roman"/>
          <w:color w:val="000000"/>
          <w:sz w:val="24"/>
          <w:u w:val="single"/>
        </w:rPr>
        <w:t>Section 2.03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the Borrowing to which such Interest Election Request applies and, if different options are being elected with respect to different portions thereof, the portions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thereof to be allocated to each resulting Borrowing (in which case the information to be specified pursuant to clauses (iii) and (iv) below shall be specified for each resulting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effective date of the election made pursuant to such Interest Election Request, which shall be a Business Day;</w:t>
      </w:r>
    </w:p>
    <w:p>
      <w:pPr>
        <w:pStyle w:val="TextBody"/>
        <w:bidi w:val="0"/>
        <w:spacing w:before="0" w:after="240"/>
        <w:jc w:val="both"/>
        <w:rPr>
          <w:rFonts w:ascii="Times New Roman" w:hAnsi="Times New Roman"/>
          <w:sz w:val="20"/>
        </w:rPr>
      </w:pPr>
      <w:r>
        <w:rPr>
          <w:rFonts w:ascii="Times New Roman" w:hAnsi="Times New Roman"/>
          <w:color w:val="000000"/>
          <w:sz w:val="24"/>
        </w:rPr>
        <w:t>(iii) whether the resulting Borrowing is to be an ABR Borrowing a Term SOFR Borrowing, a Term CORRA Borrowings, a RFR Borrowing or a EURIBOR Borrowing;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if the resulting Borrowing is to be a Borrowing other than an ABR Borrowing, the Interest Period to be applicable thereto after giving effect to such election, which shall be a period contemplated by the definition of “</w:t>
      </w:r>
      <w:r>
        <w:rPr>
          <w:rFonts w:ascii="Times New Roman" w:hAnsi="Times New Roman"/>
          <w:color w:val="000000"/>
          <w:sz w:val="24"/>
          <w:u w:val="single"/>
        </w:rPr>
        <w:t>Interest Period</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such Interest Election Request requests a Term SOFR Borrowing, a Term CORRA Borrowing, a RFR Borrowing or a EURIBOR Borrowing but does not specify an Interest Period, then the Borrower shall be deemed to have selected an Interest Period of one (1) month’s duration.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Promptly following receipt of an Interest Election Request in accordance with this </w:t>
      </w:r>
      <w:r>
        <w:rPr>
          <w:rFonts w:ascii="Times New Roman" w:hAnsi="Times New Roman"/>
          <w:color w:val="000000"/>
          <w:sz w:val="24"/>
          <w:u w:val="single"/>
        </w:rPr>
        <w:t>Section 2.07</w:t>
      </w:r>
      <w:r>
        <w:rPr>
          <w:rFonts w:ascii="Times New Roman" w:hAnsi="Times New Roman"/>
          <w:color w:val="000000"/>
          <w:sz w:val="24"/>
        </w:rPr>
        <w:t>, the Administrative Agent shall advise each Lender of the applicable Class of the details thereof and of such Lender’s portion of each resulting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If the Borrower fails to deliver a timely Interest Election Request with respect to a Term SOFR Borrowing, a Term CORRA Borrowings, a RFR Borrowing or a EURIBOR Borrowing prior to the end of the Interest Period applicable thereto, then, unless such Borrowing is repaid, at the end of such Interest Period such Borrowing shall be continued as the same Type of Borrowing of one (1) month. Notwithstanding any contrary provision hereof, if an Event of Default has occurred and is continuing and the Administrative Agent, at the request of the Required Lenders, so notifies the Borrower, then, so long as an Event of Default is continuing no outstanding Borrowing may be converted to or continued as a Borrowing in excess of one (1) month.</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2.08 </w:t>
      </w:r>
      <w:r>
        <w:rPr>
          <w:rFonts w:ascii="Times New Roman" w:hAnsi="Times New Roman"/>
          <w:b w:val="false"/>
          <w:color w:val="000000"/>
          <w:sz w:val="24"/>
          <w:u w:val="single"/>
        </w:rPr>
        <w:t>Termination and Reduction of Commitments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Unless previously terminated, the Revolving Commitments shall terminate on the Revolving Maturity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Borrower may at any time terminate, or from time to time reduce, the Commitments of any Class without premium or penalty (subject to </w:t>
      </w:r>
      <w:r>
        <w:rPr>
          <w:rFonts w:ascii="Times New Roman" w:hAnsi="Times New Roman"/>
          <w:color w:val="000000"/>
          <w:sz w:val="24"/>
          <w:u w:val="single"/>
        </w:rPr>
        <w:t>Section 2.16</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(i) each reduction of the Commitments of any Class shall be in an amount that is an integral multiple of $500,000 and not less than $500,000 unless such amount represents all of the remaining Commitments of such Class, (ii) the Borrower shall not terminate or reduce the Revolving Commitments of any Class if, after giving effect to any concurrent prepayment of the Revolving Loans in accordance with </w:t>
      </w:r>
      <w:r>
        <w:rPr>
          <w:rFonts w:ascii="Times New Roman" w:hAnsi="Times New Roman"/>
          <w:color w:val="000000"/>
          <w:sz w:val="24"/>
          <w:u w:val="single"/>
        </w:rPr>
        <w:t>Section 2.11</w:t>
      </w:r>
      <w:r>
        <w:rPr>
          <w:rFonts w:ascii="Times New Roman" w:hAnsi="Times New Roman"/>
          <w:color w:val="000000"/>
          <w:sz w:val="24"/>
        </w:rPr>
        <w:t>, the aggregate Revolving Exposures of such Class would exceed the aggregate Revolving Commitments then in effect for such Class, and (iii) if, after giving effect to any reduction of the Revolving Commitments, the Letter of Credit Sublimit or the Swing Line Sublimit exceeds the amount of the Revolving Commitments, such sublimit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automatically reduced by the amount of such excess. Except as provided above, the amount of any such Commitment reduction shall not be applied to the Letter of Credit Sublimit or the Swing Line Sublimit unless otherwise specified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Borrower shall notify the Administrative Agent of any election to terminate or reduce the Commitments under </w:t>
      </w:r>
      <w:r>
        <w:rPr>
          <w:rFonts w:ascii="Times New Roman" w:hAnsi="Times New Roman"/>
          <w:color w:val="000000"/>
          <w:sz w:val="24"/>
          <w:u w:val="single"/>
        </w:rPr>
        <w:t>Section 2.08(b)</w:t>
      </w:r>
      <w:r>
        <w:rPr>
          <w:rFonts w:ascii="Times New Roman" w:hAnsi="Times New Roman"/>
          <w:color w:val="000000"/>
          <w:sz w:val="20"/>
        </w:rPr>
        <w:t xml:space="preserve"> </w:t>
      </w:r>
      <w:r>
        <w:rPr>
          <w:rFonts w:ascii="Times New Roman" w:hAnsi="Times New Roman"/>
          <w:color w:val="000000"/>
          <w:sz w:val="24"/>
        </w:rPr>
        <w:t xml:space="preserve">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shall be irrevocable; </w:t>
      </w:r>
      <w:r>
        <w:rPr>
          <w:rFonts w:ascii="Times New Roman" w:hAnsi="Times New Roman"/>
          <w:color w:val="000000"/>
          <w:sz w:val="24"/>
          <w:u w:val="single"/>
        </w:rPr>
        <w:t xml:space="preserve">provided </w:t>
      </w:r>
      <w:r>
        <w:rPr>
          <w:rFonts w:ascii="Times New Roman" w:hAnsi="Times New Roman"/>
          <w:color w:val="000000"/>
          <w:sz w:val="24"/>
        </w:rPr>
        <w:t xml:space="preserve">that a notice of termination of the Revolving Commitments delivered by the Borrower may state that such notice is conditioned upon the effectiveness of any credit facilities or the receipt of the proceeds from the issuance of other Indebtedness or the occurrence of some other identifiable and specified event or condition, in which case such notice may be revoked or extended by the Borrower (by notice to the Administrative Agent on or prior to the specified effective date of termination) if such condition is not satisfied. The Administrative Agent will promptly notify the Appropriate Lenders of any termination or reduction of unused portions of the Letter of Credit Sublimit or the Swing Line Sublimit or the unused Commitments of any Class under this </w:t>
      </w:r>
      <w:r>
        <w:rPr>
          <w:rFonts w:ascii="Times New Roman" w:hAnsi="Times New Roman"/>
          <w:color w:val="000000"/>
          <w:sz w:val="24"/>
          <w:u w:val="single"/>
        </w:rPr>
        <w:t>Section 2.08</w:t>
      </w:r>
      <w:r>
        <w:rPr>
          <w:rFonts w:ascii="Times New Roman" w:hAnsi="Times New Roman"/>
          <w:color w:val="000000"/>
          <w:sz w:val="24"/>
        </w:rPr>
        <w:t>. Any termination or reduction of the Commitments of any Class shall be permanent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that termination or reduction of Revolving Commitments of the Initial Revolving Facility will be taken into account for purposes of the Incremental Cap to the extent provided in the definition thereof). Each reduction of (x) the Commitments of any Class shall be made ratably among the Lenders in accordance with their respective Commitments of such Class and (y) the Revolving Commitments shall be made to any Class of Revolving Commitment as directed by the Borrower (including to any Class of existing or extended Revolving Commitments).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2.09 </w:t>
      </w:r>
      <w:r>
        <w:rPr>
          <w:rFonts w:ascii="Times New Roman" w:hAnsi="Times New Roman"/>
          <w:b w:val="false"/>
          <w:color w:val="000000"/>
          <w:sz w:val="24"/>
          <w:u w:val="single"/>
        </w:rPr>
        <w:t>Repayment of Loans; Evidence of Debt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 hereby unconditionally promises to pay to the Administrative Agent for the account of each Lender the then unpaid principal amount of each Revolving Loan of such Lender on the Revolving Maturity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shall repay the aggregate principal amount of its Swing Line Loans on the Revolving Maturity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Lender shall maintain in accordance with its usual practice accounts or records evidencing the Indebtedness of the Borrower to such Lender resulting from each Loan made by such Lender, including the amounts of principal and interest payable and paid to such Lender from time to time hereunder and the amount of any purchases and sales by such Lender of participations in Letters of Credit and Swing Line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Administrative Agent shall, in connection with the maintenance of the Register in accordance with </w:t>
      </w:r>
      <w:r>
        <w:rPr>
          <w:rFonts w:ascii="Times New Roman" w:hAnsi="Times New Roman"/>
          <w:color w:val="000000"/>
          <w:sz w:val="24"/>
          <w:u w:val="single"/>
        </w:rPr>
        <w:t>Section 9.04(b)(iv)</w:t>
      </w:r>
      <w:r>
        <w:rPr>
          <w:rFonts w:ascii="Times New Roman" w:hAnsi="Times New Roman"/>
          <w:color w:val="000000"/>
          <w:sz w:val="24"/>
        </w:rPr>
        <w:t>,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thereof.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The entries made in the accounts maintained pursuant to </w:t>
      </w:r>
      <w:r>
        <w:rPr>
          <w:rFonts w:ascii="Times New Roman" w:hAnsi="Times New Roman"/>
          <w:color w:val="000000"/>
          <w:sz w:val="24"/>
          <w:u w:val="single"/>
        </w:rPr>
        <w:t>Section 2.09(c)</w:t>
      </w:r>
      <w:r>
        <w:rPr>
          <w:rFonts w:ascii="Times New Roman" w:hAnsi="Times New Roman"/>
          <w:color w:val="000000"/>
          <w:sz w:val="20"/>
        </w:rPr>
        <w:t xml:space="preserve"> </w:t>
      </w:r>
      <w:r>
        <w:rPr>
          <w:rFonts w:ascii="Times New Roman" w:hAnsi="Times New Roman"/>
          <w:color w:val="000000"/>
          <w:sz w:val="24"/>
        </w:rPr>
        <w:t xml:space="preserve">shall be prima facie evidence of the existence and amounts of the obligations recorded therein, </w:t>
      </w:r>
      <w:r>
        <w:rPr>
          <w:rFonts w:ascii="Times New Roman" w:hAnsi="Times New Roman"/>
          <w:color w:val="000000"/>
          <w:sz w:val="24"/>
          <w:u w:val="single"/>
        </w:rPr>
        <w:t xml:space="preserve">provided </w:t>
      </w:r>
      <w:r>
        <w:rPr>
          <w:rFonts w:ascii="Times New Roman" w:hAnsi="Times New Roman"/>
          <w:color w:val="000000"/>
          <w:sz w:val="24"/>
        </w:rPr>
        <w:t>that the failure of the Administrative Agent to maintain such accounts or any error therein shall not in any manner affect the obligation of the Borrower to pay any amounts due hereunder in accordance with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Any Lender may request through the Administrative Agent that Loans of any Class made by it be evidenced by a Note. In such event, the Borrower shall execute and deliver to such Lender a Note payable to such Lender (or, if requested by such Lender, to such Lender and its registered assigns).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2.10 </w:t>
      </w:r>
      <w:r>
        <w:rPr>
          <w:rFonts w:ascii="Times New Roman" w:hAnsi="Times New Roman"/>
          <w:b w:val="false"/>
          <w:color w:val="000000"/>
          <w:sz w:val="24"/>
          <w:u w:val="single"/>
        </w:rPr>
        <w:t>[Reserved]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2.11 </w:t>
      </w:r>
      <w:r>
        <w:rPr>
          <w:rFonts w:ascii="Times New Roman" w:hAnsi="Times New Roman"/>
          <w:b w:val="false"/>
          <w:color w:val="000000"/>
          <w:sz w:val="24"/>
          <w:u w:val="single"/>
        </w:rPr>
        <w:t>Prepayment of Loans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shall have the right at any time and from time to time to prepay any Borrowing of Initial Revolving Loans in whole or in part, without premium or penalty. The Borrower may, upon notice to the Swing Line Lender (with a copy to the Administrative Agent), at any time or from time to time, voluntarily prepay Swing Line Loans in whole or in part without premium or penalty; </w:t>
      </w:r>
      <w:r>
        <w:rPr>
          <w:rFonts w:ascii="Times New Roman" w:hAnsi="Times New Roman"/>
          <w:color w:val="000000"/>
          <w:sz w:val="24"/>
          <w:u w:val="single"/>
        </w:rPr>
        <w:t>provided</w:t>
      </w:r>
      <w:r>
        <w:rPr>
          <w:rFonts w:ascii="Times New Roman" w:hAnsi="Times New Roman"/>
          <w:color w:val="000000"/>
          <w:sz w:val="20"/>
          <w:u w:val="single"/>
        </w:rPr>
        <w:t xml:space="preserve"> </w:t>
      </w:r>
      <w:r>
        <w:rPr>
          <w:rFonts w:ascii="Times New Roman" w:hAnsi="Times New Roman"/>
          <w:color w:val="000000"/>
          <w:sz w:val="24"/>
        </w:rPr>
        <w:t>that (1) such notice must be received by the Swing Line Lender and the Administrative Agent not later than 12:00 p.m. (New York City time) on the date of the prepayment, and (2) any such prepayment shall be in a minimum principal amount of $250,000 or a whole multiple of $100,000 in excess thereof or, if less, the entire principal amount thereof then outstanding. Each such notice shall specify the date and amount of such prepayment. If such notice is given by the Borrower, unless rescinded, the Borrower shall make such prepayment and the payment amount specified in such notice shall be due and payable on the date specified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the event and on each occasion that the aggregate Revolving Exposures exceed the aggregate Revolving Commitments at such time, the Borrower shall prepay Revolving Borrowings and Swing Line Borrowings (or, if no such Borrowings are outstanding, deposit cash collateral in an account with the Administrative Agent pursuant to </w:t>
      </w:r>
      <w:r>
        <w:rPr>
          <w:rFonts w:ascii="Times New Roman" w:hAnsi="Times New Roman"/>
          <w:color w:val="000000"/>
          <w:sz w:val="24"/>
          <w:u w:val="single"/>
        </w:rPr>
        <w:t>Section 2.05(j)</w:t>
      </w:r>
      <w:r>
        <w:rPr>
          <w:rFonts w:ascii="Times New Roman" w:hAnsi="Times New Roman"/>
          <w:color w:val="000000"/>
          <w:sz w:val="24"/>
        </w:rPr>
        <w:t>) in an aggregate amount necessary to eliminate such excess within one (1) Business Day following the Borrower’s receipt of written notice from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(c) In the event and on each occasion that any Net Proceeds are received by or on behalf of Holdings or its Restricted Subsidiaries in respect of any Prepayment Event, the Borrower shall, within five (5) Business Days after such Net Proceeds are received (or, in the case of a Prepayment Event described in clause (b) of the definition of the term “Prepayment Event”, on the date of such Prepayment Event), prepay Revolving Borrowings and Swing Line Borrowings in an aggregate amount equal to 100% of the amount of such Net Proceeds (or if less, the aggregate principal amount of Revolving Borrowers and Swing Line Borrowings then outstanding) (it being understood, for the avoidance of doubt, that (x) there shall not be a permanent reduction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Revolving Commitments as a result of any prepayment made pursuant to this </w:t>
      </w:r>
      <w:r>
        <w:rPr>
          <w:rFonts w:ascii="Times New Roman" w:hAnsi="Times New Roman"/>
          <w:color w:val="000000"/>
          <w:sz w:val="24"/>
          <w:u w:val="single"/>
        </w:rPr>
        <w:t>Section 2.11(c)</w:t>
      </w:r>
      <w:r>
        <w:rPr>
          <w:rFonts w:ascii="Times New Roman" w:hAnsi="Times New Roman"/>
          <w:color w:val="000000"/>
          <w:sz w:val="20"/>
        </w:rPr>
        <w:t xml:space="preserve"> </w:t>
      </w:r>
      <w:r>
        <w:rPr>
          <w:rFonts w:ascii="Times New Roman" w:hAnsi="Times New Roman"/>
          <w:color w:val="000000"/>
          <w:sz w:val="24"/>
        </w:rPr>
        <w:t>and (y) if there are no Revolving Loans or Swing Line Loans outstanding at the time such Net Proceeds are received by Holdings or its Restricted Subsidiaries, no mandatory prepayment shall be required in respect thereof.</w:t>
      </w:r>
    </w:p>
    <w:p>
      <w:pPr>
        <w:pStyle w:val="TextBody"/>
        <w:bidi w:val="0"/>
        <w:spacing w:before="0" w:after="240"/>
        <w:jc w:val="both"/>
        <w:rPr>
          <w:rFonts w:ascii="Times New Roman" w:hAnsi="Times New Roman"/>
          <w:sz w:val="20"/>
        </w:rPr>
      </w:pPr>
      <w:r>
        <w:rPr>
          <w:rFonts w:ascii="Times New Roman" w:hAnsi="Times New Roman"/>
          <w:color w:val="000000"/>
          <w:sz w:val="24"/>
        </w:rPr>
        <w:t>(d) In the event and on each occasion that, as of the close of any Business Day, the Cash Balance of Holdings and its Subsidiaries has exceeded $5,000,000 for five (5) consecutive Business Days (such occurrence, a “</w:t>
      </w:r>
      <w:r>
        <w:rPr>
          <w:rFonts w:ascii="Times New Roman" w:hAnsi="Times New Roman"/>
          <w:color w:val="000000"/>
          <w:sz w:val="24"/>
          <w:u w:val="single"/>
        </w:rPr>
        <w:t>Trigger Event</w:t>
      </w:r>
      <w:r>
        <w:rPr>
          <w:rFonts w:ascii="Times New Roman" w:hAnsi="Times New Roman"/>
          <w:color w:val="000000"/>
          <w:sz w:val="20"/>
        </w:rPr>
        <w:t>”</w:t>
      </w:r>
      <w:r>
        <w:rPr>
          <w:rFonts w:ascii="Times New Roman" w:hAnsi="Times New Roman"/>
          <w:color w:val="000000"/>
          <w:sz w:val="24"/>
        </w:rPr>
        <w:t>, and the amount by which the Cash Balance as of the date of such Trigger Event exceeds $5,000,000, the “</w:t>
      </w:r>
      <w:r>
        <w:rPr>
          <w:rFonts w:ascii="Times New Roman" w:hAnsi="Times New Roman"/>
          <w:color w:val="000000"/>
          <w:sz w:val="24"/>
          <w:u w:val="single"/>
        </w:rPr>
        <w:t>Cash Excess</w:t>
      </w:r>
      <w:r>
        <w:rPr>
          <w:rFonts w:ascii="Times New Roman" w:hAnsi="Times New Roman"/>
          <w:color w:val="000000"/>
          <w:sz w:val="20"/>
        </w:rPr>
        <w:t>”</w:t>
      </w:r>
      <w:r>
        <w:rPr>
          <w:rFonts w:ascii="Times New Roman" w:hAnsi="Times New Roman"/>
          <w:color w:val="000000"/>
          <w:sz w:val="24"/>
        </w:rPr>
        <w:t xml:space="preserve">), the Borrower shall, within three (3) Business Days after the occurrence of such Trigger Event, prepay any outstanding Revolving Loans and/or Swing Line Loans (if any) in an amount equal to such Cash Excess (or if less, the aggregate principal amount of Revolving Borrowings and Swing Line Borrowings then outstanding). For the avoidance of doubt, (x) there shall not be a permanent reduction of Revolving Commitments as a result of any prepayment made pursuant to this </w:t>
      </w:r>
      <w:r>
        <w:rPr>
          <w:rFonts w:ascii="Times New Roman" w:hAnsi="Times New Roman"/>
          <w:color w:val="000000"/>
          <w:sz w:val="24"/>
          <w:u w:val="single"/>
        </w:rPr>
        <w:t>Section 2.11(d)</w:t>
      </w:r>
      <w:r>
        <w:rPr>
          <w:rFonts w:ascii="Times New Roman" w:hAnsi="Times New Roman"/>
          <w:color w:val="000000"/>
          <w:sz w:val="20"/>
        </w:rPr>
        <w:t xml:space="preserve"> </w:t>
      </w:r>
      <w:r>
        <w:rPr>
          <w:rFonts w:ascii="Times New Roman" w:hAnsi="Times New Roman"/>
          <w:color w:val="000000"/>
          <w:sz w:val="24"/>
        </w:rPr>
        <w:t>and (y) if there are no Revolving Loans or Swing Line Loans outstanding at the time a Trigger Event occurs, no mandatory prepayment shall be required in respect of such Trigger Event.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Prior to any optional prepayment of Borrowings pursuant to </w:t>
      </w:r>
      <w:r>
        <w:rPr>
          <w:rFonts w:ascii="Times New Roman" w:hAnsi="Times New Roman"/>
          <w:color w:val="000000"/>
          <w:sz w:val="24"/>
          <w:u w:val="single"/>
        </w:rPr>
        <w:t>Section 2.11(a)</w:t>
      </w:r>
      <w:r>
        <w:rPr>
          <w:rFonts w:ascii="Times New Roman" w:hAnsi="Times New Roman"/>
          <w:color w:val="000000"/>
          <w:sz w:val="24"/>
        </w:rPr>
        <w:t xml:space="preserve">, the Borrower shall select the Borrowing or Borrowings to be prepaid and shall specify such selection in the notice of such prepayment pursuant to </w:t>
      </w:r>
      <w:r>
        <w:rPr>
          <w:rFonts w:ascii="Times New Roman" w:hAnsi="Times New Roman"/>
          <w:color w:val="000000"/>
          <w:sz w:val="24"/>
          <w:u w:val="single"/>
        </w:rPr>
        <w:t>Section 2.11(f)</w:t>
      </w:r>
      <w:r>
        <w:rPr>
          <w:rFonts w:ascii="Times New Roman" w:hAnsi="Times New Roman"/>
          <w:color w:val="000000"/>
          <w:sz w:val="24"/>
        </w:rPr>
        <w:t>. In the event of any optional prepayment of Revolving Borrowings, the Borrower shall select the Class or Classes of Revolving Borrowings to be prepaid.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 Borrower shall notify the Administrative Agent of any optional prepayment pursuant to </w:t>
      </w:r>
      <w:r>
        <w:rPr>
          <w:rFonts w:ascii="Times New Roman" w:hAnsi="Times New Roman"/>
          <w:color w:val="000000"/>
          <w:sz w:val="24"/>
          <w:u w:val="single"/>
        </w:rPr>
        <w:t>Section 2.11(a)</w:t>
      </w:r>
      <w:r>
        <w:rPr>
          <w:rFonts w:ascii="Times New Roman" w:hAnsi="Times New Roman"/>
          <w:color w:val="000000"/>
          <w:sz w:val="20"/>
        </w:rPr>
        <w:t xml:space="preserve"> </w:t>
      </w:r>
      <w:r>
        <w:rPr>
          <w:rFonts w:ascii="Times New Roman" w:hAnsi="Times New Roman"/>
          <w:color w:val="000000"/>
          <w:sz w:val="24"/>
        </w:rPr>
        <w:t xml:space="preserve">in writing (by facsimile or other electronic communication) of any prepayment hereunder (i) in the case of prepayment of a Borrowing other than an ABR Borrowing, not later than 12:00 p.m. (New York City time) three (3) Business Days before the date of prepayment or (ii) in the case of prepayment of an ABR Borrowing, not later than 12:00 p.m. (New York City time) one (1) Business Day before the date of prepayment and any mandatory prepayment required pursuant to </w:t>
      </w:r>
      <w:r>
        <w:rPr>
          <w:rFonts w:ascii="Times New Roman" w:hAnsi="Times New Roman"/>
          <w:color w:val="000000"/>
          <w:sz w:val="24"/>
          <w:u w:val="single"/>
        </w:rPr>
        <w:t>Section 2.11(c)</w:t>
      </w:r>
      <w:r>
        <w:rPr>
          <w:rFonts w:ascii="Times New Roman" w:hAnsi="Times New Roman"/>
          <w:color w:val="000000"/>
          <w:sz w:val="20"/>
        </w:rPr>
        <w:t xml:space="preserve"> </w:t>
      </w:r>
      <w:r>
        <w:rPr>
          <w:rFonts w:ascii="Times New Roman" w:hAnsi="Times New Roman"/>
          <w:color w:val="000000"/>
          <w:sz w:val="24"/>
        </w:rPr>
        <w:t xml:space="preserve">in writing (by facsimile or other electronic communication) of any payment hereunder no later than 12:00 p.m. (New York City time) three (3) Business Days before the date of prepayment (or in each case, such shorter period as the Administrative Agent may reasonably agree).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or extended by the Borrower (by notice to the Administrative Agent on or prior to the specified effective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hAnsi="Times New Roman"/>
          <w:color w:val="000000"/>
          <w:sz w:val="24"/>
          <w:u w:val="single"/>
        </w:rPr>
        <w:t>Section 2.02</w:t>
      </w:r>
      <w:r>
        <w:rPr>
          <w:rFonts w:ascii="Times New Roman" w:hAnsi="Times New Roman"/>
          <w:color w:val="000000"/>
          <w:sz w:val="24"/>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 w:hAnsi="Times New Roman"/>
          <w:color w:val="000000"/>
          <w:sz w:val="24"/>
          <w:u w:val="single"/>
        </w:rPr>
        <w:t>Section 2.13</w:t>
      </w:r>
      <w:r>
        <w:rPr>
          <w:rFonts w:ascii="Times New Roman" w:hAnsi="Times New Roman"/>
          <w:color w:val="000000"/>
          <w:sz w:val="24"/>
        </w:rPr>
        <w:t xml:space="preserve">, and subject to </w:t>
      </w:r>
      <w:r>
        <w:rPr>
          <w:rFonts w:ascii="Times New Roman" w:hAnsi="Times New Roman"/>
          <w:color w:val="000000"/>
          <w:sz w:val="24"/>
          <w:u w:val="single"/>
        </w:rPr>
        <w:t>Section 2.16</w:t>
      </w:r>
      <w:r>
        <w:rPr>
          <w:rFonts w:ascii="Times New Roman" w:hAnsi="Times New Roman"/>
          <w:color w:val="000000"/>
          <w:sz w:val="24"/>
        </w:rPr>
        <w:t>, shall be without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premium or penalty. At the Borrower’s election in connection with any prepayment pursuant to this </w:t>
      </w:r>
      <w:r>
        <w:rPr>
          <w:rFonts w:ascii="Times New Roman" w:hAnsi="Times New Roman"/>
          <w:color w:val="000000"/>
          <w:sz w:val="24"/>
          <w:u w:val="single"/>
        </w:rPr>
        <w:t>Section 2.11</w:t>
      </w:r>
      <w:r>
        <w:rPr>
          <w:rFonts w:ascii="Times New Roman" w:hAnsi="Times New Roman"/>
          <w:color w:val="000000"/>
          <w:sz w:val="24"/>
        </w:rPr>
        <w:t>, such prepayment shall not be applied to any Revolving Loan of a Defaulting Lender (under any of subclauses (a), (b) or (c) of the definition of “Defaulting Lender”) and shall be allocated ratably among the relevant non-Defaulting Lenders.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2.12 </w:t>
      </w:r>
      <w:r>
        <w:rPr>
          <w:rFonts w:ascii="Times New Roman" w:hAnsi="Times New Roman"/>
          <w:b w:val="false"/>
          <w:color w:val="000000"/>
          <w:sz w:val="24"/>
          <w:u w:val="single"/>
        </w:rPr>
        <w:t>Fees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agrees to pay to the Administrative Agent in Dollars for the account of each Revolving Lender (other than a Defaulting Lender) a commitment fee, which shall accrue at the rate of 0.425% per annum on the daily average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last Business Day of the first full calendar quarter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w:t>
      </w:r>
      <w:r>
        <w:rPr>
          <w:rFonts w:ascii="Times New Roman" w:hAnsi="Times New Roman"/>
          <w:color w:val="000000"/>
          <w:sz w:val="24"/>
          <w:u w:val="single"/>
        </w:rPr>
        <w:t xml:space="preserve">provided </w:t>
      </w:r>
      <w:r>
        <w:rPr>
          <w:rFonts w:ascii="Times New Roman" w:hAnsi="Times New Roman"/>
          <w:color w:val="000000"/>
          <w:sz w:val="24"/>
        </w:rPr>
        <w:t xml:space="preserve">that, for purposes of this </w:t>
      </w:r>
      <w:r>
        <w:rPr>
          <w:rFonts w:ascii="Times New Roman" w:hAnsi="Times New Roman"/>
          <w:color w:val="000000"/>
          <w:sz w:val="24"/>
          <w:u w:val="single"/>
        </w:rPr>
        <w:t>Section 2.12(a)</w:t>
      </w:r>
      <w:r>
        <w:rPr>
          <w:rFonts w:ascii="Times New Roman" w:hAnsi="Times New Roman"/>
          <w:color w:val="000000"/>
          <w:sz w:val="24"/>
        </w:rPr>
        <w:t>, Swing Line Obligations of a Lender shall not be treated as a utilization of the Revolving Commitment of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Borrower agrees to pay (i) 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SOFR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Administrative Agent in consultation with the applicable Issuing Bank and payable directly to the applicable Issuing Bank), which shall accrue at a rate of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last Business Day of March, June, September and December, respectively, commencing on the first such date to occur after the Effective Date; </w:t>
      </w:r>
      <w:r>
        <w:rPr>
          <w:rFonts w:ascii="Times New Roman" w:hAnsi="Times New Roman"/>
          <w:color w:val="000000"/>
          <w:sz w:val="24"/>
          <w:u w:val="single"/>
        </w:rPr>
        <w:t xml:space="preserve">provided </w:t>
      </w:r>
      <w:r>
        <w:rPr>
          <w:rFonts w:ascii="Times New Roman" w:hAnsi="Times New Roman"/>
          <w:color w:val="000000"/>
          <w:sz w:val="24"/>
        </w:rPr>
        <w:t>that all such fees shall be payable on the date on which the Revolving Commitments terminate and any such fees accruing after the date on which the Revolving Commitments terminate shall be payable on demand. Any other fees payable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an Issuing Bank pursuant to this </w:t>
      </w:r>
      <w:r>
        <w:rPr>
          <w:rFonts w:ascii="Times New Roman" w:hAnsi="Times New Roman"/>
          <w:color w:val="000000"/>
          <w:sz w:val="24"/>
          <w:u w:val="single"/>
        </w:rPr>
        <w:t>Section 2.12(b)</w:t>
      </w:r>
      <w:r>
        <w:rPr>
          <w:rFonts w:ascii="Times New Roman" w:hAnsi="Times New Roman"/>
          <w:color w:val="000000"/>
          <w:sz w:val="20"/>
        </w:rPr>
        <w:t xml:space="preserve"> </w:t>
      </w:r>
      <w:r>
        <w:rPr>
          <w:rFonts w:ascii="Times New Roman" w:hAnsi="Times New Roman"/>
          <w:color w:val="000000"/>
          <w:sz w:val="24"/>
        </w:rPr>
        <w:t>shall be payable within ten (10) days after written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agrees to pay to the Administrative Agent, for its own account, fees payable in the amounts and at the times separately agreed upon in writing between the Borrower and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Notwithstanding the foregoing, and subject to </w:t>
      </w:r>
      <w:r>
        <w:rPr>
          <w:rFonts w:ascii="Times New Roman" w:hAnsi="Times New Roman"/>
          <w:color w:val="000000"/>
          <w:sz w:val="24"/>
          <w:u w:val="single"/>
        </w:rPr>
        <w:t>Section 2.22</w:t>
      </w:r>
      <w:r>
        <w:rPr>
          <w:rFonts w:ascii="Times New Roman" w:hAnsi="Times New Roman"/>
          <w:color w:val="000000"/>
          <w:sz w:val="24"/>
        </w:rPr>
        <w:t xml:space="preserve">, the Borrower shall not be obligated to pay any amounts to any Defaulting Lender pursuant to this </w:t>
      </w:r>
      <w:r>
        <w:rPr>
          <w:rFonts w:ascii="Times New Roman" w:hAnsi="Times New Roman"/>
          <w:color w:val="000000"/>
          <w:sz w:val="24"/>
          <w:u w:val="single"/>
        </w:rPr>
        <w:t>Section 2.12</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2.13 </w:t>
      </w:r>
      <w:r>
        <w:rPr>
          <w:rFonts w:ascii="Times New Roman" w:hAnsi="Times New Roman"/>
          <w:b w:val="false"/>
          <w:color w:val="000000"/>
          <w:sz w:val="24"/>
          <w:u w:val="single"/>
        </w:rPr>
        <w:t>Interest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 The Loans comprising each ABR Borrowing (other than Swing Line Borrowings) shall bear interest at the Alternate Base Rate plus the Applicable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Each Swing Line Loan shall bear interest on the outstanding principal amount thereof from the applicable borrowing date at a rate per annum equal to the Alternate Base Rate plus the Applicable Rate for Revolving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Loans comprising each Revolving Loan Borrowing shall bear interest at the Term SOFR Rate, Term CORRA Rate, Daily Simple RFR or EURIBOR Rate, as applicable, in each case for the Interest Period in effect for such Borrowing, plus the Applicable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the foregoing, if upon the occurrence and during the continuance of (i) any Specified Event of Default or (ii) at the request of the Required Lenders, any other Event of Default, any principal of or interest on any Loan or any fee or other amount payable by the Borrower hereunder is not paid when due (after giving effect to any applicable grace periods), whether at stated maturity, upon acceleration or otherwise, such amount shall bear interest, after as well as before judgment, at a rate per annum equal to (i) in the case of the principal of any Loan, 2.00% per annum plus the rate otherwise applicable to such Loan as provided in </w:t>
      </w:r>
      <w:r>
        <w:rPr>
          <w:rFonts w:ascii="Times New Roman" w:hAnsi="Times New Roman"/>
          <w:color w:val="000000"/>
          <w:sz w:val="24"/>
          <w:u w:val="single"/>
        </w:rPr>
        <w:t>Section 2.13(a)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(ii) in the case of any other overdue amount, 2.00% per annum plus the rate applicable to ABR Revolving Loans as provided in </w:t>
      </w:r>
      <w:r>
        <w:rPr>
          <w:rFonts w:ascii="Times New Roman" w:hAnsi="Times New Roman"/>
          <w:color w:val="000000"/>
          <w:sz w:val="24"/>
          <w:u w:val="single"/>
        </w:rPr>
        <w:t>Section 2.13(a)</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no amount shall accrue or be payable pursuant to this </w:t>
      </w:r>
      <w:r>
        <w:rPr>
          <w:rFonts w:ascii="Times New Roman" w:hAnsi="Times New Roman"/>
          <w:color w:val="000000"/>
          <w:sz w:val="24"/>
          <w:u w:val="single"/>
        </w:rPr>
        <w:t>Section 2.13(c)</w:t>
      </w:r>
      <w:r>
        <w:rPr>
          <w:rFonts w:ascii="Times New Roman" w:hAnsi="Times New Roman"/>
          <w:color w:val="000000"/>
          <w:sz w:val="20"/>
        </w:rPr>
        <w:t xml:space="preserve"> </w:t>
      </w:r>
      <w:r>
        <w:rPr>
          <w:rFonts w:ascii="Times New Roman" w:hAnsi="Times New Roman"/>
          <w:color w:val="000000"/>
          <w:sz w:val="24"/>
        </w:rPr>
        <w:t>to a Defaulting Lender so long as such Lender shall be a 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Accrued interest on each Loan shall be payable in arrears on each Interest Payment Date for such Loan and, in the case of Revolving Loans, upon termination of the Revolving Commitments, </w:t>
      </w:r>
      <w:r>
        <w:rPr>
          <w:rFonts w:ascii="Times New Roman" w:hAnsi="Times New Roman"/>
          <w:color w:val="000000"/>
          <w:sz w:val="24"/>
          <w:u w:val="single"/>
        </w:rPr>
        <w:t xml:space="preserve">provided </w:t>
      </w:r>
      <w:r>
        <w:rPr>
          <w:rFonts w:ascii="Times New Roman" w:hAnsi="Times New Roman"/>
          <w:color w:val="000000"/>
          <w:sz w:val="24"/>
        </w:rPr>
        <w:t xml:space="preserve">that (i) interest accrued pursuant to </w:t>
      </w:r>
      <w:r>
        <w:rPr>
          <w:rFonts w:ascii="Times New Roman" w:hAnsi="Times New Roman"/>
          <w:color w:val="000000"/>
          <w:sz w:val="24"/>
          <w:u w:val="single"/>
        </w:rPr>
        <w:t>Section 2.13(c)</w:t>
      </w:r>
      <w:r>
        <w:rPr>
          <w:rFonts w:ascii="Times New Roman" w:hAnsi="Times New Roman"/>
          <w:color w:val="000000"/>
          <w:sz w:val="20"/>
        </w:rPr>
        <w:t xml:space="preserve"> </w:t>
      </w:r>
      <w:r>
        <w:rPr>
          <w:rFonts w:ascii="Times New Roman" w:hAnsi="Times New Roman"/>
          <w:color w:val="000000"/>
          <w:sz w:val="24"/>
        </w:rPr>
        <w:t>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Loan other than an ABR Loan prior to the end of the current Interest Period therefor, accrued interest on such Loan shall be payable on the effective date of such conversion.</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All interest hereunder shall be computed on the basis of a year of 360 days, except that interest (i) computed by reference to clause (a) of the definition of “Alternate Base Rate” or (ii) with respect to Daily Simple RFR shall be computed on the basis of a year of 365 days (or 366 days in a leap year), and in each case shall be payable for the actual number of days elapsed (including the first day but excluding the last day). The applicable Alternate Base Rate, Term SOFR Rate, Term CORRA Rate, Daily Simple RFR and EURIBOR Rate shall be determined by the Administrative Agent, and such determination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If at any time the Administrative Agent determines (which determination shall be conclusive absent manifest error) that (i) the circumstances set forth in </w:t>
      </w:r>
      <w:r>
        <w:rPr>
          <w:rFonts w:ascii="Times New Roman" w:hAnsi="Times New Roman"/>
          <w:color w:val="000000"/>
          <w:sz w:val="24"/>
          <w:u w:val="single"/>
        </w:rPr>
        <w:t>Section 2.14(a)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have arisen and such circumstances are unlikely to be temporary or (ii) the circumstances set forth in </w:t>
      </w:r>
      <w:r>
        <w:rPr>
          <w:rFonts w:ascii="Times New Roman" w:hAnsi="Times New Roman"/>
          <w:color w:val="000000"/>
          <w:sz w:val="24"/>
          <w:u w:val="single"/>
        </w:rPr>
        <w:t>Section 2.14</w:t>
      </w:r>
      <w:r>
        <w:rPr>
          <w:rFonts w:ascii="Times New Roman" w:hAnsi="Times New Roman"/>
          <w:color w:val="000000"/>
          <w:sz w:val="20"/>
        </w:rPr>
        <w:t xml:space="preserve"> </w:t>
      </w:r>
      <w:r>
        <w:rPr>
          <w:rFonts w:ascii="Times New Roman" w:hAnsi="Times New Roman"/>
          <w:color w:val="000000"/>
          <w:sz w:val="24"/>
        </w:rPr>
        <w:t xml:space="preserve">have not arisen but the supervisor for the administrator of Term SOFR or a Governmental Authority having jurisdiction over the Administrative Agent has made a public statement identifying a specific date after which Term SOFR shall no longer be used for determining interest rates for loans, then the Administrative Agent and the Borrower shall endeavor (acting reasonably) to establish an alternate rate of interest to Term SOFR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w:t>
      </w:r>
      <w:r>
        <w:rPr>
          <w:rFonts w:ascii="Times New Roman" w:hAnsi="Times New Roman"/>
          <w:color w:val="000000"/>
          <w:sz w:val="24"/>
          <w:u w:val="single"/>
        </w:rPr>
        <w:t>Section 9.02</w:t>
      </w:r>
      <w:r>
        <w:rPr>
          <w:rFonts w:ascii="Times New Roman" w:hAnsi="Times New Roman"/>
          <w:color w:val="000000"/>
          <w:sz w:val="24"/>
        </w:rPr>
        <w:t>,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2.14 </w:t>
      </w:r>
      <w:r>
        <w:rPr>
          <w:rFonts w:ascii="Times New Roman" w:hAnsi="Times New Roman"/>
          <w:b w:val="false"/>
          <w:color w:val="000000"/>
          <w:sz w:val="24"/>
          <w:u w:val="single"/>
        </w:rPr>
        <w:t>Alternate Rate of Interest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limiting </w:t>
      </w:r>
      <w:r>
        <w:rPr>
          <w:rFonts w:ascii="Times New Roman" w:hAnsi="Times New Roman"/>
          <w:color w:val="000000"/>
          <w:sz w:val="24"/>
          <w:u w:val="single"/>
        </w:rPr>
        <w:t>Section 1.11</w:t>
      </w:r>
      <w:r>
        <w:rPr>
          <w:rFonts w:ascii="Times New Roman" w:hAnsi="Times New Roman"/>
          <w:color w:val="000000"/>
          <w:sz w:val="24"/>
        </w:rPr>
        <w:t>, if (i) at least two Business Days prior to the commencement of any Interest Period for a Term SOFR Borrowing, Term CORRA Borrowing or EURIBOR Borrowing or (ii) with respect to a RFR Borrowing on any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Administrative Agent determines (which determination shall be conclusive absent manifest error) that adequate and reasonable means do not exist for ascertaining the Term SOFR Rate, Term CORRA Rate, Daily Simple RFR, or EURIBOR Rate for such Interest Period;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Administrative Agent is advised by the Required Lenders that the Term SOFR Rate, Term CORRA Rate, Daily Simple RFR, or EURIBOR Rate for such Interest Period will not adequately and fairly reflect the cost to such Lenders of making or maintaining their Loans included in such Borrowing for such Interest Period;</w:t>
      </w:r>
    </w:p>
    <w:p>
      <w:pPr>
        <w:pStyle w:val="TextBody"/>
        <w:bidi w:val="0"/>
        <w:spacing w:before="0" w:after="240"/>
        <w:jc w:val="both"/>
        <w:rPr>
          <w:rFonts w:ascii="Times New Roman" w:hAnsi="Times New Roman"/>
          <w:sz w:val="20"/>
        </w:rPr>
      </w:pPr>
      <w:r>
        <w:rPr>
          <w:rFonts w:ascii="Times New Roman" w:hAnsi="Times New Roman"/>
          <w:color w:val="000000"/>
          <w:sz w:val="24"/>
        </w:rPr>
        <w:t>(c) then the Administrative Agent shall promptly give notice thereof to the Borrower and the Lenders by telephone or facsimile as promptly as practicable thereafter and, as applicable, until the Administrative Agent notifies the Borrower and the Lenders that the circumstances giving rise to such notice no longer exist, which the Administrative Agent agrees promptly to do, (i) any Interest Election Request that requests the conversion of any Borrowing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continuation of any Borrowing as, (x) a Term SOFR Borrowing shall be ineffective and such Borrowing shall be converted to an ABR Borrowing on the last day of the Interest Period applicable thereto, (y) a Term CORRA Borrowing shall be ineffective and such Borrowing shall be converted to a Canadian Prime Rate Borrowing on the last day of the Interest Period applicable thereto, (z) an RFR Borrowing or EURIBOR Borrowing shall be ineffective and such Borrowing shall be converted to a Central Bank Rate Borrowing on the last day of the Interest Period applicable thereto, and (ii) if any Borrowing Request requests (x) a Term SOFR Borrowing, such Borrowing shall be made as an ABR Borrowing, (y) a Term CORRA Borrowing, such Borrowing shall be made as a Canadian Prime Rate Borrowing and (z) an RFR Borrowing or EURIBOR Borrowing, such Borrowing shall be made as a Central Bank Rate Borrowing.</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2.15 </w:t>
      </w:r>
      <w:r>
        <w:rPr>
          <w:rFonts w:ascii="Times New Roman" w:hAnsi="Times New Roman"/>
          <w:b w:val="false"/>
          <w:color w:val="000000"/>
          <w:sz w:val="24"/>
          <w:u w:val="single"/>
        </w:rPr>
        <w:t>Increased Costs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any Change in Law:</w:t>
      </w:r>
    </w:p>
    <w:p>
      <w:pPr>
        <w:pStyle w:val="TextBody"/>
        <w:bidi w:val="0"/>
        <w:spacing w:before="0" w:after="240"/>
        <w:jc w:val="both"/>
        <w:rPr>
          <w:rFonts w:ascii="Times New Roman" w:hAnsi="Times New Roman"/>
          <w:sz w:val="20"/>
        </w:rPr>
      </w:pPr>
      <w:r>
        <w:rPr>
          <w:rFonts w:ascii="Times New Roman" w:hAnsi="Times New Roman"/>
          <w:color w:val="000000"/>
          <w:sz w:val="24"/>
        </w:rPr>
        <w:t>(i) imposes, modifies or deems applicable any reserve, special deposit or similar requirement against assets of, deposits with or for the account of, or credit extended by, any Lender (except any such reserve requirement reflected in the Term SOFR Rate);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imposes on any Lender any other condition, cost or expense (including Taxes other than (A) Taxes described in clauses (c) through (e) of the definition of “Excluded Taxes”, (B) Indemnified Taxes or Connection Income Taxes) affecting this Agreement or SOFR Loans or other obligations, or its deposits, reserves, other liabilities or capital attributable thereto made by such Lender; and the result of any of the foregoing is to increase the cost to the relevant Lender of making, maintaining, continuing or converting to any SOFR Loan (or of maintaining its obligation to make any such Loan) or to reduce the amount of any sum received or receivable by such Lender hereunder (whether of principal, interest or otherwise) in respect of any SOFR Loan in an amount deemed by such Lender to be material, then, within 30 days after the Borrower’s receipt of the certificate contemplated by </w:t>
      </w:r>
      <w:r>
        <w:rPr>
          <w:rFonts w:ascii="Times New Roman" w:hAnsi="Times New Roman"/>
          <w:color w:val="000000"/>
          <w:sz w:val="24"/>
          <w:u w:val="single"/>
        </w:rPr>
        <w:t>Section 2.15(c)</w:t>
      </w:r>
      <w:r>
        <w:rPr>
          <w:rFonts w:ascii="Times New Roman" w:hAnsi="Times New Roman"/>
          <w:color w:val="000000"/>
          <w:sz w:val="24"/>
        </w:rPr>
        <w:t xml:space="preserve">, the Borrower will pay to such Lender for such additional costs incurred or reduction suffered; </w:t>
      </w:r>
      <w:r>
        <w:rPr>
          <w:rFonts w:ascii="Times New Roman" w:hAnsi="Times New Roman"/>
          <w:color w:val="000000"/>
          <w:sz w:val="24"/>
          <w:u w:val="single"/>
        </w:rPr>
        <w:t xml:space="preserve">provided </w:t>
      </w:r>
      <w:r>
        <w:rPr>
          <w:rFonts w:ascii="Times New Roman" w:hAnsi="Times New Roman"/>
          <w:color w:val="000000"/>
          <w:sz w:val="24"/>
        </w:rPr>
        <w:t xml:space="preserve">that the Borrower shall not be liable for such compensation if (w) the relevant Change in Law occurs on a date prior to the date such Lender becomes a party hereto, (x) such Lender invokes </w:t>
      </w:r>
      <w:r>
        <w:rPr>
          <w:rFonts w:ascii="Times New Roman" w:hAnsi="Times New Roman"/>
          <w:color w:val="000000"/>
          <w:sz w:val="24"/>
          <w:u w:val="single"/>
        </w:rPr>
        <w:t>Section 2.23</w:t>
      </w:r>
      <w:r>
        <w:rPr>
          <w:rFonts w:ascii="Times New Roman" w:hAnsi="Times New Roman"/>
          <w:color w:val="000000"/>
          <w:sz w:val="24"/>
        </w:rPr>
        <w:t>, or (y) such Lender is not generally charging such amounts to similarly situated borrowers under comparable syndicated credit facilities.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If any Lender determines that any Change in Law regarding liquidity or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within 30 days of receipt by the Borrower of the certificate contemplated by </w:t>
      </w:r>
      <w:r>
        <w:rPr>
          <w:rFonts w:ascii="Times New Roman" w:hAnsi="Times New Roman"/>
          <w:color w:val="000000"/>
          <w:sz w:val="24"/>
          <w:u w:val="single"/>
        </w:rPr>
        <w:t>Section 2.15(c)</w:t>
      </w:r>
      <w:r>
        <w:rPr>
          <w:rFonts w:ascii="Times New Roman" w:hAnsi="Times New Roman"/>
          <w:color w:val="000000"/>
          <w:sz w:val="24"/>
        </w:rPr>
        <w:t xml:space="preserve">, the Borrower will pay to such Lender such additional amount or amounts as will compensate such Lender or such Lender’s holding company for any such reduction suffered; </w:t>
      </w:r>
      <w:r>
        <w:rPr>
          <w:rFonts w:ascii="Times New Roman" w:hAnsi="Times New Roman"/>
          <w:color w:val="000000"/>
          <w:sz w:val="24"/>
          <w:u w:val="single"/>
        </w:rPr>
        <w:t xml:space="preserve">provided </w:t>
      </w:r>
      <w:r>
        <w:rPr>
          <w:rFonts w:ascii="Times New Roman" w:hAnsi="Times New Roman"/>
          <w:color w:val="000000"/>
          <w:sz w:val="24"/>
        </w:rPr>
        <w:t>that the Borrower shall not be liable for such compensation if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the relevant Change in Law occurs on a date prior to the date such Lender becomes a party hereto or (y) such Lender is not generally charging such amounts to similarly situated borrowers under comparable syndicated credit facilities.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Any Lender requesting compensation under this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2.17(c)</w:t>
      </w:r>
      <w:r>
        <w:rPr>
          <w:rFonts w:ascii="Times New Roman" w:hAnsi="Times New Roman"/>
          <w:color w:val="000000"/>
          <w:sz w:val="20"/>
        </w:rPr>
        <w:t xml:space="preserve"> </w:t>
      </w:r>
      <w:r>
        <w:rPr>
          <w:rFonts w:ascii="Times New Roman" w:hAnsi="Times New Roman"/>
          <w:color w:val="000000"/>
          <w:sz w:val="24"/>
        </w:rPr>
        <w:t xml:space="preserve">shall be required to deliver a certificate to the Borrower that (i) sets forth the amount or amounts necessary to compensate such Lender or its holding company, as applicable, as specified in </w:t>
      </w:r>
      <w:r>
        <w:rPr>
          <w:rFonts w:ascii="Times New Roman" w:hAnsi="Times New Roman"/>
          <w:color w:val="000000"/>
          <w:sz w:val="24"/>
          <w:u w:val="single"/>
        </w:rPr>
        <w:t>Section 2.15(a)</w:t>
      </w:r>
      <w:r>
        <w:rPr>
          <w:rFonts w:ascii="Times New Roman" w:hAnsi="Times New Roman"/>
          <w:color w:val="000000"/>
          <w:sz w:val="24"/>
        </w:rPr>
        <w:t xml:space="preserve">, </w:t>
      </w:r>
      <w:r>
        <w:rPr>
          <w:rFonts w:ascii="Times New Roman" w:hAnsi="Times New Roman"/>
          <w:color w:val="000000"/>
          <w:sz w:val="24"/>
          <w:u w:val="single"/>
        </w:rPr>
        <w:t>2.15(b)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2.17(c)</w:t>
      </w:r>
      <w:r>
        <w:rPr>
          <w:rFonts w:ascii="Times New Roman" w:hAnsi="Times New Roman"/>
          <w:color w:val="000000"/>
          <w:sz w:val="24"/>
        </w:rPr>
        <w:t>, as applicable, and (ii) sets forth in reasonable detail the manner in which such amount or amounts was determined and (iii) certifies that such Lender is generally charging such amounts to similarly situated borrowers, which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Failure or delay on the part of any Lender to demand compensation pursuant to this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shall not constitute a waiver of such Lender’s right to demand such compensation;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the Borrower shall not be required to compensate a Lender pursuant to this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for any increased costs or reductions incurred more than 180 days prior to the date that such Lender notifies the Borrower of the Change in Law giving rise to such increased costs or reductions subject to compensation under this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and of such Lender’s intention to claim compensation therefor;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if the Change in Law giving rise to such increased costs or reductions is retroactive, then the 180</w:t>
        <w:noBreakHyphen/>
        <w:t>day period referred to above shall be extended to include the period of retroactive effect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2.16 </w:t>
      </w:r>
      <w:r>
        <w:rPr>
          <w:rFonts w:ascii="Times New Roman" w:hAnsi="Times New Roman"/>
          <w:b w:val="false"/>
          <w:color w:val="000000"/>
          <w:sz w:val="24"/>
          <w:u w:val="single"/>
        </w:rPr>
        <w:t>Break Funding Payments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With respect to Term SOFR Loans, in the event of (a) the payment of any principal of any Revolving Loan (other than an ABR Loan) other than on the last day of an Interest Period applicable thereto (including as a result of an Event of Default), (b) the conversion of any Revolving Loan (other than an ABR Loan) other than on the last day of the Interest Period applicable thereto, (c) the failure to borrow, convert, continue or prepay any Revolving Loan on the date specified in any notice delivered pursuant hereto or (d) the assignment of any Revolving Loan (other than an ABR Loan) other than on the last day of the Interest Period applicable thereto as a result of a request by the Borrower pursuant to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9.02(c)</w:t>
      </w:r>
      <w:r>
        <w:rPr>
          <w:rFonts w:ascii="Times New Roman" w:hAnsi="Times New Roman"/>
          <w:color w:val="000000"/>
          <w:sz w:val="24"/>
        </w:rPr>
        <w:t xml:space="preserve">,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w:t>
      </w:r>
      <w:r>
        <w:rPr>
          <w:rFonts w:ascii="Times New Roman" w:hAnsi="Times New Roman"/>
          <w:color w:val="000000"/>
          <w:sz w:val="24"/>
          <w:u w:val="single"/>
        </w:rPr>
        <w:t>Section 2.16(i)</w:t>
      </w:r>
      <w:r>
        <w:rPr>
          <w:rFonts w:ascii="Times New Roman" w:hAnsi="Times New Roman"/>
          <w:color w:val="000000"/>
          <w:sz w:val="24"/>
        </w:rPr>
        <w:t>, such loss, cost or expense to any Lender shall be deemed to be equal to an amount determined by such Lender to be the excess, if any, of (x) the amount of interest which would have accrued on the principal amount of such Loan had such event not occurred, at the Adjusted Benchmark Rate that would have been applicable to such Loan (i.e., excluding the Applicable Rate), for the period from the date of such event to the last day of the then-current Interest Period therefor (or, in the case of a failure to borrow, convert or continue, for the period that would have been the Interest Period for such Loan), over (y) the amount of interest which would accrue on such principal amount for such period at the interest rate which such Lender would bid were it to bid, at the commencement of such period, for deposits in the applicable currency of a comparable amount and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from other banks in the eurocurrency market. A certificate of any Lender setting forth in reasonable detail any amount or amounts that such Lender is entitled to receive pursuant to this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and the reasons therefor delivered to the Borrower shall be prima facie evidence of such amounts. The Borrower shall pay such Lender the amount shown as due on any such certificate within fifteen (15) days after receipt of such demand; </w:t>
      </w:r>
      <w:r>
        <w:rPr>
          <w:rFonts w:ascii="Times New Roman" w:hAnsi="Times New Roman"/>
          <w:color w:val="000000"/>
          <w:sz w:val="24"/>
          <w:u w:val="single"/>
        </w:rPr>
        <w:t xml:space="preserve">provided </w:t>
      </w:r>
      <w:r>
        <w:rPr>
          <w:rFonts w:ascii="Times New Roman" w:hAnsi="Times New Roman"/>
          <w:color w:val="000000"/>
          <w:sz w:val="24"/>
        </w:rPr>
        <w:t xml:space="preserve">that the Borrower shall not be required to compensate a Lender pursuant to this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for any loss, cost or expense more than 180 days prior to the date that such Lender delivers such certificate.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With respect to Term CORRA Loans, RFR Loans or EURIBOR Loans, in the event of (a) the payment of any principal of any Revolving Loan (other than an ABR Loan) other than on the last day of an Interest Period applicable thereto (including as a result of an Event of Default), (b) the conversion of any Revolving Loan (other than an ABR Loan) other than on the last day of the Interest Period applicable thereto, (c) the failure to borrow, convert, continue or prepay any Revolving Loan on the date specified in any notice delivered pursuant hereto or (d) the assignment of any Revolving Loan (other than an ABR Loan) other than on the last day of the Interest Period applicable thereto as a result of a request by the Borrower pursuant to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9.02(c)</w:t>
      </w:r>
      <w:r>
        <w:rPr>
          <w:rFonts w:ascii="Times New Roman" w:hAnsi="Times New Roman"/>
          <w:color w:val="000000"/>
          <w:sz w:val="24"/>
        </w:rPr>
        <w:t xml:space="preserve">,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A certificate of any Lender setting forth in reasonable detail any amount or amounts that such Lender is entitled to receive pursuant to this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and the reasons therefor delivered to the Borrower shall be prima facie evidence of such amounts. The Borrower shall pay such Lender the amount shown as due on any such certificate within fifteen (15) days after receipt of such demand; </w:t>
      </w:r>
      <w:r>
        <w:rPr>
          <w:rFonts w:ascii="Times New Roman" w:hAnsi="Times New Roman"/>
          <w:color w:val="000000"/>
          <w:sz w:val="24"/>
          <w:u w:val="single"/>
        </w:rPr>
        <w:t xml:space="preserve">provided </w:t>
      </w:r>
      <w:r>
        <w:rPr>
          <w:rFonts w:ascii="Times New Roman" w:hAnsi="Times New Roman"/>
          <w:color w:val="000000"/>
          <w:sz w:val="24"/>
        </w:rPr>
        <w:t xml:space="preserve">that the Borrower shall not be required to compensate a Lender pursuant to this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for any loss, cost or expense more than 180 days prior to the date that such Lender delivers such certificate.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Notwithstanding the foregoing, this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will not apply to losses, costs or expenses resulting from Taxes, as to which </w:t>
      </w:r>
      <w:r>
        <w:rPr>
          <w:rFonts w:ascii="Times New Roman" w:hAnsi="Times New Roman"/>
          <w:color w:val="000000"/>
          <w:sz w:val="24"/>
          <w:u w:val="single"/>
        </w:rPr>
        <w:t>Section 2.17</w:t>
      </w:r>
      <w:r>
        <w:rPr>
          <w:rFonts w:ascii="Times New Roman" w:hAnsi="Times New Roman"/>
          <w:color w:val="000000"/>
          <w:sz w:val="20"/>
        </w:rPr>
        <w:t xml:space="preserve"> </w:t>
      </w:r>
      <w:r>
        <w:rPr>
          <w:rFonts w:ascii="Times New Roman" w:hAnsi="Times New Roman"/>
          <w:color w:val="000000"/>
          <w:sz w:val="24"/>
        </w:rPr>
        <w:t xml:space="preserve">shall govern. Notwithstanding the foregoing, no Lender shall demand compensation pursuant to this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if it shall not at the time be the general policy or practice of such Lender to demand such compensation in substantially the same manner as applied to other similarly situated borrowers under comparable syndicated credit facilities.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2.17 </w:t>
      </w:r>
      <w:r>
        <w:rPr>
          <w:rFonts w:ascii="Times New Roman" w:hAnsi="Times New Roman"/>
          <w:b w:val="false"/>
          <w:color w:val="000000"/>
          <w:sz w:val="24"/>
          <w:u w:val="single"/>
        </w:rPr>
        <w:t>Taxes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Any and all payments by or on account of any obligation of any Loan Party under any Loan Document shall be made free and clear of and without deduction or withholding for any Taxes, except as required by applicable Requirements of Law. If the applicable withholding agent (including, for the avoidance of doubt, the Administrative Agent or any Loan Party) shall be required by applicable Requirements of Law (as determined in the good faith discretion of the applicable withholding agent) to deduct any Taxes from such payments, then the applicable withholding agent shall make such deductions or withholdings and shall timely pay the full amount deducted to the relevant Governmental Authority in accordance with applicable Requirements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Law, and if such Taxes are Indemnified Taxes, then the amount payable by the applicable Loan Party shall be increased as necessary so that after all such required deductions or withholdings have been made (including such deductions and withholdings applicable to additional amounts payable under this </w:t>
      </w:r>
      <w:r>
        <w:rPr>
          <w:rFonts w:ascii="Times New Roman" w:hAnsi="Times New Roman"/>
          <w:color w:val="000000"/>
          <w:sz w:val="24"/>
          <w:u w:val="single"/>
        </w:rPr>
        <w:t>Section 2.17</w:t>
      </w:r>
      <w:r>
        <w:rPr>
          <w:rFonts w:ascii="Times New Roman" w:hAnsi="Times New Roman"/>
          <w:color w:val="000000"/>
          <w:sz w:val="24"/>
        </w:rPr>
        <w:t>), each Lender (or, in the case of a payment made to the Administrative Agent for its own account, the Administrative Agent) receives an amount equal to the sum it would have received had no such deductions or withholdings been made.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Without limiting the provisions of </w:t>
      </w:r>
      <w:r>
        <w:rPr>
          <w:rFonts w:ascii="Times New Roman" w:hAnsi="Times New Roman"/>
          <w:color w:val="000000"/>
          <w:sz w:val="24"/>
          <w:u w:val="single"/>
        </w:rPr>
        <w:t>Section 2.17(a)</w:t>
      </w:r>
      <w:r>
        <w:rPr>
          <w:rFonts w:ascii="Times New Roman" w:hAnsi="Times New Roman"/>
          <w:color w:val="000000"/>
          <w:sz w:val="24"/>
        </w:rPr>
        <w:t>, the Borrower shall timely pay, or, at the option of the Administrative Agent, timely reimburse it for the payment of, any Other Taxes to the relevant Governmental Authority in accordance with Requirements of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Borrower shall indemnify the Administrative Agent and each Lender within ten (10) days after written demand therefor, for the full amount of any Indemnified Taxes paid by the Administrative Agent or such Lender as the case may be, on or with respect to any payment by or on account of any obligation of any Loan Party under any Loan Document (including Indemnified Taxes imposed or asserted on or attributable to amounts payable under this </w:t>
      </w:r>
      <w:r>
        <w:rPr>
          <w:rFonts w:ascii="Times New Roman" w:hAnsi="Times New Roman"/>
          <w:color w:val="000000"/>
          <w:sz w:val="24"/>
          <w:u w:val="single"/>
        </w:rPr>
        <w:t>Section 2.17</w:t>
      </w:r>
      <w:r>
        <w:rPr>
          <w:rFonts w:ascii="Times New Roman" w:hAnsi="Times New Roman"/>
          <w:color w:val="000000"/>
          <w:sz w:val="24"/>
        </w:rPr>
        <w:t>) and any reasonable out</w:t>
        <w:noBreakHyphen/>
        <w:t>of</w:t>
        <w:noBreakHyphen/>
        <w:t xml:space="preserve">pocket expenses arising therefrom or with respect thereto, whether or not such Indemnified Taxes were correctly or legally imposed or asserted by the relevant Governmental Authority; </w:t>
      </w:r>
      <w:r>
        <w:rPr>
          <w:rFonts w:ascii="Times New Roman" w:hAnsi="Times New Roman"/>
          <w:color w:val="000000"/>
          <w:sz w:val="24"/>
          <w:u w:val="single"/>
        </w:rPr>
        <w:t xml:space="preserve">provided </w:t>
      </w:r>
      <w:r>
        <w:rPr>
          <w:rFonts w:ascii="Times New Roman" w:hAnsi="Times New Roman"/>
          <w:color w:val="000000"/>
          <w:sz w:val="24"/>
        </w:rPr>
        <w:t>that the Borrower shall not be obligated to make payment to the Administrative Agent or a Lender, as the case may be, for penalties, interest or expenses attributable to the gross negligence or willful misconduct of the Administrative Agent or such Lender, as applicable, as determined by a court of competent jurisdiction by final and non</w:t>
        <w:noBreakHyphen/>
        <w:t>appealable judgment.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the extent required by any applicable Requirements of Law (as determined in good faith by the Administrative Agent), the Administrative Agent may deduct or withhold from any payment to any Lender an amount equivalent to any applicable withholding Tax. If the Internal Revenue Service or any other Governmental Authority of the United States or other jurisdiction asserts a claim that the Administrative Agent did not properly withhold Tax from amounts paid to or for the account of any Lender for any reason (including because the appropriate form was not delivered or not property executed, or because such Lender failed to notify the Administrative Agent of a change in circumstance that rendered the exemption from, or reduction of withholding Tax ineffective), such Lender shall severally indemnify and hold harmless the Administrative Agent, within 10 days after demand therefor, (to the extent that the Administrative Agent has not already been reimbursed by the Loan Parties for such Taxes pursuant to this </w:t>
      </w:r>
      <w:r>
        <w:rPr>
          <w:rFonts w:ascii="Times New Roman" w:hAnsi="Times New Roman"/>
          <w:color w:val="000000"/>
          <w:sz w:val="24"/>
          <w:u w:val="single"/>
        </w:rPr>
        <w:t>Section 2.17</w:t>
      </w:r>
      <w:r>
        <w:rPr>
          <w:rFonts w:ascii="Times New Roman" w:hAnsi="Times New Roman"/>
          <w:color w:val="000000"/>
          <w:sz w:val="20"/>
        </w:rPr>
        <w:t xml:space="preserve"> </w:t>
      </w:r>
      <w:r>
        <w:rPr>
          <w:rFonts w:ascii="Times New Roman" w:hAnsi="Times New Roman"/>
          <w:color w:val="000000"/>
          <w:sz w:val="24"/>
        </w:rPr>
        <w:t xml:space="preserve">and without limiting any obligation of the Loan Parties to do so pursuant to this </w:t>
      </w:r>
      <w:r>
        <w:rPr>
          <w:rFonts w:ascii="Times New Roman" w:hAnsi="Times New Roman"/>
          <w:color w:val="000000"/>
          <w:sz w:val="24"/>
          <w:u w:val="single"/>
        </w:rPr>
        <w:t>Section 2.17</w:t>
      </w:r>
      <w:r>
        <w:rPr>
          <w:rFonts w:ascii="Times New Roman" w:hAnsi="Times New Roman"/>
          <w:color w:val="000000"/>
          <w:sz w:val="24"/>
        </w:rPr>
        <w:t>) fully for all amounts paid, directly or indirectly, by the Administrative Agent as Taxes or otherwise, together with all expenses incurred, including legal expenses, and any other out</w:t>
        <w:noBreakHyphen/>
        <w:t>of</w:t>
        <w:noBreakHyphen/>
        <w:t>pocket expenses, whether or not such Taxes were correctly or legally imposed or asserted by the relevant Governmental Authority. Further, each Lender shall severally indemnify the Administrative Agent, within 10 days after demand therefor for (i) any Indemnified Taxes attributable to such Lender (but only to the extent that Loan Parties has not already indemnified the Administrative Agent for such Indemnified Taxes and without limiting the obligation of the Loan Parties to do so), (ii) any Taxes attributable to such Lender’s failure to comply with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provisions of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to the extent such amounts were not already previously indemnified by Lenders in accordance with the previous sentence.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hAnsi="Times New Roman"/>
          <w:color w:val="000000"/>
          <w:sz w:val="24"/>
          <w:u w:val="single"/>
        </w:rPr>
        <w:t>Section 2.17(d)</w:t>
      </w:r>
      <w:r>
        <w:rPr>
          <w:rFonts w:ascii="Times New Roman" w:hAnsi="Times New Roman"/>
          <w:color w:val="000000"/>
          <w:sz w:val="24"/>
        </w:rPr>
        <w:t xml:space="preserve">. The agreements in this </w:t>
      </w:r>
      <w:r>
        <w:rPr>
          <w:rFonts w:ascii="Times New Roman" w:hAnsi="Times New Roman"/>
          <w:color w:val="000000"/>
          <w:sz w:val="24"/>
          <w:u w:val="single"/>
        </w:rPr>
        <w:t>Section 2.17(d)</w:t>
      </w:r>
      <w:r>
        <w:rPr>
          <w:rFonts w:ascii="Times New Roman" w:hAnsi="Times New Roman"/>
          <w:color w:val="000000"/>
          <w:sz w:val="20"/>
        </w:rPr>
        <w:t xml:space="preserve"> </w:t>
      </w:r>
      <w:r>
        <w:rPr>
          <w:rFonts w:ascii="Times New Roman" w:hAnsi="Times New Roman"/>
          <w:color w:val="000000"/>
          <w:sz w:val="24"/>
        </w:rPr>
        <w:t>shall survive the resignation and/or replacement of the Administrative Agent, any assignment of rights by, or the replacement of, a Lender, any assignment of rights by a Loan Party, the termination of this Agreement and the repayment, satisfaction or discharge of all other obligations under any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As soon as practicable after any payment of any Taxes by a Loan Party to a Governmental Authority pursuant to this </w:t>
      </w:r>
      <w:r>
        <w:rPr>
          <w:rFonts w:ascii="Times New Roman" w:hAnsi="Times New Roman"/>
          <w:color w:val="000000"/>
          <w:sz w:val="24"/>
          <w:u w:val="single"/>
        </w:rPr>
        <w:t>Section 2.17</w:t>
      </w:r>
      <w:r>
        <w:rPr>
          <w:rFonts w:ascii="Times New Roman" w:hAnsi="Times New Roman"/>
          <w:color w:val="000000"/>
          <w:sz w:val="24"/>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Each Lender shall, at such times as are reasonably requested by the Borrower or the Administrative Agent, (i) complete any documentation required for the Borrower or the Administrative Agent, as applicable, to obtain clearance to make payments under the Loan Documents without, or with a reduction in, any withholding Tax and to determine whether or not such Lender is subject to backup withholding or information reporting requirements and (ii) provide the Borrower and the Administrative Agent with any properly completed and executed documentation prescribed by any Requirement of Law, or reasonably requested by the Borrower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Times New Roman" w:hAnsi="Times New Roman"/>
          <w:color w:val="000000"/>
          <w:sz w:val="24"/>
          <w:u w:val="single"/>
        </w:rPr>
        <w:t>Section 2.17(f)</w:t>
      </w:r>
      <w:r>
        <w:rPr>
          <w:rFonts w:ascii="Times New Roman" w:hAnsi="Times New Roman"/>
          <w:color w:val="000000"/>
          <w:sz w:val="24"/>
        </w:rPr>
        <w:t xml:space="preserve">), deliver promptly to the Borrower and the Administrative Agent updated or other appropriate documentation (including any new documentation reasonably requested by the applicable withholding agent) or promptly notify the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Tax at a rate reduced by an applicable Tax treaty, the Borrower, Administrative Agent or other applicable withholding agent shall withhold amounts required to be withheld by applicable law from such payments at the applicable statutory rate. Notwithstanding anything to the contrary in the preceding three sentences, the completion, execution and submission of such documentation (other than such documentation set forth in this </w:t>
      </w:r>
      <w:r>
        <w:rPr>
          <w:rFonts w:ascii="Times New Roman" w:hAnsi="Times New Roman"/>
          <w:color w:val="000000"/>
          <w:sz w:val="24"/>
          <w:u w:val="single"/>
        </w:rPr>
        <w:t>Section 2.17(g)(i)</w:t>
      </w:r>
      <w:r>
        <w:rPr>
          <w:rFonts w:ascii="Times New Roman" w:hAnsi="Times New Roman"/>
          <w:color w:val="000000"/>
          <w:sz w:val="24"/>
        </w:rPr>
        <w:t xml:space="preserve">, </w:t>
      </w:r>
      <w:r>
        <w:rPr>
          <w:rFonts w:ascii="Times New Roman" w:hAnsi="Times New Roman"/>
          <w:color w:val="000000"/>
          <w:sz w:val="24"/>
          <w:u w:val="single"/>
        </w:rPr>
        <w:t>(ii)(A)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4"/>
        </w:rPr>
        <w:t xml:space="preserve">, and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Without limiting the generality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Lender that is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two properly completed and duly signed copies (including by electronic signature to the extent permitted by applicable Internal Revenue Service guidance) of Internal Revenue Service Form W</w:t>
        <w:noBreakHyphen/>
        <w:t>9 (or any successor form) certifying that such Lender is exempt from U.S. federal backup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Each Lender that is a Foreign Lender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two properly completed and duly signed copies of Internal Revenue Service Form W</w:t>
        <w:noBreakHyphen/>
        <w:t>8BEN or W</w:t>
        <w:noBreakHyphen/>
        <w:t>8BEN</w:t>
        <w:noBreakHyphen/>
        <w:t>E (or any successor forms) claiming eligibility for benefits of an income tax treaty to which the United States of America is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two properly completed and duly signed copies of Internal Revenue Service Form W</w:t>
        <w:noBreakHyphen/>
        <w:t>8ECI (or any successor forms),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the case of a Foreign Lender claiming the benefits of the exemption for portfolio interest under Section 871(h) or Section 881(c) of the Code, (x) two properly completed and duly signed certificates, substantially in the form of </w:t>
      </w:r>
      <w:r>
        <w:rPr>
          <w:rFonts w:ascii="Times New Roman" w:hAnsi="Times New Roman"/>
          <w:color w:val="000000"/>
          <w:sz w:val="24"/>
          <w:u w:val="single"/>
        </w:rPr>
        <w:t>Exhibit H</w:t>
        <w:noBreakHyphen/>
        <w:t>1</w:t>
      </w:r>
      <w:r>
        <w:rPr>
          <w:rFonts w:ascii="Times New Roman" w:hAnsi="Times New Roman"/>
          <w:color w:val="000000"/>
          <w:sz w:val="20"/>
        </w:rPr>
        <w:t xml:space="preserve"> </w:t>
      </w:r>
      <w:r>
        <w:rPr>
          <w:rFonts w:ascii="Times New Roman" w:hAnsi="Times New Roman"/>
          <w:color w:val="000000"/>
          <w:sz w:val="24"/>
        </w:rPr>
        <w:t>to the effect that such Foreign Lender is not a “bank” within the meaning of Section 881(c)(3)(A) of the Code, a “10 percent shareholder” of the Borrower within the meaning of Section 881(c)(3)(B) of the Code, or a “controlled foreign corporation” described in Section 881(c)(3)(C) of the Code (any such certificate a “</w:t>
      </w:r>
      <w:r>
        <w:rPr>
          <w:rFonts w:ascii="Times New Roman" w:hAnsi="Times New Roman"/>
          <w:color w:val="000000"/>
          <w:sz w:val="24"/>
          <w:u w:val="single"/>
        </w:rPr>
        <w:t>United States Tax Compliance Certificate</w:t>
      </w:r>
      <w:r>
        <w:rPr>
          <w:rFonts w:ascii="Times New Roman" w:hAnsi="Times New Roman"/>
          <w:color w:val="000000"/>
          <w:sz w:val="20"/>
        </w:rPr>
        <w:t>”</w:t>
      </w:r>
      <w:r>
        <w:rPr>
          <w:rFonts w:ascii="Times New Roman" w:hAnsi="Times New Roman"/>
          <w:color w:val="000000"/>
          <w:sz w:val="24"/>
        </w:rPr>
        <w:t>), and (y) two properly completed and duly signed copies of Internal Revenue Service Form W</w:t>
        <w:noBreakHyphen/>
        <w:t>8BEN or W</w:t>
        <w:noBreakHyphen/>
        <w:t>8BEN</w:t>
        <w:noBreakHyphen/>
        <w:t>E, as applicable (or any successor forms),</w:t>
      </w:r>
    </w:p>
    <w:p>
      <w:pPr>
        <w:pStyle w:val="TextBody"/>
        <w:bidi w:val="0"/>
        <w:spacing w:before="0" w:after="240"/>
        <w:jc w:val="both"/>
        <w:rPr>
          <w:rFonts w:ascii="Times New Roman" w:hAnsi="Times New Roman"/>
          <w:sz w:val="20"/>
        </w:rPr>
      </w:pPr>
      <w:r>
        <w:rPr>
          <w:rFonts w:ascii="Times New Roman" w:hAnsi="Times New Roman"/>
          <w:color w:val="000000"/>
          <w:sz w:val="24"/>
        </w:rPr>
        <w:t>(D) to the extent a Foreign Lender is not the beneficial owner (for example, where the Lender is a partnership or a participating Lender), two properly completed and duly signed copies of Internal Revenue Service Form W</w:t>
        <w:noBreakHyphen/>
        <w:t>8IMY (or any successor forms) of the Foreign Lender, accompanied by a Form W</w:t>
        <w:noBreakHyphen/>
        <w:t>8ECI, W</w:t>
        <w:noBreakHyphen/>
        <w:t>8BEN or W</w:t>
        <w:noBreakHyphen/>
        <w:t>8BEN</w:t>
        <w:noBreakHyphen/>
        <w:t xml:space="preserve">E, as applicable, a United States Tax Compliance Certificate substantially in the form of </w:t>
      </w:r>
      <w:r>
        <w:rPr>
          <w:rFonts w:ascii="Times New Roman" w:hAnsi="Times New Roman"/>
          <w:color w:val="000000"/>
          <w:sz w:val="24"/>
          <w:u w:val="single"/>
        </w:rPr>
        <w:t>Exhibit H</w:t>
        <w:noBreakHyphen/>
        <w:t>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Exhibit H</w:t>
        <w:noBreakHyphen/>
        <w:t>3</w:t>
      </w:r>
      <w:r>
        <w:rPr>
          <w:rFonts w:ascii="Times New Roman" w:hAnsi="Times New Roman"/>
          <w:color w:val="000000"/>
          <w:sz w:val="24"/>
        </w:rPr>
        <w:t>, Internal Revenue Service Form W</w:t>
        <w:noBreakHyphen/>
        <w:t>9, Internal Revenue Service Form W</w:t>
        <w:noBreakHyphen/>
        <w:t xml:space="preserve">8IMY (or other successor forms) and/or any other required information from each beneficial owner that would be required under this </w:t>
      </w:r>
      <w:r>
        <w:rPr>
          <w:rFonts w:ascii="Times New Roman" w:hAnsi="Times New Roman"/>
          <w:color w:val="000000"/>
          <w:sz w:val="24"/>
          <w:u w:val="single"/>
        </w:rPr>
        <w:t>Section 2.17</w:t>
      </w:r>
      <w:r>
        <w:rPr>
          <w:rFonts w:ascii="Times New Roman" w:hAnsi="Times New Roman"/>
          <w:color w:val="000000"/>
          <w:sz w:val="20"/>
        </w:rPr>
        <w:t xml:space="preserve"> </w:t>
      </w:r>
      <w:r>
        <w:rPr>
          <w:rFonts w:ascii="Times New Roman" w:hAnsi="Times New Roman"/>
          <w:color w:val="000000"/>
          <w:sz w:val="24"/>
        </w:rPr>
        <w:t>if such beneficial owner were a Lender, as applicable (</w:t>
      </w:r>
      <w:r>
        <w:rPr>
          <w:rFonts w:ascii="Times New Roman" w:hAnsi="Times New Roman"/>
          <w:color w:val="000000"/>
          <w:sz w:val="24"/>
          <w:u w:val="single"/>
        </w:rPr>
        <w:t xml:space="preserve">provided </w:t>
      </w:r>
      <w:r>
        <w:rPr>
          <w:rFonts w:ascii="Times New Roman" w:hAnsi="Times New Roman"/>
          <w:color w:val="000000"/>
          <w:sz w:val="24"/>
        </w:rPr>
        <w:t>that, if the Foreign Lender is a partnership (and not a participating Lender) and one or more direct or indirect partners of such Foreign Lender are claiming the portfolio interest exemption, a United States Tax</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Compliance Certificate substantially in the form of </w:t>
      </w:r>
      <w:r>
        <w:rPr>
          <w:rFonts w:ascii="Times New Roman" w:hAnsi="Times New Roman"/>
          <w:color w:val="000000"/>
          <w:sz w:val="24"/>
          <w:u w:val="single"/>
        </w:rPr>
        <w:t>Exhibit H</w:t>
        <w:noBreakHyphen/>
        <w:t>4</w:t>
      </w:r>
      <w:r>
        <w:rPr>
          <w:rFonts w:ascii="Times New Roman" w:hAnsi="Times New Roman"/>
          <w:color w:val="000000"/>
          <w:sz w:val="20"/>
        </w:rPr>
        <w:t xml:space="preserve"> </w:t>
      </w:r>
      <w:r>
        <w:rPr>
          <w:rFonts w:ascii="Times New Roman" w:hAnsi="Times New Roman"/>
          <w:color w:val="000000"/>
          <w:sz w:val="24"/>
        </w:rPr>
        <w:t>may be provided by such Foreign Lender on behalf of each such direct or indirect partner),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If a payment made to any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 Notwithstanding any other provision of this clause (f), a Lender shall not be required to deliver any form that such Lender is not legally eligible to deliver.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If the Administrative Agent or a Lender, in its sole discretion exercised in good faith, receives a refund of any Taxes as to which it has been indemnified by the Borrower or with respect to which the Borrower has paid additional amounts pursuant to this </w:t>
      </w:r>
      <w:r>
        <w:rPr>
          <w:rFonts w:ascii="Times New Roman" w:hAnsi="Times New Roman"/>
          <w:color w:val="000000"/>
          <w:sz w:val="24"/>
          <w:u w:val="single"/>
        </w:rPr>
        <w:t>Section 2.17</w:t>
      </w:r>
      <w:r>
        <w:rPr>
          <w:rFonts w:ascii="Times New Roman" w:hAnsi="Times New Roman"/>
          <w:color w:val="000000"/>
          <w:sz w:val="24"/>
        </w:rPr>
        <w:t xml:space="preserve">, it shall pay over such refund to the Borrower (but only to the extent of indemnity payments made, or additional amounts paid, by the Borrower under this </w:t>
      </w:r>
      <w:r>
        <w:rPr>
          <w:rFonts w:ascii="Times New Roman" w:hAnsi="Times New Roman"/>
          <w:color w:val="000000"/>
          <w:sz w:val="24"/>
          <w:u w:val="single"/>
        </w:rPr>
        <w:t>Section 2.17</w:t>
      </w:r>
      <w:r>
        <w:rPr>
          <w:rFonts w:ascii="Times New Roman" w:hAnsi="Times New Roman"/>
          <w:color w:val="000000"/>
          <w:sz w:val="20"/>
        </w:rPr>
        <w:t xml:space="preserve"> </w:t>
      </w:r>
      <w:r>
        <w:rPr>
          <w:rFonts w:ascii="Times New Roman" w:hAnsi="Times New Roman"/>
          <w:color w:val="000000"/>
          <w:sz w:val="24"/>
        </w:rPr>
        <w:t>giving rise to such refund), net of all reasonable out</w:t>
        <w:noBreakHyphen/>
        <w:t>of</w:t>
        <w:noBreakHyphen/>
        <w:t xml:space="preserve">pocket expenses (including Taxes) of the Administrative Agent or such Lender and without interest (other than any interest paid by the relevant Governmental Authority with respect to such refund); </w:t>
      </w:r>
      <w:r>
        <w:rPr>
          <w:rFonts w:ascii="Times New Roman" w:hAnsi="Times New Roman"/>
          <w:color w:val="000000"/>
          <w:sz w:val="24"/>
          <w:u w:val="single"/>
        </w:rPr>
        <w:t xml:space="preserve">provided </w:t>
      </w:r>
      <w:r>
        <w:rPr>
          <w:rFonts w:ascii="Times New Roman" w:hAnsi="Times New Roman"/>
          <w:color w:val="000000"/>
          <w:sz w:val="24"/>
        </w:rPr>
        <w:t xml:space="preserve">that the Borrower, upon the request of the Administrative Agent or such Lender, agrees to promptly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hAnsi="Times New Roman"/>
          <w:color w:val="000000"/>
          <w:sz w:val="24"/>
          <w:u w:val="single"/>
        </w:rPr>
        <w:t>Section 2.17(h)</w:t>
      </w:r>
      <w:r>
        <w:rPr>
          <w:rFonts w:ascii="Times New Roman" w:hAnsi="Times New Roman"/>
          <w:color w:val="000000"/>
          <w:sz w:val="24"/>
        </w:rPr>
        <w:t xml:space="preserve">, in no event will the indemnified party be required to pay any amount to an indemnifying party pursuant to this </w:t>
      </w:r>
      <w:r>
        <w:rPr>
          <w:rFonts w:ascii="Times New Roman" w:hAnsi="Times New Roman"/>
          <w:color w:val="000000"/>
          <w:sz w:val="24"/>
          <w:u w:val="single"/>
        </w:rPr>
        <w:t>Section 2.17(h)</w:t>
      </w:r>
      <w:r>
        <w:rPr>
          <w:rFonts w:ascii="Times New Roman" w:hAnsi="Times New Roman"/>
          <w:color w:val="000000"/>
          <w:sz w:val="20"/>
        </w:rPr>
        <w:t xml:space="preserve"> </w:t>
      </w:r>
      <w:r>
        <w:rPr>
          <w:rFonts w:ascii="Times New Roman" w:hAnsi="Times New Roman"/>
          <w:color w:val="000000"/>
          <w:sz w:val="24"/>
        </w:rPr>
        <w:t>the payment of which would place the indemnified party in a less favorable net after</w:t>
        <w:noBreakHyphen/>
        <w:t xml:space="preserve">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Notwithstanding anything to the contrary, this </w:t>
      </w:r>
      <w:r>
        <w:rPr>
          <w:rFonts w:ascii="Times New Roman" w:hAnsi="Times New Roman"/>
          <w:color w:val="000000"/>
          <w:sz w:val="24"/>
          <w:u w:val="single"/>
        </w:rPr>
        <w:t>Section 2.17(g)</w:t>
      </w:r>
      <w:r>
        <w:rPr>
          <w:rFonts w:ascii="Times New Roman" w:hAnsi="Times New Roman"/>
          <w:color w:val="000000"/>
          <w:sz w:val="20"/>
        </w:rPr>
        <w:t xml:space="preserve"> </w:t>
      </w:r>
      <w:r>
        <w:rPr>
          <w:rFonts w:ascii="Times New Roman" w:hAnsi="Times New Roman"/>
          <w:color w:val="000000"/>
          <w:sz w:val="24"/>
        </w:rPr>
        <w:t>shall not be construed to require the Administrative Agent or any Lender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make available its Tax returns (or any other information relating to Taxes which it deems confidential) to any Loan Party or any other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agreements in this </w:t>
      </w:r>
      <w:r>
        <w:rPr>
          <w:rFonts w:ascii="Times New Roman" w:hAnsi="Times New Roman"/>
          <w:color w:val="000000"/>
          <w:sz w:val="24"/>
          <w:u w:val="single"/>
        </w:rPr>
        <w:t>Section 2.17</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or any assignment of rights by, or the replacement of, a Lender, the termination of this Agreement and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For purposes of this </w:t>
      </w:r>
      <w:r>
        <w:rPr>
          <w:rFonts w:ascii="Times New Roman" w:hAnsi="Times New Roman"/>
          <w:color w:val="000000"/>
          <w:sz w:val="24"/>
          <w:u w:val="single"/>
        </w:rPr>
        <w:t>Section 2.17</w:t>
      </w:r>
      <w:r>
        <w:rPr>
          <w:rFonts w:ascii="Times New Roman" w:hAnsi="Times New Roman"/>
          <w:color w:val="000000"/>
          <w:sz w:val="24"/>
        </w:rPr>
        <w:t>, the term “</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shall include any Issuing Bank and the term “applicable Requirements of Law” shall include FATCA.</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2.18 </w:t>
      </w:r>
      <w:r>
        <w:rPr>
          <w:rFonts w:ascii="Times New Roman" w:hAnsi="Times New Roman"/>
          <w:b w:val="false"/>
          <w:color w:val="000000"/>
          <w:sz w:val="24"/>
          <w:u w:val="single"/>
        </w:rPr>
        <w:t>Payments Generally; Pro Rata Treatment; Sharing of Setoffs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shall make each payment required to be made by it under any Loan Document (whether of principal, interest, fees or reimbursement of LC Disbursements, or of amounts payable under </w:t>
      </w:r>
      <w:r>
        <w:rPr>
          <w:rFonts w:ascii="Times New Roman" w:hAnsi="Times New Roman"/>
          <w:color w:val="000000"/>
          <w:sz w:val="24"/>
          <w:u w:val="single"/>
        </w:rPr>
        <w:t>Section 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w:t>
      </w:r>
      <w:r>
        <w:rPr>
          <w:rFonts w:ascii="Times New Roman" w:hAnsi="Times New Roman"/>
          <w:color w:val="000000"/>
          <w:sz w:val="24"/>
        </w:rPr>
        <w:t>, or otherwise) at or prior to the time expressly required hereunder or under such other Loan Document for such payment (or, if no such time is expressly required, prior to 3:00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in Dollars (</w:t>
      </w:r>
      <w:r>
        <w:rPr>
          <w:rFonts w:ascii="Times New Roman" w:hAnsi="Times New Roman"/>
          <w:color w:val="000000"/>
          <w:sz w:val="24"/>
          <w:u w:val="single"/>
        </w:rPr>
        <w:t xml:space="preserve">provided </w:t>
      </w:r>
      <w:r>
        <w:rPr>
          <w:rFonts w:ascii="Times New Roman" w:hAnsi="Times New Roman"/>
          <w:color w:val="000000"/>
          <w:sz w:val="24"/>
        </w:rPr>
        <w:t xml:space="preserve">that any payment with respect to any Loan denominated in an Alternative Currency shall be made in such Alternative Currency) to such account as may be specified by the Administrative Agent. Payments to be made directly to any Issuing Bank shall be made as expressly provided herein and except that payments pursuant to </w:t>
      </w:r>
      <w:r>
        <w:rPr>
          <w:rFonts w:ascii="Times New Roman" w:hAnsi="Times New Roman"/>
          <w:color w:val="000000"/>
          <w:sz w:val="24"/>
          <w:u w:val="single"/>
        </w:rPr>
        <w:t>Sections 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4"/>
        </w:rPr>
        <w:t xml:space="preserve">, </w:t>
      </w:r>
      <w:r>
        <w:rPr>
          <w:rFonts w:ascii="Times New Roman" w:hAnsi="Times New Roman"/>
          <w:color w:val="000000"/>
          <w:sz w:val="24"/>
          <w:u w:val="single"/>
        </w:rPr>
        <w:t>2.17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Except as otherwise provided herein, if any payment under any Loan Document shall be due on a day that is not a Business Day, the date for payment shall be extended to the next succeeding Business Day. If any payment on a Loan other than an ABR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any Secured Party collects or receives any amounts received on account of the Secured Obligations of which it is not entitled under </w:t>
      </w:r>
      <w:r>
        <w:rPr>
          <w:rFonts w:ascii="Times New Roman" w:hAnsi="Times New Roman"/>
          <w:color w:val="000000"/>
          <w:sz w:val="24"/>
          <w:u w:val="single"/>
        </w:rPr>
        <w:t>Section 7.03</w:t>
      </w:r>
      <w:r>
        <w:rPr>
          <w:rFonts w:ascii="Times New Roman" w:hAnsi="Times New Roman"/>
          <w:color w:val="000000"/>
          <w:sz w:val="24"/>
        </w:rPr>
        <w:t xml:space="preserve">, such Secured Party shall hold the same in trust for the applicable Secured Parties entitled thereto and shall forthwith deliver the same to the Administrative Agent, for the account of such Secured Parties, to be applied in accordance with </w:t>
      </w:r>
      <w:r>
        <w:rPr>
          <w:rFonts w:ascii="Times New Roman" w:hAnsi="Times New Roman"/>
          <w:color w:val="000000"/>
          <w:sz w:val="24"/>
          <w:u w:val="single"/>
        </w:rPr>
        <w:t>Section 7.03</w:t>
      </w:r>
      <w:r>
        <w:rPr>
          <w:rFonts w:ascii="Times New Roman" w:hAnsi="Times New Roman"/>
          <w:color w:val="000000"/>
          <w:sz w:val="24"/>
        </w:rPr>
        <w:t xml:space="preserve">, in each case until the prior Payment in Full of the applicable Secured Obligations due and owing to Secured Parties in accordance with </w:t>
      </w:r>
      <w:r>
        <w:rPr>
          <w:rFonts w:ascii="Times New Roman" w:hAnsi="Times New Roman"/>
          <w:color w:val="000000"/>
          <w:sz w:val="24"/>
          <w:u w:val="single"/>
        </w:rPr>
        <w:t>Section 7.03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If any Lender shall, by exercising any right of setoff or counterclaim or otherwise, obtain payment in respect of any principal of or interest on any of its Revolving Loans, Term Loans or participations in LC Disbursements and Swing Line Loans resulting in such Lender receiving payment of a greater proportion of the aggregate amount of its Revolving Loans and participations in LC Disbursements and Swing Line Loans and accrued interest thereon than the proportion received by any other Lender, then the Lender receiving such greater proportion shall purchase (for cash at face value) participations in the Revolving Loans, Term Loans and participations in LC Disbursements and Swing 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 Line Loans; </w:t>
      </w:r>
      <w:r>
        <w:rPr>
          <w:rFonts w:ascii="Times New Roman" w:hAnsi="Times New Roman"/>
          <w:color w:val="000000"/>
          <w:sz w:val="24"/>
          <w:u w:val="single"/>
        </w:rPr>
        <w:t xml:space="preserve">provided </w:t>
      </w:r>
      <w:r>
        <w:rPr>
          <w:rFonts w:ascii="Times New Roman" w:hAnsi="Times New Roman"/>
          <w:color w:val="000000"/>
          <w:sz w:val="24"/>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hAnsi="Times New Roman"/>
          <w:color w:val="000000"/>
          <w:sz w:val="24"/>
          <w:u w:val="single"/>
        </w:rPr>
        <w:t>Section 2.18(d)</w:t>
      </w:r>
      <w:r>
        <w:rPr>
          <w:rFonts w:ascii="Times New Roman" w:hAnsi="Times New Roman"/>
          <w:color w:val="000000"/>
          <w:sz w:val="20"/>
        </w:rPr>
        <w:t xml:space="preserve"> </w:t>
      </w:r>
      <w:r>
        <w:rPr>
          <w:rFonts w:ascii="Times New Roman" w:hAnsi="Times New Roman"/>
          <w:color w:val="000000"/>
          <w:sz w:val="24"/>
        </w:rPr>
        <w:t>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and Swing 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If any Lender shall fail to make any payment required to be made by it pursuant to </w:t>
      </w:r>
      <w:r>
        <w:rPr>
          <w:rFonts w:ascii="Times New Roman" w:hAnsi="Times New Roman"/>
          <w:color w:val="000000"/>
          <w:sz w:val="24"/>
          <w:u w:val="single"/>
        </w:rPr>
        <w:t>Section 2.05(e)</w:t>
      </w:r>
      <w:r>
        <w:rPr>
          <w:rFonts w:ascii="Times New Roman" w:hAnsi="Times New Roman"/>
          <w:color w:val="000000"/>
          <w:sz w:val="24"/>
        </w:rPr>
        <w:t xml:space="preserve">, </w:t>
      </w:r>
      <w:r>
        <w:rPr>
          <w:rFonts w:ascii="Times New Roman" w:hAnsi="Times New Roman"/>
          <w:color w:val="000000"/>
          <w:sz w:val="24"/>
          <w:u w:val="single"/>
        </w:rPr>
        <w:t>2.05(f)</w:t>
      </w:r>
      <w:r>
        <w:rPr>
          <w:rFonts w:ascii="Times New Roman" w:hAnsi="Times New Roman"/>
          <w:color w:val="000000"/>
          <w:sz w:val="24"/>
        </w:rPr>
        <w:t xml:space="preserve">, </w:t>
      </w:r>
      <w:r>
        <w:rPr>
          <w:rFonts w:ascii="Times New Roman" w:hAnsi="Times New Roman"/>
          <w:color w:val="000000"/>
          <w:sz w:val="24"/>
          <w:u w:val="single"/>
        </w:rPr>
        <w:t>2.06(a)</w:t>
      </w:r>
      <w:r>
        <w:rPr>
          <w:rFonts w:ascii="Times New Roman" w:hAnsi="Times New Roman"/>
          <w:color w:val="000000"/>
          <w:sz w:val="24"/>
        </w:rPr>
        <w:t xml:space="preserve">, </w:t>
      </w:r>
      <w:r>
        <w:rPr>
          <w:rFonts w:ascii="Times New Roman" w:hAnsi="Times New Roman"/>
          <w:color w:val="000000"/>
          <w:sz w:val="24"/>
          <w:u w:val="single"/>
        </w:rPr>
        <w:t>2.06(b)</w:t>
      </w:r>
      <w:r>
        <w:rPr>
          <w:rFonts w:ascii="Times New Roman" w:hAnsi="Times New Roman"/>
          <w:color w:val="000000"/>
          <w:sz w:val="24"/>
        </w:rPr>
        <w:t xml:space="preserve">, </w:t>
      </w:r>
      <w:r>
        <w:rPr>
          <w:rFonts w:ascii="Times New Roman" w:hAnsi="Times New Roman"/>
          <w:color w:val="000000"/>
          <w:sz w:val="24"/>
          <w:u w:val="single"/>
        </w:rPr>
        <w:t>2.18(e)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9.03(c)</w:t>
      </w:r>
      <w:r>
        <w:rPr>
          <w:rFonts w:ascii="Times New Roman" w:hAnsi="Times New Roman"/>
          <w:color w:val="000000"/>
          <w:sz w:val="24"/>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2.19 </w:t>
      </w:r>
      <w:r>
        <w:rPr>
          <w:rFonts w:ascii="Times New Roman" w:hAnsi="Times New Roman"/>
          <w:b w:val="false"/>
          <w:color w:val="000000"/>
          <w:sz w:val="24"/>
          <w:u w:val="single"/>
        </w:rPr>
        <w:t>Mitigation Obligations; Replacement of Lenders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If any Lender requests compensation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any Lender determines it can no longer make or maintain SOFR Loans pursuant to </w:t>
      </w:r>
      <w:r>
        <w:rPr>
          <w:rFonts w:ascii="Times New Roman" w:hAnsi="Times New Roman"/>
          <w:color w:val="000000"/>
          <w:sz w:val="24"/>
          <w:u w:val="single"/>
        </w:rPr>
        <w:t>Section 2.23</w:t>
      </w:r>
      <w:r>
        <w:rPr>
          <w:rFonts w:ascii="Times New Roman" w:hAnsi="Times New Roman"/>
          <w:color w:val="000000"/>
          <w:sz w:val="24"/>
        </w:rPr>
        <w:t xml:space="preserve">, or any Loan Party is required to pay any additional amount to or indemnify any Lender or any Governmental Authority for the account of any Lender pursuant to </w:t>
      </w:r>
      <w:r>
        <w:rPr>
          <w:rFonts w:ascii="Times New Roman" w:hAnsi="Times New Roman"/>
          <w:color w:val="000000"/>
          <w:sz w:val="24"/>
          <w:u w:val="single"/>
        </w:rPr>
        <w:t>Section 2.17</w:t>
      </w:r>
      <w:r>
        <w:rPr>
          <w:rFonts w:ascii="Times New Roman" w:hAnsi="Times New Roman"/>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w:t>
      </w:r>
      <w:r>
        <w:rPr>
          <w:rFonts w:ascii="Times New Roman" w:hAnsi="Times New Roman"/>
          <w:color w:val="000000"/>
          <w:sz w:val="24"/>
        </w:rPr>
        <w:t xml:space="preserve">, as applicable, in the future or mitigate the impact of </w:t>
      </w:r>
      <w:r>
        <w:rPr>
          <w:rFonts w:ascii="Times New Roman" w:hAnsi="Times New Roman"/>
          <w:color w:val="000000"/>
          <w:sz w:val="24"/>
          <w:u w:val="single"/>
        </w:rPr>
        <w:t>Section 2.23</w:t>
      </w:r>
      <w:r>
        <w:rPr>
          <w:rFonts w:ascii="Times New Roman" w:hAnsi="Times New Roman"/>
          <w:color w:val="000000"/>
          <w:sz w:val="24"/>
        </w:rPr>
        <w:t>, as the case may be, and (ii) would not subject such Lender to any material unreimbursed out</w:t>
        <w:noBreakHyphen/>
        <w:t>of</w:t>
        <w:noBreakHyphen/>
        <w:t>pocket cost or expense and would not otherwise be disadvantageous to such Lender in any material respect. The Borrower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If (i) any Lender requests compensation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any Lender determines it can no longer make or maintain SOFR Loans pursuant to </w:t>
      </w:r>
      <w:r>
        <w:rPr>
          <w:rFonts w:ascii="Times New Roman" w:hAnsi="Times New Roman"/>
          <w:color w:val="000000"/>
          <w:sz w:val="24"/>
          <w:u w:val="single"/>
        </w:rPr>
        <w:t>Section 2.23</w:t>
      </w:r>
      <w:r>
        <w:rPr>
          <w:rFonts w:ascii="Times New Roman" w:hAnsi="Times New Roman"/>
          <w:color w:val="000000"/>
          <w:sz w:val="24"/>
        </w:rPr>
        <w:t xml:space="preserve">, (ii) any Loan Party is required to pay any additional amount to or indemnify any Lender or any Governmental Authority for the account of any Lender pursuant to </w:t>
      </w:r>
      <w:r>
        <w:rPr>
          <w:rFonts w:ascii="Times New Roman" w:hAnsi="Times New Roman"/>
          <w:color w:val="000000"/>
          <w:sz w:val="24"/>
          <w:u w:val="single"/>
        </w:rPr>
        <w:t>Section 2.17</w:t>
      </w:r>
      <w:r>
        <w:rPr>
          <w:rFonts w:ascii="Times New Roman" w:hAnsi="Times New Roman"/>
          <w:color w:val="000000"/>
          <w:sz w:val="24"/>
        </w:rPr>
        <w:t>, (iii) any Lender is a Defaulting Lender or (iv) in connection with any proposed amendment, waiver or consent requiring the consent of “each Lender” or “each Lender directly affected thereby” (or any other Class or group of Lenders other than the Required Lenders) with respect to which Required Lender consent (or the consent of Lenders holding loans or commitments of such Class or lesser group representing more than 50% of the sum of the total loans and unused commitments of such Class or lesser group at such time) has been obtained, as applicable, any Lender is a non</w:t>
        <w:noBreakHyphen/>
        <w:t>consenting Lender (each such Lender described in this clause (iv), a “</w:t>
      </w:r>
      <w:r>
        <w:rPr>
          <w:rFonts w:ascii="Times New Roman" w:hAnsi="Times New Roman"/>
          <w:color w:val="000000"/>
          <w:sz w:val="24"/>
          <w:u w:val="single"/>
        </w:rPr>
        <w:t>Non</w:t>
        <w:noBreakHyphen/>
        <w:t>Consenting Lender</w:t>
      </w:r>
      <w:r>
        <w:rPr>
          <w:rFonts w:ascii="Times New Roman" w:hAnsi="Times New Roman"/>
          <w:color w:val="000000"/>
          <w:sz w:val="20"/>
        </w:rPr>
        <w:t>”</w:t>
      </w:r>
      <w:r>
        <w:rPr>
          <w:rFonts w:ascii="Times New Roman" w:hAnsi="Times New Roman"/>
          <w:color w:val="000000"/>
          <w:sz w:val="24"/>
        </w:rPr>
        <w:t xml:space="preserve">), then the Borrower may, at its sole expense and effort, upon notice to such Lender and the Administrative Agent, (x) terminate the applicable Commitments of such Lender and repay all Secured Obligations of the Borrower owing to such Lender relating to the applicable Loans and participations held by such Lender as of such termination date or (y) replace such Lender by requiring such Lender to assign and delegate (and such Lender shall be obligated to assign and delegate), without recourse (in accordance with and subject to the restrictions contained in </w:t>
      </w:r>
      <w:r>
        <w:rPr>
          <w:rFonts w:ascii="Times New Roman" w:hAnsi="Times New Roman"/>
          <w:color w:val="000000"/>
          <w:sz w:val="24"/>
          <w:u w:val="single"/>
        </w:rPr>
        <w:t>Section 9.05</w:t>
      </w:r>
      <w:r>
        <w:rPr>
          <w:rFonts w:ascii="Times New Roman" w:hAnsi="Times New Roman"/>
          <w:color w:val="000000"/>
          <w:sz w:val="24"/>
        </w:rPr>
        <w:t xml:space="preserve">), all of its interests, rights and obligations under this Agreement to an Eligible Assignee that shall assume such obligations (which Eligible Assignee may be another Lender that is willing to accept such assignment); </w:t>
      </w:r>
      <w:r>
        <w:rPr>
          <w:rFonts w:ascii="Times New Roman" w:hAnsi="Times New Roman"/>
          <w:color w:val="000000"/>
          <w:sz w:val="24"/>
          <w:u w:val="single"/>
        </w:rPr>
        <w:t xml:space="preserve">provided </w:t>
      </w:r>
      <w:r>
        <w:rPr>
          <w:rFonts w:ascii="Times New Roman" w:hAnsi="Times New Roman"/>
          <w:color w:val="000000"/>
          <w:sz w:val="24"/>
        </w:rPr>
        <w:t>that (A) such Lender has received payment of an amount equal to the outstanding principal amount of its Loans, accrued interest thereon, accrued fees and all other amounts payable to it hereunder with respect to such Class of Loans, (B) in the case of any assignment resulting from a claim for compensation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payment required to be made pursuant to </w:t>
      </w:r>
      <w:r>
        <w:rPr>
          <w:rFonts w:ascii="Times New Roman" w:hAnsi="Times New Roman"/>
          <w:color w:val="000000"/>
          <w:sz w:val="24"/>
          <w:u w:val="single"/>
        </w:rPr>
        <w:t>Section 2.17</w:t>
      </w:r>
      <w:r>
        <w:rPr>
          <w:rFonts w:ascii="Times New Roman" w:hAnsi="Times New Roman"/>
          <w:color w:val="000000"/>
          <w:sz w:val="24"/>
        </w:rPr>
        <w:t xml:space="preserve">, such assignment would result in a reduction in such compensation or payment and (C) such assignment does not conflict with applicable Requirements of Law. No Lender (other than a Defaulting Lender) shall be required to make any such assignment and delegation, and the Borrower may not repay the Secured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hAnsi="Times New Roman"/>
          <w:color w:val="000000"/>
          <w:sz w:val="24"/>
          <w:u w:val="single"/>
        </w:rPr>
        <w:t>Section 2.19</w:t>
      </w:r>
      <w:r>
        <w:rPr>
          <w:rFonts w:ascii="Times New Roman" w:hAnsi="Times New Roman"/>
          <w:color w:val="000000"/>
          <w:sz w:val="24"/>
        </w:rPr>
        <w:t>, it shall execute and deliver to the Administrative Agent an Assignment and Assumption to evidence such sale and purchase and shall deliver to the Administrative Agent any Promissory Note (if the assigning Lender’s Loans are evidenced by one or more Promissory Notes) relating to the Loan subject to such Assignment and Assumption (</w:t>
      </w:r>
      <w:r>
        <w:rPr>
          <w:rFonts w:ascii="Times New Roman" w:hAnsi="Times New Roman"/>
          <w:color w:val="000000"/>
          <w:sz w:val="24"/>
          <w:u w:val="single"/>
        </w:rPr>
        <w:t xml:space="preserve">provided </w:t>
      </w:r>
      <w:r>
        <w:rPr>
          <w:rFonts w:ascii="Times New Roman" w:hAnsi="Times New Roman"/>
          <w:color w:val="000000"/>
          <w:sz w:val="24"/>
        </w:rPr>
        <w:t xml:space="preserve">that the failure of any Lender replaced pursuant to this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w:t>
        <w:noBreakHyphen/>
        <w:t>in</w:t>
        <w:noBreakHyphen/>
        <w:t>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clause (b).</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2.20 </w:t>
      </w:r>
      <w:r>
        <w:rPr>
          <w:rFonts w:ascii="Times New Roman" w:hAnsi="Times New Roman"/>
          <w:b w:val="false"/>
          <w:color w:val="000000"/>
          <w:sz w:val="24"/>
          <w:u w:val="single"/>
        </w:rPr>
        <w:t>Incremental Credit Extensions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Borrower may at any time or from time to time on one or more occasions after the Effective Date, by written notice delivered to the Administrative Agent, request (i) one or more additional Classes of term loans (each an “</w:t>
      </w:r>
      <w:r>
        <w:rPr>
          <w:rFonts w:ascii="Times New Roman" w:hAnsi="Times New Roman"/>
          <w:color w:val="000000"/>
          <w:sz w:val="24"/>
          <w:u w:val="single"/>
        </w:rPr>
        <w:t>Incremental Term Facility</w:t>
      </w:r>
      <w:r>
        <w:rPr>
          <w:rFonts w:ascii="Times New Roman" w:hAnsi="Times New Roman"/>
          <w:color w:val="000000"/>
          <w:sz w:val="20"/>
        </w:rPr>
        <w:t>”</w:t>
      </w:r>
      <w:r>
        <w:rPr>
          <w:rFonts w:ascii="Times New Roman" w:hAnsi="Times New Roman"/>
          <w:color w:val="000000"/>
          <w:sz w:val="24"/>
        </w:rPr>
        <w:t>), (ii) one or more additional term loans of the same Class of any existing Class of term loans (each an “</w:t>
      </w:r>
      <w:r>
        <w:rPr>
          <w:rFonts w:ascii="Times New Roman" w:hAnsi="Times New Roman"/>
          <w:color w:val="000000"/>
          <w:sz w:val="24"/>
          <w:u w:val="single"/>
        </w:rPr>
        <w:t>Incremental Term Increase</w:t>
      </w:r>
      <w:r>
        <w:rPr>
          <w:rFonts w:ascii="Times New Roman" w:hAnsi="Times New Roman"/>
          <w:color w:val="000000"/>
          <w:sz w:val="20"/>
        </w:rPr>
        <w:t>”</w:t>
      </w:r>
      <w:r>
        <w:rPr>
          <w:rFonts w:ascii="Times New Roman" w:hAnsi="Times New Roman"/>
          <w:color w:val="000000"/>
          <w:sz w:val="24"/>
        </w:rPr>
        <w:t>), (iii) one or more additional Classes of revolving commitments (each, an “</w:t>
      </w:r>
      <w:r>
        <w:rPr>
          <w:rFonts w:ascii="Times New Roman" w:hAnsi="Times New Roman"/>
          <w:color w:val="000000"/>
          <w:sz w:val="24"/>
          <w:u w:val="single"/>
        </w:rPr>
        <w:t>Incremental Revolving Commitment</w:t>
      </w:r>
      <w:r>
        <w:rPr>
          <w:rFonts w:ascii="Times New Roman" w:hAnsi="Times New Roman"/>
          <w:color w:val="000000"/>
          <w:sz w:val="20"/>
        </w:rPr>
        <w:t>”</w:t>
      </w:r>
      <w:r>
        <w:rPr>
          <w:rFonts w:ascii="Times New Roman" w:hAnsi="Times New Roman"/>
          <w:color w:val="000000"/>
          <w:sz w:val="24"/>
        </w:rPr>
        <w:t>), or (iv) one or more increases in the amount of the Revolving Commitments of any Class (each such increase, an “</w:t>
      </w:r>
      <w:r>
        <w:rPr>
          <w:rFonts w:ascii="Times New Roman" w:hAnsi="Times New Roman"/>
          <w:color w:val="000000"/>
          <w:sz w:val="24"/>
          <w:u w:val="single"/>
        </w:rPr>
        <w:t>Incremental Revolving Commitment Increase</w:t>
      </w:r>
      <w:r>
        <w:rPr>
          <w:rFonts w:ascii="Times New Roman" w:hAnsi="Times New Roman"/>
          <w:color w:val="000000"/>
          <w:sz w:val="20"/>
        </w:rPr>
        <w:t xml:space="preserve">” </w:t>
      </w:r>
      <w:r>
        <w:rPr>
          <w:rFonts w:ascii="Times New Roman" w:hAnsi="Times New Roman"/>
          <w:color w:val="000000"/>
          <w:sz w:val="24"/>
        </w:rPr>
        <w:t>and, together with any Incremental Term Facility, any Incremental Term Increase, and any Incremental Revolving Commitment, the “</w:t>
      </w:r>
      <w:r>
        <w:rPr>
          <w:rFonts w:ascii="Times New Roman" w:hAnsi="Times New Roman"/>
          <w:color w:val="000000"/>
          <w:sz w:val="24"/>
          <w:u w:val="single"/>
        </w:rPr>
        <w:t>Incremental Facilities</w:t>
      </w:r>
      <w:r>
        <w:rPr>
          <w:rFonts w:ascii="Times New Roman" w:hAnsi="Times New Roman"/>
          <w:color w:val="000000"/>
          <w:sz w:val="20"/>
        </w:rPr>
        <w:t>”</w:t>
      </w:r>
      <w:r>
        <w:rPr>
          <w:rFonts w:ascii="Times New Roman" w:hAnsi="Times New Roman"/>
          <w:color w:val="000000"/>
          <w:sz w:val="24"/>
        </w:rPr>
        <w:t>, and any Commitments thereunder, the “</w:t>
      </w:r>
      <w:r>
        <w:rPr>
          <w:rFonts w:ascii="Times New Roman" w:hAnsi="Times New Roman"/>
          <w:color w:val="000000"/>
          <w:sz w:val="24"/>
          <w:u w:val="single"/>
        </w:rPr>
        <w:t>Incremental Commitments</w:t>
      </w:r>
      <w:r>
        <w:rPr>
          <w:rFonts w:ascii="Times New Roman" w:hAnsi="Times New Roman"/>
          <w:color w:val="000000"/>
          <w:sz w:val="20"/>
        </w:rPr>
        <w:t>”</w:t>
      </w:r>
      <w:r>
        <w:rPr>
          <w:rFonts w:ascii="Times New Roman" w:hAnsi="Times New Roman"/>
          <w:color w:val="000000"/>
          <w:sz w:val="24"/>
        </w:rPr>
        <w:t>, and any Loans thereunder, the “</w:t>
      </w:r>
      <w:r>
        <w:rPr>
          <w:rFonts w:ascii="Times New Roman" w:hAnsi="Times New Roman"/>
          <w:color w:val="000000"/>
          <w:sz w:val="24"/>
          <w:u w:val="single"/>
        </w:rPr>
        <w:t>Incremental Loans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after giving effect to the effectiveness of any Incremental Facility Amendment, no Event of Default shall have occurred and be continuing or would result therefrom. Notwithstanding anything to contrary herein, the aggregate principal amount of the Incremental Facilities that can be incurred at any time shall not exceed the Incremental Cap (including any applicable sublimits specified in the definition of “Incremental Cap”) at such time. Each Incremental Facility shall be in a minimum principal amount of $1,000,000 and integral multiples of $1,000,000 in excess thereof (unless the Borrower and the Administrative Agent otherwise agree); </w:t>
      </w:r>
      <w:r>
        <w:rPr>
          <w:rFonts w:ascii="Times New Roman" w:hAnsi="Times New Roman"/>
          <w:color w:val="000000"/>
          <w:sz w:val="24"/>
          <w:u w:val="single"/>
        </w:rPr>
        <w:t xml:space="preserve">provided </w:t>
      </w:r>
      <w:r>
        <w:rPr>
          <w:rFonts w:ascii="Times New Roman" w:hAnsi="Times New Roman"/>
          <w:color w:val="000000"/>
          <w:sz w:val="24"/>
        </w:rPr>
        <w:t>that such amount may be less than $1,000,000 to the extent such amount represents all the remaining availability under the aggregate principal amount of Incremental Facilities set forth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 The Incremental Term Loans:</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(1) shall, in the case of any Additional First Out Debt, rank equal or, in the case of any Additional Second Out Debt, junior in right of payment and equal, in the case of any Additional First Out Debt or Additional Second Out Debt, or, in the case of any Additional Junior Lien Debt, junior in right of security with the Loans or may be unsecured, (2) shall be structured such that neither Holdings nor any Restricted Subsidiary is a guarantor with respect to such Indebtedness unless Holdings or such Restricted Subsidiary is a Loan Party which shall have previously or substantially concurrently guaranteed the Loan Document Obligations, and (3) if secured, the obligations in respect thereof shall not be secured by Liens on the assets of Holdings and the Restricted Subsidiaries, other than assets constituting Collateral, and if established as a separate facility, shall be subject to a customary intercreditor agreement with the Administrative Agent and/or Collateral Agent substantially consistent with the applicable Intercreditor Agreement together with any immaterial changes in form and substance reasonably satisfactory to the Administrative Agent and/or Collateral Agent (or in the case of Additional Second Out Debt, shall be subject to “waterfall” provisions or a customary intercreditor agreement reasonably satisfactory to the Administrative Agent and/or Collateral Agent), it being understood that junior Liens are not required to be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with other junior Liens, and that Indebtedness secured by junior liens may be secured by Liens that are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with or junior in priority to, other Liens that are junior to the Liens securing the Initial Revolving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shall, subject to the provisions of the Required Additional Debt Terms, have a maturity date, interest rates (including through fixed interest rates), interest margins, rate floors, upfront fees, funding discounts, original issue discounts, financial covenants (if any) and prepayment terms and premiums as determined by the Borrower and the Additional Term Lenders thereunder;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shall comply with the provisions of the Required Additional Debt Terms.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Incremental Term Increase shall be on the same terms (other than original issue discount and upfront fees) and pursuant to the same documentation applicable to the existing Class of Incremental Term Loans being increased (except with respect to the Incremental Facility Amendment evidencing such Incremental Term Increase). Any Incremental Term Facility shall be on terms and pursuant to documentation as determined by the Borrower and the Additional Term Lenders providing such Incremental Term Facility, subject to the restrictions and exceptions set forth above. Each Incremental Facility Amendment may, without the consent of any other Lenders, effect technical and corresponding amendments to this Agreement and the other Loan Documents as may be necessary or appropriate, in the opinion of the Administrative Agent and the Borrower, to effect the provisions of this </w:t>
      </w:r>
      <w:r>
        <w:rPr>
          <w:rFonts w:ascii="Times New Roman" w:hAnsi="Times New Roman"/>
          <w:color w:val="000000"/>
          <w:sz w:val="24"/>
          <w:u w:val="single"/>
        </w:rPr>
        <w:t>Section 2.20</w:t>
      </w:r>
      <w:r>
        <w:rPr>
          <w:rFonts w:ascii="Times New Roman" w:hAnsi="Times New Roman"/>
          <w:color w:val="000000"/>
          <w:sz w:val="24"/>
        </w:rPr>
        <w:t>, including (x) any amendments necessary to provide that such Incremental Term Loans are fungible with any existing Class of Loans for U.S. federal income tax purposes and (y) in the case of Additional Second Out Debt, amendments to the “waterfall” or similar provisions to reflect the payment priority of such Additional Second Out Debt.</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Incremental Revolving Commitment Increase shall be treated the same as the Class of Revolving Commitments being increased (including with respect to maturity date thereof) and shall be considered to be part of the Class of Revolving Loans being increased. Any Incremental Revolving Commitment Increase shall be on the same terms (other than upfront fees) and pursuant to the same documentation (other than the Incremental Facility Amendment evidencing such Incremental Revolving Commitment Increase) applicable to the Revolving Loans (excluding upfront fees and customary arranger fees).</w:t>
      </w:r>
    </w:p>
    <w:p>
      <w:pPr>
        <w:pStyle w:val="TextBody"/>
        <w:bidi w:val="0"/>
        <w:spacing w:before="0" w:after="240"/>
        <w:jc w:val="both"/>
        <w:rPr>
          <w:rFonts w:ascii="Times New Roman" w:hAnsi="Times New Roman"/>
          <w:sz w:val="20"/>
        </w:rPr>
      </w:pPr>
      <w:r>
        <w:rPr>
          <w:rFonts w:ascii="Times New Roman" w:hAnsi="Times New Roman"/>
          <w:color w:val="000000"/>
          <w:sz w:val="24"/>
        </w:rPr>
        <w:t>(iii) The Incremental Revolving Commitments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(1) shall, in the case of any Additional First Out Debt, rank equal or, in the case of any Additional Second Out Debt, junior in right of payment and equal, in the case of any Additional First Out Debt or Additional Second Out Debt, or, in the case of any Additional Junior Lien Debt, junior in right of security with the Initial Revolving Facility or may be unsecured, (2) shall be structured such that neither Holdings nor any Restricted Subsidiary is a guarantor with respect to such Indebtedness unless Holdings or such Restricted Subsidiary is a Loan Party which shall have previously or substantially concurrently guaranteed the Loan Document Obligations, and (3) if secured, the obligations in respect thereof shall not be secured by Liens on the assets of Holdings and the Restricted Subsidiaries, other than assets constituting Collateral, and if established as a separate facility, shall be subject to a customary intercreditor agreement with the Administrative Agent and/or Collateral Agent substantially consistent with the applicable Intercreditor Agreement together with any immaterial changes in form and substance reasonably satisfactory to the Administrative Agent and/or Collateral Agent (or in the case of Additional Second Out Debt, shall be subject to “waterfall” provisions or a customary intercreditor agreement reasonably satisfactory to the Administrative Agent and/or Collateral Agent), it being understood that junior Liens are not required to be </w:t>
      </w:r>
      <w:r>
        <w:rPr>
          <w:rFonts w:ascii="Times New Roman" w:hAnsi="Times New Roman"/>
          <w:i/>
          <w:color w:val="000000"/>
          <w:sz w:val="24"/>
        </w:rPr>
        <w:t xml:space="preserve">pari passu </w:t>
      </w:r>
      <w:r>
        <w:rPr>
          <w:rFonts w:ascii="Times New Roman" w:hAnsi="Times New Roman"/>
          <w:color w:val="000000"/>
          <w:sz w:val="24"/>
        </w:rPr>
        <w:t xml:space="preserve">with other junior Liens, and that Indebtedness secured by junior Liens may be secured by Liens that are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with or junior in priority to, other Liens that are junior to the Liens securing the Initial Revolving Facility;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shall require no mandatory commitment reduction prior to the Revolving Maturity Date applicable to the Initial Revolving Facility;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shall, subject to the Required Additional Debt Terms, have interest rates (including through fixed interest rates), interest margins, rate floors, upfront fees, arrangement fees, structuring fees, ticking fees, amendment fees, consent fees, and any other fees, undrawn commitment fees, funding discounts, original issue discounts, prepayment terms and premiums, and commitment reduction and termination terms as determined by the Borrower and the lenders of such commitments;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may, subject to the Required Additional Debt Terms, include provisions relating to letters of credit, as applicable, issued thereunder, which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Issuing Banks;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shall comply with the provisions of the Required Additional Debt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Incremental Revolving Commitments shall be on terms and pursuant to documentation as determined by the Borrower and the lenders providing such Incremental Revolving Commitments, subject to the restrictions set forth above. Any Incremental Revolving Commitments may constitute a separate Class or Classes, as the case may be, of Commitments from the Classes constituting the Revolving Commitments prior to the Incremental Facility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notice from the Borrower pursuant to this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shall set forth the requested amount of the relevant Incremental Term Loans or Incremental Revolving Commitment Increases.</w:t>
      </w:r>
    </w:p>
    <w:p>
      <w:pPr>
        <w:pStyle w:val="TextBody"/>
        <w:bidi w:val="0"/>
        <w:spacing w:before="0" w:after="240"/>
        <w:jc w:val="both"/>
        <w:rPr>
          <w:rFonts w:ascii="Times New Roman" w:hAnsi="Times New Roman"/>
          <w:sz w:val="20"/>
        </w:rPr>
      </w:pPr>
      <w:r>
        <w:rPr>
          <w:rFonts w:ascii="Times New Roman" w:hAnsi="Times New Roman"/>
          <w:color w:val="000000"/>
          <w:sz w:val="24"/>
        </w:rPr>
        <w:t>(d) Commitments in respect of any Incremental Loans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Times New Roman" w:hAnsi="Times New Roman"/>
          <w:color w:val="000000"/>
          <w:sz w:val="24"/>
          <w:u w:val="single"/>
        </w:rPr>
        <w:t>Incremental Facility Amendment</w:t>
      </w:r>
      <w:r>
        <w:rPr>
          <w:rFonts w:ascii="Times New Roman" w:hAnsi="Times New Roman"/>
          <w:color w:val="000000"/>
          <w:sz w:val="20"/>
        </w:rPr>
        <w:t>”</w:t>
      </w:r>
      <w:r>
        <w:rPr>
          <w:rFonts w:ascii="Times New Roman" w:hAnsi="Times New Roman"/>
          <w:color w:val="000000"/>
          <w:sz w:val="24"/>
        </w:rPr>
        <w:t>) to this Agreement and, as appropriate, the other Loan Documents, executed by the Borrower, each Lender agreeing to provide such Commitment, if any, each applicable Additional Lender, if any, and the Administrative Agent (</w:t>
      </w:r>
      <w:r>
        <w:rPr>
          <w:rFonts w:ascii="Times New Roman" w:hAnsi="Times New Roman"/>
          <w:color w:val="000000"/>
          <w:sz w:val="24"/>
          <w:u w:val="single"/>
        </w:rPr>
        <w:t xml:space="preserve">provided </w:t>
      </w:r>
      <w:r>
        <w:rPr>
          <w:rFonts w:ascii="Times New Roman" w:hAnsi="Times New Roman"/>
          <w:color w:val="000000"/>
          <w:sz w:val="24"/>
        </w:rPr>
        <w:t xml:space="preserve">that if such amendment does not affect the rights, duties, privileges or obligations of the Administrative Agent, the Administrative Agent shall not be required to execute or acknowledge such amendment;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 xml:space="preserve">further </w:t>
      </w:r>
      <w:r>
        <w:rPr>
          <w:rFonts w:ascii="Times New Roman" w:hAnsi="Times New Roman"/>
          <w:color w:val="000000"/>
          <w:sz w:val="24"/>
        </w:rPr>
        <w:t>that, in any event, the Administrative Agent shall receive prior written notice of such Incremental Facility Amendment). An Incremental Facility may be provided, subject to the prior written consent of the Borrower (not to be unreasonably withheld), by any existing Lender (it being understood that no existing Lender shall have the right to participate in any Incremental Facility or, unless it agrees, be obligated to provide any Incremental Loans) or by any Additional Lender. Any loan under an Incremental Term Increase and any loan under an Incremental Revolving Commitment Increase shall be a “</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 xml:space="preserve">for all purposes of this Agreement and the other Loan Documents. The Incremental Facility Amendment may, subject to </w:t>
      </w:r>
      <w:r>
        <w:rPr>
          <w:rFonts w:ascii="Times New Roman" w:hAnsi="Times New Roman"/>
          <w:color w:val="000000"/>
          <w:sz w:val="24"/>
          <w:u w:val="single"/>
        </w:rPr>
        <w:t>Section 2.20(b)</w:t>
      </w:r>
      <w:r>
        <w:rPr>
          <w:rFonts w:ascii="Times New Roman" w:hAnsi="Times New Roman"/>
          <w:color w:val="000000"/>
          <w:sz w:val="24"/>
        </w:rPr>
        <w:t xml:space="preserve">, without the consent of any other Lenders, effect such amendments to this Agreement and the other Loan Documents as may be necessary, in the reasonable opinion of the Administrative Agent and the Borrower, to effect the provisions of this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(including, in connection with an Incremental Revolving Commitment Increase, to reallocate Revolving Exposure on a pro rata basis among the relevant Revolving Lenders and including voting rights as contemplated by </w:t>
      </w:r>
      <w:r>
        <w:rPr>
          <w:rFonts w:ascii="Times New Roman" w:hAnsi="Times New Roman"/>
          <w:color w:val="000000"/>
          <w:sz w:val="24"/>
          <w:u w:val="single"/>
        </w:rPr>
        <w:t>Section 9.02</w:t>
      </w:r>
      <w:r>
        <w:rPr>
          <w:rFonts w:ascii="Times New Roman" w:hAnsi="Times New Roman"/>
          <w:color w:val="000000"/>
          <w:sz w:val="24"/>
        </w:rPr>
        <w:t>). The effectiveness of any Incremental Facility Amendment and the occurrence of any credit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event (including the making (but not the conversion or continuation) of a Loan and the issuance, increase in the amount, or extension of a Letter of Credit thereunder) pursuant to such Incremental Facility Amendment shall be subject to the satisfaction on the date of such Incremental Facility Amendment of such conditions as the parties thereto shall agree and as required by this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(each such date, an “</w:t>
      </w:r>
      <w:r>
        <w:rPr>
          <w:rFonts w:ascii="Times New Roman" w:hAnsi="Times New Roman"/>
          <w:color w:val="000000"/>
          <w:sz w:val="24"/>
          <w:u w:val="single"/>
        </w:rPr>
        <w:t>Incremental Facility Closing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Borrower will use the proceeds of any Incremental Facilities for any purpose not prohibited by this Agreement (it being understood that any Additional First Out Debt may only be used for the purpose of satisfying reserves, collateral posting, prepayment or similar credit support requirements with payment processors, sellers, advertising partners and other similar counterparties).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Notwithstanding anything to the contrary, this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shall supersede any provisions in </w:t>
      </w:r>
      <w:r>
        <w:rPr>
          <w:rFonts w:ascii="Times New Roman" w:hAnsi="Times New Roman"/>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9.02</w:t>
      </w:r>
      <w:r>
        <w:rPr>
          <w:rFonts w:ascii="Times New Roman" w:hAnsi="Times New Roman"/>
          <w:color w:val="000000"/>
          <w:sz w:val="20"/>
        </w:rPr>
        <w:t xml:space="preserve"> </w:t>
      </w:r>
      <w:r>
        <w:rPr>
          <w:rFonts w:ascii="Times New Roman" w:hAnsi="Times New Roman"/>
          <w:color w:val="000000"/>
          <w:sz w:val="24"/>
        </w:rPr>
        <w:t>to the contrary.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2.21 </w:t>
      </w:r>
      <w:r>
        <w:rPr>
          <w:rFonts w:ascii="Times New Roman" w:hAnsi="Times New Roman"/>
          <w:b w:val="false"/>
          <w:color w:val="000000"/>
          <w:sz w:val="24"/>
          <w:u w:val="single"/>
        </w:rPr>
        <w:t>Refinancing Amendments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Term Loans) or (ii) all or any portion of the Revolving Loans (or unused Revolving Commitments) under this Agreement (which for purposes of this clause (ii) will be deemed to include any then outstanding Other Revolving Loans and Other Revolving Commitments), in the form of (x) Other Term Loans or Other Term Commitments or (y) Other Revolving Loans or Other Revolving Commitments, as the case may be, in each case pursuant to a Refinancing Amendment; </w:t>
      </w:r>
      <w:r>
        <w:rPr>
          <w:rFonts w:ascii="Times New Roman" w:hAnsi="Times New Roman"/>
          <w:color w:val="000000"/>
          <w:sz w:val="24"/>
          <w:u w:val="single"/>
        </w:rPr>
        <w:t xml:space="preserve">provided </w:t>
      </w:r>
      <w:r>
        <w:rPr>
          <w:rFonts w:ascii="Times New Roman" w:hAnsi="Times New Roman"/>
          <w:color w:val="000000"/>
          <w:sz w:val="24"/>
        </w:rPr>
        <w:t xml:space="preserve">that such Credit Agreement Refinancing Indebtedness (i) will be unsecured or will rank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or junior in right of payment and of security with the other Loans and Commitments hereunder,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any outstanding Term Loans or reduction of Revolving Commitments being so refinanced, as the case may be. The effectiveness of any Refinancing Amendment shall be subject to the satisfaction on the date thereof of the conditions as agreed between the lenders providing such Credit Agreement Refinancing Indebtedness and the Borrower. Each Class of Credit Agreement Refinancing Indebtedness incurred under this </w:t>
      </w:r>
      <w:r>
        <w:rPr>
          <w:rFonts w:ascii="Times New Roman" w:hAnsi="Times New Roman"/>
          <w:color w:val="000000"/>
          <w:sz w:val="24"/>
          <w:u w:val="single"/>
        </w:rPr>
        <w:t>Section 2.21</w:t>
      </w:r>
      <w:r>
        <w:rPr>
          <w:rFonts w:ascii="Times New Roman" w:hAnsi="Times New Roman"/>
          <w:color w:val="000000"/>
          <w:sz w:val="20"/>
        </w:rPr>
        <w:t xml:space="preserve"> </w:t>
      </w:r>
      <w:r>
        <w:rPr>
          <w:rFonts w:ascii="Times New Roman" w:hAnsi="Times New Roman"/>
          <w:color w:val="000000"/>
          <w:sz w:val="24"/>
        </w:rPr>
        <w:t xml:space="preserve">shall be in an aggregate principal amount that is (x) not less than $10,000,000 in the case of Other Term Loans or $10,000,000 in the case of Other Revolving Loans and (y) an integral multiple of $1,000,000 in excess thereof (in each case unless the Borrower and the Administrative Agent otherwise agree). Any Refinancing Amendment may provide for the issuance of Letters of Credit for the account of the Borrower pursuant to any Other Revolving Commitments established thereby, in each case on terms substantially equivalent to the terms applicable to Letters of Credit under the Revolving Commitments; </w:t>
      </w:r>
      <w:r>
        <w:rPr>
          <w:rFonts w:ascii="Times New Roman" w:hAnsi="Times New Roman"/>
          <w:color w:val="000000"/>
          <w:sz w:val="24"/>
          <w:u w:val="single"/>
        </w:rPr>
        <w:t xml:space="preserve">provided </w:t>
      </w:r>
      <w:r>
        <w:rPr>
          <w:rFonts w:ascii="Times New Roman" w:hAnsi="Times New Roman"/>
          <w:color w:val="000000"/>
          <w:sz w:val="24"/>
        </w:rPr>
        <w:t>that no Issuing Bank shall be required to act as “issuing bank”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Refinancing Indebtedness incurred pursuant thereto (including any amendments necessary to treat the Loans and Commitments subject thereto as Other Term Loans, Other Revolving Loans, Other Revolving Commitments and/or Other Term Commitments). In the case of any Credit Agreement Refinancing Indebtedness in the form of Other Revolving Loans or Other Revolving Commitments,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clause (2) below)) of Loans with respect to Other Revolving Commitments after the date of obtaining any Other Revolving Commitments shall be made on a pro rata basis or less than pro rata basis (but not greater than pro rata basis) with all other Revolving Commitments, (2) the permanent repayment of Revolving Loans with respect to, and termination of, Other Revolving Commitments after the date of obtaining any Other Revolving Commitments shall be made on a pro rata basis or less than pro rata basis (but not greater than pro rata basis) with all other Revolving Commitments (except that the Borrower shall be permitted to permanently repay and terminate commitments of any such Class on a better than pro rata basis as compared with any other Class with a later maturity date than such Class) and (3) assignments and participations of Other Revolving Commitments and Other Revolving Loans shall be governed by the same assignment and participation provisions applicable to Revolving Commitments and Revolving Loans.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 w:hAnsi="Times New Roman"/>
          <w:color w:val="000000"/>
          <w:sz w:val="24"/>
          <w:u w:val="single"/>
        </w:rPr>
        <w:t>Section 2.21</w:t>
      </w:r>
      <w:r>
        <w:rPr>
          <w:rFonts w:ascii="Times New Roman" w:hAnsi="Times New Roman"/>
          <w:color w:val="000000"/>
          <w:sz w:val="24"/>
        </w:rPr>
        <w:t xml:space="preserve">. In addition, if so provided in the relevant Refinancing Amendment and with the consent of each Issuing Bank and/or the Swing Line Lender, as applicable, participations in Letters of Credit and/or Swing Line Loans expiring on or after the Revolving Maturity Date shall be reallocated from Lenders holding Revolving Commitments to Lenders holding extended revolving commitments in accordance with the terms of such Refinancing Amendment;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pStyle w:val="TextBody"/>
        <w:bidi w:val="0"/>
        <w:spacing w:before="0" w:after="240"/>
        <w:jc w:val="both"/>
        <w:rPr>
          <w:rFonts w:ascii="Times New Roman" w:hAnsi="Times New Roman"/>
          <w:sz w:val="20"/>
        </w:rPr>
      </w:pPr>
      <w:r>
        <w:rPr>
          <w:rFonts w:ascii="Times New Roman" w:hAnsi="Times New Roman"/>
          <w:color w:val="000000"/>
          <w:sz w:val="24"/>
        </w:rPr>
        <w:t>(b) If, in connection with any proposed Refinancing Amendment with respect to any Class of Loans, any Lender of such Class which has been offered to such Lender who declines to provide any portion of the Credit Agreement Refinancing Indebtedness on the terms provided by the other Lenders providing such Credit Agreement Refinancing Indebtedness (each such Lender, a “</w:t>
      </w:r>
      <w:r>
        <w:rPr>
          <w:rFonts w:ascii="Times New Roman" w:hAnsi="Times New Roman"/>
          <w:color w:val="000000"/>
          <w:sz w:val="24"/>
          <w:u w:val="single"/>
        </w:rPr>
        <w:t>Non</w:t>
        <w:noBreakHyphen/>
        <w:t>Refinancing Lender</w:t>
      </w:r>
      <w:r>
        <w:rPr>
          <w:rFonts w:ascii="Times New Roman" w:hAnsi="Times New Roman"/>
          <w:color w:val="000000"/>
          <w:sz w:val="20"/>
        </w:rPr>
        <w:t>”</w:t>
      </w:r>
      <w:r>
        <w:rPr>
          <w:rFonts w:ascii="Times New Roman" w:hAnsi="Times New Roman"/>
          <w:color w:val="000000"/>
          <w:sz w:val="24"/>
        </w:rPr>
        <w:t>) then the Borrower may, on notice to the Administrative Agent and the Non</w:t>
        <w:noBreakHyphen/>
        <w:t>Refinancing Lender, (i) cause such Lender to (and such Lender shall be obligated to (and to the extent such Non</w:t>
        <w:noBreakHyphen/>
        <w:t>Refinancing Lender does not execute such Refinancing Amendment, such Refinancing Amendment shall nonetheless be effective without such signature of the Non</w:t>
        <w:noBreakHyphen/>
        <w:t xml:space="preserve">Refinancing Lender)) assign and delegate, without recourse (in accordance with and subject to the restrictions contained in </w:t>
      </w:r>
      <w:r>
        <w:rPr>
          <w:rFonts w:ascii="Times New Roman" w:hAnsi="Times New Roman"/>
          <w:color w:val="000000"/>
          <w:sz w:val="24"/>
          <w:u w:val="single"/>
        </w:rPr>
        <w:t>Section 9.04</w:t>
      </w:r>
      <w:r>
        <w:rPr>
          <w:rFonts w:ascii="Times New Roman" w:hAnsi="Times New Roman"/>
          <w:color w:val="000000"/>
          <w:sz w:val="24"/>
        </w:rPr>
        <w:t xml:space="preserve">) all or any part of its interests, rights and obligations under this Agreement in respect of the Loans and Commitments of the applicable Class to one or more Eligible Assignees (which Eligible Assignee may be another Lender, if a Lender accepts such assignment) in connection with such Refinancing Amendment or (ii) in the case of Revolving Commitments only, prepay, and terminate the Revolving Commitments of, such Lenders; </w:t>
      </w:r>
      <w:r>
        <w:rPr>
          <w:rFonts w:ascii="Times New Roman" w:hAnsi="Times New Roman"/>
          <w:color w:val="000000"/>
          <w:sz w:val="24"/>
          <w:u w:val="single"/>
        </w:rPr>
        <w:t xml:space="preserve">provided </w:t>
      </w:r>
      <w:r>
        <w:rPr>
          <w:rFonts w:ascii="Times New Roman" w:hAnsi="Times New Roman"/>
          <w:color w:val="000000"/>
          <w:sz w:val="24"/>
        </w:rPr>
        <w:t>that neither the Administrative Agent nor any Lender shall have any obligation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the Borrower to find a replacement Lender;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 such Non</w:t>
        <w:noBreakHyphen/>
        <w:t xml:space="preserve">Refinancing Lender shall have received payment of an amount equal to the outstanding principal of the Loans of the applicable Class assigned by it pursuant to this </w:t>
      </w:r>
      <w:r>
        <w:rPr>
          <w:rFonts w:ascii="Times New Roman" w:hAnsi="Times New Roman"/>
          <w:color w:val="000000"/>
          <w:sz w:val="24"/>
          <w:u w:val="single"/>
        </w:rPr>
        <w:t>Section 2.21(b)</w:t>
      </w:r>
      <w:r>
        <w:rPr>
          <w:rFonts w:ascii="Times New Roman" w:hAnsi="Times New Roman"/>
          <w:color w:val="000000"/>
          <w:sz w:val="24"/>
        </w:rPr>
        <w:t xml:space="preserve">, accrued interest thereon, accrued fees and all other amounts (including any amounts under </w:t>
      </w:r>
      <w:r>
        <w:rPr>
          <w:rFonts w:ascii="Times New Roman" w:hAnsi="Times New Roman"/>
          <w:color w:val="000000"/>
          <w:sz w:val="24"/>
          <w:u w:val="single"/>
        </w:rPr>
        <w:t>Section 2.11</w:t>
      </w:r>
      <w:r>
        <w:rPr>
          <w:rFonts w:ascii="Times New Roman" w:hAnsi="Times New Roman"/>
          <w:color w:val="000000"/>
          <w:sz w:val="24"/>
        </w:rPr>
        <w:t xml:space="preserve">) payable to it hereunder from the Eligible Assignee (to the extent of such outstanding principal and accrued interest and fees) and (b) in connection with an assignment pursuant to clause (i), no processing and recordation fee specified in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shall be payable in connection therewith.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This </w:t>
      </w:r>
      <w:r>
        <w:rPr>
          <w:rFonts w:ascii="Times New Roman" w:hAnsi="Times New Roman"/>
          <w:color w:val="000000"/>
          <w:sz w:val="24"/>
          <w:u w:val="single"/>
        </w:rPr>
        <w:t>Section 2.21</w:t>
      </w:r>
      <w:r>
        <w:rPr>
          <w:rFonts w:ascii="Times New Roman" w:hAnsi="Times New Roman"/>
          <w:color w:val="000000"/>
          <w:sz w:val="20"/>
        </w:rPr>
        <w:t xml:space="preserve"> </w:t>
      </w:r>
      <w:r>
        <w:rPr>
          <w:rFonts w:ascii="Times New Roman" w:hAnsi="Times New Roman"/>
          <w:color w:val="000000"/>
          <w:sz w:val="24"/>
        </w:rPr>
        <w:t xml:space="preserve">shall supersede any provisions in </w:t>
      </w:r>
      <w:r>
        <w:rPr>
          <w:rFonts w:ascii="Times New Roman" w:hAnsi="Times New Roman"/>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9.02</w:t>
      </w:r>
      <w:r>
        <w:rPr>
          <w:rFonts w:ascii="Times New Roman" w:hAnsi="Times New Roman"/>
          <w:color w:val="000000"/>
          <w:sz w:val="20"/>
        </w:rPr>
        <w:t xml:space="preserve"> </w:t>
      </w:r>
      <w:r>
        <w:rPr>
          <w:rFonts w:ascii="Times New Roman" w:hAnsi="Times New Roman"/>
          <w:color w:val="000000"/>
          <w:sz w:val="24"/>
        </w:rPr>
        <w:t>to the contrary.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2.22 </w:t>
      </w:r>
      <w:r>
        <w:rPr>
          <w:rFonts w:ascii="Times New Roman" w:hAnsi="Times New Roman"/>
          <w:b w:val="false"/>
          <w:color w:val="000000"/>
          <w:sz w:val="24"/>
          <w:u w:val="single"/>
        </w:rPr>
        <w:t>Defaulting Lenders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Adjustments.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Waivers and Amendments. Such Defaulting Lender’s right to approve or disapprove any amendment, waiver or consent with respect to this Agreement shall be restricted as set forth in </w:t>
      </w:r>
      <w:r>
        <w:rPr>
          <w:rFonts w:ascii="Times New Roman" w:hAnsi="Times New Roman"/>
          <w:color w:val="000000"/>
          <w:sz w:val="24"/>
          <w:u w:val="single"/>
        </w:rPr>
        <w:t>Section 9.02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Reallocation of Payments. Subject to the last sentence of </w:t>
      </w:r>
      <w:r>
        <w:rPr>
          <w:rFonts w:ascii="Times New Roman" w:hAnsi="Times New Roman"/>
          <w:color w:val="000000"/>
          <w:sz w:val="24"/>
          <w:u w:val="single"/>
        </w:rPr>
        <w:t>Section 2.11(f)</w:t>
      </w:r>
      <w:r>
        <w:rPr>
          <w:rFonts w:ascii="Times New Roman" w:hAnsi="Times New Roman"/>
          <w:color w:val="000000"/>
          <w:sz w:val="24"/>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 xml:space="preserve">or otherwise, and including any amounts made available to the Administrative Agent by that Defaulting Lender pursuant to </w:t>
      </w:r>
      <w:r>
        <w:rPr>
          <w:rFonts w:ascii="Times New Roman" w:hAnsi="Times New Roman"/>
          <w:color w:val="000000"/>
          <w:sz w:val="24"/>
          <w:u w:val="single"/>
        </w:rPr>
        <w:t>Section 9.08</w:t>
      </w:r>
      <w:r>
        <w:rPr>
          <w:rFonts w:ascii="Times New Roman" w:hAnsi="Times New Roman"/>
          <w:color w:val="000000"/>
          <w:sz w:val="24"/>
        </w:rPr>
        <w:t>), shall be applied at such time or times as may be determined by the Administrative Agent as follows: first, to the payment of any amounts owing by that Defaulting Lender to the Administrative Agent hereunder; second, in the case of a Revolving Lender, to the payment on a pro rata basis of any amounts owing by that Defaulting Lender to each Issuing Bank or the Swing Line Lender hereunder; third, as the Borrower may request (so long as no Default or Event of Default exists), to the funding of any Loan in respect of which that Defaulting Lender has failed to fund its portion thereof as required by this Agreement, as determined by the Administrative Agent; fourth, in the case of a Revolving Lender, if so determined by the Administrative Agent and the Borrower, to be held in a non</w:t>
        <w:noBreakHyphen/>
        <w:t xml:space="preserve">interest bearing deposit account and released in order to satisfy obligations of that Defaulting Lender to fund Loans under this Agreement; fifth, to the payment of any amounts owing to the Lenders, the Swing Line Lender or the Issuing Banks as a result of any judgment of a court of competent jurisdiction obtained by any Lender, such Issuing Bank against that Defaulting Lender as a result of that Defaulting Lender’s breach of its obligations under this Agreement; sixth,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seventh, to that Defaulting Lender or as otherwise directed by a court of competent jurisdiction; </w:t>
      </w:r>
      <w:r>
        <w:rPr>
          <w:rFonts w:ascii="Times New Roman" w:hAnsi="Times New Roman"/>
          <w:color w:val="000000"/>
          <w:sz w:val="24"/>
          <w:u w:val="single"/>
        </w:rPr>
        <w:t xml:space="preserve">provided </w:t>
      </w:r>
      <w:r>
        <w:rPr>
          <w:rFonts w:ascii="Times New Roman" w:hAnsi="Times New Roman"/>
          <w:color w:val="000000"/>
          <w:sz w:val="24"/>
        </w:rPr>
        <w:t>that if such payment is a payment of the principal amount of any Loans or LC Disbursements and such Lender is a Defaulting Lender under clause (a) of the definition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thereof, such payment shall be applied solely to pay the relevant Loans of, and LC Disbursements owed to, the relevant non</w:t>
        <w:noBreakHyphen/>
        <w:t xml:space="preserve">Defaulting Lenders on a pro rata basis prior to being applied pursuant to </w:t>
      </w:r>
      <w:r>
        <w:rPr>
          <w:rFonts w:ascii="Times New Roman" w:hAnsi="Times New Roman"/>
          <w:color w:val="000000"/>
          <w:sz w:val="24"/>
          <w:u w:val="single"/>
        </w:rPr>
        <w:t>Section 2.05(j)</w:t>
      </w:r>
      <w:r>
        <w:rPr>
          <w:rFonts w:ascii="Times New Roman" w:hAnsi="Times New Roman"/>
          <w:color w:val="000000"/>
          <w:sz w:val="20"/>
        </w:rPr>
        <w:t xml:space="preserve"> </w:t>
      </w:r>
      <w:r>
        <w:rPr>
          <w:rFonts w:ascii="Times New Roman" w:hAnsi="Times New Roman"/>
          <w:color w:val="000000"/>
          <w:sz w:val="24"/>
        </w:rPr>
        <w:t xml:space="preserve">or this </w:t>
      </w:r>
      <w:r>
        <w:rPr>
          <w:rFonts w:ascii="Times New Roman" w:hAnsi="Times New Roman"/>
          <w:color w:val="000000"/>
          <w:sz w:val="24"/>
          <w:u w:val="single"/>
        </w:rPr>
        <w:t>Section 2.22(a)(ii)</w:t>
      </w:r>
      <w:r>
        <w:rPr>
          <w:rFonts w:ascii="Times New Roman" w:hAnsi="Times New Roman"/>
          <w:color w:val="000000"/>
          <w:sz w:val="24"/>
        </w:rPr>
        <w:t xml:space="preserve">. Any payments, prepayments or other amounts paid or payable to a Defaulting Lender that are applied (or held) to pay amounts owed by a Defaulting Lender or to post cash collateral pursuant to </w:t>
      </w:r>
      <w:r>
        <w:rPr>
          <w:rFonts w:ascii="Times New Roman" w:hAnsi="Times New Roman"/>
          <w:color w:val="000000"/>
          <w:sz w:val="24"/>
          <w:u w:val="single"/>
        </w:rPr>
        <w:t>Section 2.05(j)</w:t>
      </w:r>
      <w:r>
        <w:rPr>
          <w:rFonts w:ascii="Times New Roman" w:hAnsi="Times New Roman"/>
          <w:color w:val="000000"/>
          <w:sz w:val="20"/>
        </w:rPr>
        <w:t xml:space="preserve"> </w:t>
      </w:r>
      <w:r>
        <w:rPr>
          <w:rFonts w:ascii="Times New Roman" w:hAnsi="Times New Roman"/>
          <w:color w:val="000000"/>
          <w:sz w:val="24"/>
        </w:rPr>
        <w:t>shall be deemed paid to and redirected by that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Certain Fees. That Defaulting Lender (x) shall not be entitled to receive or accrue any commitment fee pursuant to </w:t>
      </w:r>
      <w:r>
        <w:rPr>
          <w:rFonts w:ascii="Times New Roman" w:hAnsi="Times New Roman"/>
          <w:color w:val="000000"/>
          <w:sz w:val="24"/>
          <w:u w:val="single"/>
        </w:rPr>
        <w:t>Section 2.12(a)</w:t>
      </w:r>
      <w:r>
        <w:rPr>
          <w:rFonts w:ascii="Times New Roman" w:hAnsi="Times New Roman"/>
          <w:color w:val="000000"/>
          <w:sz w:val="20"/>
        </w:rPr>
        <w:t xml:space="preserve"> </w:t>
      </w:r>
      <w:r>
        <w:rPr>
          <w:rFonts w:ascii="Times New Roman" w:hAnsi="Times New Roman"/>
          <w:color w:val="000000"/>
          <w:sz w:val="24"/>
        </w:rPr>
        <w:t xml:space="preserve">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hAnsi="Times New Roman"/>
          <w:color w:val="000000"/>
          <w:sz w:val="24"/>
          <w:u w:val="single"/>
        </w:rPr>
        <w:t>Section 2.12(b)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(iv) Reallocation of Applicable Percentages to Reduce Fronting Exposure. During any period in which there is a Defaulting Lender, for purposes of computing the amount of the obligation of each non</w:t>
        <w:noBreakHyphen/>
        <w:t xml:space="preserve">Defaulting Lender to acquire, refinance or fund participations in Swing Line Loans pursuant to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 xml:space="preserve">and, in Letters of Credit pursuant to </w:t>
      </w:r>
      <w:r>
        <w:rPr>
          <w:rFonts w:ascii="Times New Roman" w:hAnsi="Times New Roman"/>
          <w:color w:val="000000"/>
          <w:sz w:val="24"/>
          <w:u w:val="single"/>
        </w:rPr>
        <w:t>Section 2.05</w:t>
      </w:r>
      <w:r>
        <w:rPr>
          <w:rFonts w:ascii="Times New Roman" w:hAnsi="Times New Roman"/>
          <w:color w:val="000000"/>
          <w:sz w:val="20"/>
        </w:rPr>
        <w:t xml:space="preserve"> </w:t>
      </w:r>
      <w:r>
        <w:rPr>
          <w:rFonts w:ascii="Times New Roman" w:hAnsi="Times New Roman"/>
          <w:color w:val="000000"/>
          <w:sz w:val="24"/>
        </w:rPr>
        <w:t xml:space="preserve">and the payments of participation fees pursuant to </w:t>
      </w:r>
      <w:r>
        <w:rPr>
          <w:rFonts w:ascii="Times New Roman" w:hAnsi="Times New Roman"/>
          <w:color w:val="000000"/>
          <w:sz w:val="24"/>
          <w:u w:val="single"/>
        </w:rPr>
        <w:t>Section 2.12(b)</w:t>
      </w:r>
      <w:r>
        <w:rPr>
          <w:rFonts w:ascii="Times New Roman" w:hAnsi="Times New Roman"/>
          <w:color w:val="000000"/>
          <w:sz w:val="24"/>
        </w:rPr>
        <w:t>, the “Applicable Percentage” of each non</w:t>
        <w:noBreakHyphen/>
        <w:t xml:space="preserve">Defaulting Lender shall be computed without giving effect to the Revolving Commitment of that Defaulting Lender; </w:t>
      </w:r>
      <w:r>
        <w:rPr>
          <w:rFonts w:ascii="Times New Roman" w:hAnsi="Times New Roman"/>
          <w:color w:val="000000"/>
          <w:sz w:val="24"/>
          <w:u w:val="single"/>
        </w:rPr>
        <w:t xml:space="preserve">provided </w:t>
      </w:r>
      <w:r>
        <w:rPr>
          <w:rFonts w:ascii="Times New Roman" w:hAnsi="Times New Roman"/>
          <w:color w:val="000000"/>
          <w:sz w:val="24"/>
        </w:rPr>
        <w:t>that the aggregate obligation of each non</w:t>
        <w:noBreakHyphen/>
        <w:t>Defaulting Lender to acquire, refinance or fund participations in Letters of Credit and Swing Line Loans shall not exceed the positive difference, if any, of (1) the Revolving Commitment of that non</w:t>
        <w:noBreakHyphen/>
        <w:t>Defaulting Lender minus (2) the sum of (A) the aggregate principal amount of the Revolving Loans of that non</w:t>
        <w:noBreakHyphen/>
        <w:t>Defaulting Lender plus (B) the LC Exposure of that non</w:t>
        <w:noBreakHyphen/>
        <w:t>Defaulting Lender plus (C) the Swing Line Obligations of that non</w:t>
        <w:noBreakHyphen/>
        <w:t>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Cash Collateral. If the reallocation described in clause (iv) above cannot, or can only partially, be effected, the Borrower shall, without prejudice to any right or remedy available to it hereunder or under law, cash collateralize the Issuing Banks’ and Swing Line Lender’s Defaulting Lender Fronting Exposure in accordance with the procedures set forth in </w:t>
      </w:r>
      <w:r>
        <w:rPr>
          <w:rFonts w:ascii="Times New Roman" w:hAnsi="Times New Roman"/>
          <w:color w:val="000000"/>
          <w:sz w:val="24"/>
          <w:u w:val="single"/>
        </w:rPr>
        <w:t>Section 2.05(j)</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Defaulting Lender Cure. If the Borrower, the Administrative Agent, the Swing 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 w:hAnsi="Times New Roman"/>
          <w:color w:val="000000"/>
          <w:sz w:val="24"/>
          <w:u w:val="single"/>
        </w:rPr>
        <w:t>Section 2.22(a)(iv)</w:t>
      </w:r>
      <w:r>
        <w:rPr>
          <w:rFonts w:ascii="Times New Roman" w:hAnsi="Times New Roman"/>
          <w:color w:val="000000"/>
          <w:sz w:val="20"/>
        </w:rPr>
        <w:t xml:space="preserve"> </w:t>
      </w:r>
      <w:r>
        <w:rPr>
          <w:rFonts w:ascii="Times New Roman" w:hAnsi="Times New Roman"/>
          <w:color w:val="000000"/>
          <w:sz w:val="24"/>
        </w:rPr>
        <w:t xml:space="preserve">or the proviso to the definition thereof), whereupon that Lender will cease to be a Defaulting Lender; </w:t>
      </w:r>
      <w:r>
        <w:rPr>
          <w:rFonts w:ascii="Times New Roman" w:hAnsi="Times New Roman"/>
          <w:color w:val="000000"/>
          <w:sz w:val="24"/>
          <w:u w:val="single"/>
        </w:rPr>
        <w:t xml:space="preserve">provided </w:t>
      </w:r>
      <w:r>
        <w:rPr>
          <w:rFonts w:ascii="Times New Roman" w:hAnsi="Times New Roman"/>
          <w:color w:val="000000"/>
          <w:sz w:val="24"/>
        </w:rPr>
        <w:t>that no adjustments will be made retroactively with respect to fees accrued or payments made by or on behalf of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while that Lender was a Defaulting Lender;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except to the extent otherwise expressly agreed by the affected parties and subject to </w:t>
      </w:r>
      <w:r>
        <w:rPr>
          <w:rFonts w:ascii="Times New Roman" w:hAnsi="Times New Roman"/>
          <w:color w:val="000000"/>
          <w:sz w:val="24"/>
          <w:u w:val="single"/>
        </w:rPr>
        <w:t>Section 9.20</w:t>
      </w:r>
      <w:r>
        <w:rPr>
          <w:rFonts w:ascii="Times New Roman" w:hAnsi="Times New Roman"/>
          <w:color w:val="000000"/>
          <w:sz w:val="24"/>
        </w:rPr>
        <w:t>, no change hereunder from Defaulting Lender to Lender will constitute a waiver or release of any claim of any party hereunder arising from that Lender’s having been a Defaulting Lender.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2.23 </w:t>
      </w:r>
      <w:r>
        <w:rPr>
          <w:rFonts w:ascii="Times New Roman" w:hAnsi="Times New Roman"/>
          <w:b w:val="false"/>
          <w:color w:val="000000"/>
          <w:sz w:val="24"/>
          <w:u w:val="single"/>
        </w:rPr>
        <w:t>Illegality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Term SOFR Rate, Term CORRA Rate, Daily Simple RFR or EURIBOR Rate, or to determine or charge interest rates based upon the Term SOFR Rate, Term CORRA Rate, Daily Simple RFR or EURIBOR Rate, or any Governmental Authority has imposed material restrictions on the authority of such Lender to purchase or sell, or to take deposits of, Dollars in the applicable interbank market, then, on notice thereof by such Lender to the Borrower through the Administrative Agent, (i) any obligation of such Lender to make or continue SOFR Loans, Term CORRA Loans, RFR Loans or EURIBOR Loans or to convert ABR Loans to SOFR Loans, Term CORRA Loans, RFR Loans or EURIBOR Loans shall be suspended and (ii) if such notice asserts the illegality of such Lender making or maintaining ABR Loans the interest rate on which is determined by reference to the Term SOFR Rate, Term CORRA Rate, Daily Simple RFR or EURIBOR Rate component of the Alternate Base Rate, the interest rate on which ABR Loans of such Lender, shall, if necessary to avoid such illegality, be determined by the Administrative Agent without reference to the Term SOFR Rate, Term CORRA Rate, Daily Simple RFR or EURIBOR Rate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such Lender (with a copy to the Administrative Agent), prepay or, convert all of such Lender’s SOFR Loans, Term CORRA Loans, RFR Loans or EURIBOR Loans to ABR Loans (the interest rate on such ABR Loans of such Lender shall, if necessary to avoid such illegality, be determined by the Administrative Agent without reference to the Term SOFR Rate, Term CORRA Rate, Daily Simple RFR or EURIBOR Rate component of the Alternate Base Rate) either on the last day of the Interest Period therefor, if such Lender may lawfully continue to maintain such SOFR Loans, Term CORRA Loans, RFR Loans or EURIBOR Loans to such day, or immediately, if such Lender may not lawfully continue to maintain such SOFR Loans, Term CORRA Loans, RFR Loans or EURIBOR Loans (in which case the Borrower shall not be required to make payments pursuant to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in connection with such payment) and (y) if such notice asserts the illegality of such Lender determining or charging interest rates based upon the Term SOFR Reference Rate, the Administrative Agent shall during the period of such suspension compute the Alternate Base Rate applicable to such Lender without reference to the Term SOFR Rate component thereof until the Administrative Agent is advised in writing by such Lender that it is no longer illegal for such Lender to determine or charge interest rates based upon the Term SOFR Reference Rate. Upon any such prepayment or conversion, the applicable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III</w:t>
      </w:r>
      <w:r>
        <w:rPr>
          <w:rFonts w:ascii="Times New Roman" w:hAnsi="Times New Roman"/>
          <w:b w:val="false"/>
          <w:caps/>
          <w:color w:val="000000"/>
          <w:sz w:val="24"/>
          <w:u w:val="single"/>
        </w:rP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and the Borrower represents and warrants to the Lenders that as of the Effective Date:</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3.01 </w:t>
      </w:r>
      <w:r>
        <w:rPr>
          <w:rFonts w:ascii="Times New Roman" w:hAnsi="Times New Roman"/>
          <w:b w:val="false"/>
          <w:color w:val="000000"/>
          <w:sz w:val="24"/>
          <w:u w:val="single"/>
        </w:rPr>
        <w:t>Organization; Powers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Legal Reservations, each of Holdings, the Borrower and the Restricted Subsidiaries is (a) duly organized or incorporated, validly existing and in good standing (to the extent such concept exists in the jurisdiction of organization of such Person)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would not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3.02 </w:t>
      </w:r>
      <w:r>
        <w:rPr>
          <w:rFonts w:ascii="Times New Roman" w:hAnsi="Times New Roman"/>
          <w:b w:val="false"/>
          <w:color w:val="000000"/>
          <w:sz w:val="24"/>
          <w:u w:val="single"/>
        </w:rPr>
        <w:t>Authorization; Enforceability</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the Legal Reservations.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3.03 </w:t>
      </w:r>
      <w:r>
        <w:rPr>
          <w:rFonts w:ascii="Times New Roman" w:hAnsi="Times New Roman"/>
          <w:b w:val="false"/>
          <w:color w:val="000000"/>
          <w:sz w:val="24"/>
          <w:u w:val="single"/>
        </w:rPr>
        <w:t>Governmental Approvals; No Conflicts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as set forth on </w:t>
      </w:r>
      <w:r>
        <w:rPr>
          <w:rFonts w:ascii="Times New Roman" w:hAnsi="Times New Roman"/>
          <w:color w:val="000000"/>
          <w:sz w:val="24"/>
          <w:u w:val="single"/>
        </w:rPr>
        <w:t>Schedule 3.03</w:t>
      </w:r>
      <w:r>
        <w:rPr>
          <w:rFonts w:ascii="Times New Roman" w:hAnsi="Times New Roman"/>
          <w:color w:val="000000"/>
          <w:sz w:val="24"/>
        </w:rPr>
        <w:t>, the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(other than Liens created under the Loan Documents) except (in the case of each of clauses (a), (b)(ii) and (c)) to the extent that the failure to obtain or make such consent, approval, registration, filing or action, or such violation, default or right, as the case may be, individually or in the aggregate, would not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3.04 </w:t>
      </w:r>
      <w:r>
        <w:rPr>
          <w:rFonts w:ascii="Times New Roman" w:hAnsi="Times New Roman"/>
          <w:b w:val="false"/>
          <w:color w:val="000000"/>
          <w:sz w:val="24"/>
          <w:u w:val="single"/>
        </w:rPr>
        <w:t>No Material Adverse Effect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Unaudited Financial Statements (i) were prepared in accordance with GAAP consistently applied throughout the period covered thereby, except as otherwise expressly noted therein, and (ii) fairly present in all material respects the consolidated financial condition of Holdings and its Subsidiaries as of the respective dates thereof and their consolidated results of operations and cash flows for the period covered thereby in accordance with GAAP consistently applied throughout the period covered thereby, except as otherwise expressly noted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Since the March 31, 2026, there has been no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3.05 </w:t>
      </w:r>
      <w:r>
        <w:rPr>
          <w:rFonts w:ascii="Times New Roman" w:hAnsi="Times New Roman"/>
          <w:b w:val="false"/>
          <w:color w:val="000000"/>
          <w:sz w:val="24"/>
          <w:u w:val="single"/>
        </w:rPr>
        <w:t>Properties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of Holdings, the Borrower and the Restricted Subsidiaries has good and marketable title to, or valid interests in, all its real and tangible personal property material to its business, if any (including all of the Mortgaged Properties), (i) free and clear of all Liens except for Liens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and (ii) except for minor defects in title that do not interfere with its ability to conduct its business as currently conducted or as proposed to be conducted or to utilize such properties for their intended purposes, in each case, except where the failure to do so would not be expected to have, individually or in the aggregate,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3.06 </w:t>
      </w:r>
      <w:r>
        <w:rPr>
          <w:rFonts w:ascii="Times New Roman" w:hAnsi="Times New Roman"/>
          <w:b w:val="false"/>
          <w:color w:val="000000"/>
          <w:sz w:val="24"/>
          <w:u w:val="single"/>
        </w:rPr>
        <w:t>Litigation and Environmental Matters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set forth on </w:t>
      </w:r>
      <w:r>
        <w:rPr>
          <w:rFonts w:ascii="Times New Roman" w:hAnsi="Times New Roman"/>
          <w:color w:val="000000"/>
          <w:sz w:val="24"/>
          <w:u w:val="single"/>
        </w:rPr>
        <w:t>Schedule 3.06</w:t>
      </w:r>
      <w:r>
        <w:rPr>
          <w:rFonts w:ascii="Times New Roman" w:hAnsi="Times New Roman"/>
          <w:color w:val="000000"/>
          <w:sz w:val="24"/>
        </w:rPr>
        <w:t>, there are no actions, suits or proceedings by or before any arbitrator or Governmental Authority pending against or, to the knowledge of Holdings or the Borrower, threatened in writing against or affecting Holdings, the Borrower or any Restricted Subsidiary that would be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Except as set forth on </w:t>
      </w:r>
      <w:r>
        <w:rPr>
          <w:rFonts w:ascii="Times New Roman" w:hAnsi="Times New Roman"/>
          <w:color w:val="000000"/>
          <w:sz w:val="24"/>
          <w:u w:val="single"/>
        </w:rPr>
        <w:t>Schedule 3.06</w:t>
      </w:r>
      <w:r>
        <w:rPr>
          <w:rFonts w:ascii="Times New Roman" w:hAnsi="Times New Roman"/>
          <w:color w:val="000000"/>
          <w:sz w:val="24"/>
        </w:rPr>
        <w:t>, and except with respect to any other matters that, individually or in the aggregate, would not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or (iii) has received written notice of any claim, citation, investigation, or remedial or corrective action obligation, with respect to any Environmental Liability.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3.07 </w:t>
      </w:r>
      <w:r>
        <w:rPr>
          <w:rFonts w:ascii="Times New Roman" w:hAnsi="Times New Roman"/>
          <w:b w:val="false"/>
          <w:color w:val="000000"/>
          <w:sz w:val="24"/>
          <w:u w:val="single"/>
        </w:rPr>
        <w:t>Compliance with Laws and Agreements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the Borrower and the Restricted Subsidiaries is in compliance with (a) all Requirements of Law applicable to it or its property and (b) all indentures and other agreements and instruments binding upon it or its property, except, in each case, where the failure to do so, individually or in the aggregate, would not be expected to result in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3.08 </w:t>
      </w:r>
      <w:r>
        <w:rPr>
          <w:rFonts w:ascii="Times New Roman" w:hAnsi="Times New Roman"/>
          <w:b w:val="false"/>
          <w:color w:val="000000"/>
          <w:sz w:val="24"/>
          <w:u w:val="single"/>
        </w:rPr>
        <w:t>Investment Company Status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Loan Parties is required to register as an “investment company” under the Investment Company Act of 1940, as amended from time to time.</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3.09 </w:t>
      </w:r>
      <w:r>
        <w:rPr>
          <w:rFonts w:ascii="Times New Roman" w:hAnsi="Times New Roman"/>
          <w:b w:val="false"/>
          <w:color w:val="000000"/>
          <w:sz w:val="24"/>
          <w:u w:val="single"/>
        </w:rPr>
        <w:t>Taxes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as would not, individually or in the aggregate, be expected to have a Material Adverse Effect, Holdings, the Borrower and each Restricted Subsidiary (a) have timely filed or caused to be filed all Tax returns and reports required to have been filed and (b) have paid or caused to be paid all Taxes required to be paid (whether or not shown on Tax returns), except any Taxes that are being contested in good faith by appropriate proceedings, </w:t>
      </w:r>
      <w:r>
        <w:rPr>
          <w:rFonts w:ascii="Times New Roman" w:hAnsi="Times New Roman"/>
          <w:color w:val="000000"/>
          <w:sz w:val="24"/>
          <w:u w:val="single"/>
        </w:rPr>
        <w:t xml:space="preserve">provided </w:t>
      </w:r>
      <w:r>
        <w:rPr>
          <w:rFonts w:ascii="Times New Roman" w:hAnsi="Times New Roman"/>
          <w:color w:val="000000"/>
          <w:sz w:val="24"/>
        </w:rPr>
        <w:t>that Holdings, the Borrower or Restricted Subsidiary, as the case may be, has set aside on its books adequate reserves therefor in accordance with GAAP.</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3.10 </w:t>
      </w:r>
      <w:r>
        <w:rPr>
          <w:rFonts w:ascii="Times New Roman" w:hAnsi="Times New Roman"/>
          <w:b w:val="false"/>
          <w:color w:val="000000"/>
          <w:sz w:val="24"/>
          <w:u w:val="single"/>
        </w:rPr>
        <w:t>ERISA</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Except as would not, individually or in the aggregate, be expected to result in a Material Adverse Effect, each Plan is in compliance with the applicable provisions of ERISA, the Code and other federal or state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Except as would not be expected, individually or in the aggregate, to result in a Material Adverse Effect, (i) no ERISA Event has occurred or is reasonably expected to occur, (ii) neither any Loan Party nor any ERISA Affiliate has incurred, or reasonably expects to incur, any liability (and no event has occurred which, with the giving of notice under Section 4219 of ERISA, would result in such liability) under Section 4201 et seq. of ERISA with respect to a Multiemployer Plan, and (iii) neither any Loan Party nor any ERISA Affiliate has engaged in a transaction that would reasonably be expected to be subject to Section 4069 or 4212(c) of ERISA. There exists no Unfunded Pension Liability with respect to Plans in the aggregate (taking into account only Plans with positive Unfunded Pension Liability) except as would not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Except as would not be expected, individually or in the aggregate to result in a Material Adverse Effect: (i) each employee benefit plan (as defined in Section 3(2) of ERISA) sponsored by Holdings or the Borrower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nothing has occurred that would prevent or cause the loss of such tax</w:t>
        <w:noBreakHyphen/>
        <w:t>qualified status; and (iii) there are no pending or, to the knowledge of Holdings and the Borrower, threatened claims, actions or lawsuits, or action by any Governmental Authority, with respect to any such plan.</w:t>
      </w:r>
    </w:p>
    <w:p>
      <w:pPr>
        <w:pStyle w:val="TextBody"/>
        <w:bidi w:val="0"/>
        <w:spacing w:before="0" w:after="240"/>
        <w:jc w:val="both"/>
        <w:rPr>
          <w:rFonts w:ascii="Times New Roman" w:hAnsi="Times New Roman"/>
          <w:sz w:val="20"/>
        </w:rPr>
      </w:pPr>
      <w:r>
        <w:rPr>
          <w:rFonts w:ascii="Times New Roman" w:hAnsi="Times New Roman"/>
          <w:color w:val="000000"/>
          <w:sz w:val="24"/>
        </w:rPr>
        <w:t>(d) No Loan Party or ERISA Affiliate shall cause or suffer to exist any (i) event that would result in the imposition of a Lien under ERISA on any assets or properties of any Loan Party with respect to any Plan or Multiemployer Plan or (ii) other ERISA Event, in each case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individually or in the aggregate, has resulted or would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3.11 </w:t>
      </w:r>
      <w:r>
        <w:rPr>
          <w:rFonts w:ascii="Times New Roman" w:hAnsi="Times New Roman"/>
          <w:b w:val="false"/>
          <w:color w:val="000000"/>
          <w:sz w:val="24"/>
          <w:u w:val="single"/>
        </w:rPr>
        <w:t>Disclosure</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As of the Effective Date, all written factual information and written factual data (other than projections, any pro forma financial information, budgets, other forward</w:t>
        <w:noBreakHyphen/>
        <w:t>looking information or information consisting of statements, estimates or forecasts regarding the future condition of the industries in which the Loan Parties operate and information of a general economic or industry specific nature (collectively, “</w:t>
      </w:r>
      <w:r>
        <w:rPr>
          <w:rFonts w:ascii="Times New Roman" w:hAnsi="Times New Roman"/>
          <w:color w:val="000000"/>
          <w:sz w:val="24"/>
          <w:u w:val="single"/>
        </w:rPr>
        <w:t>Projections</w:t>
      </w:r>
      <w:r>
        <w:rPr>
          <w:rFonts w:ascii="Times New Roman" w:hAnsi="Times New Roman"/>
          <w:color w:val="000000"/>
          <w:sz w:val="20"/>
        </w:rPr>
        <w:t>”</w:t>
      </w:r>
      <w:r>
        <w:rPr>
          <w:rFonts w:ascii="Times New Roman" w:hAnsi="Times New Roman"/>
          <w:color w:val="000000"/>
          <w:sz w:val="24"/>
        </w:rPr>
        <w:t xml:space="preserve">)) made available by the Borrower or its representatives, in their official capacity as such, to the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Projections, Holdings and the Borrower represent that such Projections, when taken as a whole, were prepared in good faith based upon assumptions believed by them to be reasonable at the time furnished, it being understood that (i) such projections are merely a prediction as to future events and are not to be viewed as facts, (ii) such projections are subject to significant uncertainties and contingencies, many of which are beyond the control of Holdings and (iii) no assurance can be given that any particular Projections will be realized and that actual results during the period or periods covered by any such Projections may differ significantly from the projected results and such differences may be material.</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3.12 </w:t>
      </w:r>
      <w:r>
        <w:rPr>
          <w:rFonts w:ascii="Times New Roman" w:hAnsi="Times New Roman"/>
          <w:b w:val="false"/>
          <w:color w:val="000000"/>
          <w:sz w:val="24"/>
          <w:u w:val="single"/>
        </w:rPr>
        <w:t>Subsidiaries</w:t>
      </w:r>
      <w:r>
        <w:rPr>
          <w:rFonts w:ascii="Times New Roman" w:hAnsi="Times New Roman"/>
          <w:b w:val="false"/>
          <w:color w:val="000000"/>
          <w:sz w:val="24"/>
        </w:rPr>
        <w:t xml:space="preserve">. As of the Effective Date, after giving effect to the Transactions to occur on the Effective Date, </w:t>
      </w:r>
      <w:r>
        <w:rPr>
          <w:rFonts w:ascii="Times New Roman" w:hAnsi="Times New Roman"/>
          <w:b w:val="false"/>
          <w:color w:val="000000"/>
          <w:sz w:val="24"/>
          <w:u w:val="single"/>
        </w:rPr>
        <w:t>Schedule 3.12</w:t>
      </w:r>
      <w:r>
        <w:rPr>
          <w:rFonts w:ascii="Times New Roman" w:hAnsi="Times New Roman"/>
          <w:color w:val="000000"/>
          <w:sz w:val="20"/>
        </w:rPr>
        <w:t xml:space="preserve"> </w:t>
      </w:r>
      <w:r>
        <w:rPr>
          <w:rFonts w:ascii="Times New Roman" w:hAnsi="Times New Roman"/>
          <w:b w:val="false"/>
          <w:color w:val="000000"/>
          <w:sz w:val="24"/>
        </w:rPr>
        <w:t>sets forth the name of, and the ownership interest of each Subsidiary of Holdings.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3.13 </w:t>
      </w:r>
      <w:r>
        <w:rPr>
          <w:rFonts w:ascii="Times New Roman" w:hAnsi="Times New Roman"/>
          <w:b w:val="false"/>
          <w:color w:val="000000"/>
          <w:sz w:val="24"/>
          <w:u w:val="single"/>
        </w:rPr>
        <w:t>Intellectual Property; Licenses, Etc</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the Borrower and the Restricted Subsidiaries owns, licenses or possesses the right to use all Intellectual Property that is material to the business, operations, assets, financial condition or prospects of the Vegas Group as currently conducted. Neither Holdings, the Borrower nor any Restricted Subsidiary, in the operation of its business as currently conducted, is infringing upon the Intellectual Property of any Person in any material respect. No claim or litigation challenging the use of any Intellectual Property by Holdings, the Borrower or any Restricted Subsidiary or the validity or enforceability of any Intellectual Property owned by Holdings, the Borrower or any Restricted Subsidiary is pending or, to the knowledge of Holdings and the Borrower, threatened in writing against Holdings, the Borrower or any Restricted Subsidiary, which, individually or in the aggregate, would reasonably be expected to result in a material liability.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3.14 </w:t>
      </w:r>
      <w:r>
        <w:rPr>
          <w:rFonts w:ascii="Times New Roman" w:hAnsi="Times New Roman"/>
          <w:b w:val="false"/>
          <w:color w:val="000000"/>
          <w:sz w:val="24"/>
          <w:u w:val="single"/>
        </w:rPr>
        <w:t>Solvency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As of the Effective Date, immediately after, and giving Pro Forma Effect to, the consummation of each of the Transactions to occur on the Effective Date, after taking into account, and giving effect to, all applicable rights of indemnity and contribution, as of such time, (a)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sum of the debt (including contingent liabilities) of Holdings and its Subsidiaries, taken as a whole, does not exceed the present fair saleable value (on a going concern basis) of the assets of Holdings and its Subsidiaries, taken as a whole; (b) the capital of Holdings and its Subsidiaries, taken as a whole, is not unreasonably small in relation to the business of Holdings and its Subsidiaries, taken as a whole, contemplated as of the date hereof; (c) the present fair and saleable value (on a going concern basis) of the assets of Holdings and its Subsidiaries, taken as a whole, is greater than the amount that will be required to pay the probable liabilities (including contingent liabilities) of Holdings and its Subsidiaries as they become absolute and matured in the ordinary course; and (d) Holdings and its Subsidiaries, taken as a whole, do not intend to incur, or believe that they will incur, debts including current obligations beyond their ability to pay such debts as they mature in the ordinary course of business. For the purposes of this </w:t>
      </w:r>
      <w:r>
        <w:rPr>
          <w:rFonts w:ascii="Times New Roman" w:hAnsi="Times New Roman"/>
          <w:color w:val="000000"/>
          <w:sz w:val="24"/>
          <w:u w:val="single"/>
        </w:rPr>
        <w:t>Section 3.14</w:t>
      </w:r>
      <w:r>
        <w:rPr>
          <w:rFonts w:ascii="Times New Roman" w:hAnsi="Times New Roman"/>
          <w:color w:val="000000"/>
          <w:sz w:val="24"/>
        </w:rPr>
        <w:t>,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in the ordinary course of business.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3.15 </w:t>
      </w:r>
      <w:r>
        <w:rPr>
          <w:rFonts w:ascii="Times New Roman" w:hAnsi="Times New Roman"/>
          <w:b w:val="false"/>
          <w:color w:val="000000"/>
          <w:sz w:val="24"/>
          <w:u w:val="single"/>
        </w:rPr>
        <w:t>Federal Reserve Regulations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part of the proceeds of the Loans will be used by Holdings or any Subsidiary, directly or indirectly, to purchase or carry any margin stock (within the meaning of Regulation U of the Board of Governors) or to refinance any Indebtedness originally incurred for such purpose, or for any other purpose that entails a violation (including on the part of any Lender) of the provisions of Regulations U or X of the Board of Governors.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3.16 </w:t>
      </w:r>
      <w:r>
        <w:rPr>
          <w:rFonts w:ascii="Times New Roman" w:hAnsi="Times New Roman"/>
          <w:b w:val="false"/>
          <w:color w:val="000000"/>
          <w:sz w:val="24"/>
          <w:u w:val="single"/>
        </w:rPr>
        <w:t>USA PATRIOT Act; OFAC and Anti</w:t>
        <w:noBreakHyphen/>
        <w:t>Corruption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Borrower will not, directly or, knowingly, indirectly use the proceeds of the Loans or Letters of Credit or lend, contribute or otherwise make available such proceeds to any Person for the purpose of funding activities or business of or with any Person that, at the time of such funding, is the subject of Sanctions, or in any Sanctioned Country, in each case, in violation of Sanctions, or in any other manner that would result in a violation by any party to this Agreement of Sanctions applicable to such party. The Borrower will not use the proceeds of the Loans for any payments to any governmental official or employee, political party, official of a political party, candidate for political office, or anyone else acting in an official capacity on behalf of the government, in order to obtain, retain or direct business or obtain any improper advantage, in each case in violation in any material respect of the United States Foreign Corrupt Practices Act of 1977, as amended (the “</w:t>
      </w:r>
      <w:r>
        <w:rPr>
          <w:rFonts w:ascii="Times New Roman" w:hAnsi="Times New Roman"/>
          <w:color w:val="000000"/>
          <w:sz w:val="24"/>
          <w:u w:val="single"/>
        </w:rPr>
        <w:t>FCPA</w:t>
      </w:r>
      <w:r>
        <w:rPr>
          <w:rFonts w:ascii="Times New Roman" w:hAnsi="Times New Roman"/>
          <w:color w:val="000000"/>
          <w:sz w:val="20"/>
        </w:rPr>
        <w:t>”</w:t>
      </w:r>
      <w:r>
        <w:rPr>
          <w:rFonts w:ascii="Times New Roman" w:hAnsi="Times New Roman"/>
          <w:color w:val="000000"/>
          <w:sz w:val="24"/>
        </w:rPr>
        <w:t>) or any other applicable anti</w:t>
        <w:noBreakHyphen/>
        <w:t>corruption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Holdings, the Borrower and the Restricted Subsidiaries, and each of their respective directors, officers, employees, and, to the knowledge of the Borrower, agents, and any other Person acting on their behalf, is in compliance in all material respects with (i) applicable Sanctions regulations and other Sanctions, (ii) Title III of the USA Patriot Act and (iii) the FCPA and any other applicable anti</w:t>
        <w:noBreakHyphen/>
        <w:t>corruption law.</w:t>
      </w:r>
    </w:p>
    <w:p>
      <w:pPr>
        <w:pStyle w:val="TextBody"/>
        <w:bidi w:val="0"/>
        <w:spacing w:before="0" w:after="240"/>
        <w:jc w:val="both"/>
        <w:rPr>
          <w:rFonts w:ascii="Times New Roman" w:hAnsi="Times New Roman"/>
          <w:sz w:val="20"/>
        </w:rPr>
      </w:pPr>
      <w:r>
        <w:rPr>
          <w:rFonts w:ascii="Times New Roman" w:hAnsi="Times New Roman"/>
          <w:color w:val="000000"/>
          <w:sz w:val="24"/>
        </w:rPr>
        <w:t>(c) None of Holdings, the Borrower, any of the Restricted Subsidiaries, nor any of their respective directors, officers, employees, agents or any other Person acting on their behalf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and has been in the past five years, the subject of any allegations, investigations, litigation, voluntary or directed disclosures to any Governmental Authority in connection with anti-corruption law or Sanctions.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None of Holdings, the Borrower, any of the Restricted Subsidiaries, one or more individuals or entities holding 50% or more of the equity interests of Holdings, or, to the knowledge of the Borrower, any director, officer, employee or agent thereof, are individuals or entities currently on OFAC’s list of Specially Designated Nationals and Blocked Persons and/or any similar list maintained by any Sanctions Authority; located, organized or ordinarily resident in a Sanctioned Country; or otherwise targeted by Sanctions.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Borrower has implemented and maintains in effect policies and procedures reasonably designed to promote compliance by Holdings, the Borrower, and the Restricted Subsidiaries and their respective directors, officers, employees, agents, or any other Person acting on their behalf with applicable anti-corruption laws and Sanctions.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3.17 </w:t>
      </w:r>
      <w:r>
        <w:rPr>
          <w:rFonts w:ascii="Times New Roman" w:hAnsi="Times New Roman"/>
          <w:b w:val="false"/>
          <w:color w:val="000000"/>
          <w:sz w:val="24"/>
          <w:u w:val="single"/>
        </w:rPr>
        <w:t>Security Documents</w:t>
      </w:r>
      <w:r>
        <w:rPr>
          <w:rFonts w:ascii="Times New Roman" w:hAnsi="Times New Roman"/>
          <w:b w:val="false"/>
          <w:color w:val="000000"/>
          <w:sz w:val="24"/>
        </w:rPr>
        <w:t>. Except as otherwise contemplated hereby or under any other Loan Documents, the provisions of the Security Documents and any other documents and instruments necessary to satisfy the Collateral and Guarantee Requirement, together with such timely filings and other actions required to be taken hereby or by the applicable Security Documents (including the delivery to the Administrative Agent (or its agent) of any Pledged Debt (as defined in the Collateral Agreement) and any Pledged Equity (as defined in the Collateral Agreement) required to be delivered pursuant to the applicable Security Documents), are effective to create in favor of the Administrative Agent for the benefit of the Secured Parties to the extent required hereunder or thereunder, a legal, valid, enforceable (subject to applicable Debtor Relief Laws and any other applicable bankruptcy, insolvency, reorganization, moratorium, examinership or other laws affecting creditors’ rights generally and subject to general principles of equity, regardless of whether considered in a proceeding in equity or at law) and perfected Lien with the ranking or priority required by the relevant Security Documents (subject to Liens permitted herein) on all right, title and interest of the respective Loan Parties in the Collateral described therein (other than foreign Intellectual Property).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3.18 </w:t>
      </w:r>
      <w:r>
        <w:rPr>
          <w:rFonts w:ascii="Times New Roman" w:hAnsi="Times New Roman"/>
          <w:b w:val="false"/>
          <w:color w:val="000000"/>
          <w:sz w:val="24"/>
          <w:u w:val="single"/>
        </w:rPr>
        <w:t>[Reserved]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3.19 </w:t>
      </w:r>
      <w:r>
        <w:rPr>
          <w:rFonts w:ascii="Times New Roman" w:hAnsi="Times New Roman"/>
          <w:b w:val="false"/>
          <w:color w:val="000000"/>
          <w:sz w:val="24"/>
          <w:u w:val="single"/>
        </w:rPr>
        <w:t>Use of Proceeds</w:t>
      </w:r>
      <w:r>
        <w:rPr>
          <w:rFonts w:ascii="Times New Roman" w:hAnsi="Times New Roman"/>
          <w:b w:val="false"/>
          <w:color w:val="000000"/>
          <w:sz w:val="24"/>
        </w:rPr>
        <w:t xml:space="preserve">. The Borrower has used the proceeds of the Loans and the Letters of Credit issued hereunder only in compliance with (and not in contravention of) </w:t>
      </w:r>
      <w:r>
        <w:rPr>
          <w:rFonts w:ascii="Times New Roman" w:hAnsi="Times New Roman"/>
          <w:b w:val="false"/>
          <w:color w:val="000000"/>
          <w:sz w:val="24"/>
          <w:u w:val="single"/>
        </w:rPr>
        <w:t>Section 5.10</w:t>
      </w:r>
      <w:r>
        <w:rPr>
          <w:rFonts w:ascii="Times New Roman" w:hAnsi="Times New Roman"/>
          <w:b w:val="false"/>
          <w:color w:val="000000"/>
          <w:sz w:val="24"/>
        </w:rPr>
        <w:t>, applicable Requirements of Law and each Loan Document.</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IV</w:t>
      </w:r>
      <w:r>
        <w:rPr>
          <w:rFonts w:ascii="Times New Roman" w:hAnsi="Times New Roman"/>
          <w:b w:val="false"/>
          <w:caps/>
          <w:color w:val="000000"/>
          <w:sz w:val="24"/>
          <w:u w:val="single"/>
        </w:rPr>
        <w:br/>
        <w:t>CONDITIONS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4.01 </w:t>
      </w:r>
      <w:r>
        <w:rPr>
          <w:rFonts w:ascii="Times New Roman" w:hAnsi="Times New Roman"/>
          <w:b w:val="false"/>
          <w:color w:val="000000"/>
          <w:sz w:val="24"/>
          <w:u w:val="single"/>
        </w:rPr>
        <w:t>Effective Date</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obligation of each Lender to make Loans and the obligations of each Issuing Bank to issue Letters of Credit hereunder on the Effective Date shall be subject to satisfaction of the following conditions (or waiver thereof in accordance with </w:t>
      </w:r>
      <w:r>
        <w:rPr>
          <w:rFonts w:ascii="Times New Roman" w:hAnsi="Times New Roman"/>
          <w:color w:val="000000"/>
          <w:sz w:val="24"/>
          <w:u w:val="single"/>
        </w:rPr>
        <w:t>Section 9.02</w:t>
      </w:r>
      <w:r>
        <w:rPr>
          <w:rFonts w:ascii="Times New Roman" w:hAnsi="Times New Roman"/>
          <w:color w:val="000000"/>
          <w:sz w:val="24"/>
        </w:rPr>
        <w:t xml:space="preserve">), subject in all respects to </w:t>
      </w:r>
      <w:r>
        <w:rPr>
          <w:rFonts w:ascii="Times New Roman" w:hAnsi="Times New Roman"/>
          <w:color w:val="000000"/>
          <w:sz w:val="24"/>
          <w:u w:val="single"/>
        </w:rPr>
        <w:t>Section 5.14</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Administrative Agent (or its counsel) shall have received from the Borrower and Holdings either (i) a counterpart of this Agreement signed on behalf of such party or (ii) written evidence satisfactory to the Administrative Agent (which may include facsimile or other electronic transmission of a signed counterpart of this Agreement) that such party has signed a counterpart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Administrative Agent shall have received customary written opinions (addressed to the Administrative Agent, the Revolving Lenders, the Swing Line Lender and the Issuing Banks and dated the Effective Date) of (i) Latham &amp; Watkins LLP, New York counsel for the Loan Parties and (ii) Ballard Spahr LLP, Nevada counsel for the Loan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Administrative Agent shall have received (i) a certificate, dated the Effective Date and signed by a Responsible Officer of the Borrower, confirming satisfaction of the condition set forth in </w:t>
      </w:r>
      <w:r>
        <w:rPr>
          <w:rFonts w:ascii="Times New Roman" w:hAnsi="Times New Roman"/>
          <w:color w:val="000000"/>
          <w:sz w:val="24"/>
          <w:u w:val="single"/>
        </w:rPr>
        <w:t>Section 4.01(g)</w:t>
      </w:r>
      <w:r>
        <w:rPr>
          <w:rFonts w:ascii="Times New Roman" w:hAnsi="Times New Roman"/>
          <w:color w:val="000000"/>
          <w:sz w:val="20"/>
        </w:rPr>
        <w:t xml:space="preserve"> </w:t>
      </w:r>
      <w:r>
        <w:rPr>
          <w:rFonts w:ascii="Times New Roman" w:hAnsi="Times New Roman"/>
          <w:color w:val="000000"/>
          <w:sz w:val="24"/>
        </w:rPr>
        <w:t xml:space="preserve">and certifying that there are no actions, suits or proceedings by or before any arbitrator or Governmental Authority pending against or, to the knowledge of the Borrower, threatened in writing against or affecting any member of the Hoya Group that would be expected, individually or in the aggregate, to result in a Material Adverse Effect and (ii) a customary certificate of each Effective Date Loan Party, dated the Effective Date, executed by any Responsible Officer of such Loan Party including or attaching only those documents referred to in </w:t>
      </w:r>
      <w:r>
        <w:rPr>
          <w:rFonts w:ascii="Times New Roman" w:hAnsi="Times New Roman"/>
          <w:color w:val="000000"/>
          <w:sz w:val="24"/>
          <w:u w:val="single"/>
        </w:rPr>
        <w:t>Section 4.01(d)</w:t>
      </w:r>
      <w:r>
        <w:rPr>
          <w:rFonts w:ascii="Times New Roman" w:hAnsi="Times New Roman"/>
          <w:color w:val="000000"/>
          <w:sz w:val="20"/>
        </w:rPr>
        <w:t xml:space="preserve"> </w:t>
      </w:r>
      <w:r>
        <w:rPr>
          <w:rFonts w:ascii="Times New Roman" w:hAnsi="Times New Roman"/>
          <w:color w:val="000000"/>
          <w:sz w:val="24"/>
        </w:rPr>
        <w:t>and confirming that such documents are correct, complete and in full force and effect and have not been amended or superseded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Administrative Agent shall have received a copy of (i) each Organizational Document of each Loan Party relating to it, certified, to the extent applicable, as of a recent date by the applicable Governmental Authority, (ii) signature and incumbency certificates of the Responsible Officers of each Loan Party executing the Loan Documents to which it is a party, (iii) copies of resolutions of the Board of Directors of each Loan Party approving and authorizing the execution, delivery and performance of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in the jurisdiction of incorporation, organization or formation of such Loan Party) from the applicable Governmental Authority of each Loan Party’s jurisdiction of incorporation, organization or 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Administrative Agent shall have received (or shall receive substantially contemporaneously with funding on the initial Loans hereunder) (which amounts may be funded from the proceeds of the initial Loans hereunder) all fees and other amounts previously agreed in writing by the Joint Lead Arrangers and the Borrower to be due and payable on or prior to the Effective Date, including (i) to the extent invoiced at least three (3) Business Days prior to the Effective Date, reimbursement or payment of all reasonable and documented out</w:t>
        <w:noBreakHyphen/>
        <w:t>of</w:t>
        <w:noBreakHyphen/>
        <w:t>pocket expenses required to be reimbursed or paid by any Loan Party under any Loan Document and (ii) all fees payable under that certain Fee Letter, dated as of the Effective Date, by and among the Initial Revolving Lenders, the Borrower and Holdings.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Effective Date Loan Parties shall have satisfied the Collateral and Guarantee Requirement.</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The representations and warranties of each Loan Party set forth in the Loan Documents shall be true and correct in all material respects on and as of the Effective Date (without duplication of any other materiality qualifier);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to the extent that such representations and warranties specifically refer to an earlier date, they shall be true and correct in all material respects as of such earlier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Administrative Agent shall have received: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Unaudited Financial Statements;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executed counterparts of (A) the Wavedash Guarantee from each Third Party Guarantor and (B) the Wavedash Share Pledge from Vivid Seats Asia Pacific;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 customary certificate from each Third Party Guarantor, dated the Effective Date, executed by any Responsible Officer of such Third Party Guarantor, including or attaching only those documents referred to in clause (iv) of this </w:t>
      </w:r>
      <w:r>
        <w:rPr>
          <w:rFonts w:ascii="Times New Roman" w:hAnsi="Times New Roman"/>
          <w:color w:val="000000"/>
          <w:sz w:val="24"/>
          <w:u w:val="single"/>
        </w:rPr>
        <w:t>Section 4.01(h)</w:t>
      </w:r>
      <w:r>
        <w:rPr>
          <w:rFonts w:ascii="Times New Roman" w:hAnsi="Times New Roman"/>
          <w:color w:val="000000"/>
          <w:sz w:val="20"/>
        </w:rPr>
        <w:t xml:space="preserve"> </w:t>
      </w:r>
      <w:r>
        <w:rPr>
          <w:rFonts w:ascii="Times New Roman" w:hAnsi="Times New Roman"/>
          <w:color w:val="000000"/>
          <w:sz w:val="24"/>
        </w:rPr>
        <w:t>and confirming that such documents are correct, complete and in full force and effect and have not been amended or superseded as of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(iv) a copy of (i) each Organizational Document of each Third Party Guarantor relating to it, certified, to the extent applicable, as of a recent date by the applicable Governmental Authority, (ii) signature and incumbency certificates of the Responsible Officers of each Third Party Guarantor executing the Wavedash Guarantee or Wavedash Share Pledge, (iii) copies of resolutions of the Board of Directors of each Third Party Guarantor approving and authorizing the execution, delivery and performance of the Wavedash Guarantee and, if applicable, the Wavedash Share Pledge, certified as of the Effective Date by a secretary, an assistant secretary or a Responsible Officer of such Third Party Guarantor as being in full force and effect without modification or amendment and (iv) a good standing certificate (to the extent such concept exists in the jurisdiction of incorporation, organization or formation of such Third Party Guarantor) from the applicable Governmental Authority of such Third Party Guarantor’s jurisdiction of incorporation, organization or 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customary written opinions (addressed to the Administrative Agent, the Revolving Lenders, the Swing Line Lender and the Issuing Banks and dated the Effective Date) of (i) Latham &amp; Watkins LLP, New York counsel for the Third Party Guarantors and (ii) Anderson Mori &amp; Tomotsune, Japanese counsel for the Third Party Guarantors;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a certificate from a Financial Officer of Vivid Seats Asia Pacific certifying as to the solvency of Vivid Seats Asia Pacific and its Subsidiaries on a consolidated basis, after giving effect to the Transactions, in a form substantially consistent with </w:t>
      </w:r>
      <w:r>
        <w:rPr>
          <w:rFonts w:ascii="Times New Roman" w:hAnsi="Times New Roman"/>
          <w:color w:val="000000"/>
          <w:sz w:val="24"/>
          <w:u w:val="single"/>
        </w:rPr>
        <w:t>Exhibit J</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(vii) the results of a recent lien search in the jurisdiction of organization of each Loan Party and each jurisdiction where material assets of the Loan Parties are located, and the results of search reports in respect of the United States registered intellectual property of the Loan Parties, and such searches shall reveal no Liens on any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assets of the Loan Parties except for liens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or discharged on or prior to the Effective Date pursuant to documentation reasonably satisfactory to the Administrative Agent;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a Perfection Certificate from a responsible officer of each of the Loan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Substantially concurrently with the initial funding of Loans on the Effective Date, (i) the Refinancing shall have been consummated and (ii) the RemainCo Intercompany Loan shall have been established.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The Administrative Agent shall have received a certificate from a Financial Officer of the Borrower certifying as to the solvency of the Borrower and its Subsidiaries on a consolidated basis, after giving effect to the Transactions, substantially in the form of </w:t>
      </w:r>
      <w:r>
        <w:rPr>
          <w:rFonts w:ascii="Times New Roman" w:hAnsi="Times New Roman"/>
          <w:color w:val="000000"/>
          <w:sz w:val="24"/>
          <w:u w:val="single"/>
        </w:rPr>
        <w:t>Exhibit J</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The Administrative Agent and the Joint Lead Arrangers shall have received, at least three (3) Business Days prior to the Effective Date, all documentation and other information about the Loan Parties as shall have been reasonably requested in writing at least ten (10) Business Days prior to the Effective Date by the Administrative Agent or the Joint Lead Arrangers that is required by regulatory authorities under applicable “know your customer” and anti</w:t>
        <w:noBreakHyphen/>
        <w:t>money laundering rules and regulations, including without limitation the USA PATRIOT Act.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4.02 </w:t>
      </w:r>
      <w:r>
        <w:rPr>
          <w:rFonts w:ascii="Times New Roman" w:hAnsi="Times New Roman"/>
          <w:b w:val="false"/>
          <w:color w:val="000000"/>
          <w:sz w:val="24"/>
          <w:u w:val="single"/>
        </w:rPr>
        <w:t>Each Credit Event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 of each Lender to make a Loan on the occasion of any Borrowing, and of each Issuing Bank to issue, amend, renew or extend any Letter of Credit, is subject to receipt of the request therefor in accordance herewith and to the satisfaction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representations and warranties of each Loan Party set forth in the Loan Documents shall be true and correct in all material respects on and as of the date of such Borrowing or the date of issuance, amendment, renewal or extension of such Letter of Credit or; </w:t>
      </w:r>
      <w:r>
        <w:rPr>
          <w:rFonts w:ascii="Times New Roman" w:hAnsi="Times New Roman"/>
          <w:color w:val="000000"/>
          <w:sz w:val="24"/>
          <w:u w:val="single"/>
        </w:rPr>
        <w:t xml:space="preserve">provided </w:t>
      </w:r>
      <w:r>
        <w:rPr>
          <w:rFonts w:ascii="Times New Roman" w:hAnsi="Times New Roman"/>
          <w:color w:val="000000"/>
          <w:sz w:val="24"/>
        </w:rPr>
        <w:t>that, to the extent that such representations and warranties specifically refer to an earlier date, they shall be true and correct in all material respects as of such earlier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At the time of and immediately after giving effect to such Borrowing, or the issuance, amendment, renewal or extension of such Letter of Credit, as the case may be, no Default or Event of Default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Administrative Agent and, if applicable, the relevant Issuing Bank or the Swing Line Lender, shall have received a Borrowing Request in accordance with the requirements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Immediately prior to and immediately after giving effect to such Borrowing, or the issuance, amendment, renewal or extension of such Letter of Credit, as the case may be, the Borrower shall be in compliance with (x) the Financial Performance Covenant (to the extent the Financial Performance Covenant is required to be tested at such time pursuant to </w:t>
      </w:r>
      <w:r>
        <w:rPr>
          <w:rFonts w:ascii="Times New Roman" w:hAnsi="Times New Roman"/>
          <w:color w:val="000000"/>
          <w:sz w:val="24"/>
          <w:u w:val="single"/>
        </w:rPr>
        <w:t>Section 6.11</w:t>
      </w:r>
      <w:r>
        <w:rPr>
          <w:rFonts w:ascii="Times New Roman" w:hAnsi="Times New Roman"/>
          <w:color w:val="000000"/>
          <w:sz w:val="24"/>
        </w:rPr>
        <w:t xml:space="preserve">) and (y) </w:t>
      </w:r>
      <w:r>
        <w:rPr>
          <w:rFonts w:ascii="Times New Roman" w:hAnsi="Times New Roman"/>
          <w:color w:val="000000"/>
          <w:sz w:val="24"/>
          <w:u w:val="single"/>
        </w:rPr>
        <w:t>Section 2.11(c)</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Borrower shall have delivered to the Administrative Agent a Payables Report as of and for the Business Day immediately prior to the date of the applicable Borrowing.</w:t>
      </w:r>
    </w:p>
    <w:p>
      <w:pPr>
        <w:pStyle w:val="TextBody"/>
        <w:bidi w:val="0"/>
        <w:spacing w:before="0" w:after="240"/>
        <w:jc w:val="both"/>
        <w:rPr>
          <w:rFonts w:ascii="Times New Roman" w:hAnsi="Times New Roman"/>
          <w:sz w:val="20"/>
        </w:rPr>
      </w:pPr>
      <w:r>
        <w:rPr>
          <w:rFonts w:ascii="Times New Roman" w:hAnsi="Times New Roman"/>
          <w:color w:val="000000"/>
          <w:sz w:val="24"/>
        </w:rPr>
        <w:t>(f) In the case of a Borrowing or an issuance or amendment of a Letter of Credit, solely to the extent such Borrowing or such Letter of Credit will be used to benefit RemainCo, the Borrower shall have delivered a certificate confirming that the proceeds of such Borrowing will be on-lent to RemainCo (or in the case of a Letter of Credit, shall constitute a deemed letter of credit issuance for the account of RemainCo) under the RemainCo Intercompany Loan.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Each Borrowing Request (</w:t>
      </w:r>
      <w:r>
        <w:rPr>
          <w:rFonts w:ascii="Times New Roman" w:hAnsi="Times New Roman"/>
          <w:color w:val="000000"/>
          <w:sz w:val="24"/>
          <w:u w:val="single"/>
        </w:rPr>
        <w:t xml:space="preserve">provided </w:t>
      </w:r>
      <w:r>
        <w:rPr>
          <w:rFonts w:ascii="Times New Roman" w:hAnsi="Times New Roman"/>
          <w:color w:val="000000"/>
          <w:sz w:val="24"/>
        </w:rPr>
        <w:t xml:space="preserve">that a conversion or a continuation of a Borrowing shall not constitute a “Borrowing” for purposes of this </w:t>
      </w:r>
      <w:r>
        <w:rPr>
          <w:rFonts w:ascii="Times New Roman" w:hAnsi="Times New Roman"/>
          <w:color w:val="000000"/>
          <w:sz w:val="24"/>
          <w:u w:val="single"/>
        </w:rPr>
        <w:t>Section 4.02</w:t>
      </w:r>
      <w:r>
        <w:rPr>
          <w:rFonts w:ascii="Times New Roman" w:hAnsi="Times New Roman"/>
          <w:color w:val="000000"/>
          <w:sz w:val="24"/>
        </w:rPr>
        <w:t xml:space="preserve">), other than a Borrowing under any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w:t>
      </w:r>
      <w:r>
        <w:rPr>
          <w:rFonts w:ascii="Times New Roman" w:hAnsi="Times New Roman"/>
          <w:color w:val="000000"/>
          <w:sz w:val="24"/>
          <w:u w:val="single"/>
        </w:rPr>
        <w:t>Section 4.02(a)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w:t>
      </w:r>
      <w:r>
        <w:rPr>
          <w:rFonts w:ascii="Times New Roman" w:hAnsi="Times New Roman"/>
          <w:b w:val="false"/>
          <w:caps/>
          <w:color w:val="000000"/>
          <w:sz w:val="24"/>
          <w:u w:val="single"/>
        </w:rPr>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4"/>
        </w:rPr>
        <w:t>From and after the Effective Date and until the Termination Date, each of Holdings and the Borrower covenants and agrees with the Lenders that: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5.01 </w:t>
      </w:r>
      <w:r>
        <w:rPr>
          <w:rFonts w:ascii="Times New Roman" w:hAnsi="Times New Roman"/>
          <w:b w:val="false"/>
          <w:color w:val="000000"/>
          <w:sz w:val="24"/>
          <w:u w:val="single"/>
        </w:rPr>
        <w:t>Financial Statements and Other Information</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Holdings or the Borrower will furnish to the Administrative Agent, on behalf of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on or before the date that is one hundred (100) days after the end of each fiscal year of Holdings, or such longer time permitted by federal securities laws and regulations (including but not limited to Rule 12b</w:t>
        <w:noBreakHyphen/>
        <w:t>25 promulgated under the Securities Exchange Act of 1934, as amended), commencing with the fiscal year ended December 31, 2026:</w:t>
      </w:r>
    </w:p>
    <w:p>
      <w:pPr>
        <w:pStyle w:val="TextBody"/>
        <w:bidi w:val="0"/>
        <w:spacing w:before="0" w:after="240"/>
        <w:jc w:val="both"/>
        <w:rPr>
          <w:rFonts w:ascii="Times New Roman" w:hAnsi="Times New Roman"/>
          <w:sz w:val="20"/>
        </w:rPr>
      </w:pPr>
      <w:r>
        <w:rPr>
          <w:rFonts w:ascii="Times New Roman" w:hAnsi="Times New Roman"/>
          <w:color w:val="000000"/>
          <w:sz w:val="24"/>
        </w:rPr>
        <w:t>(i) audited consolidated balance sheet and audited consolidated statements of income and retained earnings and statement of cash flows of Vivid Seats, Inc. and its Subsidiaries as of the end of and for such year, and related notes thereto, setting forth in each case in comparative form the figures for the previous fiscal year and accompanied by any final management letters and customary management discussion and analysis, all reported on by an independent public accountant of recognized national standing (without a “going concern” or like qualification or exception and without any qualification or exception as to the scope of such audit (except as may be required as a result of a prospective or actual default or event of default with respect to any financial covenant (including the Financial Performance Covenant) or the impending maturity of any Indebtedness within the succeeding twelve months)) to the effect that such consolidated financial statements present fairly in all material respects the financial condition as of the end of and for such year and results of operations and cash flows of Vivid Seats, Inc. and its Subsidiaries on a consolidated basis in accordance with GAAP consistently applied;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unaudited consolidated balance sheet and unaudited consolidated statements of income and retained earnings and statement of cash flows of Holdings and its Subsidiaries as of the end of and for such year, and related notes thereto, setting forth in each case in comparative form the figures for the previous fiscal year and accompanied by any final management letters and customary management discussion and analysis, all prepared by an independent public accountant of recognized national standing (without a “going concern” or like qualification or exception and without any qualification or exception (except as may be required as a result of a prospective or actual default or event of default with respect to any financial covenant (including the Financial Performance Covenant), the impending maturity of any Indebtedness within the succeeding twelve months, or customary qualifying statements for similar engagements under accounting industry standards)) to the effect that such consolidating financial statements present fairly in all material respects the financial condition as of the end of and for such year and results of operations and cash flows of Holdings and its Subsidiaries on a consolidated basis in accordance with GAAP consistently applied;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commencing with the financial statements for the fiscal quarter ended June 30, 2026, on or before the date that is sixty (60) days after the end of each of the first three fiscal quarters of each fiscal year of Holdings, or such longer time permitted by federal securities laws and regulations (including but not limited to Rule 12b</w:t>
        <w:noBreakHyphen/>
        <w:t>25 promulgated under the Securities Exchange Act of 1934, as amended), unaudited consolidated balance sheet and unaudited consolidated statements of income and retained earnings and statement of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and accompanied by customary management discussion and analysis,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w:t>
        <w:noBreakHyphen/>
        <w:t>end audit adjustments and the absence of footnotes;</w:t>
      </w:r>
    </w:p>
    <w:p>
      <w:pPr>
        <w:pStyle w:val="TextBody"/>
        <w:bidi w:val="0"/>
        <w:spacing w:before="0" w:after="240"/>
        <w:jc w:val="both"/>
        <w:rPr>
          <w:rFonts w:ascii="Times New Roman" w:hAnsi="Times New Roman"/>
          <w:sz w:val="20"/>
        </w:rPr>
      </w:pPr>
      <w:r>
        <w:rPr>
          <w:rFonts w:ascii="Times New Roman" w:hAnsi="Times New Roman"/>
          <w:color w:val="000000"/>
          <w:sz w:val="24"/>
        </w:rPr>
        <w:t>(c) no later than one hundred (100) days after the last day of each fiscal year of Holdings, Holdings’ annual financial projections for the entire current fiscal year as approved by the Borrower’s Board of Directors, which such annual financial projections shall be set forth in a quarter-by-quarter format (such annual financial projections as originally delivered to Administrative Agent are referred to herein as the “</w:t>
      </w:r>
      <w:r>
        <w:rPr>
          <w:rFonts w:ascii="Times New Roman" w:hAnsi="Times New Roman"/>
          <w:color w:val="000000"/>
          <w:sz w:val="24"/>
          <w:u w:val="single"/>
        </w:rPr>
        <w:t>Annual Projections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material revisions of the Annual Projections that are formally presented to and approved by the Borrower’s Board of Directors shall be delivered to Administrative Agent no later than seven (7) days after such approval;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not later than five (5) days after any delivery of financial statements under </w:t>
      </w:r>
      <w:r>
        <w:rPr>
          <w:rFonts w:ascii="Times New Roman" w:hAnsi="Times New Roman"/>
          <w:color w:val="000000"/>
          <w:sz w:val="24"/>
          <w:u w:val="single"/>
        </w:rPr>
        <w:t>Section 5.01(a)(ii)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a Compliance Certificate signed by a Financial Officer (i) certifying as to whether a Default has occurred and is continuing and, if a Default has occurred and is continuing, specifying the details thereof and any action taken or proposed to be taken with respect thereto and (ii) setting forth reasonably detailed calculations demonstrating compliance with the Financial Performance Covenant to the extent required to be tested at such time (including a calculation of Consolidated EBITDA for such period with any applicable pro forma and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adjustments expressly contemplated to be included in such certificate pursuant to the other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 addition to any Payables Report required to be delivered pursuant to </w:t>
      </w:r>
      <w:r>
        <w:rPr>
          <w:rFonts w:ascii="Times New Roman" w:hAnsi="Times New Roman"/>
          <w:color w:val="000000"/>
          <w:sz w:val="24"/>
          <w:u w:val="single"/>
        </w:rPr>
        <w:t>Section 4.02(e)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not later than the date of delivery of each Compliance Certificate under </w:t>
      </w:r>
      <w:r>
        <w:rPr>
          <w:rFonts w:ascii="Times New Roman" w:hAnsi="Times New Roman"/>
          <w:color w:val="000000"/>
          <w:sz w:val="24"/>
          <w:u w:val="single"/>
        </w:rPr>
        <w:t>Section 5.01(d)</w:t>
      </w:r>
      <w:r>
        <w:rPr>
          <w:rFonts w:ascii="Times New Roman" w:hAnsi="Times New Roman"/>
          <w:color w:val="000000"/>
          <w:sz w:val="24"/>
        </w:rPr>
        <w:t>, a Payables Report as of and for the last day of the fiscal period to which such Compliance Certificate relates; and</w:t>
      </w:r>
    </w:p>
    <w:p>
      <w:pPr>
        <w:pStyle w:val="TextBody"/>
        <w:bidi w:val="0"/>
        <w:spacing w:before="0" w:after="240"/>
        <w:jc w:val="both"/>
        <w:rPr>
          <w:rFonts w:ascii="Times New Roman" w:hAnsi="Times New Roman"/>
          <w:sz w:val="20"/>
        </w:rPr>
      </w:pPr>
      <w:r>
        <w:rPr>
          <w:rFonts w:ascii="Times New Roman" w:hAnsi="Times New Roman"/>
          <w:color w:val="000000"/>
          <w:sz w:val="24"/>
        </w:rPr>
        <w:t>(ii) to the extent that, as of 5:00 p.m. (New York City time) on Friday of any calendar week, the aggregate outstanding amount of Revolving Loans exceeds $0 (each such Friday, a “</w:t>
      </w:r>
      <w:r>
        <w:rPr>
          <w:rFonts w:ascii="Times New Roman" w:hAnsi="Times New Roman"/>
          <w:color w:val="000000"/>
          <w:sz w:val="24"/>
          <w:u w:val="single"/>
        </w:rPr>
        <w:t>Reporting Trigger Date</w:t>
      </w:r>
      <w:r>
        <w:rPr>
          <w:rFonts w:ascii="Times New Roman" w:hAnsi="Times New Roman"/>
          <w:color w:val="000000"/>
          <w:sz w:val="20"/>
        </w:rPr>
        <w:t>”</w:t>
      </w:r>
      <w:r>
        <w:rPr>
          <w:rFonts w:ascii="Times New Roman" w:hAnsi="Times New Roman"/>
          <w:color w:val="000000"/>
          <w:sz w:val="24"/>
        </w:rPr>
        <w:t>), then not later than two (2) Business Days after such Reporting Trigger Date, the Borrower shall deliver a Payables Report as of and for such Reporting Trigger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any financial statements delivered to the administrative agent or the lenders under the Hoya Credit Agreement pursuant to the Hoya Credit Agreement not later than five (5) days after such financial statements are delivered to the administrative agent under the Hoya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the Borrower or any Restricted Subsidiary with the SEC or with any national securities exchange;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promptly following any request therefor, such other information regarding the operations, business affairs and financial condition of Holdings, the Borrower or any Restricted Subsidiary, as the Administrative Agent may reasonably request in writing, in each case subject to the limitations set forth below.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the obligations in paragraph (a) of this </w:t>
      </w:r>
      <w:r>
        <w:rPr>
          <w:rFonts w:ascii="Times New Roman" w:hAnsi="Times New Roman"/>
          <w:color w:val="000000"/>
          <w:sz w:val="24"/>
          <w:u w:val="single"/>
        </w:rPr>
        <w:t>Section 5.01</w:t>
      </w:r>
      <w:r>
        <w:rPr>
          <w:rFonts w:ascii="Times New Roman" w:hAnsi="Times New Roman"/>
          <w:color w:val="000000"/>
          <w:sz w:val="20"/>
        </w:rPr>
        <w:t xml:space="preserve"> </w:t>
      </w:r>
      <w:r>
        <w:rPr>
          <w:rFonts w:ascii="Times New Roman" w:hAnsi="Times New Roman"/>
          <w:color w:val="000000"/>
          <w:sz w:val="24"/>
        </w:rPr>
        <w:t xml:space="preserve">may be satisfied with respect to financial information of Holdings and its Subsidiaries by furnishing (x) the applicable financial statements of any successor of Holdings or any Holdings Parent (including Vivid Seats Inc.) or (y) the Form 10-K (or the equivalent), as applicable, of Holdings (or any Holdings Parent) filed with the SEC within the applicable time periods required by applicable law and regulations (including any extended deadlines available thereunder);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to the extent such information relates to a Holdings Parent,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w:t>
      </w:r>
      <w:r>
        <w:rPr>
          <w:rFonts w:ascii="Times New Roman" w:hAnsi="Times New Roman"/>
          <w:color w:val="000000"/>
          <w:sz w:val="24"/>
          <w:u w:val="single"/>
        </w:rPr>
        <w:t>Section 5.01(a)</w:t>
      </w:r>
      <w:r>
        <w:rPr>
          <w:rFonts w:ascii="Times New Roman" w:hAnsi="Times New Roman"/>
          <w:color w:val="000000"/>
          <w:sz w:val="24"/>
        </w:rPr>
        <w:t>, such materials are accompanied by a report and opinion of an independent registered public accounting firm of nationally recognized standing, which report and opinion shall be prepared in accordance with generally accepted auditing standards and shall not be subject to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going concern” or like qualification or exception or any qualification or exception as to the scope of such audit (except as may be required as a result of a prospective or actual default or event of default with respect to any financial covenant (including the Financial Performance Covenant) or the impending maturity of any Indebtedness).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Documents required to be delivered pursuant to </w:t>
      </w:r>
      <w:r>
        <w:rPr>
          <w:rFonts w:ascii="Times New Roman" w:hAnsi="Times New Roman"/>
          <w:color w:val="000000"/>
          <w:sz w:val="24"/>
          <w:u w:val="single"/>
        </w:rPr>
        <w:t>Section 5.01(a)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rFonts w:ascii="Times New Roman" w:hAnsi="Times New Roman"/>
          <w:color w:val="000000"/>
          <w:sz w:val="20"/>
        </w:rPr>
        <w:t xml:space="preserve"> </w:t>
      </w:r>
      <w:r>
        <w:rPr>
          <w:rFonts w:ascii="Times New Roman" w:hAnsi="Times New Roman"/>
          <w:color w:val="000000"/>
          <w:sz w:val="24"/>
        </w:rPr>
        <w:t xml:space="preserve">(to the extent any such documents are included in materials otherwise filed with the SEC) may be delivered electronically and if so delivered, shall be deemed to have been delivered on the date (i) on which Holdings posts such documents, or provides a link thereto on Holdings’ or the Borrower’s website on the Internet at the website address listed on </w:t>
      </w:r>
      <w:r>
        <w:rPr>
          <w:rFonts w:ascii="Times New Roman" w:hAnsi="Times New Roman"/>
          <w:color w:val="000000"/>
          <w:sz w:val="24"/>
          <w:u w:val="single"/>
        </w:rPr>
        <w:t>Schedule 9.01</w:t>
      </w:r>
      <w:r>
        <w:rPr>
          <w:rFonts w:ascii="Times New Roman" w:hAnsi="Times New Roman"/>
          <w:color w:val="000000"/>
          <w:sz w:val="20"/>
        </w:rPr>
        <w:t xml:space="preserve"> </w:t>
      </w:r>
      <w:r>
        <w:rPr>
          <w:rFonts w:ascii="Times New Roman" w:hAnsi="Times New Roman"/>
          <w:color w:val="000000"/>
          <w:sz w:val="24"/>
        </w:rPr>
        <w:t xml:space="preserve">(or otherwise notified pursuant to </w:t>
      </w:r>
      <w:r>
        <w:rPr>
          <w:rFonts w:ascii="Times New Roman" w:hAnsi="Times New Roman"/>
          <w:color w:val="000000"/>
          <w:sz w:val="24"/>
          <w:u w:val="single"/>
        </w:rPr>
        <w:t>Section 9.01(d)</w:t>
      </w:r>
      <w:r>
        <w:rPr>
          <w:rFonts w:ascii="Times New Roman" w:hAnsi="Times New Roman"/>
          <w:color w:val="000000"/>
          <w:sz w:val="24"/>
        </w:rPr>
        <w:t xml:space="preserve">); or (ii) on which such documents are posted on Holdings’ or the Borrower’s behalf on an Internet or intranet website, if any, to which each Lender and the Administrative Agent have access (whether a commercial, third-party website or whether sponsored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Holdings shall deliver paper copies of such documents to the Administrative Agent upon its reasonable request until a written notice to cease delivering paper copies is given by the Administrative Agent and (ii) Holdings shall notify the Administrative Agent (by fax or electronic mail) of the posting of any such documents and upon its reasonable request, provide to the Administrative Agent by electronic mail electronic versions (</w:t>
      </w:r>
      <w:r>
        <w:rPr>
          <w:rFonts w:ascii="Times New Roman" w:hAnsi="Times New Roman"/>
          <w:color w:val="000000"/>
          <w:sz w:val="24"/>
          <w:u w:val="single"/>
        </w:rPr>
        <w:t>i.e.</w:t>
      </w:r>
      <w:r>
        <w:rPr>
          <w:rFonts w:ascii="Times New Roman" w:hAnsi="Times New Roman"/>
          <w:color w:val="000000"/>
          <w:sz w:val="24"/>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herein, neither Holdings nor any Subsidiary shall be required to deliver, disclose, permit the inspection, examination or making of copies of or excerpts from, or any discussion of, any document, information, or other matter (i) that constitutes a trade secret or proprietary information or (ii) any information to the extent that the provision thereof would violate any law, rule or regulation, fiduciary duty, binding agreement, or any obligation of confidentiality binding upon, or waive any privilege of, Holdings, any Subsidiary or any of their respective Affiliates; </w:t>
      </w:r>
      <w:r>
        <w:rPr>
          <w:rFonts w:ascii="Times New Roman" w:hAnsi="Times New Roman"/>
          <w:color w:val="000000"/>
          <w:sz w:val="24"/>
          <w:u w:val="single"/>
        </w:rPr>
        <w:t xml:space="preserve">provided </w:t>
      </w:r>
      <w:r>
        <w:rPr>
          <w:rFonts w:ascii="Times New Roman" w:hAnsi="Times New Roman"/>
          <w:color w:val="000000"/>
          <w:sz w:val="24"/>
        </w:rPr>
        <w:t xml:space="preserve">that in the event that any Loan Party does not provide information in reliance on clause (ii) of this sentence, such Loan Party shall provide notice to the Administrative Agent that such information is being withheld to the extent such Loan Party is able to do so without violating the applicable obligation or waiving privilege and such Loan Party shall use its commercially reasonable efforts to communicate the applicable information in a way that would not violate the applicable obligation or risk waiver of such privilege;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none of the foregoing shall be construed to limit any Loan Party’s representations and warranties or any of the conditions, in any such case,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The Borrower hereby acknowledges that (a) the Administrative Agent and/or the Joint Lead Arrangers will make available to the Lenders and the Issuing Banks materials and/or information provided by or on behalf of the Borrower hereunder (collectively, “</w:t>
      </w:r>
      <w:r>
        <w:rPr>
          <w:rFonts w:ascii="Times New Roman" w:hAnsi="Times New Roman"/>
          <w:color w:val="000000"/>
          <w:sz w:val="24"/>
          <w:u w:val="single"/>
        </w:rPr>
        <w:t>Borrower Materials</w:t>
      </w:r>
      <w:r>
        <w:rPr>
          <w:rFonts w:ascii="Times New Roman" w:hAnsi="Times New Roman"/>
          <w:color w:val="000000"/>
          <w:sz w:val="20"/>
        </w:rPr>
        <w:t>”</w:t>
      </w:r>
      <w:r>
        <w:rPr>
          <w:rFonts w:ascii="Times New Roman" w:hAnsi="Times New Roman"/>
          <w:color w:val="000000"/>
          <w:sz w:val="24"/>
        </w:rPr>
        <w:t>) by posting the Borrower Materials on IntraLinks or another similar electronic system (the “</w:t>
      </w:r>
      <w:r>
        <w:rPr>
          <w:rFonts w:ascii="Times New Roman" w:hAnsi="Times New Roman"/>
          <w:color w:val="000000"/>
          <w:sz w:val="24"/>
          <w:u w:val="single"/>
        </w:rPr>
        <w:t>Platform</w:t>
      </w:r>
      <w:r>
        <w:rPr>
          <w:rFonts w:ascii="Times New Roman" w:hAnsi="Times New Roman"/>
          <w:color w:val="000000"/>
          <w:sz w:val="20"/>
        </w:rPr>
        <w:t>”</w:t>
      </w:r>
      <w:r>
        <w:rPr>
          <w:rFonts w:ascii="Times New Roman" w:hAnsi="Times New Roman"/>
          <w:color w:val="000000"/>
          <w:sz w:val="24"/>
        </w:rPr>
        <w:t>) and (b) certain of the Lenders (each, a “</w:t>
      </w:r>
      <w:r>
        <w:rPr>
          <w:rFonts w:ascii="Times New Roman" w:hAnsi="Times New Roman"/>
          <w:color w:val="000000"/>
          <w:sz w:val="24"/>
          <w:u w:val="single"/>
        </w:rPr>
        <w:t>Public Lender</w:t>
      </w:r>
      <w:r>
        <w:rPr>
          <w:rFonts w:ascii="Times New Roman" w:hAnsi="Times New Roman"/>
          <w:color w:val="000000"/>
          <w:sz w:val="20"/>
        </w:rPr>
        <w:t>”</w:t>
      </w:r>
      <w:r>
        <w:rPr>
          <w:rFonts w:ascii="Times New Roman" w:hAnsi="Times New Roman"/>
          <w:color w:val="000000"/>
          <w:sz w:val="24"/>
        </w:rPr>
        <w:t>) may have personnel who do not wish to receive Material Non</w:t>
        <w:noBreakHyphen/>
        <w:t>Public Information and who may be engaged in investment and other market</w:t>
        <w:noBreakHyphen/>
        <w:t>related activities with respect to the Borrower’s or their Affiliates’ securities. The Borrower hereby agrees that they will use commercially reasonable efforts to identify that portion of the Borrower Materials that may be distributed to the Public Lenders and that (w)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marking Borrower Materials “PUBLIC”, the Borrower shall be deemed to have authorized the Administrative Agent, the Joint Lead Arrangers, the Issuing Banks and the Lenders to treat such Borrower Materials as not containing any Material Non</w:t>
        <w:noBreakHyphen/>
        <w:t>Public Information (although it may be sensitive and proprietary)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to the extent such Borrower Materials constitute Information, they shall be treated as set forth in </w:t>
      </w:r>
      <w:r>
        <w:rPr>
          <w:rFonts w:ascii="Times New Roman" w:hAnsi="Times New Roman"/>
          <w:color w:val="000000"/>
          <w:sz w:val="24"/>
          <w:u w:val="single"/>
        </w:rPr>
        <w:t>Section 9.12</w:t>
      </w:r>
      <w:r>
        <w:rPr>
          <w:rFonts w:ascii="Times New Roman" w:hAnsi="Times New Roman"/>
          <w:color w:val="000000"/>
          <w:sz w:val="24"/>
        </w:rPr>
        <w:t xml:space="preserve">); (x) all Borrower Materials marked “PUBLIC” are permitted to be made available through a portion of the Platform designated “Public Side Information”; and (y) the Administrative Agent and the Joint Lead Arrangers shall be entitled to treat the Borrower Materials that are not marked “PUBLIC” as being suitable only for posting on a portion of the Platform not designated “Public Side Information”. Each Loan Party hereby acknowledges and agrees that, unless the Borrower notifies the Administrative Agent in advance, all financial statements and certificates furnished pursuant to </w:t>
      </w:r>
      <w:r>
        <w:rPr>
          <w:rFonts w:ascii="Times New Roman" w:hAnsi="Times New Roman"/>
          <w:color w:val="000000"/>
          <w:sz w:val="24"/>
          <w:u w:val="single"/>
        </w:rPr>
        <w:t>Sections 5.01(a)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above are hereby deemed to be suitable for distribution, and to be made available, to all Lenders and may be treated by the Administrative Agent and the Lenders as not containing any Material Non</w:t>
        <w:noBreakHyphen/>
        <w:t>Public Information and all other information shall be assumed to contain Material Non</w:t>
        <w:noBreakHyphen/>
        <w:t>Public Information.</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5.02 </w:t>
      </w:r>
      <w:r>
        <w:rPr>
          <w:rFonts w:ascii="Times New Roman" w:hAnsi="Times New Roman"/>
          <w:b w:val="false"/>
          <w:color w:val="000000"/>
          <w:sz w:val="24"/>
          <w:u w:val="single"/>
        </w:rPr>
        <w:t>Notices of Material Events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and in any event no later than one (1) Business Day after any Responsible Officer of Holdings or the Borrower obtains actual knowledge thereof, Holdings or the Borrower will furnish to the Administrative Agent (for distribution to each Lender through the Administrative Agent) written notice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occurrence of any Default;</w:t>
      </w:r>
    </w:p>
    <w:p>
      <w:pPr>
        <w:pStyle w:val="TextBody"/>
        <w:bidi w:val="0"/>
        <w:spacing w:before="0" w:after="240"/>
        <w:jc w:val="both"/>
        <w:rPr>
          <w:rFonts w:ascii="Times New Roman" w:hAnsi="Times New Roman"/>
          <w:sz w:val="20"/>
        </w:rPr>
      </w:pPr>
      <w:r>
        <w:rPr>
          <w:rFonts w:ascii="Times New Roman" w:hAnsi="Times New Roman"/>
          <w:color w:val="000000"/>
          <w:sz w:val="24"/>
        </w:rPr>
        <w:t>(b) to the extent permissible by Requirements of Law, the filing or commencement of any action, suit or proceeding by or before any arbitrator or Governmental Authority against or, to the knowledge of a Financial Officer or another executive officer of Holdings, the Borrower or any Subsidiary, affecting Holdings, the Borrower or any Subsidiary or the receipt of a written notice of an Environmental Liability, in each case that would be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 the occurrence of, or the occurrence of any event that could reasonably be expected to result in, any ERISA Event or (ii) an increase in Unfunded Pension Liabilities (taking into account only Plans with positive Unfunded Pension Liabilities) since the date the representations hereunder are given, in each case that would be expected, individually or in the aggregate, to result in a Material Adverse Effect;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occurrence of any default under the Hoya Credit Agreement or any delivery of any notices of material events delivered to the administrative agent or the lenders under the Hoya Credit Agreement pursuant to the Hoya Credit Agreement together with copies of such notices.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notice delivered under this </w:t>
      </w:r>
      <w:r>
        <w:rPr>
          <w:rFonts w:ascii="Times New Roman" w:hAnsi="Times New Roman"/>
          <w:color w:val="000000"/>
          <w:sz w:val="24"/>
          <w:u w:val="single"/>
        </w:rPr>
        <w:t>Section 5.02</w:t>
      </w:r>
      <w:r>
        <w:rPr>
          <w:rFonts w:ascii="Times New Roman" w:hAnsi="Times New Roman"/>
          <w:color w:val="000000"/>
          <w:sz w:val="20"/>
        </w:rPr>
        <w:t xml:space="preserve"> </w:t>
      </w:r>
      <w:r>
        <w:rPr>
          <w:rFonts w:ascii="Times New Roman" w:hAnsi="Times New Roman"/>
          <w:color w:val="000000"/>
          <w:sz w:val="24"/>
        </w:rPr>
        <w:t>shall be accompanied by a written statement of a Responsible Officer of Holdings or the Borrower setting forth the details of the event or development requiring such notice and any action taken or proposed to be taken with respect thereto.</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5.03 </w:t>
      </w:r>
      <w:r>
        <w:rPr>
          <w:rFonts w:ascii="Times New Roman" w:hAnsi="Times New Roman"/>
          <w:b w:val="false"/>
          <w:color w:val="000000"/>
          <w:sz w:val="24"/>
          <w:u w:val="single"/>
        </w:rPr>
        <w:t>Information Regarding Collateral</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Holdings or the Borrower will furnish to the Administrative Agent promptly (and in any event within five (5) days after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Borrower shall provide in each Compliance Certificate delivered pursuant to </w:t>
      </w:r>
      <w:r>
        <w:rPr>
          <w:rFonts w:ascii="Times New Roman" w:hAnsi="Times New Roman"/>
          <w:color w:val="000000"/>
          <w:sz w:val="24"/>
          <w:u w:val="single"/>
        </w:rPr>
        <w:t>Section 5.01(d)</w:t>
      </w:r>
      <w:r>
        <w:rPr>
          <w:rFonts w:ascii="Times New Roman" w:hAnsi="Times New Roman"/>
          <w:color w:val="000000"/>
          <w:sz w:val="20"/>
        </w:rPr>
        <w:t xml:space="preserve"> </w:t>
      </w:r>
      <w:r>
        <w:rPr>
          <w:rFonts w:ascii="Times New Roman" w:hAnsi="Times New Roman"/>
          <w:color w:val="000000"/>
          <w:sz w:val="24"/>
        </w:rPr>
        <w:t>any changes, if any, to the Schedules to the Collateral Agreement (excluding Schedule III-B) or the Perfection Certificate (excluding Section 1C) as required to make such schedules accurate as of the last day of the fiscal quarter for which such Compliance Certificate is delivered.</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5.04 </w:t>
      </w:r>
      <w:r>
        <w:rPr>
          <w:rFonts w:ascii="Times New Roman" w:hAnsi="Times New Roman"/>
          <w:b w:val="false"/>
          <w:color w:val="000000"/>
          <w:sz w:val="24"/>
          <w:u w:val="single"/>
        </w:rPr>
        <w:t>Existence; Conduct of Business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and the Borrower will, and will cause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be expected to have, individually or in the aggregate,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5.05 </w:t>
      </w:r>
      <w:r>
        <w:rPr>
          <w:rFonts w:ascii="Times New Roman" w:hAnsi="Times New Roman"/>
          <w:b w:val="false"/>
          <w:color w:val="000000"/>
          <w:sz w:val="24"/>
          <w:u w:val="single"/>
        </w:rPr>
        <w:t>Payment of Taxes, etc</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and the Borrower will, and will cause each Restricted Subsidiary to, pay, discharge or otherwise satisfy all Taxes required to be paid by it, except where (a) the same are being contested in good faith by an appropriate proceeding diligently conducted by Holdings, the Borrower or any of their respective Subsidiaries or (b) the failure to make payment would not be expected, individually or in the aggregate,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5.06 </w:t>
      </w:r>
      <w:r>
        <w:rPr>
          <w:rFonts w:ascii="Times New Roman" w:hAnsi="Times New Roman"/>
          <w:b w:val="false"/>
          <w:color w:val="000000"/>
          <w:sz w:val="24"/>
          <w:u w:val="single"/>
        </w:rPr>
        <w:t>Maintenance of Properties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and the Borrower will, and will cause each Restricted Subsidiary to, keep and maintain all tangible property material to the conduct of its business in good working order and condition (casualty, condemnation and ordinary wear and tear excepted), except where the failure to do so would not be expected to have, individually or in the aggregate,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5.07 </w:t>
      </w:r>
      <w:r>
        <w:rPr>
          <w:rFonts w:ascii="Times New Roman" w:hAnsi="Times New Roman"/>
          <w:b w:val="false"/>
          <w:color w:val="000000"/>
          <w:sz w:val="24"/>
          <w:u w:val="single"/>
        </w:rPr>
        <w:t>Insurance</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any self</w:t>
        <w:noBreakHyphen/>
        <w:t xml:space="preserve">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Collateral Agent, information presented in reasonable detail as to the insurance so carried. Subject to </w:t>
      </w:r>
      <w:r>
        <w:rPr>
          <w:rFonts w:ascii="Times New Roman" w:hAnsi="Times New Roman"/>
          <w:color w:val="000000"/>
          <w:sz w:val="24"/>
          <w:u w:val="single"/>
        </w:rPr>
        <w:t>Section 5.14</w:t>
      </w:r>
      <w:r>
        <w:rPr>
          <w:rFonts w:ascii="Times New Roman" w:hAnsi="Times New Roman"/>
          <w:color w:val="000000"/>
          <w:sz w:val="24"/>
        </w:rPr>
        <w:t xml:space="preserve">, the Borrower shall, and shall cause each Loan Party to (i) name the Collateral Agent, on behalf of the Secured Parties, as an additional insured as its interests may appear on each U.S. general liability policy of insurance held by such Loan Party as the primary named insured (which, for the avoidance of doubt, shall not include directors and officers policies, workers compensation policies, cyber policies and business interruption insurance) and (ii) in the case of each U.S. general property insurance policy held by such Loan Party as the primary named insured, include a loss payable clause or mortgagee endorsement that names the Collateral Agent, on behalf of the Secured Parties, as the loss payee or mortgagee thereunder;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in the case of (x) any Loan Party that becomes a Loan Party after the Effective Date or (y) any insurance policy of the type described in clauses (i) or (ii) above that is obtained by a Loan Party after the Effective Date, (1) such certificates required by this </w:t>
      </w:r>
      <w:r>
        <w:rPr>
          <w:rFonts w:ascii="Times New Roman" w:hAnsi="Times New Roman"/>
          <w:color w:val="000000"/>
          <w:sz w:val="24"/>
          <w:u w:val="single"/>
        </w:rPr>
        <w:t>Section 5.07</w:t>
      </w:r>
      <w:r>
        <w:rPr>
          <w:rFonts w:ascii="Times New Roman" w:hAnsi="Times New Roman"/>
          <w:color w:val="000000"/>
          <w:sz w:val="20"/>
        </w:rPr>
        <w:t xml:space="preserve"> </w:t>
      </w:r>
      <w:r>
        <w:rPr>
          <w:rFonts w:ascii="Times New Roman" w:hAnsi="Times New Roman"/>
          <w:color w:val="000000"/>
          <w:sz w:val="24"/>
        </w:rPr>
        <w:t xml:space="preserve">shall be delivered (I) on the date such Person becomes a Loan Party or (II) in the case of clause (y), within fifteen (15) Business Days after such policy is acquired and (2) endorsements required by this </w:t>
      </w:r>
      <w:r>
        <w:rPr>
          <w:rFonts w:ascii="Times New Roman" w:hAnsi="Times New Roman"/>
          <w:color w:val="000000"/>
          <w:sz w:val="24"/>
          <w:u w:val="single"/>
        </w:rPr>
        <w:t>Section 5.07</w:t>
      </w:r>
      <w:r>
        <w:rPr>
          <w:rFonts w:ascii="Times New Roman" w:hAnsi="Times New Roman"/>
          <w:color w:val="000000"/>
          <w:sz w:val="24"/>
        </w:rPr>
        <w:t>, within forty-five (45) days (or in each case of clauses (1) and (2), such later date as the Administrative Agent may agree in its reasonable discretion) after such policy is acquired (but, in the case of clauses (x) and (y), solely to the extent that such new Loan Party is not already covered by the certificates and endorsements previously delivered to the Collateral Agent) and (B) unless an Event of Default shall have occurred and be continuing, (x) all proceeds from insurance policies shall be paid to Holdings, the Borrower or the applicable Restricted Subsidiary, (y) to the extent the Collateral Agent receives any proceeds, the Collateral Agent shall turn over to the Borrower any amounts received by it as an additional insured or loss payee under any property insurance maintained by Holdings, the Borrower and/or its Subsidiaries, and (z) the Collateral Agent agrees that the Holdings, the Borrower and/or its Subsidiaries shall have the sole right to adjust or settle any claims under such insurance.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any improved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Collateral Agent information presented in reasonable detail as to the flood insurance so carried.</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5.08 </w:t>
      </w:r>
      <w:r>
        <w:rPr>
          <w:rFonts w:ascii="Times New Roman" w:hAnsi="Times New Roman"/>
          <w:b w:val="false"/>
          <w:color w:val="000000"/>
          <w:sz w:val="24"/>
          <w:u w:val="single"/>
        </w:rPr>
        <w:t>Books and Records; Inspection and Audit Rights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Each of Holdings and the Borrower will, and will cause each Restricted Subsidiary to maintain proper books of record and account in which entries that are full, true and correct in all material respects in a manner to allow financial statements to be prepared in conformity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GAAP (or applicable local standards (it being understood and agreed that Foreign Subsidiaries may maintain individual books and records in conformity with generally accepted accounting principles that are applicable in their respective countries of organization and that such maintenance shall not constitute a breach of the representations, warranties or covenants hereunder)) consistently applied shall be made of all material financial transactions and matters involving the assets and business of Holdings, the Borrower or the Restricted Subsidiaries, as the case may be. Each of Holdings and the Borrower will, and will cause each Restricted Subsidiary to permit any representatives designated by the Administrative Agent,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hAnsi="Times New Roman"/>
          <w:color w:val="000000"/>
          <w:sz w:val="24"/>
          <w:u w:val="single"/>
        </w:rPr>
        <w:t xml:space="preserve">provided </w:t>
      </w:r>
      <w:r>
        <w:rPr>
          <w:rFonts w:ascii="Times New Roman" w:hAnsi="Times New Roman"/>
          <w:color w:val="000000"/>
          <w:sz w:val="24"/>
        </w:rPr>
        <w:t xml:space="preserve">that, excluding any such visits and inspections during the continuation of an Event of Default, only the Administrative Agent on behalf of the Lenders may exercise visitation and inspection rights of the Administrative Agent and the Lenders under this </w:t>
      </w:r>
      <w:r>
        <w:rPr>
          <w:rFonts w:ascii="Times New Roman" w:hAnsi="Times New Roman"/>
          <w:color w:val="000000"/>
          <w:sz w:val="24"/>
          <w:u w:val="single"/>
        </w:rPr>
        <w:t>Section 5.08</w:t>
      </w:r>
      <w:r>
        <w:rPr>
          <w:rFonts w:ascii="Times New Roman" w:hAnsi="Times New Roman"/>
          <w:color w:val="000000"/>
          <w:sz w:val="20"/>
        </w:rPr>
        <w:t xml:space="preserve"> </w:t>
      </w:r>
      <w:r>
        <w:rPr>
          <w:rFonts w:ascii="Times New Roman" w:hAnsi="Times New Roman"/>
          <w:color w:val="000000"/>
          <w:sz w:val="24"/>
        </w:rPr>
        <w:t xml:space="preserve">and the Administrative Agent shall not exercise such rights more often than one time during any calendar year absent the existence of an Event of Default and such time shall be at the Borrower’s expense;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 xml:space="preserve">further </w:t>
      </w:r>
      <w:r>
        <w:rPr>
          <w:rFonts w:ascii="Times New Roman" w:hAnsi="Times New Roman"/>
          <w:color w:val="000000"/>
          <w:sz w:val="24"/>
        </w:rPr>
        <w:t>that (a) when an Event of Default exists, the Administrative Agent (or any of their respective representatives or independent contractors) may do any of the foregoing at the expense of the Borrower at any time during normal business hours and upon reasonable advance notice and (b) the Administrative Agent shall give Holdings and the Borrower the opportunity to participate in any discussions with Holdings’ or the Borrower’s independent public accountants.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5.09 </w:t>
      </w:r>
      <w:r>
        <w:rPr>
          <w:rFonts w:ascii="Times New Roman" w:hAnsi="Times New Roman"/>
          <w:b w:val="false"/>
          <w:color w:val="000000"/>
          <w:sz w:val="24"/>
          <w:u w:val="single"/>
        </w:rPr>
        <w:t>Compliance with Laws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Holdings and the Borrower will, and will cause each Restricted Subsidiary to, comply with all Requirements of Law (including Environmental Laws and any permit, license, or approval thereunder, the FCPA, Sanctions and the USA PATRIOT Act) with respect to it, its property and operations, except where the failure to do so, individually or in the aggregate, would not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5.10 </w:t>
      </w:r>
      <w:r>
        <w:rPr>
          <w:rFonts w:ascii="Times New Roman" w:hAnsi="Times New Roman"/>
          <w:b w:val="false"/>
          <w:color w:val="000000"/>
          <w:sz w:val="24"/>
          <w:u w:val="single"/>
        </w:rPr>
        <w:t>Use of Proceeds and Letters of Credit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Letters of Credit and the proceeds of the Revolving Loans and Swing Line Loans will be used for general corporate purposes, in each case, including financing the Transactions, capital expenditures, Permitted Acquisitions, Investments (including the making of advances under the RemainCo Intercompany Loan), Restricted Payments, refinancing of Indebtedness, providing credit support to payment processors, sellers, advertising partners and other counterparties, and any other transactions not prohibited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the extent the proceeds of any Borrowing will be used to benefit RemainCo, or any Letter of Credit shall be issued for the account of RemainCo, the Borrower shall on-lend such amount to RemainCo pursuant to the RemainCo Intercompany Loan (or in the case of a Letter of Credit, there shall be a deemed letter of credit issuance under the RemainCo Intercompany Loan for the account of RemainCo);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Borrower shall not lend, advance or contribute the proceeds of any Borrowing to RemainCo except pursuant to the RemainCo Intercompany Loan.</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will not directly or, to its knowledge, indirectly use the proceeds of any Loan or Letter of Credit in violation of Sanctions, the USA PATRIOT Act, the FCPA or any other applicable anti</w:t>
        <w:noBreakHyphen/>
        <w:t>corruption law.</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5.11 </w:t>
      </w:r>
      <w:r>
        <w:rPr>
          <w:rFonts w:ascii="Times New Roman" w:hAnsi="Times New Roman"/>
          <w:b w:val="false"/>
          <w:color w:val="000000"/>
          <w:sz w:val="24"/>
          <w:u w:val="single"/>
        </w:rPr>
        <w:t>Additional Collateral; Additional Guarantors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(i) any additional Restricted Subsidiary is formed or acquired after the Effective Date, (ii) any Restricted Subsidiary ceases to be an Excluded Subsidiary or (iii) the Borrower, at its option, elects to cause an Excluded Subsidiary to become a Subsidiary Loan Party upon such election, then Holdings or the Borrower will, within thirty (30) days (or such longer period as may be agreed to by the Administrative Agent in its reasonable discretion) after (x) such newly formed or acquired Restricted Subsidiary is formed or acquired (unless such Restricted Subsidiary is an Excluded Subsidiary), (y) such Restricted Subsidiary ceases to be an Excluded Subsidiary or (z) the Borrower has made such election, cause such Restricted Subsidiary to satisfy the Collateral and Guarantee Requirement with respect to such Restricted Subsidiary and with respect to any Equity Interest in or Indebtedness of such Restricted Subsidiary owned by or on behalf of any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Notwithstanding the foregoing, in the event any real property would be required to be mortgaged pursuant to this </w:t>
      </w:r>
      <w:r>
        <w:rPr>
          <w:rFonts w:ascii="Times New Roman" w:hAnsi="Times New Roman"/>
          <w:color w:val="000000"/>
          <w:sz w:val="24"/>
          <w:u w:val="single"/>
        </w:rPr>
        <w:t>Section 5.11</w:t>
      </w:r>
      <w:r>
        <w:rPr>
          <w:rFonts w:ascii="Times New Roman" w:hAnsi="Times New Roman"/>
          <w:color w:val="000000"/>
          <w:sz w:val="24"/>
        </w:rPr>
        <w:t>, Holdings and the Borrower shall be required to comply with the “</w:t>
      </w:r>
      <w:r>
        <w:rPr>
          <w:rFonts w:ascii="Times New Roman" w:hAnsi="Times New Roman"/>
          <w:color w:val="000000"/>
          <w:sz w:val="24"/>
          <w:u w:val="single"/>
        </w:rPr>
        <w:t>Collateral and Guarantee Requirement</w:t>
      </w:r>
      <w:r>
        <w:rPr>
          <w:rFonts w:ascii="Times New Roman" w:hAnsi="Times New Roman"/>
          <w:color w:val="000000"/>
          <w:sz w:val="20"/>
        </w:rPr>
        <w:t xml:space="preserve">” </w:t>
      </w:r>
      <w:r>
        <w:rPr>
          <w:rFonts w:ascii="Times New Roman" w:hAnsi="Times New Roman"/>
          <w:color w:val="000000"/>
          <w:sz w:val="24"/>
        </w:rPr>
        <w:t>as it relates to such real property within ninety (90) days following the formation or acquisition of such real property or such Restricted Subsidiary, or such longer time period as agreed by the Administrative Agent in its reasonable discretion.</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5.12 </w:t>
      </w:r>
      <w:r>
        <w:rPr>
          <w:rFonts w:ascii="Times New Roman" w:hAnsi="Times New Roman"/>
          <w:b w:val="false"/>
          <w:color w:val="000000"/>
          <w:sz w:val="24"/>
          <w:u w:val="single"/>
        </w:rPr>
        <w:t>Further Assurances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Subject in all respects to the deadlines, exceptions and limitations contained in the Loan Documents,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Subject, in each case, to the limitations set forth in the Security Documents, if, after the Effective Date, any material assets (other than Excluded Assets), including any Material Real Property, are acquired by the Borrower or any other Loan Party or are held by any Subsidiary on or after the time it becomes a Loan Party pursuant to </w:t>
      </w:r>
      <w:r>
        <w:rPr>
          <w:rFonts w:ascii="Times New Roman" w:hAnsi="Times New Roman"/>
          <w:color w:val="000000"/>
          <w:sz w:val="24"/>
          <w:u w:val="single"/>
        </w:rPr>
        <w:t>Section 5.11</w:t>
      </w:r>
      <w:r>
        <w:rPr>
          <w:rFonts w:ascii="Times New Roman" w:hAnsi="Times New Roman"/>
          <w:color w:val="000000"/>
          <w:sz w:val="20"/>
        </w:rPr>
        <w:t xml:space="preserve"> </w:t>
      </w:r>
      <w:r>
        <w:rPr>
          <w:rFonts w:ascii="Times New Roman" w:hAnsi="Times New Roman"/>
          <w:color w:val="000000"/>
          <w:sz w:val="24"/>
        </w:rPr>
        <w:t xml:space="preserve">(other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w:t>
      </w:r>
      <w:r>
        <w:rPr>
          <w:rFonts w:ascii="Times New Roman" w:hAnsi="Times New Roman"/>
          <w:color w:val="000000"/>
          <w:sz w:val="24"/>
          <w:u w:val="single"/>
        </w:rPr>
        <w:t>Section 5.12(a)</w:t>
      </w:r>
      <w:r>
        <w:rPr>
          <w:rFonts w:ascii="Times New Roman" w:hAnsi="Times New Roman"/>
          <w:color w:val="000000"/>
          <w:sz w:val="20"/>
        </w:rPr>
        <w:t xml:space="preserve"> </w:t>
      </w:r>
      <w:r>
        <w:rPr>
          <w:rFonts w:ascii="Times New Roman" w:hAnsi="Times New Roman"/>
          <w:color w:val="000000"/>
          <w:sz w:val="24"/>
        </w:rPr>
        <w:t>but only as and to the extent required pursuant to the “Collateral and Guarantee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Requirement”, all at the expense of the Loan Parties and subject to the last paragraph in the definition of “Collateral and Guarantee Requirement”. In the event any Material Real Property is mortgaged pursuant to this </w:t>
      </w:r>
      <w:r>
        <w:rPr>
          <w:rFonts w:ascii="Times New Roman" w:hAnsi="Times New Roman"/>
          <w:color w:val="000000"/>
          <w:sz w:val="24"/>
          <w:u w:val="single"/>
        </w:rPr>
        <w:t>Section 5.12(b)</w:t>
      </w:r>
      <w:r>
        <w:rPr>
          <w:rFonts w:ascii="Times New Roman" w:hAnsi="Times New Roman"/>
          <w:color w:val="000000"/>
          <w:sz w:val="24"/>
        </w:rPr>
        <w:t xml:space="preserve">, the Borrower or such other Loan Party, as applicable, shall be required to comply with the “Collateral and Guarantee Requirement” and </w:t>
      </w:r>
      <w:r>
        <w:rPr>
          <w:rFonts w:ascii="Times New Roman" w:hAnsi="Times New Roman"/>
          <w:color w:val="000000"/>
          <w:sz w:val="24"/>
          <w:u w:val="single"/>
        </w:rPr>
        <w:t>Section 5.12(a)</w:t>
      </w:r>
      <w:r>
        <w:rPr>
          <w:rFonts w:ascii="Times New Roman" w:hAnsi="Times New Roman"/>
          <w:color w:val="000000"/>
          <w:sz w:val="20"/>
        </w:rPr>
        <w:t xml:space="preserve"> </w:t>
      </w:r>
      <w:r>
        <w:rPr>
          <w:rFonts w:ascii="Times New Roman" w:hAnsi="Times New Roman"/>
          <w:color w:val="000000"/>
          <w:sz w:val="24"/>
        </w:rPr>
        <w:t>within ninety (90) days following the acquisition of such Material Real Property or such longer time period as agreed by the Administrative Agent in its reasonable discretion.</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5.13 </w:t>
      </w:r>
      <w:r>
        <w:rPr>
          <w:rFonts w:ascii="Times New Roman" w:hAnsi="Times New Roman"/>
          <w:b w:val="false"/>
          <w:color w:val="000000"/>
          <w:sz w:val="24"/>
          <w:u w:val="single"/>
        </w:rPr>
        <w:t>Designation of Subsidiaries</w:t>
      </w:r>
      <w:r>
        <w:rPr>
          <w:rFonts w:ascii="Times New Roman" w:hAnsi="Times New Roman"/>
          <w:b w:val="false"/>
          <w:color w:val="000000"/>
          <w:sz w:val="24"/>
        </w:rPr>
        <w:t>. The Borrower may at any time after the Effective Date designate (x) any Restricted Subsidiary that is an Excluded Subsidiary as an Electing Guarantor or (y) any Electing Guarantor as an Excluded Subsidiary. Pursuant to the definition of “Electing Guarantor”, the Borrower may at its option cause any Subsidiary to, execute a supplement to each of the Guarantee Agreement and the Collateral Agreement in order to become a Loan Guarantor under the Guarantee Agreement and a grantor under such Security Documents, respectively, or, to the extent reasonably requested by the Collateral Agent, enter into an appropriate new guarantee and appropriate new Security Documents substantially consistent with the analogous existing Guarantee Agreement and Security Documents or otherwise in form and substance reasonably satisfactory to the Borrower and the Collateral Agent and take all other action reasonably requested by the Collateral Agent to grant a perfected (with respect to Collateral consisting of Intellectual Property, if and to the extent required under the Collateral Agreement) security interest in its assets to substantially the same extent as created by the Loan Parties and only if and to the extent required under, and in accordance with, the Security Documents.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5.14 </w:t>
      </w:r>
      <w:r>
        <w:rPr>
          <w:rFonts w:ascii="Times New Roman" w:hAnsi="Times New Roman"/>
          <w:b w:val="false"/>
          <w:color w:val="000000"/>
          <w:sz w:val="24"/>
          <w:u w:val="single"/>
        </w:rPr>
        <w:t>Certain Post</w:t>
        <w:noBreakHyphen/>
        <w:t>Closing Obligations</w:t>
      </w:r>
      <w:r>
        <w:rPr>
          <w:rFonts w:ascii="Times New Roman" w:hAnsi="Times New Roman"/>
          <w:b w:val="false"/>
          <w:color w:val="000000"/>
          <w:sz w:val="24"/>
        </w:rPr>
        <w:t xml:space="preserve">. Within the time periods after the Effective Date specified in </w:t>
      </w:r>
      <w:r>
        <w:rPr>
          <w:rFonts w:ascii="Times New Roman" w:hAnsi="Times New Roman"/>
          <w:b w:val="false"/>
          <w:color w:val="000000"/>
          <w:sz w:val="24"/>
          <w:u w:val="single"/>
        </w:rPr>
        <w:t>Schedule 5.14</w:t>
      </w:r>
      <w:r>
        <w:rPr>
          <w:rFonts w:ascii="Times New Roman" w:hAnsi="Times New Roman"/>
          <w:color w:val="000000"/>
          <w:sz w:val="20"/>
        </w:rPr>
        <w:t xml:space="preserve"> </w:t>
      </w:r>
      <w:r>
        <w:rPr>
          <w:rFonts w:ascii="Times New Roman" w:hAnsi="Times New Roman"/>
          <w:b w:val="false"/>
          <w:color w:val="000000"/>
          <w:sz w:val="24"/>
        </w:rPr>
        <w:t xml:space="preserve">(or such later date as the Administrative Agent agrees to in writing in its reasonable discretion, including to reasonably accommodate circumstances unforeseen on the Effective Date), Holdings, the Borrower and each other Loan Party shall deliver the documents or take the actions specified on </w:t>
      </w:r>
      <w:r>
        <w:rPr>
          <w:rFonts w:ascii="Times New Roman" w:hAnsi="Times New Roman"/>
          <w:b w:val="false"/>
          <w:color w:val="000000"/>
          <w:sz w:val="24"/>
          <w:u w:val="single"/>
        </w:rPr>
        <w:t>Schedule 5.14</w:t>
      </w:r>
      <w:r>
        <w:rPr>
          <w:rFonts w:ascii="Times New Roman" w:hAnsi="Times New Roman"/>
          <w:color w:val="000000"/>
          <w:sz w:val="20"/>
        </w:rPr>
        <w:t xml:space="preserve"> </w:t>
      </w:r>
      <w:r>
        <w:rPr>
          <w:rFonts w:ascii="Times New Roman" w:hAnsi="Times New Roman"/>
          <w:b w:val="false"/>
          <w:color w:val="000000"/>
          <w:sz w:val="24"/>
        </w:rPr>
        <w:t>that would have been required to be delivered or taken on the Effective Date, in each case except to the extent otherwise agreed by the Administrative Agent pursuant to its authority as set forth in the definition of “Collateral and Guarantee Requirement”.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5.15 </w:t>
      </w:r>
      <w:r>
        <w:rPr>
          <w:rFonts w:ascii="Times New Roman" w:hAnsi="Times New Roman"/>
          <w:b w:val="false"/>
          <w:color w:val="000000"/>
          <w:sz w:val="24"/>
          <w:u w:val="single"/>
        </w:rPr>
        <w:t>Control Agreements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later than forty-five (45) days after the Effective Date (or such later date as the Administrative Agent may agree in its reasonable discretion), the Borrower shall cause each bank account that is, as of the Effective Date, held by the Borrower or a Subsidiary Loan Party (other than any Excluded Account) to be a Controlled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any bank account held by the Borrower or a Subsidiary Loan Party that (x) is acquired or opened after the Effective Date or (y) ceases to be an Excluded Account after the Effective Date, the Borrower shall, in each case, cause such bank account (other than any Excluded Account) to be a Controlled Account within forty-five (45) days after such bank account is opened or acquired or ceases to be an Excluded Account.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5.16 </w:t>
      </w:r>
      <w:r>
        <w:rPr>
          <w:rFonts w:ascii="Times New Roman" w:hAnsi="Times New Roman"/>
          <w:b w:val="false"/>
          <w:color w:val="000000"/>
          <w:sz w:val="24"/>
          <w:u w:val="single"/>
        </w:rPr>
        <w:t>Lines of Business</w:t>
      </w:r>
      <w:r>
        <w:rPr>
          <w:rFonts w:ascii="Times New Roman" w:hAnsi="Times New Roman"/>
          <w:b w:val="false"/>
          <w:color w:val="000000"/>
          <w:sz w:val="24"/>
        </w:rPr>
        <w:t>. Holdings and its Restricted Subsidiaries, taken as a whole, will not alter the character of their business, taken as a whole, from the business conducted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by them on the Effective Date and other business activities which are extensions thereof or otherwise incidental, reasonably related or ancillary to any of the foregoing.</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5.17 </w:t>
      </w:r>
      <w:r>
        <w:rPr>
          <w:rFonts w:ascii="Times New Roman" w:hAnsi="Times New Roman"/>
          <w:b w:val="false"/>
          <w:color w:val="000000"/>
          <w:sz w:val="24"/>
          <w:u w:val="single"/>
        </w:rPr>
        <w:t>Fiscal Periods</w:t>
      </w:r>
      <w:r>
        <w:rPr>
          <w:rFonts w:ascii="Times New Roman" w:hAnsi="Times New Roman"/>
          <w:b w:val="false"/>
          <w:color w:val="000000"/>
          <w:sz w:val="24"/>
        </w:rPr>
        <w:t xml:space="preserve">. Holdings will keep its current fiscal year end; </w:t>
      </w:r>
      <w:r>
        <w:rPr>
          <w:rFonts w:ascii="Times New Roman" w:hAnsi="Times New Roman"/>
          <w:b w:val="false"/>
          <w:color w:val="000000"/>
          <w:sz w:val="24"/>
          <w:u w:val="single"/>
        </w:rPr>
        <w:t>provided</w:t>
      </w:r>
      <w:r>
        <w:rPr>
          <w:rFonts w:ascii="Times New Roman" w:hAnsi="Times New Roman"/>
          <w:b w:val="false"/>
          <w:color w:val="000000"/>
          <w:sz w:val="24"/>
        </w:rPr>
        <w:t>,</w:t>
      </w:r>
      <w:r>
        <w:rPr>
          <w:rFonts w:ascii="Times New Roman" w:hAnsi="Times New Roman"/>
          <w:color w:val="000000"/>
          <w:sz w:val="20"/>
          <w:u w:val="single"/>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Holdings may, upon written notice to the Administrative Agent, change its fiscal year end to any other fiscal year end reasonably acceptable to the Administrative Agent, in which case, the Borrower and the Administrative Agent will, and are hereby authorized by the Lenders to, make any adjustments to this Agreement that are necessary to reflect such change in fiscal year.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5.18 </w:t>
      </w:r>
      <w:r>
        <w:rPr>
          <w:rFonts w:ascii="Times New Roman" w:hAnsi="Times New Roman"/>
          <w:b w:val="false"/>
          <w:color w:val="000000"/>
          <w:sz w:val="24"/>
          <w:u w:val="single"/>
        </w:rPr>
        <w:t>Lender Calls</w:t>
      </w:r>
      <w:r>
        <w:rPr>
          <w:rFonts w:ascii="Times New Roman" w:hAnsi="Times New Roman"/>
          <w:b w:val="false"/>
          <w:color w:val="000000"/>
          <w:sz w:val="24"/>
        </w:rPr>
        <w:t xml:space="preserve">. Following delivery of the financial statements pursuant to each of </w:t>
      </w:r>
      <w:r>
        <w:rPr>
          <w:rFonts w:ascii="Times New Roman" w:hAnsi="Times New Roman"/>
          <w:b w:val="false"/>
          <w:color w:val="000000"/>
          <w:sz w:val="24"/>
          <w:u w:val="single"/>
        </w:rPr>
        <w:t>Sections 5.01(a)</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(b)</w:t>
      </w:r>
      <w:r>
        <w:rPr>
          <w:rFonts w:ascii="Times New Roman" w:hAnsi="Times New Roman"/>
          <w:b w:val="false"/>
          <w:color w:val="000000"/>
          <w:sz w:val="24"/>
        </w:rPr>
        <w:t>, at the reasonable request of the Administrative Agent, Holdings will host a conference call, at a time selected by Holdings and reasonably acceptable to the Administrative Agent, with the Lenders to review the financial information provided, in each case, therein (it being understood and agreed that Holdings shall not be required to discuss or disclose any material non</w:t>
        <w:noBreakHyphen/>
        <w:t>public information with respect to the Borrower, its Restricted Subsidiaries, the Hoya Group or any Holdings Parent).</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VI</w:t>
      </w:r>
      <w:r>
        <w:rPr>
          <w:rFonts w:ascii="Times New Roman" w:hAnsi="Times New Roman"/>
          <w:b w:val="false"/>
          <w:caps/>
          <w:color w:val="000000"/>
          <w:sz w:val="24"/>
          <w:u w:val="single"/>
        </w:rPr>
        <w:br/>
        <w:t>NEGATIVE COVENANTS</w:t>
      </w:r>
    </w:p>
    <w:p>
      <w:pPr>
        <w:pStyle w:val="TextBody"/>
        <w:bidi w:val="0"/>
        <w:spacing w:before="0" w:after="240"/>
        <w:jc w:val="both"/>
        <w:rPr>
          <w:rFonts w:ascii="Times New Roman" w:hAnsi="Times New Roman"/>
          <w:sz w:val="20"/>
        </w:rPr>
      </w:pPr>
      <w:r>
        <w:rPr>
          <w:rFonts w:ascii="Times New Roman" w:hAnsi="Times New Roman"/>
          <w:color w:val="000000"/>
          <w:sz w:val="24"/>
        </w:rPr>
        <w:t>From and after the Effective Date and until the Termination Date, Holdings and the Borrower (as applicable) covenant and agree with the Lenders that: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6.01 </w:t>
      </w:r>
      <w:r>
        <w:rPr>
          <w:rFonts w:ascii="Times New Roman" w:hAnsi="Times New Roman"/>
          <w:b w:val="false"/>
          <w:color w:val="000000"/>
          <w:sz w:val="24"/>
          <w:u w:val="single"/>
        </w:rPr>
        <w:t>Indebtedness; Certain Equity Securities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Holdings and the Borrower will not, and will not permit any Restricted Subsidiary to, create, incur, assume or permit to exist any Indebtedness, except: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Indebtedness of the Borrower and any of the Restricted Subsidiaries under the Loan Documents (including any Indebtedness incurred pursuant to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2.21</w:t>
      </w:r>
      <w:r>
        <w:rPr>
          <w:rFonts w:ascii="Times New Roman" w:hAnsi="Times New Roman"/>
          <w:color w:val="000000"/>
          <w:sz w:val="24"/>
        </w:rPr>
        <w:t>) or any Credit Agreement Refinancing Indebtedness;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Indebtedness, including intercompany Indebtedness, outstanding on the Effective Date; </w:t>
      </w:r>
      <w:r>
        <w:rPr>
          <w:rFonts w:ascii="Times New Roman" w:hAnsi="Times New Roman"/>
          <w:color w:val="000000"/>
          <w:sz w:val="24"/>
          <w:u w:val="single"/>
        </w:rPr>
        <w:t xml:space="preserve">provided </w:t>
      </w:r>
      <w:r>
        <w:rPr>
          <w:rFonts w:ascii="Times New Roman" w:hAnsi="Times New Roman"/>
          <w:color w:val="000000"/>
          <w:sz w:val="24"/>
        </w:rPr>
        <w:t xml:space="preserve">that any such Indebtedness in excess of $1,000,000 individually shall only be permitted if set forth on </w:t>
      </w:r>
      <w:r>
        <w:rPr>
          <w:rFonts w:ascii="Times New Roman" w:hAnsi="Times New Roman"/>
          <w:color w:val="000000"/>
          <w:sz w:val="24"/>
          <w:u w:val="single"/>
        </w:rPr>
        <w:t>Schedule 6.01</w:t>
      </w:r>
      <w:r>
        <w:rPr>
          <w:rFonts w:ascii="Times New Roman" w:hAnsi="Times New Roman"/>
          <w:color w:val="000000"/>
          <w:sz w:val="20"/>
        </w:rPr>
        <w:t xml:space="preserve"> </w:t>
      </w:r>
      <w:r>
        <w:rPr>
          <w:rFonts w:ascii="Times New Roman" w:hAnsi="Times New Roman"/>
          <w:color w:val="000000"/>
          <w:sz w:val="24"/>
        </w:rPr>
        <w:t xml:space="preserve">(unless such Indebtedness is permitted by another clause in this </w:t>
      </w:r>
      <w:r>
        <w:rPr>
          <w:rFonts w:ascii="Times New Roman" w:hAnsi="Times New Roman"/>
          <w:color w:val="000000"/>
          <w:sz w:val="24"/>
          <w:u w:val="single"/>
        </w:rPr>
        <w:t>Section 6.01</w:t>
      </w:r>
      <w:r>
        <w:rPr>
          <w:rFonts w:ascii="Times New Roman" w:hAnsi="Times New Roman"/>
          <w:color w:val="000000"/>
          <w:sz w:val="24"/>
        </w:rPr>
        <w:t>) and any Permitted Refinancing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Guarantees by the Borrower or any of the Restricted Subsidiaries in respect of Indebtedness of a Loan Party otherwise permitted hereunder; </w:t>
      </w:r>
      <w:r>
        <w:rPr>
          <w:rFonts w:ascii="Times New Roman" w:hAnsi="Times New Roman"/>
          <w:color w:val="000000"/>
          <w:sz w:val="24"/>
          <w:u w:val="single"/>
        </w:rPr>
        <w:t xml:space="preserve">provided </w:t>
      </w:r>
      <w:r>
        <w:rPr>
          <w:rFonts w:ascii="Times New Roman" w:hAnsi="Times New Roman"/>
          <w:color w:val="000000"/>
          <w:sz w:val="24"/>
        </w:rPr>
        <w:t xml:space="preserve">that (A) such Guarantee is permitted under </w:t>
      </w:r>
      <w:r>
        <w:rPr>
          <w:rFonts w:ascii="Times New Roman" w:hAnsi="Times New Roman"/>
          <w:color w:val="000000"/>
          <w:sz w:val="24"/>
          <w:u w:val="single"/>
        </w:rPr>
        <w:t>Section 6.04</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6.04(u)</w:t>
      </w:r>
      <w:r>
        <w:rPr>
          <w:rFonts w:ascii="Times New Roman" w:hAnsi="Times New Roman"/>
          <w:color w:val="000000"/>
          <w:sz w:val="24"/>
        </w:rPr>
        <w:t>), (B) no Guarantee by any Restricted Subsidiary of any Junior Financing shall be permitted unless such Restricted Subsidiary shall have also provided a Guarantee of the Loan Document Obligations pursuant to the Guarantee Agreement and (C)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Indebtedness of any Loan Party owing to any other Loan Party, to the extent permitted by </w:t>
      </w:r>
      <w:r>
        <w:rPr>
          <w:rFonts w:ascii="Times New Roman" w:hAnsi="Times New Roman"/>
          <w:color w:val="000000"/>
          <w:sz w:val="24"/>
          <w:u w:val="single"/>
        </w:rPr>
        <w:t xml:space="preserve">Section 6.04 </w:t>
      </w:r>
      <w:r>
        <w:rPr>
          <w:rFonts w:ascii="Times New Roman" w:hAnsi="Times New Roman"/>
          <w:color w:val="000000"/>
          <w:sz w:val="24"/>
        </w:rPr>
        <w:t xml:space="preserve">(other than </w:t>
      </w:r>
      <w:r>
        <w:rPr>
          <w:rFonts w:ascii="Times New Roman" w:hAnsi="Times New Roman"/>
          <w:color w:val="000000"/>
          <w:sz w:val="24"/>
          <w:u w:val="single"/>
        </w:rPr>
        <w:t>Section 6.04(u))</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all such Indebtedness shall be (a) subordinated to the Loan Document Obligations on terms (i) at least as favorable to the Lenders as those set forth in the form of intercompany note attached as </w:t>
      </w:r>
      <w:r>
        <w:rPr>
          <w:rFonts w:ascii="Times New Roman" w:hAnsi="Times New Roman"/>
          <w:color w:val="000000"/>
          <w:sz w:val="24"/>
          <w:u w:val="single"/>
        </w:rPr>
        <w:t>Exhibit F</w:t>
      </w:r>
      <w:r>
        <w:rPr>
          <w:rFonts w:ascii="Times New Roman" w:hAnsi="Times New Roman"/>
          <w:color w:val="000000"/>
          <w:sz w:val="20"/>
        </w:rPr>
        <w:t xml:space="preserve"> </w:t>
      </w:r>
      <w:r>
        <w:rPr>
          <w:rFonts w:ascii="Times New Roman" w:hAnsi="Times New Roman"/>
          <w:color w:val="000000"/>
          <w:sz w:val="24"/>
        </w:rPr>
        <w:t>or (ii) otherwise reasonably satisfactory to the Administrative Agent and (b) evidenced by an intercompany note that is pledged to the Collateral Agent as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(A) Indebtedness (including Capital Lease Obligations and purchase money Indebtedness) incurred, issued or assumed by the Borrower or any Loan Party to finance the acquisition, purchase, lease, construction, repair, replacement or improvement of fixed or capital property, equipment or other assets in the ordinary course for bona fide business purposes and not for any other purpose (including in connection with any Liability Management Transaction); </w:t>
      </w:r>
      <w:r>
        <w:rPr>
          <w:rFonts w:ascii="Times New Roman" w:hAnsi="Times New Roman"/>
          <w:color w:val="000000"/>
          <w:sz w:val="24"/>
          <w:u w:val="single"/>
        </w:rPr>
        <w:t xml:space="preserve">provided </w:t>
      </w:r>
      <w:r>
        <w:rPr>
          <w:rFonts w:ascii="Times New Roman" w:hAnsi="Times New Roman"/>
          <w:color w:val="000000"/>
          <w:sz w:val="24"/>
        </w:rPr>
        <w:t xml:space="preserve">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at the time of any such incurrence of Indebtedness and after giving Pro Forma Effect thereto and the use of the proceeds thereof, the aggregate principal amount of Indebtedness that is outstanding in reliance on this clause (v) shall not exceed $5,000,000;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Indebtedness in respect of Swap Agreements incurred in the ordinary course of business for the sole purpose of hedging currency risks and interest rate risks and not for any speculative purposes;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(a) Indebtedness of any Person acquired in connection with a Permitted Acquisition or permitted Investment or secured by any assets so acquired (and not incurred by the obligor thereon in contemplation of such Permitted Acquisition or permitted Investment);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Person shall become a Loan Party within the time frame required by </w:t>
      </w:r>
      <w:r>
        <w:rPr>
          <w:rFonts w:ascii="Times New Roman" w:hAnsi="Times New Roman"/>
          <w:color w:val="000000"/>
          <w:sz w:val="24"/>
          <w:u w:val="single"/>
        </w:rPr>
        <w:t>Section 5.11</w:t>
      </w:r>
      <w:r>
        <w:rPr>
          <w:rFonts w:ascii="Times New Roman" w:hAnsi="Times New Roman"/>
          <w:color w:val="000000"/>
          <w:sz w:val="24"/>
        </w:rPr>
        <w:t xml:space="preserve">; </w:t>
      </w:r>
      <w:r>
        <w:rPr>
          <w:rFonts w:ascii="Times New Roman" w:hAnsi="Times New Roman"/>
          <w:color w:val="000000"/>
          <w:sz w:val="24"/>
          <w:u w:val="single"/>
        </w:rPr>
        <w:t xml:space="preserve">provided, further, </w:t>
      </w:r>
      <w:r>
        <w:rPr>
          <w:rFonts w:ascii="Times New Roman" w:hAnsi="Times New Roman"/>
          <w:color w:val="000000"/>
          <w:sz w:val="24"/>
        </w:rPr>
        <w:t>that at the time of incurrence, immediately after giving effect to such Permitted Acquisition, permitted Investment or redesignation, as the case may be, and the assumption of such Indebtedness, the Total Net Leverage Ratio computed on a Pro Forma Basis for the most recently ended Test Period as of such time is not greater than 4.75:1.00; and (b) in respect of the foregoing, any Permitted Refinancing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Settlement Indebtedness;</w:t>
      </w:r>
    </w:p>
    <w:p>
      <w:pPr>
        <w:pStyle w:val="TextBody"/>
        <w:bidi w:val="0"/>
        <w:spacing w:before="0" w:after="240"/>
        <w:jc w:val="both"/>
        <w:rPr>
          <w:rFonts w:ascii="Times New Roman" w:hAnsi="Times New Roman"/>
          <w:sz w:val="20"/>
        </w:rPr>
      </w:pPr>
      <w:r>
        <w:rPr>
          <w:rFonts w:ascii="Times New Roman" w:hAnsi="Times New Roman"/>
          <w:color w:val="000000"/>
          <w:sz w:val="24"/>
        </w:rPr>
        <w:t>(xii) Indebtedness in respect of (a) bankers’ acceptances for credit management purposes incurred or undertaken in the ordinary course of business on arm’s length commercial terms on a non</w:t>
        <w:noBreakHyphen/>
        <w:t>recourse basis and (b) Cash Management Obligations and other Indebtedness in respect of netting services, automated clearinghouse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arrangements, overdraft protections and similar arrangements, in each case, in connection with securities or deposit accounts or from the honoring of a bank or other financial institution of a check, draft or similar instrument drawn against insufficient funds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(xiv) unsecured Indebtedness that does not constitute Indebtedness for borrowed money;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unsecured Indebtedness complies with the provisions of the Required Additional Debt Terms at the time of the incurrence thereof and after giving Pro Forma Effect thereto, the aggregate principal amount of Indebtedness outstanding in reliance on this clause (xiv) shall not exceed $5,000,000;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 Indebtedness consisting of (A) the financing of insurance premiums or (B) take</w:t>
        <w:noBreakHyphen/>
        <w:t>or</w:t>
        <w:noBreakHyphen/>
        <w:t>pay obligations contained in supply arrangements, in each case of the foregoing clauses (A) and (B),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(xix) Indebtedness supported by a Letter of Credit, in a principal amount not to exceed the face amount of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(xxiii) In the case of the Borrower or any Loan Party, Indebtedness issued in lieu of Incremental Facilities consisting of one or more series of secured or unsecured loans, letter of credit facilities (or similar), bonds, notes or debentures (which loans, facilities, bonds, notes or debentures, if secured, may only be secured, in the case of any Additional First Out Debt or Additional Second Out Debt, by Liens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with the Liens on the Collateral securing the Initial Revolving Facility (but without regard to control of remedies) or, in the case of any Additional Junior Lien Debt, by Liens on the Collateral having a junior priority relative to the Liens on the Collateral securing the Initial Revolving Facility) (the “</w:t>
      </w:r>
      <w:r>
        <w:rPr>
          <w:rFonts w:ascii="Times New Roman" w:hAnsi="Times New Roman"/>
          <w:color w:val="000000"/>
          <w:sz w:val="24"/>
          <w:u w:val="single"/>
        </w:rPr>
        <w:t>Incremental Equivalent Debt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that (x) the aggregate principal amount of all such Indebtedness incurred pursuant to this clause (xxiii), together with the aggregate principal amount of any Incremental Facilities incurred, shall not exceed, at the time of incurrence and after giving pro forma effect to the incurrence, the Incremental Cap and (y) such Indebtedness complies with the provisions of the Required Additional Debt Terms, and Incremental Cap and, unless such Indebtedness is unsecured, Additional First Out Debt, Additional Second Out Debt, or Additional Junior Lien Debt, as applicable;</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(xxiv)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(xxv) 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indemnification or reimbursement-type obligations;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the incurrence thereof and after giving Pro Forma Effect thereto, the aggregate principal amount of Indebtedness outstanding in reliance on this clause (xxv) shall not exceed $1,000,000;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 obligations in respect of self</w:t>
        <w:noBreakHyphen/>
        <w:t>insurance and obligations in respect of performance, bid, appeal and surety bonds and performance and completion guarantees and similar obligations provided by the Borrower or any Restricted Subsidiary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 Indebtedness representing deferred compensation or stock</w:t>
        <w:noBreakHyphen/>
        <w:t>based compensation owed to employees of the Borrower or the Loan Parties incurred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 endorsement of instruments or other payment items for deposit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 to the extent constituting Indebtedness, Guarantees in the ordinary course of business of the obligations of suppliers, customers, franchisees and licensees of Holdings and its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(xxxiv) obligations in respect of letters of support, guarantees or similar obligations issued, made or incurred for the benefit of any Restricted Subsidiary of Holdings to the extent required by law or in connection with any statutory filing or the delivery of audit opinions performed in jurisdictions other than within the United States;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 the RemainCo Intercompany Loan;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 all Indebtedness owed by a Loan Party to a non-Loan Party Affiliate shall be unsecured and subordinated to the Loan Document Obligations (this clause (A), the “</w:t>
      </w:r>
      <w:r>
        <w:rPr>
          <w:rFonts w:ascii="Times New Roman" w:hAnsi="Times New Roman"/>
          <w:color w:val="000000"/>
          <w:sz w:val="24"/>
          <w:u w:val="single"/>
        </w:rPr>
        <w:t>Intercompany Loan Provision</w:t>
      </w:r>
      <w:r>
        <w:rPr>
          <w:rFonts w:ascii="Times New Roman" w:hAnsi="Times New Roman"/>
          <w:color w:val="000000"/>
          <w:sz w:val="20"/>
        </w:rPr>
        <w:t>”</w:t>
      </w:r>
      <w:r>
        <w:rPr>
          <w:rFonts w:ascii="Times New Roman" w:hAnsi="Times New Roman"/>
          <w:color w:val="000000"/>
          <w:sz w:val="24"/>
        </w:rPr>
        <w:t>), (B) in no event shall any member of the Vegas Group be permitted to Guarantee, or grant Liens to secure, any Indebtedness for borrowed money that is incurred by RemainCo (it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being understood that this shall not restrict or prohibit the issuance of Letters of Credit for the account of any member of the Hoya Group) and (C) any Junior Financing that is incurred pursuant to </w:t>
      </w:r>
      <w:r>
        <w:rPr>
          <w:rFonts w:ascii="Times New Roman" w:hAnsi="Times New Roman"/>
          <w:color w:val="000000"/>
          <w:sz w:val="24"/>
          <w:u w:val="single"/>
        </w:rPr>
        <w:t>Section 6.01(a)(xiv)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(xxiii)</w:t>
      </w:r>
      <w:r>
        <w:rPr>
          <w:rFonts w:ascii="Times New Roman" w:hAnsi="Times New Roman"/>
          <w:color w:val="000000"/>
          <w:sz w:val="20"/>
        </w:rPr>
        <w:t xml:space="preserve"> </w:t>
      </w:r>
      <w:r>
        <w:rPr>
          <w:rFonts w:ascii="Times New Roman" w:hAnsi="Times New Roman"/>
          <w:color w:val="000000"/>
          <w:sz w:val="24"/>
        </w:rPr>
        <w:t>(other than any Additional First Out Debt or Specified Exchange Debt) shall not be permitted to require any cash payments of principal prior to the Latest Maturity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Holdings and the Borrower will not, and will not permit any Restricted Subsidiary to, issue any Disqualified Equity Interests, except (x) to the extent incurred as Indebtedness under </w:t>
      </w:r>
      <w:r>
        <w:rPr>
          <w:rFonts w:ascii="Times New Roman" w:hAnsi="Times New Roman"/>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and (y) preferred Equity Interests issued to and held by Holdings, the Borrower or any Restricted Subsidiary to the extent permitted by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color w:val="000000"/>
          <w:sz w:val="24"/>
          <w:u w:val="single"/>
        </w:rPr>
        <w:t>Section 6.01</w:t>
      </w:r>
      <w:r>
        <w:rPr>
          <w:rFonts w:ascii="Times New Roman" w:hAnsi="Times New Roman"/>
          <w:color w:val="000000"/>
          <w:sz w:val="24"/>
        </w:rPr>
        <w:t xml:space="preserve">, (i) in the event that an item of Indebtedness (or any portion thereof) meets the criteria of more than one of the categories of Indebtedness described in clauses (a)(i) through (a)(xxxiv)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hAnsi="Times New Roman"/>
          <w:color w:val="000000"/>
          <w:sz w:val="24"/>
          <w:u w:val="single"/>
        </w:rPr>
        <w:t xml:space="preserve">provided </w:t>
      </w:r>
      <w:r>
        <w:rPr>
          <w:rFonts w:ascii="Times New Roman" w:hAnsi="Times New Roman"/>
          <w:color w:val="000000"/>
          <w:sz w:val="24"/>
        </w:rPr>
        <w:t xml:space="preserve">that (i) all Indebtedness outstanding under the Loan Documents will be deemed to have been incurred in reliance only on the exception in clause (a)(i), (ii) no such reclassification will operate to waive any Event of Default that may have occurred with respect to any Indebtedness that was not permitted to be incurred at the initial incurrence thereof and (iii) subject to </w:t>
      </w:r>
      <w:r>
        <w:rPr>
          <w:rFonts w:ascii="Times New Roman" w:hAnsi="Times New Roman"/>
          <w:color w:val="000000"/>
          <w:sz w:val="24"/>
          <w:u w:val="single"/>
        </w:rPr>
        <w:t>Section 6.04</w:t>
      </w:r>
      <w:r>
        <w:rPr>
          <w:rFonts w:ascii="Times New Roman" w:hAnsi="Times New Roman"/>
          <w:color w:val="000000"/>
          <w:sz w:val="24"/>
        </w:rPr>
        <w:t>, all Indebtedness of Hoya Midco owed to the Borrower shall only be permitted to be incurred pursuant to the RemainCo Intercompany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any restriction on the incurrence of Indebtedness, the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hAnsi="Times New Roman"/>
          <w:color w:val="000000"/>
          <w:sz w:val="24"/>
          <w:u w:val="single"/>
        </w:rPr>
        <w:t xml:space="preserve">provided </w:t>
      </w:r>
      <w:r>
        <w:rPr>
          <w:rFonts w:ascii="Times New Roman" w:hAnsi="Times New Roman"/>
          <w:color w:val="000000"/>
          <w:sz w:val="24"/>
        </w:rPr>
        <w:t>that if such Indebtedness is incurred to extend, replace, refund, refinance, renew or defease other Indebtedness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 plus the amount of any premium paid, and fees and expenses incurred, in connection with such extension, replacement, refunding refinancing, renewal or defeasance (including any fees and original issue discount incurred in respect of such resulting Indebtedness).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6.02 </w:t>
      </w:r>
      <w:r>
        <w:rPr>
          <w:rFonts w:ascii="Times New Roman" w:hAnsi="Times New Roman"/>
          <w:b w:val="false"/>
          <w:color w:val="000000"/>
          <w:sz w:val="24"/>
          <w:u w:val="single"/>
        </w:rPr>
        <w:t>Liens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Holdings and the Borrower will not, and will not permit any Restricted Subsidiary to, create, incur, assume or permit to exist any Lien on any property or asset now owned (but not leased) or hereafter acquired (but not leased) by it, except:</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Liens created under the Loan Documents or any Credit Agreement Refinancing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Permitted Encumbrances;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Liens existing on the Effective Date; </w:t>
      </w:r>
      <w:r>
        <w:rPr>
          <w:rFonts w:ascii="Times New Roman" w:hAnsi="Times New Roman"/>
          <w:color w:val="000000"/>
          <w:sz w:val="24"/>
          <w:u w:val="single"/>
        </w:rPr>
        <w:t xml:space="preserve">provided </w:t>
      </w:r>
      <w:r>
        <w:rPr>
          <w:rFonts w:ascii="Times New Roman" w:hAnsi="Times New Roman"/>
          <w:color w:val="000000"/>
          <w:sz w:val="24"/>
        </w:rPr>
        <w:t xml:space="preserve">that any such Lien securing Indebtedness or other obligations in excess of $1,000,000 individually shall only be permitted if set forth on </w:t>
      </w:r>
      <w:r>
        <w:rPr>
          <w:rFonts w:ascii="Times New Roman" w:hAnsi="Times New Roman"/>
          <w:color w:val="000000"/>
          <w:sz w:val="24"/>
          <w:u w:val="single"/>
        </w:rPr>
        <w:t>Schedule 6.02</w:t>
      </w:r>
      <w:r>
        <w:rPr>
          <w:rFonts w:ascii="Times New Roman" w:hAnsi="Times New Roman"/>
          <w:color w:val="000000"/>
          <w:sz w:val="20"/>
        </w:rPr>
        <w:t xml:space="preserve"> </w:t>
      </w:r>
      <w:r>
        <w:rPr>
          <w:rFonts w:ascii="Times New Roman" w:hAnsi="Times New Roman"/>
          <w:color w:val="000000"/>
          <w:sz w:val="24"/>
        </w:rPr>
        <w:t xml:space="preserve">(unless such Lien is permitted by another clause in </w:t>
      </w:r>
      <w:r>
        <w:rPr>
          <w:rFonts w:ascii="Times New Roman" w:hAnsi="Times New Roman"/>
          <w:color w:val="000000"/>
          <w:sz w:val="24"/>
          <w:u w:val="single"/>
        </w:rPr>
        <w:t>Section 6.02</w:t>
      </w:r>
      <w:r>
        <w:rPr>
          <w:rFonts w:ascii="Times New Roman" w:hAnsi="Times New Roman"/>
          <w:color w:val="000000"/>
          <w:sz w:val="24"/>
        </w:rPr>
        <w:t xml:space="preserve">) and any modifications, replacements, renewals or extensions thereof;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such modified, replacement, renewal or extension Lien does not extend to any additional property other than (1) after</w:t>
        <w:noBreakHyphen/>
        <w:t>acquired property that is affixed or incorporated into the property covered by such Lien and (2) proceeds and products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Liens securing Indebtedness permitted under </w:t>
      </w:r>
      <w:r>
        <w:rPr>
          <w:rFonts w:ascii="Times New Roman" w:hAnsi="Times New Roman"/>
          <w:color w:val="000000"/>
          <w:sz w:val="24"/>
          <w:u w:val="single"/>
        </w:rPr>
        <w:t>Section 6.01(a)(v)</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individual financings of equipment provided by one lender may be cross collateralized to other financings of equipment provided by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 easements, leases, subleases, non-exclusive licenses, or non-exclusive sublicenses granted to others (including non-exclusive licenses and non-exclusive sublicenses of Intellectual Property) in the ordinary course of business that do not (A) interfere in any material respect with the business of the Borrower and its Subsidiaries, taken as a whole, or (B) secure any Indebtedness and (ii) any interest or title of a lessor, licensor, sublicensor or sublessor under any lease or license entered into by the Borrower or any of its Subsidiaries in the ordinary course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Liens in favor of customs and revenue authorities arising as a matter of law to secure payment of customs duties in connection with the importation of goods;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Liens (A) of a collection bank arising under Section 4</w:t>
        <w:noBreakHyphen/>
        <w:t>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(viii) Liens (A) on cash advances, cash earnest money deposits or other escrow deposits in connection with any Investment permitted pursuant to </w:t>
      </w:r>
      <w:r>
        <w:rPr>
          <w:rFonts w:ascii="Times New Roman" w:hAnsi="Times New Roman"/>
          <w:color w:val="000000"/>
          <w:sz w:val="24"/>
          <w:u w:val="single"/>
        </w:rPr>
        <w:t>Section 6.04</w:t>
      </w:r>
      <w:r>
        <w:rPr>
          <w:rFonts w:ascii="Times New Roman" w:hAnsi="Times New Roman"/>
          <w:color w:val="000000"/>
          <w:sz w:val="24"/>
        </w:rPr>
        <w: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otherwise in connection with any escrow arrangements with respect to any such Investment or any Disposition permitted under </w:t>
      </w:r>
      <w:r>
        <w:rPr>
          <w:rFonts w:ascii="Times New Roman" w:hAnsi="Times New Roman"/>
          <w:color w:val="000000"/>
          <w:sz w:val="24"/>
          <w:u w:val="single"/>
        </w:rPr>
        <w:t>Section 6.05</w:t>
      </w:r>
      <w:r>
        <w:rPr>
          <w:rFonts w:ascii="Times New Roman" w:hAnsi="Times New Roman"/>
          <w:color w:val="000000"/>
          <w:sz w:val="20"/>
        </w:rPr>
        <w:t xml:space="preserve"> </w:t>
      </w:r>
      <w:r>
        <w:rPr>
          <w:rFonts w:ascii="Times New Roman" w:hAnsi="Times New Roman"/>
          <w:color w:val="000000"/>
          <w:sz w:val="24"/>
        </w:rPr>
        <w:t xml:space="preserve">(including any letter of intent or purchase agreement with respect to such Investment or Disposition), or (B) consisting of an agreement to dispose of any property in a Disposition permitted under </w:t>
      </w:r>
      <w:r>
        <w:rPr>
          <w:rFonts w:ascii="Times New Roman" w:hAnsi="Times New Roman"/>
          <w:color w:val="000000"/>
          <w:sz w:val="24"/>
          <w:u w:val="single"/>
        </w:rPr>
        <w:t>Section 6.05</w:t>
      </w:r>
      <w:r>
        <w:rPr>
          <w:rFonts w:ascii="Times New Roman" w:hAnsi="Times New Roman"/>
          <w:color w:val="000000"/>
          <w:sz w:val="24"/>
        </w:rPr>
        <w:t>, in each case, solely to the extent such Investment or Disposition, as the case may be, would have been permitted on the date of the creation of such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 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Times New Roman" w:hAnsi="Times New Roman"/>
          <w:color w:val="000000"/>
          <w:sz w:val="24"/>
          <w:u w:val="single"/>
        </w:rPr>
        <w:t xml:space="preserve">provided </w:t>
      </w:r>
      <w:r>
        <w:rPr>
          <w:rFonts w:ascii="Times New Roman" w:hAnsi="Times New Roman"/>
          <w:color w:val="000000"/>
          <w:sz w:val="24"/>
        </w:rPr>
        <w:t>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w:t>
        <w:noBreakHyphen/>
        <w:t>acquired property subject to a Lien securing Indebtedness and other obligations incurred prior to such time and which Indebtedness and other obligations are permitted hereunder that require or include, pursuant to their terms at such time, a pledge of after</w:t>
        <w:noBreakHyphen/>
        <w:t>acquired property, and proceeds or products thereof and, in the case of multiple equipment financings provided by any lender, other equipment financed by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 Liens on cash, Permitted Investments or other marketable securities securing letters of credit or bank guarantees of any Loan Party that are permitted under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in an amount of cash, cash equivalents or other marketable securities with a fair market value of up to 105% of the face amount of such letters of credit being secured;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Liens arising out of conditional sale, title retention, consignment or similar arrangements for sale or purchase of goods by the Borrower or any of its Subsidiary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Liens deemed to exist in connection with Investments in repurchase agreements under clause (e) of the definition of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Liens that are contractual rights of setoff (A) relating to pooled deposit or sweep accounts to permit satisfaction of overdraft or similar obligations incurred in the ordinary course of business of Holdings, the Borrower and the Restricted Subsidiaries or (B) relating to purchase orders and other agreements entered into with customers of the Borrower or any of its Subsidiaries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 ground leases in respect of real property on which facilities owned or leased by the Borrower or any of its Subsidiaries are located;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 Liens on insurance policies and the proceeds thereof securing the financing of the premiums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(xix) Liens on the Collateral securing Indebtedness and other obligations permitted under </w:t>
      </w:r>
      <w:r>
        <w:rPr>
          <w:rFonts w:ascii="Times New Roman" w:hAnsi="Times New Roman"/>
          <w:color w:val="000000"/>
          <w:sz w:val="24"/>
          <w:u w:val="single"/>
        </w:rPr>
        <w:t>Section 6.01(a)(xxiii)</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that in all cases such Liens shall be subject to the applicable Intercreditor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 Settlement Liens;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(xxiii)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(xxiv) Liens on cash and Permitted Investments used to satisfy or discharge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satisfaction or discharge is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 Receipt of progress payments and advances from customers in the ordinary course of business to the extent the same creates a Lien on the related inventory and proceeds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(xxviii) other Liens that do not secure Indebtedness for borrowed money;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the granting thereof and after giving Pro Forma Effect thereto, the aggregate amount of obligations secured by all Liens incurred in reliance on this clause (xxviii) shall not exceed $1,000,000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such obligation, the amount of such obligation shall be the lesser of (x) the outstanding face amount of such obligation and (y) the fair market value of the assets securing such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 Liens on Escrowed Proceeds for the benefit of the related holders of debt securities or other Indebtedness (or the underwriters for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(xxxi) Liens of bailees arising as a matter of law or pursuant to the standard terms of agreement of such bailee in the ordinary course of business; </w:t>
      </w:r>
      <w:r>
        <w:rPr>
          <w:rFonts w:ascii="Times New Roman" w:hAnsi="Times New Roman"/>
          <w:color w:val="000000"/>
          <w:sz w:val="24"/>
          <w:u w:val="single"/>
        </w:rPr>
        <w:t xml:space="preserve">provided </w:t>
      </w:r>
      <w:r>
        <w:rPr>
          <w:rFonts w:ascii="Times New Roman" w:hAnsi="Times New Roman"/>
          <w:color w:val="000000"/>
          <w:sz w:val="24"/>
        </w:rPr>
        <w:t>that such Liens shall extend only to the assets subject to such bailment;</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 Liens securing obligations (other than obligations representing Indebtedness for borrowed money) under operating, reciprocal easement or similar agreements entered into in the ordinary course of business of the Borrower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(xxxiii) utility and similar deposits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(xxxiv)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 Liens in favor of the Borrower and its Subsidiaries arising in connection with Intercompany Services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 Liens on cash or Permitted Investments securing any Swap Agreement (or any obligations in respect of the clearing thereof) so long as the fair market value of the assets securing such Swap Agreement does not exceed the greater of (A) $1,500,000 and (B) 7.5% of Consolidated EBITDA for the Test Period then last ended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(xxxvii) without duplication of any other permitted Lien item under this </w:t>
      </w:r>
      <w:r>
        <w:rPr>
          <w:rFonts w:ascii="Times New Roman" w:hAnsi="Times New Roman"/>
          <w:color w:val="000000"/>
          <w:sz w:val="24"/>
          <w:u w:val="single"/>
        </w:rPr>
        <w:t>Section 6.02</w:t>
      </w:r>
      <w:r>
        <w:rPr>
          <w:rFonts w:ascii="Times New Roman" w:hAnsi="Times New Roman"/>
          <w:color w:val="000000"/>
          <w:sz w:val="24"/>
        </w:rPr>
        <w:t>, minor survey exceptions, minor encumbrances, ground leases, easements, or reservations of, or rights of others for, licenses, rights</w:t>
        <w:noBreakHyphen/>
        <w:t>of</w:t>
        <w:noBreakHyphen/>
        <w:t>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a Loan Party or to the ownership of its properties which were not incurred in connection with Indebtedness for borrowed money and which do not in the aggregate materially adversely affect the value of said properties or materially impair their use in the operation of the business of such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(xxxviii) restrictive covenants affecting the use to which real property may be put; </w:t>
      </w:r>
      <w:r>
        <w:rPr>
          <w:rFonts w:ascii="Times New Roman" w:hAnsi="Times New Roman"/>
          <w:color w:val="000000"/>
          <w:sz w:val="24"/>
          <w:u w:val="single"/>
        </w:rPr>
        <w:t xml:space="preserve">provided </w:t>
      </w:r>
      <w:r>
        <w:rPr>
          <w:rFonts w:ascii="Times New Roman" w:hAnsi="Times New Roman"/>
          <w:color w:val="000000"/>
          <w:sz w:val="24"/>
        </w:rPr>
        <w:t>that such covenants are complied with;</w:t>
      </w:r>
    </w:p>
    <w:p>
      <w:pPr>
        <w:pStyle w:val="TextBody"/>
        <w:bidi w:val="0"/>
        <w:spacing w:before="0" w:after="240"/>
        <w:jc w:val="both"/>
        <w:rPr>
          <w:rFonts w:ascii="Times New Roman" w:hAnsi="Times New Roman"/>
          <w:sz w:val="20"/>
        </w:rPr>
      </w:pPr>
      <w:r>
        <w:rPr>
          <w:rFonts w:ascii="Times New Roman" w:hAnsi="Times New Roman"/>
          <w:color w:val="000000"/>
          <w:sz w:val="24"/>
        </w:rPr>
        <w:t>(xxxix) zoning by</w:t>
        <w:noBreakHyphen/>
        <w:t>laws and other land use restrictions, including, without limitation, site plan agreements, development agreements and contract zoning agreements;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 any Lien resulting from the rules and regulations of any clearing system or stock exchange over shares and/or other securities held in that clearing system or stock exchange.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color w:val="000000"/>
          <w:sz w:val="24"/>
          <w:u w:val="single"/>
        </w:rPr>
        <w:t>Section 6.02</w:t>
      </w:r>
      <w:r>
        <w:rPr>
          <w:rFonts w:ascii="Times New Roman" w:hAnsi="Times New Roman"/>
          <w:color w:val="000000"/>
          <w:sz w:val="24"/>
        </w:rPr>
        <w:t xml:space="preserve">, in the event that any Lien (or any portion thereof) meets the criteria of more than one of the categories of Liens described in clauses (i) through (xl) above, the Borrower may, in its sole discretion, at the time of incurrence, divide, classify or reclassify, or at any later time divide, classify or reclassify, such Lien (or any portion thereof) and will only be required to include the amount and type of such Lien in one or more of the above clauses; </w:t>
      </w:r>
      <w:r>
        <w:rPr>
          <w:rFonts w:ascii="Times New Roman" w:hAnsi="Times New Roman"/>
          <w:color w:val="000000"/>
          <w:sz w:val="24"/>
          <w:u w:val="single"/>
        </w:rPr>
        <w:t xml:space="preserve">provided </w:t>
      </w:r>
      <w:r>
        <w:rPr>
          <w:rFonts w:ascii="Times New Roman" w:hAnsi="Times New Roman"/>
          <w:color w:val="000000"/>
          <w:sz w:val="24"/>
        </w:rPr>
        <w:t>that (x) all Liens created under the Loan Documents will be deemed to have been incurred in reliance only on the exception in clause (i) and (y) no such reclassification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will operate to waive any Event of Default that may have occurred with respect to any Lien that was not permitted to be incurred at the initial incurrence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6.03 </w:t>
      </w:r>
      <w:r>
        <w:rPr>
          <w:rFonts w:ascii="Times New Roman" w:hAnsi="Times New Roman"/>
          <w:b w:val="false"/>
          <w:color w:val="000000"/>
          <w:sz w:val="24"/>
          <w:u w:val="single"/>
        </w:rPr>
        <w:t>Fundamental Changes; Holdings Covenant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Holdings and 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Holdings, the Borrower or any Restricted Subsidiary from changing its organizational form), except 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any Restricted Subsidiary (other than the Borrower) may merge, amalgamate or consolidate with (A) the Borrower or Holdings; </w:t>
      </w:r>
      <w:r>
        <w:rPr>
          <w:rFonts w:ascii="Times New Roman" w:hAnsi="Times New Roman"/>
          <w:color w:val="000000"/>
          <w:sz w:val="24"/>
          <w:u w:val="single"/>
        </w:rPr>
        <w:t xml:space="preserve">provided </w:t>
      </w:r>
      <w:r>
        <w:rPr>
          <w:rFonts w:ascii="Times New Roman" w:hAnsi="Times New Roman"/>
          <w:color w:val="000000"/>
          <w:sz w:val="24"/>
        </w:rPr>
        <w:t xml:space="preserve">that the Borrower or Holdings shall be the continuing or surviving Person, or (B) any one or more Restricted Subsidiaries (other than the Borrower);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when any Subsidiary Loan Party is merging, amalgamating or consolidating with another Restricted Subsidiary (1) the continuing or surviving Person shall be a Subsidiary Loan Party or the Borrower or (2) if the continuing or surviving Person is not a Subsidiary Loan Party, the acquisition of such Subsidiary Loan Party by such surviving Restricted Subsidiary is otherwise permitted under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any Restricted Subsidiary that is not a Loan Party may merge, amalgamate or consolidate with or into any Restricted Subsidiary that is not a Loan Party, (B) (x) any Restricted Subsidiary that is not a Loan Party may liquidate or dissolve and (y) any Restricted Subsidiary may change its legal or organizational form if, in the case of either preceding clause (x) or (y), the Borrower determines in good faith that such action is in the best interests of Holdings and its Restricted Subsidiaries and is not materially disadvantageous to the Lenders and (C) any Loan Party (other than the Borrower) may liquidate or dissolve provided such Loan Party’s assets are first, or substantially concurrently with such dissolution, transferred to another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any Restricted Subsidiary (other than the Borrower) may make a Disposition of all or substantially all of its assets (upon voluntary liquidation or otherwise) to Holdings, the Borrower or another Restricted Subsidiary; </w:t>
      </w:r>
      <w:r>
        <w:rPr>
          <w:rFonts w:ascii="Times New Roman" w:hAnsi="Times New Roman"/>
          <w:color w:val="000000"/>
          <w:sz w:val="24"/>
          <w:u w:val="single"/>
        </w:rPr>
        <w:t xml:space="preserve">provided </w:t>
      </w:r>
      <w:r>
        <w:rPr>
          <w:rFonts w:ascii="Times New Roman" w:hAnsi="Times New Roman"/>
          <w:color w:val="000000"/>
          <w:sz w:val="24"/>
        </w:rPr>
        <w:t xml:space="preserve">that if the transferor in such a transaction is a Loan Party, then (A) the transferee must be a Loan Party, (B) to the extent constituting an Investment, such Investment is a permitted Investment in a Restricted Subsidiary that is not a Loan Party in accordance with </w:t>
      </w:r>
      <w:r>
        <w:rPr>
          <w:rFonts w:ascii="Times New Roman" w:hAnsi="Times New Roman"/>
          <w:color w:val="000000"/>
          <w:sz w:val="24"/>
          <w:u w:val="single"/>
        </w:rPr>
        <w:t>Section 6.04</w:t>
      </w:r>
      <w:r>
        <w:rPr>
          <w:rFonts w:ascii="Times New Roman" w:hAnsi="Times New Roman"/>
          <w:color w:val="000000"/>
          <w:sz w:val="20"/>
        </w:rPr>
        <w:t xml:space="preserve"> </w:t>
      </w:r>
      <w:r>
        <w:rPr>
          <w:rFonts w:ascii="Times New Roman" w:hAnsi="Times New Roman"/>
          <w:color w:val="000000"/>
          <w:sz w:val="24"/>
        </w:rPr>
        <w:t>or (C) to the extent constituting a Disposition to a Restricted Subsidiary that is not a Loan Party, such Disposition is for fair market value (as determined in good faith by the Borrower) and any promissory note or other non</w:t>
        <w:noBreakHyphen/>
        <w:t xml:space="preserve">cash consideration received in respect thereof is a permitted Investment in a Restricted Subsidiary that is not a Loan Party in accordance with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the Borrower may merge, amalgamate or consolidate with (or Dispose of all or substantially all of its assets to) any other Person; </w:t>
      </w:r>
      <w:r>
        <w:rPr>
          <w:rFonts w:ascii="Times New Roman" w:hAnsi="Times New Roman"/>
          <w:color w:val="000000"/>
          <w:sz w:val="24"/>
          <w:u w:val="single"/>
        </w:rPr>
        <w:t xml:space="preserve">provided </w:t>
      </w:r>
      <w:r>
        <w:rPr>
          <w:rFonts w:ascii="Times New Roman" w:hAnsi="Times New Roman"/>
          <w:color w:val="000000"/>
          <w:sz w:val="24"/>
        </w:rPr>
        <w:t>that (A) the Borrower shall be the continuing or surviving Person or (B) if the Person formed by or surviving any such merger, amalgamation or consolidation is not the Borrower or is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Person into which the Borrower has been liquidated (or, in connection with a Disposition of all or substantially all of the Borrower’s assets, if the transferee of such assets) (any such Person, the “</w:t>
      </w:r>
      <w:r>
        <w:rPr>
          <w:rFonts w:ascii="Times New Roman" w:hAnsi="Times New Roman"/>
          <w:color w:val="000000"/>
          <w:sz w:val="24"/>
          <w:u w:val="single"/>
        </w:rPr>
        <w:t>Successor Borrower</w:t>
      </w:r>
      <w:r>
        <w:rPr>
          <w:rFonts w:ascii="Times New Roman" w:hAnsi="Times New Roman"/>
          <w:color w:val="000000"/>
          <w:sz w:val="20"/>
        </w:rPr>
        <w:t>”</w:t>
      </w:r>
      <w:r>
        <w:rPr>
          <w:rFonts w:ascii="Times New Roman" w:hAnsi="Times New Roman"/>
          <w:color w:val="000000"/>
          <w:sz w:val="24"/>
        </w:rPr>
        <w:t xml:space="preserve">), (1) the Successor Borrower shall be an entity organized or existing under the laws of the United States (or any state thereof), (2) the Successor Borrower shall expressly assume all of the obligations of the Borrower under this Agreement and the other Loan Documents to which the Borrower is a party pursuant to a supplement hereto or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a certificate of a Responsible Officer of the Borrower stating that such merger, amalgamation or consolidation complies with this Agreement;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(y) if such Person is not a Loan Party, no Event of Default shall exist after giving effect to such merger, amalgamation or consolidation and (z) if the foregoing requirements are satisfied, the Successor Borrower will succeed to, and be substituted for, the Borrower under this Agreement and the other Loan Documents;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(a) the Borrower shall have provided any documentation and other information about the Successor Borrower to the extent reasonably requested in writing promptly, and in any case within three (3) Business Days following the delivery of the certificate in clause (4), by any Lender or Issuing Bank through the Administrative Agent, or by the Administrative Agent, that such Lender, Issuing Bank or Administrative Agent, as applicable, shall have reasonably determined is required by regulatory authorities under applicable “know your customer” and anti</w:t>
        <w:noBreakHyphen/>
        <w:t>money laundering rules and regulations, including Title III of the USA PATRIOT Act and (b) such Lender, Issuing Bank or Administrative Agent, as applicable, shall be reasonably satisfied that its review of such documentation and information requested and delivered pursuant to clause (a) complies with such applicable “know your customer” and anti</w:t>
        <w:noBreakHyphen/>
        <w:t>money laundering rules and regulations (</w:t>
      </w:r>
      <w:r>
        <w:rPr>
          <w:rFonts w:ascii="Times New Roman" w:hAnsi="Times New Roman"/>
          <w:color w:val="000000"/>
          <w:sz w:val="24"/>
          <w:u w:val="single"/>
        </w:rPr>
        <w:t xml:space="preserve">provided </w:t>
      </w:r>
      <w:r>
        <w:rPr>
          <w:rFonts w:ascii="Times New Roman" w:hAnsi="Times New Roman"/>
          <w:color w:val="000000"/>
          <w:sz w:val="24"/>
        </w:rPr>
        <w:t>that, for the avoidance of doubt, the Borrower’s failure to deliver information requested after the third Business Day following delivery of the certificate in clause (4) above shall not constitute a Default or an Event of Default under this Agreement or the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any Restricted Subsidiary (other than the Borrower) may merge, consolidate or amalgamate with any other Person in order to effect an Investment permitted pursuant to </w:t>
      </w:r>
      <w:r>
        <w:rPr>
          <w:rFonts w:ascii="Times New Roman" w:hAnsi="Times New Roman"/>
          <w:color w:val="000000"/>
          <w:sz w:val="24"/>
          <w:u w:val="single"/>
        </w:rPr>
        <w:t>Section 6.04</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the continuing or surviving Person shall be the Borrower or a Restricted Subsidiary, which together with each of the Restricted Subsidiaries, shall have complied with the requirements of </w:t>
      </w:r>
      <w:r>
        <w:rPr>
          <w:rFonts w:ascii="Times New Roman" w:hAnsi="Times New Roman"/>
          <w:color w:val="000000"/>
          <w:sz w:val="24"/>
          <w:u w:val="single"/>
        </w:rPr>
        <w:t>Sections 5.11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5.12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(vi) Holdings, the Borrower and the Restricted Subsidiaries may consummate the Transactions and any Permitted Reorganization;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any Restricted Subsidiary (other than the Borrower) may effect a merger, amalgamation, dissolution, liquidation consolidation or amalgamation to effect a Disposition permitted pursuant to </w:t>
      </w:r>
      <w:r>
        <w:rPr>
          <w:rFonts w:ascii="Times New Roman" w:hAnsi="Times New Roman"/>
          <w:color w:val="000000"/>
          <w:sz w:val="24"/>
          <w:u w:val="single"/>
        </w:rPr>
        <w:t>Section 6.05</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Holdings will not conduct, transact or otherwise engage in any business or operations other than (i) the ownership and/or acquisition of the Equity Interests or debt interests of the Borrower and any other Restricted Subsidiary, (ii) the maintenance of its legal existence, including the ability to incur fees, costs and expenses relating to such maintenance, (iii) participating in tax, accounting and other administrative matters, (iv) the performance of its obligations under and in connection with (x) the Loan Documents, (y) any documentation governing any other Indebtedness or Guarantee permitted hereunder and (z) any Permitted Reorganization,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not otherwise prohibited by this Agreement or any Investment in the Borrower or any other Person permitted under </w:t>
      </w:r>
      <w:r>
        <w:rPr>
          <w:rFonts w:ascii="Times New Roman" w:hAnsi="Times New Roman"/>
          <w:color w:val="000000"/>
          <w:sz w:val="24"/>
          <w:u w:val="single"/>
        </w:rPr>
        <w:t>Section 6.04</w:t>
      </w:r>
      <w:r>
        <w:rPr>
          <w:rFonts w:ascii="Times New Roman" w:hAnsi="Times New Roman"/>
          <w:color w:val="000000"/>
          <w:sz w:val="24"/>
        </w:rPr>
        <w:t xml:space="preserve">, (vii) the incurrence of any Indebtedness permitted under </w:t>
      </w:r>
      <w:r>
        <w:rPr>
          <w:rFonts w:ascii="Times New Roman" w:hAnsi="Times New Roman"/>
          <w:color w:val="000000"/>
          <w:sz w:val="24"/>
          <w:u w:val="single"/>
        </w:rPr>
        <w:t>Section 6.01</w:t>
      </w:r>
      <w:r>
        <w:rPr>
          <w:rFonts w:ascii="Times New Roman" w:hAnsi="Times New Roman"/>
          <w:color w:val="000000"/>
          <w:sz w:val="24"/>
        </w:rPr>
        <w:t xml:space="preserve">,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(ix) of this </w:t>
      </w:r>
      <w:r>
        <w:rPr>
          <w:rFonts w:ascii="Times New Roman" w:hAnsi="Times New Roman"/>
          <w:color w:val="000000"/>
          <w:sz w:val="24"/>
          <w:u w:val="single"/>
        </w:rPr>
        <w:t>Section 6.03(b)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Holdings, the Borrower and the Restricted Subsidiaries shall own directly, or indirectly, all of the Equity Interests of their Subsidiaries (other than as expressly permitted under </w:t>
      </w:r>
      <w:r>
        <w:rPr>
          <w:rFonts w:ascii="Times New Roman" w:hAnsi="Times New Roman"/>
          <w:color w:val="000000"/>
          <w:sz w:val="24"/>
          <w:u w:val="single"/>
        </w:rPr>
        <w:t>Section 6.05</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6.04 </w:t>
      </w:r>
      <w:r>
        <w:rPr>
          <w:rFonts w:ascii="Times New Roman" w:hAnsi="Times New Roman"/>
          <w:b w:val="false"/>
          <w:color w:val="000000"/>
          <w:sz w:val="24"/>
          <w:u w:val="single"/>
        </w:rPr>
        <w:t>Investments, Loans, Advances, Guarantees and Acquisitions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Holdings and the Borrower will not, and will not permit any Restricted Subsidiary to, make or hold any Investment,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Permitted Investments at the time such Permitted Investment is made and purchases of assets in the ordinary course of business consistent with past practice;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Investments by any Loan Party in another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Investments consisting of extensions of trade credit and accommodation guarantees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Investments existing or contemplated on the Effective Date and set forth on </w:t>
      </w:r>
      <w:r>
        <w:rPr>
          <w:rFonts w:ascii="Times New Roman" w:hAnsi="Times New Roman"/>
          <w:color w:val="000000"/>
          <w:sz w:val="24"/>
          <w:u w:val="single"/>
        </w:rPr>
        <w:t>Schedule 6.04</w:t>
      </w:r>
      <w:r>
        <w:rPr>
          <w:rFonts w:ascii="Times New Roman" w:hAnsi="Times New Roman"/>
          <w:color w:val="000000"/>
          <w:sz w:val="20"/>
        </w:rPr>
        <w:t xml:space="preserve"> </w:t>
      </w:r>
      <w:r>
        <w:rPr>
          <w:rFonts w:ascii="Times New Roman" w:hAnsi="Times New Roman"/>
          <w:color w:val="000000"/>
          <w:sz w:val="24"/>
        </w:rPr>
        <w:t xml:space="preserve">and any modification, replacement, renewal, reinvestment or extension thereof; </w:t>
      </w:r>
      <w:r>
        <w:rPr>
          <w:rFonts w:ascii="Times New Roman" w:hAnsi="Times New Roman"/>
          <w:color w:val="000000"/>
          <w:sz w:val="24"/>
          <w:u w:val="single"/>
        </w:rPr>
        <w:t xml:space="preserve">provided </w:t>
      </w:r>
      <w:r>
        <w:rPr>
          <w:rFonts w:ascii="Times New Roman" w:hAnsi="Times New Roman"/>
          <w:color w:val="000000"/>
          <w:sz w:val="24"/>
        </w:rPr>
        <w:t xml:space="preserve">that the amount of the original Investment is not increased except by the terms of such Investment to the extent as set forth on </w:t>
      </w:r>
      <w:r>
        <w:rPr>
          <w:rFonts w:ascii="Times New Roman" w:hAnsi="Times New Roman"/>
          <w:color w:val="000000"/>
          <w:sz w:val="24"/>
          <w:u w:val="single"/>
        </w:rPr>
        <w:t>Schedule 6.04</w:t>
      </w:r>
      <w:r>
        <w:rPr>
          <w:rFonts w:ascii="Times New Roman" w:hAnsi="Times New Roman"/>
          <w:color w:val="000000"/>
          <w:sz w:val="20"/>
        </w:rPr>
        <w:t xml:space="preserve"> </w:t>
      </w:r>
      <w:r>
        <w:rPr>
          <w:rFonts w:ascii="Times New Roman" w:hAnsi="Times New Roman"/>
          <w:color w:val="000000"/>
          <w:sz w:val="24"/>
        </w:rPr>
        <w:t xml:space="preserve">or as otherwise permitted by this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Investments in Swap Agreements incurred in the ordinary course of business for the sole purpose of hedging currency risks and interest rate risks and not for speculative purposes;</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Investments constituting Permitted Acquisitions;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Person acquired pursuant to such Permitted Acquisition is joined as a Loan Party within thirty (30) days of the consummation of the Permitted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Investments in the ordinary course of business consisting of Uniform Commercial Code Article 3 endorsements for collection or deposit and Uniform Commercial Code Article 4 customary trade arrangements with customers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additional Investments (other than Investments in or to (i) RemainCo, (ii) Non-Wholly Owned Subsidiaries, or (iii) joint ventures);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any such Investment is made, the aggregate outstanding amount of such Investment made in reliance on this clause (m), together with the aggregate amount of all consideration paid in connection with all other Investments and acquisitions made in reliance on this clause (m), shall not exceed $1,000,000;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advances of payroll payments to employees of the Borrower and its Restricted Subsidiaries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Investments of a Subsidiary acquired after the Effective Date or of a Person merged, amalgamated or consolidated with any Subsidiary in accordance with this </w:t>
      </w:r>
      <w:r>
        <w:rPr>
          <w:rFonts w:ascii="Times New Roman" w:hAnsi="Times New Roman"/>
          <w:color w:val="000000"/>
          <w:sz w:val="24"/>
          <w:u w:val="single"/>
        </w:rPr>
        <w:t>Section 6.04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6.03</w:t>
      </w:r>
      <w:r>
        <w:rPr>
          <w:rFonts w:ascii="Times New Roman" w:hAnsi="Times New Roman"/>
          <w:color w:val="000000"/>
          <w:sz w:val="20"/>
        </w:rPr>
        <w:t xml:space="preserve"> </w:t>
      </w:r>
      <w:r>
        <w:rPr>
          <w:rFonts w:ascii="Times New Roman" w:hAnsi="Times New Roman"/>
          <w:color w:val="000000"/>
          <w:sz w:val="24"/>
        </w:rPr>
        <w:t>after the Effective Date or that otherwise becomes a Subsidiary (</w:t>
      </w:r>
      <w:r>
        <w:rPr>
          <w:rFonts w:ascii="Times New Roman" w:hAnsi="Times New Roman"/>
          <w:color w:val="000000"/>
          <w:sz w:val="24"/>
          <w:u w:val="single"/>
        </w:rPr>
        <w:t xml:space="preserve">provided </w:t>
      </w:r>
      <w:r>
        <w:rPr>
          <w:rFonts w:ascii="Times New Roman" w:hAnsi="Times New Roman"/>
          <w:color w:val="000000"/>
          <w:sz w:val="24"/>
        </w:rPr>
        <w:t xml:space="preserve">that if such Investment is made under </w:t>
      </w:r>
      <w:r>
        <w:rPr>
          <w:rFonts w:ascii="Times New Roman" w:hAnsi="Times New Roman"/>
          <w:color w:val="000000"/>
          <w:sz w:val="24"/>
          <w:u w:val="single"/>
        </w:rPr>
        <w:t>Section 6.04(h)</w:t>
      </w:r>
      <w:r>
        <w:rPr>
          <w:rFonts w:ascii="Times New Roman" w:hAnsi="Times New Roman"/>
          <w:color w:val="000000"/>
          <w:sz w:val="24"/>
        </w:rPr>
        <w:t xml:space="preserve">, existing Investments in subsidiaries of such Subsidiary or Person shall comply with the requirements of </w:t>
      </w:r>
      <w:r>
        <w:rPr>
          <w:rFonts w:ascii="Times New Roman" w:hAnsi="Times New Roman"/>
          <w:color w:val="000000"/>
          <w:sz w:val="24"/>
          <w:u w:val="single"/>
        </w:rPr>
        <w:t>Section 6.04(h)</w:t>
      </w:r>
      <w:r>
        <w:rPr>
          <w:rFonts w:ascii="Times New Roman" w:hAnsi="Times New Roman"/>
          <w:color w:val="000000"/>
          <w:sz w:val="24"/>
        </w:rPr>
        <w:t>)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receivables owing to Holdings, the Borrower or any Restricted Subsidiary, if created or acquired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Investments (A) for utilities, security deposits, leases and similar prepaid expenses incurred in the ordinary course of business and (B) trade accounts created, or prepaid expenses accrued,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any Permitted Reorganization and any Investments in connection therewith;</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 Investments consisting of Indebtedness, Liens, fundamental changes, Dispositions and Restricted Payments permitted (other than by reference to this </w:t>
      </w:r>
      <w:r>
        <w:rPr>
          <w:rFonts w:ascii="Times New Roman" w:hAnsi="Times New Roman"/>
          <w:color w:val="000000"/>
          <w:sz w:val="24"/>
          <w:u w:val="single"/>
        </w:rPr>
        <w:t>Section 6.04(u)</w:t>
      </w:r>
      <w:r>
        <w:rPr>
          <w:rFonts w:ascii="Times New Roman" w:hAnsi="Times New Roman"/>
          <w:color w:val="000000"/>
          <w:sz w:val="24"/>
        </w:rPr>
        <w:t xml:space="preserve">) under </w:t>
      </w:r>
      <w:r>
        <w:rPr>
          <w:rFonts w:ascii="Times New Roman" w:hAnsi="Times New Roman"/>
          <w:color w:val="000000"/>
          <w:sz w:val="24"/>
          <w:u w:val="single"/>
        </w:rPr>
        <w:t>Sections 6.01</w:t>
      </w:r>
      <w:r>
        <w:rPr>
          <w:rFonts w:ascii="Times New Roman" w:hAnsi="Times New Roman"/>
          <w:color w:val="000000"/>
          <w:sz w:val="24"/>
        </w:rPr>
        <w:t xml:space="preserve">, </w:t>
      </w:r>
      <w:r>
        <w:rPr>
          <w:rFonts w:ascii="Times New Roman" w:hAnsi="Times New Roman"/>
          <w:color w:val="000000"/>
          <w:sz w:val="24"/>
          <w:u w:val="single"/>
        </w:rPr>
        <w:t>6.02</w:t>
      </w:r>
      <w:r>
        <w:rPr>
          <w:rFonts w:ascii="Times New Roman" w:hAnsi="Times New Roman"/>
          <w:color w:val="000000"/>
          <w:sz w:val="24"/>
        </w:rPr>
        <w:t xml:space="preserve">, </w:t>
      </w:r>
      <w:r>
        <w:rPr>
          <w:rFonts w:ascii="Times New Roman" w:hAnsi="Times New Roman"/>
          <w:color w:val="000000"/>
          <w:sz w:val="24"/>
          <w:u w:val="single"/>
        </w:rPr>
        <w:t>6.03</w:t>
      </w:r>
      <w:r>
        <w:rPr>
          <w:rFonts w:ascii="Times New Roman" w:hAnsi="Times New Roman"/>
          <w:color w:val="000000"/>
          <w:sz w:val="24"/>
        </w:rPr>
        <w:t xml:space="preserve">, </w:t>
      </w:r>
      <w:r>
        <w:rPr>
          <w:rFonts w:ascii="Times New Roman" w:hAnsi="Times New Roman"/>
          <w:color w:val="000000"/>
          <w:sz w:val="24"/>
          <w:u w:val="single"/>
        </w:rPr>
        <w:t>6.05</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6.05(e)(ii)</w:t>
      </w:r>
      <w:r>
        <w:rPr>
          <w:rFonts w:ascii="Times New Roman" w:hAnsi="Times New Roman"/>
          <w:color w:val="000000"/>
          <w:sz w:val="24"/>
        </w:rPr>
        <w:t xml:space="preserve">) and </w:t>
      </w:r>
      <w:r>
        <w:rPr>
          <w:rFonts w:ascii="Times New Roman" w:hAnsi="Times New Roman"/>
          <w:color w:val="000000"/>
          <w:sz w:val="24"/>
          <w:u w:val="single"/>
        </w:rPr>
        <w:t>6.07</w:t>
      </w:r>
      <w:r>
        <w:rPr>
          <w:rFonts w:ascii="Times New Roman" w:hAnsi="Times New Roman"/>
          <w:color w:val="000000"/>
          <w:sz w:val="24"/>
        </w:rPr>
        <w:t>, respectively;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contributions to a “rabbi” trust for the benefit of employees, directors, consultants, independent contractors or other service providers or other grantor trust subject to claims of creditors in the case of a bankruptcy of Holdings or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Investment in any Restricted Subsidiary in connection with intercompany cash management arrangements or related activities, in each case, arising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 Investments in the ordinary course of business in connection with Settlements;</w:t>
      </w:r>
    </w:p>
    <w:p>
      <w:pPr>
        <w:pStyle w:val="TextBody"/>
        <w:bidi w:val="0"/>
        <w:spacing w:before="0" w:after="240"/>
        <w:jc w:val="both"/>
        <w:rPr>
          <w:rFonts w:ascii="Times New Roman" w:hAnsi="Times New Roman"/>
          <w:sz w:val="20"/>
        </w:rPr>
      </w:pPr>
      <w:r>
        <w:rPr>
          <w:rFonts w:ascii="Times New Roman" w:hAnsi="Times New Roman"/>
          <w:color w:val="000000"/>
          <w:sz w:val="24"/>
        </w:rPr>
        <w:t>(bb)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(cc) Investments to RemainCo in an amount not to exceed $10,000,000 (or $15,000,000 if, immediately prior and on a Pro Forma Basis, the Total Net Leverage Ratio is no greater than 1.50 to 1.00) in any twelve (12) consecutive-month period (when taken together with any Restricted Payments made pursuant to </w:t>
      </w:r>
      <w:r>
        <w:rPr>
          <w:rFonts w:ascii="Times New Roman" w:hAnsi="Times New Roman"/>
          <w:color w:val="000000"/>
          <w:sz w:val="24"/>
          <w:u w:val="single"/>
        </w:rPr>
        <w:t>Section 6.07(a)(xix)</w:t>
      </w:r>
      <w:r>
        <w:rPr>
          <w:rFonts w:ascii="Times New Roman" w:hAnsi="Times New Roman"/>
          <w:color w:val="000000"/>
          <w:sz w:val="24"/>
        </w:rPr>
        <w:t>), so long as (1) no Default or Event of Default shall have occurred and be continuing at the time of the declaration of such Investment or would result therefrom and (2) immediately prior and on a Pro Forma Basis, the Total Net Leverage Ratio is no greater than 3.00 to 1.00 for the most recently ended Test Period as of such time;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 asset purchases (including purchases of inventory, supplies and materials) and the granting of non</w:t>
        <w:noBreakHyphen/>
        <w:t>exclusive licenses of Intellectual Property pursuant to joint marketing arrangements with other Persons,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 Investments in connection with Intercompany Services Agreements;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(gg) Investments consisting of cash earnest money deposits permitted pursuant to </w:t>
      </w:r>
      <w:r>
        <w:rPr>
          <w:rFonts w:ascii="Times New Roman" w:hAnsi="Times New Roman"/>
          <w:color w:val="000000"/>
          <w:sz w:val="24"/>
          <w:u w:val="single"/>
        </w:rPr>
        <w:t>Section 6.04</w:t>
      </w:r>
      <w:r>
        <w:rPr>
          <w:rFonts w:ascii="Times New Roman" w:hAnsi="Times New Roman"/>
          <w:color w:val="000000"/>
          <w:sz w:val="24"/>
        </w:rPr>
        <w:t xml:space="preserve">, or otherwise in connection with any escrow arrangements with respect to any such Investment or any Disposition permitted under </w:t>
      </w:r>
      <w:r>
        <w:rPr>
          <w:rFonts w:ascii="Times New Roman" w:hAnsi="Times New Roman"/>
          <w:color w:val="000000"/>
          <w:sz w:val="24"/>
          <w:u w:val="single"/>
        </w:rPr>
        <w:t>Section 6.05</w:t>
      </w:r>
      <w:r>
        <w:rPr>
          <w:rFonts w:ascii="Times New Roman" w:hAnsi="Times New Roman"/>
          <w:color w:val="000000"/>
          <w:sz w:val="20"/>
        </w:rPr>
        <w:t xml:space="preserve"> </w:t>
      </w:r>
      <w:r>
        <w:rPr>
          <w:rFonts w:ascii="Times New Roman" w:hAnsi="Times New Roman"/>
          <w:color w:val="000000"/>
          <w:sz w:val="24"/>
        </w:rPr>
        <w:t>(including any letter of intent or purchase agreement with respect to such Investment or Disposition);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 to the extent that the exchange of cash by the Borrower or any other Restricted Subsidiary for the provision of services in the ordinary course of business by a Restricted Subsidiary constitutes an Investment, the payment for such provision of services or provision of such services;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Investments to RemainCo consisting of, or made pursuant to, the RemainCo Intercompany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color w:val="000000"/>
          <w:sz w:val="24"/>
          <w:u w:val="single"/>
        </w:rPr>
        <w:t>Section 6.04</w:t>
      </w:r>
      <w:r>
        <w:rPr>
          <w:rFonts w:ascii="Times New Roman" w:hAnsi="Times New Roman"/>
          <w:color w:val="000000"/>
          <w:sz w:val="24"/>
        </w:rPr>
        <w:t xml:space="preserve">, in the event that an Investment (or any portion thereof) meets the criteria of more than one of the categories of Investments described in clauses (a) through (hh) above, the Borrower may, in its sole discretion, at the time of incurrence, divide, classify or reclassify, or at any later time divide, classify or reclassify, such Investment (or any portion thereof) and will only be required to include the amount and type of such Investment in one or more of the above clauses;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Investments made in reliance on clauses (cc) and (ii) may be reclassified between such clauses (or may be deemed to have been a Restricted Payment made in reliance on </w:t>
      </w:r>
      <w:r>
        <w:rPr>
          <w:rFonts w:ascii="Times New Roman" w:hAnsi="Times New Roman"/>
          <w:color w:val="000000"/>
          <w:sz w:val="24"/>
          <w:u w:val="single"/>
        </w:rPr>
        <w:t>Section 6.07(a)(xix)</w:t>
      </w:r>
      <w:r>
        <w:rPr>
          <w:rFonts w:ascii="Times New Roman" w:hAnsi="Times New Roman"/>
          <w:color w:val="000000"/>
          <w:sz w:val="24"/>
        </w:rPr>
        <w:t xml:space="preserve">) if the RemainCo Intercompany Loan is fully funded immediately prior to such Investment and on a Pro Forma Basis after giving effect to such Investment,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no such reclassification will operate to waive any Event of Default that may have occurred with respect to any Investment that was not permitted to be made at the initial making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6.05 </w:t>
      </w:r>
      <w:r>
        <w:rPr>
          <w:rFonts w:ascii="Times New Roman" w:hAnsi="Times New Roman"/>
          <w:b w:val="false"/>
          <w:color w:val="000000"/>
          <w:sz w:val="24"/>
          <w:u w:val="single"/>
        </w:rPr>
        <w:t>Asset Sales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Holdings and the Borrower will not, and will not permit any Restricted Subsidiary to, (i)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any Restricted Subsidiary in compliance with </w:t>
      </w:r>
      <w:r>
        <w:rPr>
          <w:rFonts w:ascii="Times New Roman" w:hAnsi="Times New Roman"/>
          <w:color w:val="000000"/>
          <w:sz w:val="24"/>
          <w:u w:val="single"/>
        </w:rPr>
        <w:t>Section 6.04(c)</w:t>
      </w:r>
      <w:r>
        <w:rPr>
          <w:rFonts w:ascii="Times New Roman" w:hAnsi="Times New Roman"/>
          <w:color w:val="000000"/>
          <w:sz w:val="24"/>
        </w:rPr>
        <w:t>) (each, a “</w:t>
      </w:r>
      <w:r>
        <w:rPr>
          <w:rFonts w:ascii="Times New Roman" w:hAnsi="Times New Roman"/>
          <w:color w:val="000000"/>
          <w:sz w:val="24"/>
          <w:u w:val="single"/>
        </w:rPr>
        <w:t>Disposition</w:t>
      </w:r>
      <w:r>
        <w:rPr>
          <w:rFonts w:ascii="Times New Roman" w:hAnsi="Times New Roman"/>
          <w:color w:val="000000"/>
          <w:sz w:val="20"/>
        </w:rPr>
        <w:t xml:space="preserve">” </w:t>
      </w:r>
      <w:r>
        <w:rPr>
          <w:rFonts w:ascii="Times New Roman" w:hAnsi="Times New Roman"/>
          <w:color w:val="000000"/>
          <w:sz w:val="24"/>
        </w:rPr>
        <w:t>and the term “</w:t>
      </w:r>
      <w:r>
        <w:rPr>
          <w:rFonts w:ascii="Times New Roman" w:hAnsi="Times New Roman"/>
          <w:color w:val="000000"/>
          <w:sz w:val="24"/>
          <w:u w:val="single"/>
        </w:rPr>
        <w:t>Dispose</w:t>
      </w:r>
      <w:r>
        <w:rPr>
          <w:rFonts w:ascii="Times New Roman" w:hAnsi="Times New Roman"/>
          <w:color w:val="000000"/>
          <w:sz w:val="20"/>
        </w:rPr>
        <w:t xml:space="preserve">” </w:t>
      </w:r>
      <w:r>
        <w:rPr>
          <w:rFonts w:ascii="Times New Roman" w:hAnsi="Times New Roman"/>
          <w:color w:val="000000"/>
          <w:sz w:val="24"/>
        </w:rPr>
        <w:t>as a verb has the corresponding meaning), except: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Dispositions of obsolete, damaged, used, surplus or worn out property, whether now owned or hereafter acquired, in the ordinary course of business and Dispositions of property no longer used or useful, or economically practicable or commercially desirable to maintain, in the conduct of the business of Holdings and any Restricted Subsidiary (including by ceasing to enforce or allowing the lapse, abandonment or invalidation of or discontinuing the use or maintenance of or putting into the public domain any Intellectual Property that is, in the reasonable judgment of Holdings, the Borrower or the Restricted Subsidiaries, no longer used or useful, or economically practicable or commercially desirable to maintain, or in respect of which Holdings, the Borrower or any Restricted Subsidiary determines in its reasonable business judgment that such action or inaction is desirable);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this clause (a) may not be used to Dispose of any Material Property or any material portion of any business line, unit or division or product line (including research and development and related assets in respect of any product);</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Dispositions (including discounts) of inventory and other assets (including Settlement Assets and notes receivable) in the ordinary course of business and immaterial assets (considered in the aggregate)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Dispositions of property in the ordinary course of business to the extent that (i) such property is exchanged for credit against the purchase price of similar replacement property (or a functional equivalent of such property) or (ii) an amount equal to Net Proceeds of such Disposition are promptly applied to the purchase price of such replacement property (or a functional equivalent of such property);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Dispositions of property to Holdings, the Borrower or any Restricted Subsidiary; </w:t>
      </w:r>
      <w:r>
        <w:rPr>
          <w:rFonts w:ascii="Times New Roman" w:hAnsi="Times New Roman"/>
          <w:color w:val="000000"/>
          <w:sz w:val="24"/>
          <w:u w:val="single"/>
        </w:rPr>
        <w:t xml:space="preserve">provided </w:t>
      </w:r>
      <w:r>
        <w:rPr>
          <w:rFonts w:ascii="Times New Roman" w:hAnsi="Times New Roman"/>
          <w:color w:val="000000"/>
          <w:sz w:val="24"/>
        </w:rPr>
        <w:t>that if the transferor in such a transaction is a Loan Party, then the transferee must be a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To the extent constituting Dispositions, transactions permitted by (i) </w:t>
      </w:r>
      <w:r>
        <w:rPr>
          <w:rFonts w:ascii="Times New Roman" w:hAnsi="Times New Roman"/>
          <w:color w:val="000000"/>
          <w:sz w:val="24"/>
          <w:u w:val="single"/>
        </w:rPr>
        <w:t>Section 6.03</w:t>
      </w:r>
      <w:r>
        <w:rPr>
          <w:rFonts w:ascii="Times New Roman" w:hAnsi="Times New Roman"/>
          <w:color w:val="000000"/>
          <w:sz w:val="24"/>
        </w:rPr>
        <w:t xml:space="preserve">, (ii) </w:t>
      </w:r>
      <w:r>
        <w:rPr>
          <w:rFonts w:ascii="Times New Roman" w:hAnsi="Times New Roman"/>
          <w:color w:val="000000"/>
          <w:sz w:val="24"/>
          <w:u w:val="single"/>
        </w:rPr>
        <w:t>Section 6.04</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6.04(u)</w:t>
      </w:r>
      <w:r>
        <w:rPr>
          <w:rFonts w:ascii="Times New Roman" w:hAnsi="Times New Roman"/>
          <w:color w:val="000000"/>
          <w:sz w:val="24"/>
        </w:rPr>
        <w:t xml:space="preserve">), (iii) </w:t>
      </w:r>
      <w:r>
        <w:rPr>
          <w:rFonts w:ascii="Times New Roman" w:hAnsi="Times New Roman"/>
          <w:color w:val="000000"/>
          <w:sz w:val="24"/>
          <w:u w:val="single"/>
        </w:rPr>
        <w:t>Section 6.07</w:t>
      </w:r>
      <w:r>
        <w:rPr>
          <w:rFonts w:ascii="Times New Roman" w:hAnsi="Times New Roman"/>
          <w:color w:val="000000"/>
          <w:sz w:val="20"/>
        </w:rPr>
        <w:t xml:space="preserve"> </w:t>
      </w:r>
      <w:r>
        <w:rPr>
          <w:rFonts w:ascii="Times New Roman" w:hAnsi="Times New Roman"/>
          <w:color w:val="000000"/>
          <w:sz w:val="24"/>
        </w:rPr>
        <w:t xml:space="preserve">and (iv)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Dispositions of property acquired by Holdings, the Borrower or any of the Restricted Subsidiaries after the Original Closing Date pursuant to sale</w:t>
        <w:noBreakHyphen/>
        <w:t>leaseback transactions in an aggregate amount not to exceed $1,000,000;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Dispositions or forgiveness of accounts receivable in connection with the collection or compromise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Leases, subleases, service agreements, product sales, transfers, non-exclusive licenses or non-exclusive sublicenses (including transfers and non-exclusive licenses or non-exclusive sublicenses of Intellectual Property), in each case that do not materially interfere with the business of Holdings, the Borrower and the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transfers of property subject to Casualty Events;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Dispositions of property to Persons other than Restricted Subsidiaries in the ordinary course of business for fair market value (as determined by a Responsible Officer of the Borrower in good faith) not otherwise permitted under this </w:t>
      </w:r>
      <w:r>
        <w:rPr>
          <w:rFonts w:ascii="Times New Roman" w:hAnsi="Times New Roman"/>
          <w:color w:val="000000"/>
          <w:sz w:val="24"/>
          <w:u w:val="single"/>
        </w:rPr>
        <w:t>Section 6.05</w:t>
      </w:r>
      <w:r>
        <w:rPr>
          <w:rFonts w:ascii="Times New Roman" w:hAnsi="Times New Roman"/>
          <w:color w:val="000000"/>
          <w:sz w:val="20"/>
        </w:rPr>
        <w:t xml:space="preserve"> </w:t>
      </w:r>
      <w:r>
        <w:rPr>
          <w:rFonts w:ascii="Times New Roman" w:hAnsi="Times New Roman"/>
          <w:color w:val="000000"/>
          <w:sz w:val="24"/>
        </w:rPr>
        <w:t xml:space="preserve">(other than a Disposition of all or substantially all assets of Holdings and the Restricted Subsidiaries); </w:t>
      </w:r>
      <w:r>
        <w:rPr>
          <w:rFonts w:ascii="Times New Roman" w:hAnsi="Times New Roman"/>
          <w:color w:val="000000"/>
          <w:sz w:val="24"/>
          <w:u w:val="single"/>
        </w:rPr>
        <w:t xml:space="preserve">provided </w:t>
      </w:r>
      <w:r>
        <w:rPr>
          <w:rFonts w:ascii="Times New Roman" w:hAnsi="Times New Roman"/>
          <w:color w:val="000000"/>
          <w:sz w:val="24"/>
        </w:rPr>
        <w:t>that (i) with respect to any Disposition pursuant to this clause (k), Holdings, the Borrower or such Restricted Subsidiaries shall receive not less than 75% of such consideration in the form of cash and (ii) at the time of the execution of a binding agreement in respect of and immediately after giving effect to such Disposition, no Default or Event of Default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[reserved];</w:t>
      </w:r>
    </w:p>
    <w:p>
      <w:pPr>
        <w:pStyle w:val="TextBody"/>
        <w:bidi w:val="0"/>
        <w:spacing w:before="0" w:after="240"/>
        <w:jc w:val="both"/>
        <w:rPr>
          <w:rFonts w:ascii="Times New Roman" w:hAnsi="Times New Roman"/>
          <w:sz w:val="20"/>
        </w:rPr>
      </w:pPr>
      <w:r>
        <w:rPr>
          <w:rFonts w:ascii="Times New Roman" w:hAnsi="Times New Roman"/>
          <w:color w:val="000000"/>
          <w:sz w:val="24"/>
        </w:rPr>
        <w:t>(n) Dispositions of any assets (A) acquired in connection with any Permitted Acquisition or other Investment not prohibited hereunder, which assets are not used or useful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core or principal business of Holdings, the Borrower and the Restricted Subsidiaries; </w:t>
      </w:r>
      <w:r>
        <w:rPr>
          <w:rFonts w:ascii="Times New Roman" w:hAnsi="Times New Roman"/>
          <w:color w:val="000000"/>
          <w:sz w:val="24"/>
          <w:u w:val="single"/>
        </w:rPr>
        <w:t xml:space="preserve">provided </w:t>
      </w:r>
      <w:r>
        <w:rPr>
          <w:rFonts w:ascii="Times New Roman" w:hAnsi="Times New Roman"/>
          <w:color w:val="000000"/>
          <w:sz w:val="24"/>
        </w:rPr>
        <w:t>that the fair market value of such assets shall not exceed the consideration paid in such Permitted Acquisition or Investment or (B) made to obtain the approval of any applicable antitrust authority in connection with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the conversion of accounts receivable to notes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Dispositions constituting any part of a Permitted Reorganization;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any swap of assets in exchange for services or other assets in the ordinary course of business of comparable or greater fair market value of usefulness to the business of Holdings and its Restricted Subsidiaries, taken as a whole, as determined in good faith by the Borrower; </w:t>
      </w:r>
      <w:r>
        <w:rPr>
          <w:rFonts w:ascii="Times New Roman" w:hAnsi="Times New Roman"/>
          <w:color w:val="000000"/>
          <w:sz w:val="24"/>
          <w:u w:val="single"/>
        </w:rPr>
        <w:t xml:space="preserve">provided </w:t>
      </w:r>
      <w:r>
        <w:rPr>
          <w:rFonts w:ascii="Times New Roman" w:hAnsi="Times New Roman"/>
          <w:color w:val="000000"/>
          <w:sz w:val="24"/>
        </w:rPr>
        <w:t>that all assets constituting Collateral that are exchanged pursuant to this clause (s) shall be replaced with assets consisting of Collateral having the same fair market value (as determined in good faith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samples, including time</w:t>
        <w:noBreakHyphen/>
        <w:t>limited evaluation software, provided to customers or prospective customers;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 xml:space="preserve">de minimis </w:t>
      </w:r>
      <w:r>
        <w:rPr>
          <w:rFonts w:ascii="Times New Roman" w:hAnsi="Times New Roman"/>
          <w:color w:val="000000"/>
          <w:sz w:val="24"/>
        </w:rPr>
        <w:t>amounts of equipment or other assets provided to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the unwinding of any Cash Management Obligations or Swap Agreement pursuant to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sales, transfers, leases or other dispositions to or by Holdings or a Restricted Subsidiary pursuant to Intercompany Services Agreements;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the Borrower and any Restricted Subsidiary may (i) terminate or otherwise collapse its cost sharing agreements with the Borrower or any Restricted Subsidiary or any Intercompany Services Agreement (as in effect on the Effective Date) and settle any crossing payments in connection therewith, (ii) convert any intercompany Indebtedness to Equity Interests, (iii) transfer any intercompany Indebtedness to the Borrower or any Restricted Subsidiary, (iv) settle, discount, write off, forgive or cancel any intercompany Indebtedness or other obligation owing by the Borrower or any Restricted Subsidiary, (v) settle, discount, write off, forgive or cancel any Indebtedness owing by any present or former consultants, directors, officers or employees, the Borrower or any Restricted Subsidiary or any of their successors or assigns or (vi) surrender or waive contractual rights and settle or waive contractual or litigation claims.</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6.06 </w:t>
      </w:r>
      <w:r>
        <w:rPr>
          <w:rFonts w:ascii="Times New Roman" w:hAnsi="Times New Roman"/>
          <w:b w:val="false"/>
          <w:color w:val="000000"/>
          <w:sz w:val="24"/>
          <w:u w:val="single"/>
        </w:rPr>
        <w:t>Material Property</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No member of the Vegas Group shall sell, transfer or otherwise dispose of (i) any Material Property or (ii) any Equity Interests in a Subsidiary that owns or leases Material Property that has the effect of a sale, transfer, or other disposition of Material Property (whether pursuant to a sale, lease, license, transfer, investment, restricted payment, dividend or otherwise or relating to the exclusive rights thereto) to any Person that is either (x) a Subsidiary that is not a Loan Party or (y) an Affiliate (other than a Loan Party) of the Borrower, other than the grant of a non-exclusive license of Intellectual Property to any Subsidiary in the ordinary course of business for a bona fide business purpose;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 member of the Vegas Group shall own or hold any Material Property or hold an exclusive license to any Material Property other than a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this </w:t>
      </w:r>
      <w:r>
        <w:rPr>
          <w:rFonts w:ascii="Times New Roman" w:hAnsi="Times New Roman"/>
          <w:color w:val="000000"/>
          <w:sz w:val="24"/>
          <w:u w:val="single"/>
        </w:rPr>
        <w:t>Section 6.06(b)</w:t>
      </w:r>
      <w:r>
        <w:rPr>
          <w:rFonts w:ascii="Times New Roman" w:hAnsi="Times New Roman"/>
          <w:color w:val="000000"/>
          <w:sz w:val="20"/>
        </w:rPr>
        <w:t xml:space="preserve"> </w:t>
      </w:r>
      <w:r>
        <w:rPr>
          <w:rFonts w:ascii="Times New Roman" w:hAnsi="Times New Roman"/>
          <w:color w:val="000000"/>
          <w:sz w:val="24"/>
        </w:rPr>
        <w:t>shall not apply to any Restricted Subsidiary that is acquired after the Effective Date so long as such Restricted Subsidiary becomes a Loan Party within five (5) Business Days after the date of the acquisition of such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herein to the contrary, this </w:t>
      </w:r>
      <w:r>
        <w:rPr>
          <w:rFonts w:ascii="Times New Roman" w:hAnsi="Times New Roman"/>
          <w:color w:val="000000"/>
          <w:sz w:val="24"/>
          <w:u w:val="single"/>
        </w:rPr>
        <w:t>Section 6.06</w:t>
      </w:r>
      <w:r>
        <w:rPr>
          <w:rFonts w:ascii="Times New Roman" w:hAnsi="Times New Roman"/>
          <w:color w:val="000000"/>
          <w:sz w:val="20"/>
        </w:rPr>
        <w:t xml:space="preserve"> </w:t>
      </w:r>
      <w:r>
        <w:rPr>
          <w:rFonts w:ascii="Times New Roman" w:hAnsi="Times New Roman"/>
          <w:color w:val="000000"/>
          <w:sz w:val="24"/>
        </w:rPr>
        <w:t>shall not prohibit the transfer or other disposition of cash pursuant to a transaction (including an Investment or Restricted Payment) that is otherwise permitted under this Agreement.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6.07 </w:t>
      </w:r>
      <w:r>
        <w:rPr>
          <w:rFonts w:ascii="Times New Roman" w:hAnsi="Times New Roman"/>
          <w:b w:val="false"/>
          <w:color w:val="000000"/>
          <w:sz w:val="24"/>
          <w:u w:val="single"/>
        </w:rPr>
        <w:t>Restricted Payments; Certain Payments of Indebtedness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 will not, and will not permit any Restricted Subsidiary to, declare or make any Restricted Payment, except: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each Restricted Subsidiary may make Restricted Payments to the Borrower or any Restricted Subsidiary, </w:t>
      </w:r>
      <w:r>
        <w:rPr>
          <w:rFonts w:ascii="Times New Roman" w:hAnsi="Times New Roman"/>
          <w:color w:val="000000"/>
          <w:sz w:val="24"/>
          <w:u w:val="single"/>
        </w:rPr>
        <w:t xml:space="preserve">provided </w:t>
      </w:r>
      <w:r>
        <w:rPr>
          <w:rFonts w:ascii="Times New Roman" w:hAnsi="Times New Roman"/>
          <w:color w:val="000000"/>
          <w:sz w:val="24"/>
        </w:rPr>
        <w:t>that, in the case of any such Restricted Payment by a Restricted Subsidiary that is not a Wholly Owned Subsidiary, such Restricted Payment is made to the Borrower, any Restricted Subsidiary and to each other owner of Equity Interests of such Restricted Subsidiary pro rata based on their relative ownership interests of the relevant class of Equity Interests;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Borrower and each Restricted Subsidiary may declare and make dividend payments or other distributions payable solely in the Equity Interests of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Restricted Payments made to consummate the Transactions and Restricted Payments constituting any part of a Permitted Reorganization;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repurchases of Equity Interests in any Holdings Parent, Holdings,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pStyle w:val="TextBody"/>
        <w:bidi w:val="0"/>
        <w:spacing w:before="0" w:after="240"/>
        <w:jc w:val="both"/>
        <w:rPr>
          <w:rFonts w:ascii="Times New Roman" w:hAnsi="Times New Roman"/>
          <w:sz w:val="20"/>
        </w:rPr>
      </w:pPr>
      <w:r>
        <w:rPr>
          <w:rFonts w:ascii="Times New Roman" w:hAnsi="Times New Roman"/>
          <w:color w:val="000000"/>
          <w:sz w:val="24"/>
        </w:rPr>
        <w:t>(v) Restricted Payments to Holdings or any Holdings Parent, which Holdings or such Holdings Parent may use, in the ordinary course of business, to redeem,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acquire, retire, repurchase or settle its Equity Interests (or any options, warrants, restricted stock or stock appreciation rights or similar securities issued with respect to any such Equity Interests) or Indebtedness or to service Indebtedness incurred by Holdings or a Holdings Parent to finance the redemption, acquisition, retirement, repurchase or settlement of such Equity Interest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a Holdings Parent, Holdings, the Borrower and the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any Holdings Parent made pursuant to </w:t>
      </w:r>
      <w:r>
        <w:rPr>
          <w:rFonts w:ascii="Times New Roman" w:hAnsi="Times New Roman"/>
          <w:color w:val="000000"/>
          <w:sz w:val="24"/>
          <w:u w:val="single"/>
        </w:rPr>
        <w:t>Section 6.04(l)</w:t>
      </w:r>
      <w:r>
        <w:rPr>
          <w:rFonts w:ascii="Times New Roman" w:hAnsi="Times New Roman"/>
          <w:color w:val="000000"/>
          <w:sz w:val="20"/>
        </w:rPr>
        <w:t xml:space="preserve"> </w:t>
      </w:r>
      <w:r>
        <w:rPr>
          <w:rFonts w:ascii="Times New Roman" w:hAnsi="Times New Roman"/>
          <w:color w:val="000000"/>
          <w:sz w:val="24"/>
        </w:rPr>
        <w:t>in lieu of Restricted Payments permitted by this clause (v) not to exceed $4,000,000 in any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the Borrower or a Restricted Subsidiary may make Restricted Payments in cash or Permitted Investments to any Holdings Parent, Holdings, the Borrower or another Restricted Subsidiary, as applicable:</w:t>
      </w:r>
    </w:p>
    <w:p>
      <w:pPr>
        <w:pStyle w:val="TextBody"/>
        <w:bidi w:val="0"/>
        <w:spacing w:before="0" w:after="240"/>
        <w:jc w:val="both"/>
        <w:rPr>
          <w:rFonts w:ascii="Times New Roman" w:hAnsi="Times New Roman"/>
          <w:sz w:val="20"/>
        </w:rPr>
      </w:pPr>
      <w:r>
        <w:rPr>
          <w:rFonts w:ascii="Times New Roman" w:hAnsi="Times New Roman"/>
          <w:color w:val="000000"/>
          <w:sz w:val="24"/>
        </w:rPr>
        <w:t>(A) as direct or indirect distributions by the Borrower or any Restricted Subsidiary to Holdings or the direct or indirect holders of the equity interests of Holdings, the Borrower or such Restricted Subsidiary for the purposes of (1) permitting such holders to pay such holders’ respective United States federal, state or local Tax obligations with respect to the taxable income, revenue, receipts, gross receipts, gross profits, capital or margin of Holdings, the Borrower and/or its Subsidiaries that is attributed to such direct or indirect holder as a result of its ownership of such equity interests with respect to such taxable period at the maximum marginal federal, state, and local income tax rate in any jurisdiction in the United States for a taxable corporation or individual (whichever is applicable) (taking into account the deductibility of state and/or local income taxes for U.S. federal income tax purposes (and any limitations thereon), any adjustments arising by reason of an election made pursuant to Section 754 of the Code, any cumulative net taxable loss of Holdings, the Borrower and/or its Subsidiaries for prior taxable periods to the extent such loss is of a character that would allow such loss to be available to such equity holder to reduce any taxes of such equity holder in the current taxable period, the character (e.g., long</w:t>
        <w:noBreakHyphen/>
        <w:t>term or short</w:t>
        <w:noBreakHyphen/>
        <w:t>term capital gain or ordinary or exempt) of the applicable income, and the need to make such distributions on a pro rata basis) (collectively, “</w:t>
      </w:r>
      <w:r>
        <w:rPr>
          <w:rFonts w:ascii="Times New Roman" w:hAnsi="Times New Roman"/>
          <w:color w:val="000000"/>
          <w:sz w:val="24"/>
          <w:u w:val="single"/>
        </w:rPr>
        <w:t>Tax Distributions</w:t>
      </w:r>
      <w:r>
        <w:rPr>
          <w:rFonts w:ascii="Times New Roman" w:hAnsi="Times New Roman"/>
          <w:color w:val="000000"/>
          <w:sz w:val="20"/>
        </w:rPr>
        <w:t>”</w:t>
      </w:r>
      <w:r>
        <w:rPr>
          <w:rFonts w:ascii="Times New Roman" w:hAnsi="Times New Roman"/>
          <w:color w:val="000000"/>
          <w:sz w:val="24"/>
        </w:rPr>
        <w:t>) and (2) making “catch</w:t>
        <w:noBreakHyphen/>
        <w:t>up” payments on any applicable high yield discount obligations;</w:t>
      </w:r>
    </w:p>
    <w:p>
      <w:pPr>
        <w:pStyle w:val="TextBody"/>
        <w:bidi w:val="0"/>
        <w:spacing w:before="0" w:after="240"/>
        <w:jc w:val="both"/>
        <w:rPr>
          <w:rFonts w:ascii="Times New Roman" w:hAnsi="Times New Roman"/>
          <w:sz w:val="20"/>
        </w:rPr>
      </w:pPr>
      <w:r>
        <w:rPr>
          <w:rFonts w:ascii="Times New Roman" w:hAnsi="Times New Roman"/>
          <w:color w:val="000000"/>
          <w:sz w:val="24"/>
        </w:rPr>
        <w:t>(B) the proceeds of which shall be used by Holdings or a Holdings Parent to pay (or to make Restricted Payments to allow any direct or indirect parent of such Holdings Parent to pay) (1) its operating expenses incurred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ordinary course of business and other corporate overhead costs and expenses (including administrative, legal, accounting and similar expenses payable to third parties) that are reasonable and customary and incurred in the ordinary course of business solely to the extent such expenses are directly attributable to the ownership or operations of Holdings, the Borrower and the Restricted Subsidiaries, (2) any reasonable and customary indemnification claims made by members of the Board of Directors or officers, employees, directors, managers, consultants or independent contractors of any Holdings Parent solely to the extent such indemnification claims are directly attributable to the ownership or operations of Holdings, the Borrower and the Restricted Subsidiaries, (3) fees and expenses otherwise permitted to be paid to such Holdings Parent by Holdings, the Borrower and any Restricted Subsidiaries under this Agreement, (4) [reserved] and (5) to satisfy indemnity obligations under agreements in respect of Permitted Acquisitions and (6) amounts that would otherwise be permitted to be paid pursuant to </w:t>
      </w:r>
      <w:r>
        <w:rPr>
          <w:rFonts w:ascii="Times New Roman" w:hAnsi="Times New Roman"/>
          <w:color w:val="000000"/>
          <w:sz w:val="24"/>
          <w:u w:val="single"/>
        </w:rPr>
        <w:t>Section 6.08(iii),</w:t>
      </w:r>
      <w:r>
        <w:rPr>
          <w:rFonts w:ascii="Times New Roman" w:hAnsi="Times New Roman"/>
          <w:color w:val="000000"/>
          <w:sz w:val="20"/>
        </w:rPr>
        <w:t xml:space="preserve"> </w:t>
      </w:r>
      <w:r>
        <w:rPr>
          <w:rFonts w:ascii="Times New Roman" w:hAnsi="Times New Roman"/>
          <w:color w:val="000000"/>
          <w:sz w:val="24"/>
        </w:rPr>
        <w:t>as it relates to this Transaction, or (viii);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proceeds of which shall be used by a Holdings Parent, Holdings, the Borrower or a Subsidiary to pay franchise and similar Taxes, and other fees and expenses, required to maintain its corporate or other legal existence;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finance any Investment made by a Holdings Parent that, if made by Holdings or the Borrower, would be permitted to be made pursuant to </w:t>
      </w:r>
      <w:r>
        <w:rPr>
          <w:rFonts w:ascii="Times New Roman" w:hAnsi="Times New Roman"/>
          <w:color w:val="000000"/>
          <w:sz w:val="24"/>
          <w:u w:val="single"/>
        </w:rPr>
        <w:t>Section 6.04</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(A) such Restricted Payment shall be made substantially concurrently with the closing of such Investment and (B) such Holdings Parent shall, immediately following the closing thereof, cause (1) all property acquired (whether assets or Equity Interests) to be contributed to the Borrower or its Restricted Subsidiaries or (2) the Person formed or acquired to merge into or amalgamate or consolidate with the Borrower or any of the Restricted Subsidiaries to the extent such merger, amalgamation or consolidation is permitted in </w:t>
      </w:r>
      <w:r>
        <w:rPr>
          <w:rFonts w:ascii="Times New Roman" w:hAnsi="Times New Roman"/>
          <w:color w:val="000000"/>
          <w:sz w:val="24"/>
          <w:u w:val="single"/>
        </w:rPr>
        <w:t>Section 6.03</w:t>
      </w:r>
      <w:r>
        <w:rPr>
          <w:rFonts w:ascii="Times New Roman" w:hAnsi="Times New Roman"/>
          <w:color w:val="000000"/>
          <w:sz w:val="24"/>
        </w:rPr>
        <w:t xml:space="preserve">) in order to consummate such Investment, in each case in accordance with the requirements of </w:t>
      </w:r>
      <w:r>
        <w:rPr>
          <w:rFonts w:ascii="Times New Roman" w:hAnsi="Times New Roman"/>
          <w:color w:val="000000"/>
          <w:sz w:val="24"/>
          <w:u w:val="single"/>
        </w:rPr>
        <w:t>Sections 5.11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5.12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proceeds of which shall be used to pay refinancing, transaction and exit fees and expenses solely to the extent such fees and expenses are directly attributable to the business of Holdings and the Restricted Subsidiaries;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proceeds of which shall be used to pay customary salary, bonus and other benefits payable to officers and employees of any Holdings Parent solely to the extent such salaries, bonuses and other benefits are directly attributable to the ownership or operation of Holdings, the Borrower and the Restricted Subsidiaries in an amount not to exceed $1,000,000;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[reserved];</w:t>
      </w:r>
    </w:p>
    <w:p>
      <w:pPr>
        <w:pStyle w:val="TextBody"/>
        <w:bidi w:val="0"/>
        <w:spacing w:before="0" w:after="240"/>
        <w:jc w:val="both"/>
        <w:rPr>
          <w:rFonts w:ascii="Times New Roman" w:hAnsi="Times New Roman"/>
          <w:sz w:val="20"/>
        </w:rPr>
      </w:pPr>
      <w:r>
        <w:rPr>
          <w:rFonts w:ascii="Times New Roman" w:hAnsi="Times New Roman"/>
          <w:color w:val="000000"/>
          <w:sz w:val="24"/>
        </w:rPr>
        <w:t>(ix) redemptions in whole or in part of any of its Equity Interests for another class of its Equity Interests or with proceeds from substantially concurrent equity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contributions or issuances of new Equity Interests; </w:t>
      </w:r>
      <w:r>
        <w:rPr>
          <w:rFonts w:ascii="Times New Roman" w:hAnsi="Times New Roman"/>
          <w:color w:val="000000"/>
          <w:sz w:val="24"/>
          <w:u w:val="single"/>
        </w:rPr>
        <w:t xml:space="preserve">provided </w:t>
      </w:r>
      <w:r>
        <w:rPr>
          <w:rFonts w:ascii="Times New Roman" w:hAnsi="Times New Roman"/>
          <w:color w:val="000000"/>
          <w:sz w:val="24"/>
        </w:rPr>
        <w:t>that such new Equity Interests constitute Qualified Equity Interests and contain terms and provisions at least as advantageous to the Lenders in all respects material to their interests as those contained in the Equity Interests redeemed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payments to any Holdings or Holdings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payments made or expected to be made by any Holdings Parent, Holdings,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(xvii) to the extent constituting Restricted Payments, Holdings, the Borrower and the Restricted Subsidiaries may consummate (1) transactions permitted pursuant to </w:t>
      </w:r>
      <w:r>
        <w:rPr>
          <w:rFonts w:ascii="Times New Roman" w:hAnsi="Times New Roman"/>
          <w:color w:val="000000"/>
          <w:sz w:val="24"/>
          <w:u w:val="single"/>
        </w:rPr>
        <w:t>Section 6.03</w:t>
      </w:r>
      <w:r>
        <w:rPr>
          <w:rFonts w:ascii="Times New Roman" w:hAnsi="Times New Roman"/>
          <w:color w:val="000000"/>
          <w:sz w:val="20"/>
        </w:rPr>
        <w:t xml:space="preserve"> </w:t>
      </w:r>
      <w:r>
        <w:rPr>
          <w:rFonts w:ascii="Times New Roman" w:hAnsi="Times New Roman"/>
          <w:color w:val="000000"/>
          <w:sz w:val="24"/>
        </w:rPr>
        <w:t xml:space="preserve">and (2) make Investments permitted under </w:t>
      </w:r>
      <w:r>
        <w:rPr>
          <w:rFonts w:ascii="Times New Roman" w:hAnsi="Times New Roman"/>
          <w:color w:val="000000"/>
          <w:sz w:val="24"/>
          <w:u w:val="single"/>
        </w:rPr>
        <w:t>Section 6.04</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6.04(u)</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(xviii) [reserved];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(xix) Restricted Payments in an amount not to exceed $10,000,000 (or $15,000,000 if, immediately prior and on a Pro Forma Basis, the Total Net Leverage Ratio is no greater than 1.50 to 1.00) in any twelve (12) consecutive-month period (when taken together with any Investments made to RemainCo pursuant to </w:t>
      </w:r>
      <w:r>
        <w:rPr>
          <w:rFonts w:ascii="Times New Roman" w:hAnsi="Times New Roman"/>
          <w:color w:val="000000"/>
          <w:sz w:val="24"/>
          <w:u w:val="single"/>
        </w:rPr>
        <w:t>Section 6.04(cc)</w:t>
      </w:r>
      <w:r>
        <w:rPr>
          <w:rFonts w:ascii="Times New Roman" w:hAnsi="Times New Roman"/>
          <w:color w:val="000000"/>
          <w:sz w:val="24"/>
        </w:rPr>
        <w:t xml:space="preserve">), so long as (i) no Default or Event of Default shall have occurred and be continuing at the time of declaration of such Restricted Payment or would result therefrom and (ii) immediately prior to and on a Pro Forma Basis, the Total Net Leverage Ratio is no greater than 3.00 to 1.00 for the most recently ended Test Period as of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Restricted Payment may be made in reliance upon this clause (xix) unless the RemainCo Intercompany Loan is fully drawn.</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Holdings and the Borrower will not, and will not permit any Restricted Subsidiary to, make any voluntary prepayment or other distribution (whether in cash, securities or other property) of or in respect of principal of or interest on any Junior Financing, including any sinking fund or similar deposit, on account of the purchase, redemption, retirement, acquisition, cancellation or termination of any such Junior Financing, except: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to the extent such payments are not prohibited by the final proviso to </w:t>
      </w:r>
      <w:r>
        <w:rPr>
          <w:rFonts w:ascii="Times New Roman" w:hAnsi="Times New Roman"/>
          <w:color w:val="000000"/>
          <w:sz w:val="24"/>
          <w:u w:val="single"/>
        </w:rPr>
        <w:t>Section 6.01(a)</w:t>
      </w:r>
      <w:r>
        <w:rPr>
          <w:rFonts w:ascii="Times New Roman" w:hAnsi="Times New Roman"/>
          <w:color w:val="000000"/>
          <w:sz w:val="24"/>
        </w:rPr>
        <w:t>, 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refinancings, supplements, substitutions, extensions, restructurings, exchanges or renewals of Junior Financing with the proceeds of any other Junior Financing to the extent permitted by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and fees and expenses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conversion of any Junior Financing to Equity Interests (other than Disqualified Equity Interests) of Holdings or any Holdings Parent, and any payment that is intended to prevent any Junior Financing from being treated as an “applicable high yield discount obligation” within the meaning of Section 163(i)(1)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[reserved];</w:t>
      </w:r>
    </w:p>
    <w:p>
      <w:pPr>
        <w:pStyle w:val="TextBody"/>
        <w:bidi w:val="0"/>
        <w:spacing w:before="0" w:after="240"/>
        <w:jc w:val="both"/>
        <w:rPr>
          <w:rFonts w:ascii="Times New Roman" w:hAnsi="Times New Roman"/>
          <w:sz w:val="20"/>
        </w:rPr>
      </w:pPr>
      <w:r>
        <w:rPr>
          <w:rFonts w:ascii="Times New Roman" w:hAnsi="Times New Roman"/>
          <w:color w:val="000000"/>
          <w:sz w:val="24"/>
        </w:rPr>
        <w:t>(vi) [reserved];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prepayment of Junior Financing owed to Holdings, the Borrower or any Restricted Subsidiary or the prepayment of Permitted Refinancing of such Indebtedness with the proceeds of any other Junior Financing permitted to be incurred hereunder.</w:t>
      </w:r>
    </w:p>
    <w:p>
      <w:pPr>
        <w:pStyle w:val="TextBody"/>
        <w:bidi w:val="0"/>
        <w:spacing w:before="0" w:after="240"/>
        <w:jc w:val="both"/>
        <w:rPr>
          <w:rFonts w:ascii="Times New Roman" w:hAnsi="Times New Roman"/>
          <w:sz w:val="20"/>
        </w:rPr>
      </w:pPr>
      <w:r>
        <w:rPr>
          <w:rFonts w:ascii="Times New Roman" w:hAnsi="Times New Roman"/>
          <w:color w:val="000000"/>
          <w:sz w:val="24"/>
        </w:rPr>
        <w:t>(c) [reserved</w:t>
      </w:r>
      <w:r>
        <w:rPr>
          <w:rFonts w:ascii="Times New Roman" w:hAnsi="Times New Roman"/>
          <w:color w:val="000000"/>
          <w:sz w:val="24"/>
          <w:u w:val="single"/>
        </w:rPr>
        <w:t>]</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6.08 </w:t>
      </w:r>
      <w:r>
        <w:rPr>
          <w:rFonts w:ascii="Times New Roman" w:hAnsi="Times New Roman"/>
          <w:b w:val="false"/>
          <w:color w:val="000000"/>
          <w:sz w:val="24"/>
          <w:u w:val="single"/>
        </w:rPr>
        <w:t>Transactions with Affiliates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Holdings and the Borrower will not, and will not permit any Restricted Subsidiary to, sell, lease or otherwise transfer any property or assets to, or purchase, lease or otherwise acquire any property or assets from, or otherwise engage in any other transactions with, any of its Affiliates, except (i) transactions (x) between a Loan Party and RemainCo pursuant to the RemainCo Intercompany Loan or Intercompany Services Agreements (but in the case of Intercompany Services Agreements described in clause (z) of the definition thereof, as in effect on the Effective Date) or (y) between or among Loan Parties, (ii) on terms, taken as a whole, substantially as favorable to Holdings, the Borrower or such Restricted Subsidiary as would be obtainable by such Person at the time in a comparable arm’s</w:t>
        <w:noBreakHyphen/>
        <w:t>length transaction with a Person other than an Affiliate, (iii) the Transactions and the payment of fees and expenses as part of or in connection with the Transactions, including without limitation the Transaction Costs and transactions constituting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Permitted Reorganization, (iv) the payment of (a) transaction fees and expenses to the extent otherwise permitted hereunder and (b) indemnities to the direct or indirect equity holders of Holdings to the extent such indemnities relate to the ownership and operation of Holdings and its Restricted Subsidiaries, (v) issuances of Equity Interests of Holdings to the extent otherwise permitted by this Agreement, (vi) compensation (including bonuses and securities issuances or other payments, awards, grants in cash or otherwise) and employee benefit arrangements and severance arrangements between Holdings and its Restricted Subsidiaries and their respective officers, directors, managers, consultants and employees in the ordinary course of business or otherwise in connection with the Transactions (including loans and advances pursuant to </w:t>
      </w:r>
      <w:r>
        <w:rPr>
          <w:rFonts w:ascii="Times New Roman" w:hAnsi="Times New Roman"/>
          <w:color w:val="000000"/>
          <w:sz w:val="24"/>
          <w:u w:val="single"/>
        </w:rPr>
        <w:t>Section 6.04</w:t>
      </w:r>
      <w:r>
        <w:rPr>
          <w:rFonts w:ascii="Times New Roman" w:hAnsi="Times New Roman"/>
          <w:color w:val="000000"/>
          <w:sz w:val="24"/>
        </w:rPr>
        <w:t xml:space="preserve">) or any acquisition or other Investment permitted hereunder), (vii) payments by the Borrower and its Restricted Subsidiaries pursuant to tax sharing agreements among Holdings (and any such parent thereof), the Borrower and the Restricted Subsidiaries on customary terms to the extent attributable to the ownership or operation of Holdings and its Restricted Subsidiaries, to the extent such payments are permitted by </w:t>
      </w:r>
      <w:r>
        <w:rPr>
          <w:rFonts w:ascii="Times New Roman" w:hAnsi="Times New Roman"/>
          <w:color w:val="000000"/>
          <w:sz w:val="24"/>
          <w:u w:val="single"/>
        </w:rPr>
        <w:t>Section 6.07</w:t>
      </w:r>
      <w:r>
        <w:rPr>
          <w:rFonts w:ascii="Times New Roman" w:hAnsi="Times New Roman"/>
          <w:color w:val="000000"/>
          <w:sz w:val="24"/>
        </w:rPr>
        <w:t>, (viii) the payment of reasonable out</w:t>
        <w:noBreakHyphen/>
        <w:t>of</w:t>
        <w:noBreakHyphen/>
        <w:t xml:space="preserve">pocket costs to, and indemnities provided on behalf of, members of the Board of Directors, officers and employees of Holdings, the Borrower and the Restricted Subsidiaries in the ordinary course of business to the extent attributable to the ownership or operation of Holdings and its Restricted Subsidiaries, (ix) transactions pursuant to permitted agreements in existence or contemplated on the Effective Date and set forth on </w:t>
      </w:r>
      <w:r>
        <w:rPr>
          <w:rFonts w:ascii="Times New Roman" w:hAnsi="Times New Roman"/>
          <w:color w:val="000000"/>
          <w:sz w:val="24"/>
          <w:u w:val="single"/>
        </w:rPr>
        <w:t>Schedule 6.08</w:t>
      </w:r>
      <w:r>
        <w:rPr>
          <w:rFonts w:ascii="Times New Roman" w:hAnsi="Times New Roman"/>
          <w:color w:val="000000"/>
          <w:sz w:val="20"/>
        </w:rPr>
        <w:t xml:space="preserve"> </w:t>
      </w:r>
      <w:r>
        <w:rPr>
          <w:rFonts w:ascii="Times New Roman" w:hAnsi="Times New Roman"/>
          <w:color w:val="000000"/>
          <w:sz w:val="24"/>
        </w:rPr>
        <w:t xml:space="preserve">or any amendment thereto to the extent such an amendment is not adverse to the Lenders in any material respect, (x) Restricted Payments permitted under </w:t>
      </w:r>
      <w:r>
        <w:rPr>
          <w:rFonts w:ascii="Times New Roman" w:hAnsi="Times New Roman"/>
          <w:color w:val="000000"/>
          <w:sz w:val="24"/>
          <w:u w:val="single"/>
        </w:rPr>
        <w:t>Section 6.07</w:t>
      </w:r>
      <w:r>
        <w:rPr>
          <w:rFonts w:ascii="Times New Roman" w:hAnsi="Times New Roman"/>
          <w:color w:val="000000"/>
          <w:sz w:val="20"/>
        </w:rPr>
        <w:t xml:space="preserve"> </w:t>
      </w:r>
      <w:r>
        <w:rPr>
          <w:rFonts w:ascii="Times New Roman" w:hAnsi="Times New Roman"/>
          <w:color w:val="000000"/>
          <w:sz w:val="24"/>
        </w:rPr>
        <w:t xml:space="preserve">and loans and advances in lieu thereof pursuant to </w:t>
      </w:r>
      <w:r>
        <w:rPr>
          <w:rFonts w:ascii="Times New Roman" w:hAnsi="Times New Roman"/>
          <w:color w:val="000000"/>
          <w:sz w:val="24"/>
          <w:u w:val="single"/>
        </w:rPr>
        <w:t>Section 6.04(l)</w:t>
      </w:r>
      <w:r>
        <w:rPr>
          <w:rFonts w:ascii="Times New Roman" w:hAnsi="Times New Roman"/>
          <w:color w:val="000000"/>
          <w:sz w:val="24"/>
        </w:rPr>
        <w:t>, (xi) [reserved], (xii) transactions with customers, clients, suppliers, contractors or purchasers or sellers of goods or services that are Affiliates, in each case in the ordinary course of business and which are fair to Holdings, the Borrower and the Restricted Subsidiaries, in the reasonable determination of the Borrower, or are on terms at least as favorable as might reasonably have been obtained at such time from an unaffiliated party, (xiii) [reserved], (xiv) [reserved], (xv) [reserved], (xvi) [reserved], and (xvii) [reserved].</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6.09 </w:t>
      </w:r>
      <w:r>
        <w:rPr>
          <w:rFonts w:ascii="Times New Roman" w:hAnsi="Times New Roman"/>
          <w:b w:val="false"/>
          <w:color w:val="000000"/>
          <w:sz w:val="24"/>
          <w:u w:val="single"/>
        </w:rPr>
        <w:t>Restrictive Agreements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Holdings and 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r>
        <w:rPr>
          <w:rFonts w:ascii="Times New Roman" w:hAnsi="Times New Roman"/>
          <w:color w:val="000000"/>
          <w:sz w:val="24"/>
          <w:u w:val="single"/>
        </w:rPr>
        <w:t xml:space="preserve">provided </w:t>
      </w:r>
      <w:r>
        <w:rPr>
          <w:rFonts w:ascii="Times New Roman" w:hAnsi="Times New Roman"/>
          <w:color w:val="000000"/>
          <w:sz w:val="24"/>
        </w:rPr>
        <w:t>that the foregoing shall not apply 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restrictions and conditions imposed by (1) Requirements of Law, (2) any Loan Document, (3) any documentation governing Incremental Equivalent Debt, (4) [reserved], (5) [reserved], (6) any documentation governing Indebtedness incurred pursuant to </w:t>
      </w:r>
      <w:r>
        <w:rPr>
          <w:rFonts w:ascii="Times New Roman" w:hAnsi="Times New Roman"/>
          <w:color w:val="000000"/>
          <w:sz w:val="24"/>
          <w:u w:val="single"/>
        </w:rPr>
        <w:t>Section 6.01(a)(v)</w:t>
      </w:r>
      <w:r>
        <w:rPr>
          <w:rFonts w:ascii="Times New Roman" w:hAnsi="Times New Roman"/>
          <w:color w:val="000000"/>
          <w:sz w:val="20"/>
        </w:rPr>
        <w:t xml:space="preserve"> </w:t>
      </w:r>
      <w:r>
        <w:rPr>
          <w:rFonts w:ascii="Times New Roman" w:hAnsi="Times New Roman"/>
          <w:color w:val="000000"/>
          <w:sz w:val="24"/>
        </w:rPr>
        <w:t xml:space="preserve">(but only to the extent applicable to the assets financed by such Indebtedness (and replacements, additions, accessions and improvements to or proceeds of such assets and other assets financed by the same lender)), </w:t>
      </w:r>
      <w:r>
        <w:rPr>
          <w:rFonts w:ascii="Times New Roman" w:hAnsi="Times New Roman"/>
          <w:color w:val="000000"/>
          <w:sz w:val="24"/>
          <w:u w:val="single"/>
        </w:rPr>
        <w:t>(vi)</w:t>
      </w:r>
      <w:r>
        <w:rPr>
          <w:rFonts w:ascii="Times New Roman" w:hAnsi="Times New Roman"/>
          <w:color w:val="000000"/>
          <w:sz w:val="24"/>
        </w:rPr>
        <w:t xml:space="preserve">, </w:t>
      </w:r>
      <w:r>
        <w:rPr>
          <w:rFonts w:ascii="Times New Roman" w:hAnsi="Times New Roman"/>
          <w:color w:val="000000"/>
          <w:sz w:val="24"/>
          <w:u w:val="single"/>
        </w:rPr>
        <w:t>(xi)</w:t>
      </w:r>
      <w:r>
        <w:rPr>
          <w:rFonts w:ascii="Times New Roman" w:hAnsi="Times New Roman"/>
          <w:color w:val="000000"/>
          <w:sz w:val="24"/>
        </w:rPr>
        <w:t xml:space="preserve">, </w:t>
      </w:r>
      <w:r>
        <w:rPr>
          <w:rFonts w:ascii="Times New Roman" w:hAnsi="Times New Roman"/>
          <w:color w:val="000000"/>
          <w:sz w:val="24"/>
          <w:u w:val="single"/>
        </w:rPr>
        <w:t>(xii)</w:t>
      </w:r>
      <w:r>
        <w:rPr>
          <w:rFonts w:ascii="Times New Roman" w:hAnsi="Times New Roman"/>
          <w:color w:val="000000"/>
          <w:sz w:val="24"/>
        </w:rPr>
        <w:t xml:space="preserve">, </w:t>
      </w:r>
      <w:r>
        <w:rPr>
          <w:rFonts w:ascii="Times New Roman" w:hAnsi="Times New Roman"/>
          <w:color w:val="000000"/>
          <w:sz w:val="24"/>
          <w:u w:val="single"/>
        </w:rPr>
        <w:t>(xviii)</w:t>
      </w:r>
      <w:r>
        <w:rPr>
          <w:rFonts w:ascii="Times New Roman" w:hAnsi="Times New Roman"/>
          <w:color w:val="000000"/>
          <w:sz w:val="24"/>
        </w:rPr>
        <w:t xml:space="preserve">, </w:t>
      </w:r>
      <w:r>
        <w:rPr>
          <w:rFonts w:ascii="Times New Roman" w:hAnsi="Times New Roman"/>
          <w:color w:val="000000"/>
          <w:sz w:val="24"/>
          <w:u w:val="single"/>
        </w:rPr>
        <w:t>(xxvi)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(xxxiv)</w:t>
      </w:r>
      <w:r>
        <w:rPr>
          <w:rFonts w:ascii="Times New Roman" w:hAnsi="Times New Roman"/>
          <w:color w:val="000000"/>
          <w:sz w:val="24"/>
        </w:rPr>
        <w:t>, and (7) any documentation governing any Permitted Refinancing incurred to refinance any such Indebtedness referenced in clauses (2) through (6)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[reserved];</w:t>
      </w:r>
    </w:p>
    <w:p>
      <w:pPr>
        <w:pStyle w:val="TextBody"/>
        <w:bidi w:val="0"/>
        <w:jc w:val="center"/>
        <w:rPr>
          <w:rFonts w:ascii="Times New Roman" w:hAnsi="Times New Roman"/>
          <w:color w:val="000000"/>
          <w:sz w:val="24"/>
        </w:rPr>
      </w:pPr>
      <w:r>
        <w:rPr>
          <w:rFonts w:ascii="Times New Roman" w:hAnsi="Times New Roman"/>
          <w:color w:val="000000"/>
          <w:sz w:val="24"/>
        </w:rPr>
        <w:t>163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restrictions and conditions contained in agreements relating to the sale of a Subsidiary or any assets pending such sale; </w:t>
      </w:r>
      <w:r>
        <w:rPr>
          <w:rFonts w:ascii="Times New Roman" w:hAnsi="Times New Roman"/>
          <w:color w:val="000000"/>
          <w:sz w:val="24"/>
          <w:u w:val="single"/>
        </w:rPr>
        <w:t xml:space="preserve">provided </w:t>
      </w:r>
      <w:r>
        <w:rPr>
          <w:rFonts w:ascii="Times New Roman" w:hAnsi="Times New Roman"/>
          <w:color w:val="000000"/>
          <w:sz w:val="24"/>
        </w:rPr>
        <w:t>that such restrictions and conditions apply only to the Subsidiary or assets that is or are to be sold and such sale is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customary provisions in leases, non-exclusive licenses, non-exclusive sublicenses and other contracts (including non-exclusive licenses and non-exclusive sublicenses of Intellectual Property) otherwise permitted hereby restricting the assignment, license, sublicense, transfer or security interest thereof or assets subject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restrictions imposed by any agreement relating to secured Indebtedness permitted by this Agreement to the extent such restriction applies only to the property securing such Indebtedness;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any restrictions or conditions set forth in any agreement in effect at any time any Person becomes a Restricted Subsidiary (but not any modification or amendment expanding the scope of any such restriction or condition); </w:t>
      </w:r>
      <w:r>
        <w:rPr>
          <w:rFonts w:ascii="Times New Roman" w:hAnsi="Times New Roman"/>
          <w:color w:val="000000"/>
          <w:sz w:val="24"/>
          <w:u w:val="single"/>
        </w:rPr>
        <w:t xml:space="preserve">provided </w:t>
      </w:r>
      <w:r>
        <w:rPr>
          <w:rFonts w:ascii="Times New Roman" w:hAnsi="Times New Roman"/>
          <w:color w:val="000000"/>
          <w:sz w:val="24"/>
        </w:rPr>
        <w:t>that such agreement was not entered into in contemplation of such Person becoming a Restricted Subsidiary and the restriction or condition set forth in such agreement does not apply to Holdings, the Borrower or any Restricted Subsidiary (other than such Person that has become a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restrictions on cash (or Permitted Investments) or other deposits imposed by agreements entered into in the ordinary course of business (or other restrictions on cash or deposits constituting Permitted Encumbrances);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restrictions and conditions existing on the Effective Date set forth on </w:t>
      </w:r>
      <w:r>
        <w:rPr>
          <w:rFonts w:ascii="Times New Roman" w:hAnsi="Times New Roman"/>
          <w:color w:val="000000"/>
          <w:sz w:val="24"/>
          <w:u w:val="single"/>
        </w:rPr>
        <w:t>Schedule 6.09</w:t>
      </w:r>
      <w:r>
        <w:rPr>
          <w:rFonts w:ascii="Times New Roman" w:hAnsi="Times New Roman"/>
          <w:color w:val="000000"/>
          <w:sz w:val="20"/>
        </w:rPr>
        <w:t xml:space="preserve"> </w:t>
      </w:r>
      <w:r>
        <w:rPr>
          <w:rFonts w:ascii="Times New Roman" w:hAnsi="Times New Roman"/>
          <w:color w:val="000000"/>
          <w:sz w:val="24"/>
        </w:rPr>
        <w:t>and any extension, renewal, amendment, modification or replacement thereof, except to the extent any such amendment, modification or replacement expands the scope of any such restriction or condition;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customary provisions restricting subletting or assignment of any lease governing a leasehold interest of Holdings, the Borrower or any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customary net worth provisions contained in real property leases or other contracts entered into by Restricted Subsidiaries, so long as the Borrower has determined in good faith that such net worth provisions would not reasonably be expected to impair the ability of Holdings, the Borrower and its Restricted Subsidiaries to meet their ongoing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restrictions on transfers of assets subject to Liens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(but, with respect to any such Lien, only to the extent that such transfer restrictions apply solely to the assets that are the subject of such Lien);</w:t>
      </w:r>
    </w:p>
    <w:p>
      <w:pPr>
        <w:pStyle w:val="TextBody"/>
        <w:bidi w:val="0"/>
        <w:jc w:val="center"/>
        <w:rPr>
          <w:rFonts w:ascii="Times New Roman" w:hAnsi="Times New Roman"/>
          <w:color w:val="000000"/>
          <w:sz w:val="24"/>
        </w:rPr>
      </w:pPr>
      <w:r>
        <w:rPr>
          <w:rFonts w:ascii="Times New Roman" w:hAnsi="Times New Roman"/>
          <w:color w:val="000000"/>
          <w:sz w:val="24"/>
        </w:rPr>
        <w:t>164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any restrictions regarding non-exclusive licensing or non-exclusive sublicensing by Holdings and its Restricted Subsidiaries of Intellectual Property in the ordinary course of business that do not interfere in any material respect with the business of Holdings and its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any restrictions that arise in connection with cash or other deposits permitted under </w:t>
      </w:r>
      <w:r>
        <w:rPr>
          <w:rFonts w:ascii="Times New Roman" w:hAnsi="Times New Roman"/>
          <w:color w:val="000000"/>
          <w:sz w:val="24"/>
          <w:u w:val="single"/>
        </w:rPr>
        <w:t>Sections 6.02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[reserved];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 comprise restrictions imposed by any agreement governing Indebtedness entered into on or after the Effective Date and permitted under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if the restrictions contained in any such agreement taken as a whole (a) are not materially less favorable to the Secured Parties than the encumbrances and restrictions contained in the Loan Documents (as determined by the Borrower) and (b) the Borrower determines at the time of entry into such agreement or instrument that such encumbrances or restrictions will not adversely affect, in any material respect, the Borrower’s ability to make principal or interest payments required hereunder.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6.10 </w:t>
      </w:r>
      <w:r>
        <w:rPr>
          <w:rFonts w:ascii="Times New Roman" w:hAnsi="Times New Roman"/>
          <w:b w:val="false"/>
          <w:color w:val="000000"/>
          <w:sz w:val="24"/>
          <w:u w:val="single"/>
        </w:rPr>
        <w:t>Amendment of Junior Financing; RemainCo Intercompany Loan; Modifications of Organizational Documents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Holdings and the Borrower will not, and will not permit any Restricted Subsidiary to, amend or modify the documentation governing any Junior Financing if such amendment is not expressly permitted by any applicable Intercreditor Agreement or subordination agreement if the effect of such amendment or modification is materially adverse to the Secured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Holdings and the Borrower will not, and will not permit any Restricted Subsidiary to, amend or modify the documentation governing the RemainCo Intercompany Loan in any material respect without the consent of the Required Revolving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Holdings and the Borrower will not, and will not permit any Restricted Subsidiary to, terminate, amend or modify any of its Organizational Documents (including, but not limited to, changing jurisdiction of organization) in a manner that is materially adverse to the interests of the Secured Parties.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6.11 </w:t>
      </w:r>
      <w:r>
        <w:rPr>
          <w:rFonts w:ascii="Times New Roman" w:hAnsi="Times New Roman"/>
          <w:b w:val="false"/>
          <w:color w:val="000000"/>
          <w:sz w:val="24"/>
          <w:u w:val="single"/>
        </w:rPr>
        <w:t>Financial Performance Covenant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As of the last day of each fiscal quarter of Holdings (commencing with the fiscal quarter ending on September 30, 2026), solely to the extent that the aggregate amount of Revolving Exposure outstanding as of the close of business on the last day of such fiscal quarter (excluding Letters of Credit in an aggregate amount of up to $20,000,000) exceeds 35% of the aggregate amount of all Revolving Commitments in effect as of such date, the Borrower shall not permit the First Lien Net Leverage Ratio as of the end of such fiscal quarter ending (i) on or after September 30, 2026 through (but excluding) September 30, 2027 to exceed 4.00 to 1.00 and (ii) on or after September 30, 2027 to exceed 3.50 to 1.00. For the avoidance of doubt, compliance with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 xml:space="preserve">shall be determined on the date that the Compliance Certificate for the applicable fiscal quarter is required to be delivered pursuant to </w:t>
      </w:r>
      <w:r>
        <w:rPr>
          <w:rFonts w:ascii="Times New Roman" w:hAnsi="Times New Roman"/>
          <w:color w:val="000000"/>
          <w:sz w:val="24"/>
          <w:u w:val="single"/>
        </w:rPr>
        <w:t>Section 5.01(d)</w:t>
      </w:r>
      <w:r>
        <w:rPr>
          <w:rFonts w:ascii="Times New Roman" w:hAnsi="Times New Roman"/>
          <w:color w:val="000000"/>
          <w:sz w:val="24"/>
        </w:rPr>
        <w:t>, and not prior to such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6.12 </w:t>
      </w:r>
      <w:r>
        <w:rPr>
          <w:rFonts w:ascii="Times New Roman" w:hAnsi="Times New Roman"/>
          <w:color w:val="000000"/>
          <w:sz w:val="24"/>
          <w:u w:val="single"/>
        </w:rPr>
        <w:t>Liability Management Transaction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Holdings and the Borrower shall not, and will not permit any Restricted Subsidiary to, enter into or effect any Liability Management Transaction.</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VII</w:t>
      </w:r>
      <w:r>
        <w:rPr>
          <w:rFonts w:ascii="Times New Roman" w:hAnsi="Times New Roman"/>
          <w:b w:val="false"/>
          <w:caps/>
          <w:color w:val="000000"/>
          <w:sz w:val="24"/>
          <w:u w:val="single"/>
        </w:rPr>
        <w:br/>
        <w:t>EVENTS OF DEFAULT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7.01 </w:t>
      </w:r>
      <w:r>
        <w:rPr>
          <w:rFonts w:ascii="Times New Roman" w:hAnsi="Times New Roman"/>
          <w:b w:val="false"/>
          <w:color w:val="000000"/>
          <w:sz w:val="24"/>
          <w:u w:val="single"/>
        </w:rPr>
        <w:t>Events of Default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If any of the following events (any such event, an “</w:t>
      </w:r>
      <w:r>
        <w:rPr>
          <w:rFonts w:ascii="Times New Roman" w:hAnsi="Times New Roman"/>
          <w:color w:val="000000"/>
          <w:sz w:val="24"/>
          <w:u w:val="single"/>
        </w:rPr>
        <w:t>Event of Default</w:t>
      </w:r>
      <w:r>
        <w:rPr>
          <w:rFonts w:ascii="Times New Roman" w:hAnsi="Times New Roman"/>
          <w:color w:val="000000"/>
          <w:sz w:val="20"/>
        </w:rPr>
        <w:t>”</w:t>
      </w:r>
      <w:r>
        <w:rPr>
          <w:rFonts w:ascii="Times New Roman" w:hAnsi="Times New Roman"/>
          <w:color w:val="000000"/>
          <w:sz w:val="24"/>
        </w:rPr>
        <w:t>) shall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Loan Party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any Loan Party shall fail to pay any interest or premium on any Loan or any fee or any other amount (other than an amount referred to in </w:t>
      </w:r>
      <w:r>
        <w:rPr>
          <w:rFonts w:ascii="Times New Roman" w:hAnsi="Times New Roman"/>
          <w:color w:val="000000"/>
          <w:sz w:val="24"/>
          <w:u w:val="single"/>
        </w:rPr>
        <w:t>Section 7.01(a)</w:t>
      </w:r>
      <w:r>
        <w:rPr>
          <w:rFonts w:ascii="Times New Roman" w:hAnsi="Times New Roman"/>
          <w:color w:val="000000"/>
          <w:sz w:val="24"/>
        </w:rPr>
        <w:t>) payable under any Loan Document, in each case when and as the same shall become due and payable, and such failure shall continue unremedied for a period of five (5) Business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representation or warranty made or deemed made by or on behalf of Holdings, the Borrower or any of its Restricted Subsidiaries, Wavedash or Vivid Seats Asia Pacific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 Holdings, the Borrower or any of the Restricted Subsidiaries shall fail to observe or perform any covenant, condition or agreement contained in </w:t>
      </w:r>
      <w:r>
        <w:rPr>
          <w:rFonts w:ascii="Times New Roman" w:hAnsi="Times New Roman"/>
          <w:color w:val="000000"/>
          <w:sz w:val="24"/>
          <w:u w:val="single"/>
        </w:rPr>
        <w:t>Sections 5.02(a)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5.04</w:t>
      </w:r>
      <w:r>
        <w:rPr>
          <w:rFonts w:ascii="Times New Roman" w:hAnsi="Times New Roman"/>
          <w:color w:val="000000"/>
          <w:sz w:val="20"/>
        </w:rPr>
        <w:t xml:space="preserve"> </w:t>
      </w:r>
      <w:r>
        <w:rPr>
          <w:rFonts w:ascii="Times New Roman" w:hAnsi="Times New Roman"/>
          <w:color w:val="000000"/>
          <w:sz w:val="24"/>
        </w:rPr>
        <w:t xml:space="preserve">(with respect to the existence of Holdings or the Borrower only) or in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(other than the Financial Performance Covenant); </w:t>
      </w:r>
      <w:r>
        <w:rPr>
          <w:rFonts w:ascii="Times New Roman" w:hAnsi="Times New Roman"/>
          <w:color w:val="000000"/>
          <w:sz w:val="24"/>
          <w:u w:val="single"/>
        </w:rPr>
        <w:t xml:space="preserve">provided </w:t>
      </w:r>
      <w:r>
        <w:rPr>
          <w:rFonts w:ascii="Times New Roman" w:hAnsi="Times New Roman"/>
          <w:color w:val="000000"/>
          <w:sz w:val="24"/>
        </w:rPr>
        <w:t xml:space="preserve">that any Event of Default under </w:t>
      </w:r>
      <w:r>
        <w:rPr>
          <w:rFonts w:ascii="Times New Roman" w:hAnsi="Times New Roman"/>
          <w:color w:val="000000"/>
          <w:sz w:val="24"/>
          <w:u w:val="single"/>
        </w:rPr>
        <w:t>Section 5.02(a)</w:t>
      </w:r>
      <w:r>
        <w:rPr>
          <w:rFonts w:ascii="Times New Roman" w:hAnsi="Times New Roman"/>
          <w:color w:val="000000"/>
          <w:sz w:val="20"/>
        </w:rPr>
        <w:t xml:space="preserve"> </w:t>
      </w:r>
      <w:r>
        <w:rPr>
          <w:rFonts w:ascii="Times New Roman" w:hAnsi="Times New Roman"/>
          <w:color w:val="000000"/>
          <w:sz w:val="24"/>
        </w:rPr>
        <w:t>shall be deemed cured upon the Borrower providing the applicable written notice; or (ii) Holdings or any of the Restricted Subsidiaries shall fail to observe or perform the Financial Performance Covenant (a “</w:t>
      </w:r>
      <w:r>
        <w:rPr>
          <w:rFonts w:ascii="Times New Roman" w:hAnsi="Times New Roman"/>
          <w:color w:val="000000"/>
          <w:sz w:val="24"/>
          <w:u w:val="single"/>
        </w:rPr>
        <w:t>Financial Performance Covenant Event of Default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Financial Performance Covenant Event of Default shall not constitute an Event of Default with respect to any Term Loan or any Credit Agreement Refinancing Indebtedness (unless consisting of Other Revolving Loans) unless and until the Required Revolving Lenders shall have terminated the Revolving Commitments and declared all amounts outstanding thereunder to be due and payable and such declaration has not been rescinded;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any Financial Performance Covenant Event of Default is subject to cure as provided in </w:t>
      </w:r>
      <w:r>
        <w:rPr>
          <w:rFonts w:ascii="Times New Roman" w:hAnsi="Times New Roman"/>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and such Financial Performance Covenant Event of Default shall not occur until the expiration of the fifteenth (15th) Business Day subsequent to the date on which the financial statements with respect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applicable fiscal quarter (or the fiscal year ended on the last day of such fiscal quarter) are required to be delivered pursuant to </w:t>
      </w:r>
      <w:r>
        <w:rPr>
          <w:rFonts w:ascii="Times New Roman" w:hAnsi="Times New Roman"/>
          <w:color w:val="000000"/>
          <w:sz w:val="24"/>
          <w:u w:val="single"/>
        </w:rPr>
        <w:t>Section 5.01(a)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5.01(b)</w:t>
      </w:r>
      <w:r>
        <w:rPr>
          <w:rFonts w:ascii="Times New Roman" w:hAnsi="Times New Roman"/>
          <w:color w:val="000000"/>
          <w:sz w:val="24"/>
        </w:rPr>
        <w:t>,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Holdings, the Borrower or any of the Restricted Subsidiaries shall fail to observe or perform any covenant, condition or agreement contained in any Loan Document (other than those specified in </w:t>
      </w:r>
      <w:r>
        <w:rPr>
          <w:rFonts w:ascii="Times New Roman" w:hAnsi="Times New Roman"/>
          <w:color w:val="000000"/>
          <w:sz w:val="24"/>
          <w:u w:val="single"/>
        </w:rPr>
        <w:t>Section 7.01(a)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4"/>
        </w:rPr>
        <w:t>), and such failure shall continue unremedied for a period of thirty (30) days after written notice thereof from the Administrative Agent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Holdings,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 and all required notices have been given);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any event or condition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color w:val="000000"/>
          <w:sz w:val="24"/>
          <w:u w:val="single"/>
        </w:rPr>
        <w:t xml:space="preserve">provided </w:t>
      </w:r>
      <w:r>
        <w:rPr>
          <w:rFonts w:ascii="Times New Roman" w:hAnsi="Times New Roman"/>
          <w:color w:val="000000"/>
          <w:sz w:val="24"/>
        </w:rPr>
        <w:t xml:space="preserve">that this </w:t>
      </w:r>
      <w:r>
        <w:rPr>
          <w:rFonts w:ascii="Times New Roman" w:hAnsi="Times New Roman"/>
          <w:color w:val="000000"/>
          <w:sz w:val="24"/>
          <w:u w:val="single"/>
        </w:rPr>
        <w:t>Section 7.01(g)</w:t>
      </w:r>
      <w:r>
        <w:rPr>
          <w:rFonts w:ascii="Times New Roman" w:hAnsi="Times New Roman"/>
          <w:color w:val="000000"/>
          <w:sz w:val="20"/>
        </w:rPr>
        <w:t xml:space="preserve"> </w:t>
      </w:r>
      <w:r>
        <w:rPr>
          <w:rFonts w:ascii="Times New Roman" w:hAnsi="Times New Roman"/>
          <w:color w:val="000000"/>
          <w:sz w:val="24"/>
        </w:rPr>
        <w:t xml:space="preserve">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w:t>
      </w:r>
      <w:r>
        <w:rPr>
          <w:rFonts w:ascii="Times New Roman" w:hAnsi="Times New Roman"/>
          <w:color w:val="000000"/>
          <w:sz w:val="24"/>
          <w:u w:val="single"/>
        </w:rPr>
        <w:t>Section 7.01(f)</w:t>
      </w:r>
      <w:r>
        <w:rPr>
          <w:rFonts w:ascii="Times New Roman" w:hAnsi="Times New Roman"/>
          <w:color w:val="000000"/>
          <w:sz w:val="20"/>
        </w:rPr>
        <w:t xml:space="preserve"> </w:t>
      </w:r>
      <w:r>
        <w:rPr>
          <w:rFonts w:ascii="Times New Roman" w:hAnsi="Times New Roman"/>
          <w:color w:val="000000"/>
          <w:sz w:val="24"/>
        </w:rPr>
        <w:t>will apply to any failure to make any payment required as a result of any such termination or similar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an involuntary proceeding shall be commenced or an involuntary petition shall be filed seeking (i) liquidation, court protection, examination, reorganization or other relief in respect of Holdings, the Borrower, any Material Subsidiary, Wavedash or Vivid Seats Asia Pacific or its debts, or of a material part of its assets, under any Federal, state or foreign bankruptcy, insolvency, examinership, receivership or similar law, now or hereafter in effect or (ii) the appointment of a receiver, trustee, custodian, examiner, sequestrator, conservator, interim receiver, liquidator, receiver and manager, administrative receiver, administrator, insolvency practitioner or similar official for Holdings, the Borrower or any Material Subsidiary or for a material part of its assets, and, in any such case, such proceeding or petition shall continue undismissed or unstayed for sixty (60) days or an order or decree approving or ordering any of the foregoing shall be entered;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Holdings, the Borrower, any Material Subsidiary, Wavedash or Vivid Seats Asia Pacific shall (i) voluntarily commence any proceeding or file any petition seeking liquidation, court protection, examinership, reorganization or other relief under any Debtor Relief Law, now or hereafter in effect (but excluding any such proceeding or petition (other than under the Bankruptcy Code) the sole purpose of which is to effect a transaction permitted under </w:t>
      </w:r>
      <w:r>
        <w:rPr>
          <w:rFonts w:ascii="Times New Roman" w:hAnsi="Times New Roman"/>
          <w:color w:val="000000"/>
          <w:sz w:val="24"/>
          <w:u w:val="single"/>
        </w:rPr>
        <w:t>Section 6.03(a)</w:t>
      </w:r>
      <w:r>
        <w:rPr>
          <w:rFonts w:ascii="Times New Roman" w:hAnsi="Times New Roman"/>
          <w:color w:val="000000"/>
          <w:sz w:val="20"/>
        </w:rPr>
        <w:t xml:space="preserve"> </w:t>
      </w:r>
      <w:r>
        <w:rPr>
          <w:rFonts w:ascii="Times New Roman" w:hAnsi="Times New Roman"/>
          <w:color w:val="000000"/>
          <w:sz w:val="24"/>
        </w:rPr>
        <w:t xml:space="preserve">that is not otherwise prohibited by the Loan Documents), (ii) consent to the institution of, or fail to contest in a timely and appropriate manner, any proceeding or petition described in </w:t>
      </w:r>
      <w:r>
        <w:rPr>
          <w:rFonts w:ascii="Times New Roman" w:hAnsi="Times New Roman"/>
          <w:color w:val="000000"/>
          <w:sz w:val="24"/>
          <w:u w:val="single"/>
        </w:rPr>
        <w:t>Section 7.01(h)</w:t>
      </w:r>
      <w:r>
        <w:rPr>
          <w:rFonts w:ascii="Times New Roman" w:hAnsi="Times New Roman"/>
          <w:color w:val="000000"/>
          <w:sz w:val="24"/>
        </w:rPr>
        <w:t>, (iii) apply for or consent to the appointment of a receiver, trustee, examiner,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custodian, sequestrator, conservator, interim receiver, interim examiner, liquidator, receiver and manager, administrative receiver, administrator, insolvency practitioner or similar official for Holdings, the Borrower or any Material Subsidiary or for a material part of its assets (but excluding any such application or consent (other than under the Bankruptcy Code) the sole purpose of which is to effect a transaction permitted under </w:t>
      </w:r>
      <w:r>
        <w:rPr>
          <w:rFonts w:ascii="Times New Roman" w:hAnsi="Times New Roman"/>
          <w:color w:val="000000"/>
          <w:sz w:val="24"/>
          <w:u w:val="single"/>
        </w:rPr>
        <w:t>Section 6.03(a)</w:t>
      </w:r>
      <w:r>
        <w:rPr>
          <w:rFonts w:ascii="Times New Roman" w:hAnsi="Times New Roman"/>
          <w:color w:val="000000"/>
          <w:sz w:val="20"/>
        </w:rPr>
        <w:t xml:space="preserve"> </w:t>
      </w:r>
      <w:r>
        <w:rPr>
          <w:rFonts w:ascii="Times New Roman" w:hAnsi="Times New Roman"/>
          <w:color w:val="000000"/>
          <w:sz w:val="24"/>
        </w:rPr>
        <w:t>that is not otherwise prohibited by the Loan Documents), (iv) file an answer admitting the material allegations of a petition filed against it in any such proceeding or (v) make a general assignment for the benefit of creditors;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one or more enforceable judgments for the payment of money in an aggregate amount in excess of $7,500,000 (to the extent not covered by insurance or another creditworthy (as reasonably determined by the Administrative Agent) indemnitor, and as to which such insurer or indemnitor has not denied coverage) shall be rendered against Holdings, the Borrower, any Material Subsidiary or any combination thereof and the same shall remain undischarged, unvacated, unbonded or unstayed for a period of sixty (60) consecutive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an ERISA Event occurs that has resulted or would be expected, individually or together with any other ERISA Event(s) in the aggregate to result in a Material Adverse Effect, or the imposition of a Lien under Section 303(k) of ERISA on any Collateral that has resulted or would be expected, individually or together with any such other Liens in the aggregate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there shall cease to be, or shall be asserted by any Loan Party not to be (other than in an informational notice), a valid and perfected (if and to the extent required to be perfected under the Loan Documents) Lien on any material portion of the Collateral, with the priority required by the applicable Security Documents, except (i) as a result of the release of a Loan Party or the sale or other disposition of the applicable Collateral to a Person that is not a Loan Party in a transaction permitted under the Loan Documents, (ii) as a result of the Collateral Agent’s failure to (A) maintain possession of any stock certificates, promissory notes or other instruments delivered to it under the Security Documents or (B) file Uniform Commercial Code amendment or continuation financing statements or (iii) as to Collateral consisting of real property to the extent that such losses are covered by a lender’s title insurance policy and such insurer has not denied coverage or (iv) as a result of acts or omissions of the Collateral Agent, the Administrative Agent or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any material provision of any Loan Document or any Guarantee of the Loan Document Obligations shall for any reason be asserted by any Loan Party not to be a legal, valid and binding obligation of any Loan Party thereto other than as expressly permitted hereunder or thereunder;</w:t>
      </w:r>
    </w:p>
    <w:p>
      <w:pPr>
        <w:pStyle w:val="TextBody"/>
        <w:bidi w:val="0"/>
        <w:spacing w:before="0" w:after="240"/>
        <w:jc w:val="both"/>
        <w:rPr>
          <w:rFonts w:ascii="Times New Roman" w:hAnsi="Times New Roman"/>
          <w:sz w:val="20"/>
        </w:rPr>
      </w:pPr>
      <w:r>
        <w:rPr>
          <w:rFonts w:ascii="Times New Roman" w:hAnsi="Times New Roman"/>
          <w:color w:val="000000"/>
          <w:sz w:val="24"/>
        </w:rPr>
        <w:t>(n) any material portion of the Guarantees of the Loan Document Obligations pursuant to the Guarantee Agreement, taken as a whole, shall cease to be in full force and effect (in each case, other than the occurrence of the Termination Date or otherwise in accordance with the terms of the Loan Documents including as a result of transactions permitted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(o) a Change in Control shall occur;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any failure by Wavedash or Vivid Seats Asia Pacific to observe or perform any covenant, condition or agreement contained in the Wavedash Guarantee or the Wavedash Share Pledge, as applicable, and (except with respect to Sections 2.05 and 5.02 of the Wavedash Guarantee or Section 4.2 of the Wavedash Share Pledge) such failure shall continue unremedied for a period of thirty (30) days;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then, and in every such event (other than an event with respect to Holdings or the Borrower described in </w:t>
      </w:r>
      <w:r>
        <w:rPr>
          <w:rFonts w:ascii="Times New Roman" w:hAnsi="Times New Roman"/>
          <w:color w:val="000000"/>
          <w:sz w:val="24"/>
          <w:u w:val="single"/>
        </w:rPr>
        <w:t>Section 7.01(h)</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w:t>
      </w:r>
      <w:r>
        <w:rPr>
          <w:rFonts w:ascii="Times New Roman" w:hAnsi="Times New Roman"/>
          <w:color w:val="000000"/>
          <w:sz w:val="24"/>
        </w:rPr>
        <w:t>), and at any time thereafter during the continuance of such event, the Administrative Agent at the request of the Required Lenders (</w:t>
      </w:r>
      <w:r>
        <w:rPr>
          <w:rFonts w:ascii="Times New Roman" w:hAnsi="Times New Roman"/>
          <w:color w:val="000000"/>
          <w:sz w:val="24"/>
          <w:u w:val="single"/>
        </w:rPr>
        <w:t xml:space="preserve">provided </w:t>
      </w:r>
      <w:r>
        <w:rPr>
          <w:rFonts w:ascii="Times New Roman" w:hAnsi="Times New Roman"/>
          <w:color w:val="000000"/>
          <w:sz w:val="24"/>
        </w:rPr>
        <w:t xml:space="preserve">that the following actions may not be taken (A) in the case of an Event of Default under </w:t>
      </w:r>
      <w:r>
        <w:rPr>
          <w:rFonts w:ascii="Times New Roman" w:hAnsi="Times New Roman"/>
          <w:color w:val="000000"/>
          <w:sz w:val="24"/>
          <w:u w:val="single"/>
        </w:rPr>
        <w:t>Section 7.01(d)(ii)</w:t>
      </w:r>
      <w:r>
        <w:rPr>
          <w:rFonts w:ascii="Times New Roman" w:hAnsi="Times New Roman"/>
          <w:color w:val="000000"/>
          <w:sz w:val="24"/>
        </w:rPr>
        <w:t xml:space="preserve">, until the ability to exercise the Cure Right under </w:t>
      </w:r>
      <w:r>
        <w:rPr>
          <w:rFonts w:ascii="Times New Roman" w:hAnsi="Times New Roman"/>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 xml:space="preserve">has expired (but may be taken as soon as the ability to exercise the Cure Right has expired and it has not been so exercised or to the extent that Holdings has confirmed in writing that it does not intend to provide the Cure Amount) and (B) in the case of an Event of Default under </w:t>
      </w:r>
      <w:r>
        <w:rPr>
          <w:rFonts w:ascii="Times New Roman" w:hAnsi="Times New Roman"/>
          <w:color w:val="000000"/>
          <w:sz w:val="24"/>
          <w:u w:val="single"/>
        </w:rPr>
        <w:t>Section 7.01(d)(i)</w:t>
      </w:r>
      <w:r>
        <w:rPr>
          <w:rFonts w:ascii="Times New Roman" w:hAnsi="Times New Roman"/>
          <w:color w:val="000000"/>
          <w:sz w:val="24"/>
        </w:rPr>
        <w:t xml:space="preserve">, if the express conditions in the last proviso contained in </w:t>
      </w:r>
      <w:r>
        <w:rPr>
          <w:rFonts w:ascii="Times New Roman" w:hAnsi="Times New Roman"/>
          <w:color w:val="000000"/>
          <w:sz w:val="24"/>
          <w:u w:val="single"/>
        </w:rPr>
        <w:t>Section 7.01(d)(i)</w:t>
      </w:r>
      <w:r>
        <w:rPr>
          <w:rFonts w:ascii="Times New Roman" w:hAnsi="Times New Roman"/>
          <w:color w:val="000000"/>
          <w:sz w:val="20"/>
        </w:rPr>
        <w:t xml:space="preserve"> </w:t>
      </w:r>
      <w:r>
        <w:rPr>
          <w:rFonts w:ascii="Times New Roman" w:hAnsi="Times New Roman"/>
          <w:color w:val="000000"/>
          <w:sz w:val="24"/>
        </w:rPr>
        <w:t xml:space="preserve">have been satisfied) shall, by notice to the Borrower, take any or all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(iii) demand the Borrower deposit cash collateral with the Administrative Agent as contemplated by </w:t>
      </w:r>
      <w:r>
        <w:rPr>
          <w:rFonts w:ascii="Times New Roman" w:hAnsi="Times New Roman"/>
          <w:color w:val="000000"/>
          <w:sz w:val="24"/>
          <w:u w:val="single"/>
        </w:rPr>
        <w:t>Section 2.05(j)</w:t>
      </w:r>
      <w:r>
        <w:rPr>
          <w:rFonts w:ascii="Times New Roman" w:hAnsi="Times New Roman"/>
          <w:color w:val="000000"/>
          <w:sz w:val="20"/>
        </w:rPr>
        <w:t xml:space="preserve"> </w:t>
      </w:r>
      <w:r>
        <w:rPr>
          <w:rFonts w:ascii="Times New Roman" w:hAnsi="Times New Roman"/>
          <w:color w:val="000000"/>
          <w:sz w:val="24"/>
        </w:rPr>
        <w:t xml:space="preserve">in the aggregate LC Exposure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w:t>
      </w:r>
      <w:r>
        <w:rPr>
          <w:rFonts w:ascii="Times New Roman" w:hAnsi="Times New Roman"/>
          <w:color w:val="000000"/>
          <w:sz w:val="24"/>
          <w:u w:val="single"/>
        </w:rPr>
        <w:t>Section 7.01(h)</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w:t>
      </w:r>
      <w:r>
        <w:rPr>
          <w:rFonts w:ascii="Times New Roman" w:hAnsi="Times New Roman"/>
          <w:color w:val="000000"/>
          <w:sz w:val="24"/>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7.02 </w:t>
      </w:r>
      <w:r>
        <w:rPr>
          <w:rFonts w:ascii="Times New Roman" w:hAnsi="Times New Roman"/>
          <w:b w:val="false"/>
          <w:color w:val="000000"/>
          <w:sz w:val="24"/>
          <w:u w:val="single"/>
        </w:rPr>
        <w:t>Right to Cure</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Notwithstanding anything to the contrary contained in </w:t>
      </w:r>
      <w:r>
        <w:rPr>
          <w:rFonts w:ascii="Times New Roman" w:hAnsi="Times New Roman"/>
          <w:color w:val="000000"/>
          <w:sz w:val="24"/>
          <w:u w:val="single"/>
        </w:rPr>
        <w:t>Section 7.01</w:t>
      </w:r>
      <w:r>
        <w:rPr>
          <w:rFonts w:ascii="Times New Roman" w:hAnsi="Times New Roman"/>
          <w:color w:val="000000"/>
          <w:sz w:val="24"/>
        </w:rPr>
        <w:t xml:space="preserve">, in the event that Holdings and its Restricted Subsidiaries fail to comply with the requirements of the Financial Performance Covenant as of the last day of any applicable fiscal quarter of Holdings, at any time after the beginning of such fiscal quarter until the expiration of the fifteenth (15th) Business Day subsequent to the date on which the financial statements with respect to such fiscal quarter (or the fiscal year ended on the last day of such fiscal quarter) are required to be delivered pursuant to </w:t>
      </w:r>
      <w:r>
        <w:rPr>
          <w:rFonts w:ascii="Times New Roman" w:hAnsi="Times New Roman"/>
          <w:color w:val="000000"/>
          <w:sz w:val="24"/>
          <w:u w:val="single"/>
        </w:rPr>
        <w:t>Section 5.01(a)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as applicable (the “</w:t>
      </w:r>
      <w:r>
        <w:rPr>
          <w:rFonts w:ascii="Times New Roman" w:hAnsi="Times New Roman"/>
          <w:color w:val="000000"/>
          <w:sz w:val="24"/>
          <w:u w:val="single"/>
        </w:rPr>
        <w:t>Cure Termination Date</w:t>
      </w:r>
      <w:r>
        <w:rPr>
          <w:rFonts w:ascii="Times New Roman" w:hAnsi="Times New Roman"/>
          <w:color w:val="000000"/>
          <w:sz w:val="20"/>
        </w:rPr>
        <w:t>”</w:t>
      </w:r>
      <w:r>
        <w:rPr>
          <w:rFonts w:ascii="Times New Roman" w:hAnsi="Times New Roman"/>
          <w:color w:val="000000"/>
          <w:sz w:val="24"/>
        </w:rPr>
        <w:t>), Holdings shall have the right to issue Qualified Equity Interests for cash or otherwise receive cash contributions to the capital of Holdings as cash common equity or other Qualified Equity Interests (collectively, the “</w:t>
      </w:r>
      <w:r>
        <w:rPr>
          <w:rFonts w:ascii="Times New Roman" w:hAnsi="Times New Roman"/>
          <w:color w:val="000000"/>
          <w:sz w:val="24"/>
          <w:u w:val="single"/>
        </w:rPr>
        <w:t>Cure Right</w:t>
      </w:r>
      <w:r>
        <w:rPr>
          <w:rFonts w:ascii="Times New Roman" w:hAnsi="Times New Roman"/>
          <w:color w:val="000000"/>
          <w:sz w:val="20"/>
        </w:rPr>
        <w:t>”</w:t>
      </w:r>
      <w:r>
        <w:rPr>
          <w:rFonts w:ascii="Times New Roman" w:hAnsi="Times New Roman"/>
          <w:color w:val="000000"/>
          <w:sz w:val="24"/>
        </w:rPr>
        <w:t>), and upon the receipt by Holdings of the Net Proceeds of such issuance (the “</w:t>
      </w:r>
      <w:r>
        <w:rPr>
          <w:rFonts w:ascii="Times New Roman" w:hAnsi="Times New Roman"/>
          <w:color w:val="000000"/>
          <w:sz w:val="24"/>
          <w:u w:val="single"/>
        </w:rPr>
        <w:t>Cure Amount</w:t>
      </w:r>
      <w:r>
        <w:rPr>
          <w:rFonts w:ascii="Times New Roman" w:hAnsi="Times New Roman"/>
          <w:color w:val="000000"/>
          <w:sz w:val="20"/>
        </w:rPr>
        <w:t>”</w:t>
      </w:r>
      <w:r>
        <w:rPr>
          <w:rFonts w:ascii="Times New Roman" w:hAnsi="Times New Roman"/>
          <w:color w:val="000000"/>
          <w:sz w:val="24"/>
        </w:rPr>
        <w:t>) pursuant to the exercise by Holdings of such Cure Right the Financial Performance Covenant shall be recalculated giving effect to the following pro forma adjustment:</w:t>
      </w:r>
    </w:p>
    <w:p>
      <w:pPr>
        <w:pStyle w:val="TextBody"/>
        <w:bidi w:val="0"/>
        <w:jc w:val="center"/>
        <w:rPr>
          <w:rFonts w:ascii="Times New Roman" w:hAnsi="Times New Roman"/>
          <w:color w:val="000000"/>
          <w:sz w:val="24"/>
        </w:rPr>
      </w:pPr>
      <w:r>
        <w:rPr>
          <w:rFonts w:ascii="Times New Roman" w:hAnsi="Times New Roman"/>
          <w:color w:val="000000"/>
          <w:sz w:val="24"/>
        </w:rPr>
        <w:t>169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if, after giving effect to the foregoing pro forma adjustment (without giving effect to (x) any repayment of any Indebtedness with any portion of the Cure Amount or (y) any portion of the Cure Amount on the balance sheet of Holdings and its Restricted Subsidiaries, in each case, with respect to such fiscal quarter only), Holdings and its Restricted Subsidiaries shall then be in compliance with the requirements of the Financial Performance Covenant, Holdings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or event of default of the Financial Performance Covenant that had occurred shall be deemed cured for the purposes of this Agreement and the other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provided </w:t>
      </w:r>
      <w:r>
        <w:rPr>
          <w:rFonts w:ascii="Times New Roman" w:hAnsi="Times New Roman"/>
          <w:color w:val="000000"/>
          <w:sz w:val="24"/>
        </w:rPr>
        <w:t>that the Borrower shall have notified the Administrative Agent of the exercise of such Cure Right within five (5) Business Days of the issuance of the relevant Qualified Equity Interests for cash or the receipt of the cash contributions by Holdings.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Notwithstanding anything herein to the contrary, (i) in each four consecutive fiscal quarter period of the Borrower there shall be at least two (2) fiscal quarters in which the Cure Right is not exercised, (ii) during the term of this Agreement, the Cure Right shall not be exercised more than five (5) times, (iii) for purposes of this </w:t>
      </w:r>
      <w:r>
        <w:rPr>
          <w:rFonts w:ascii="Times New Roman" w:hAnsi="Times New Roman"/>
          <w:color w:val="000000"/>
          <w:sz w:val="24"/>
          <w:u w:val="single"/>
        </w:rPr>
        <w:t>Section 7.02</w:t>
      </w:r>
      <w:r>
        <w:rPr>
          <w:rFonts w:ascii="Times New Roman" w:hAnsi="Times New Roman"/>
          <w:color w:val="000000"/>
          <w:sz w:val="24"/>
        </w:rPr>
        <w:t xml:space="preserve">, the Cure Amount shall be no greater than the amount required for purposes of complying with the Financial Performance Covenant and any amounts in excess thereof shall not be deemed to be a Cure Amount and (iv) neither the Administrative Agent nor any Lender or Secured Party shall exercise any remedy (including acceleration) under the Loan Documents or applicable law on the basis of an Event of Default caused by the failure to comply with </w:t>
      </w:r>
      <w:r>
        <w:rPr>
          <w:rFonts w:ascii="Times New Roman" w:hAnsi="Times New Roman"/>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 xml:space="preserve">until either (x) after Holding’s ability to cure has lapsed and Holdings has not exercised the Cure Right or (y) Holdings has confirmed in writing that it does not intend to provide the Cure Amount, and, if the Borrower shall have delivered to the Administrative Agent a notice of its intent to cure a breach or default under </w:t>
      </w:r>
      <w:r>
        <w:rPr>
          <w:rFonts w:ascii="Times New Roman" w:hAnsi="Times New Roman"/>
          <w:color w:val="000000"/>
          <w:sz w:val="24"/>
          <w:u w:val="single"/>
        </w:rPr>
        <w:t>Section 7.01(d)(ii)</w:t>
      </w:r>
      <w:r>
        <w:rPr>
          <w:rFonts w:ascii="Times New Roman" w:hAnsi="Times New Roman"/>
          <w:color w:val="000000"/>
          <w:sz w:val="20"/>
        </w:rPr>
        <w:t xml:space="preserve"> </w:t>
      </w:r>
      <w:r>
        <w:rPr>
          <w:rFonts w:ascii="Times New Roman" w:hAnsi="Times New Roman"/>
          <w:color w:val="000000"/>
          <w:sz w:val="24"/>
        </w:rPr>
        <w:t xml:space="preserve">prior to the Cure Termination Date, no Event of Default under </w:t>
      </w:r>
      <w:r>
        <w:rPr>
          <w:rFonts w:ascii="Times New Roman" w:hAnsi="Times New Roman"/>
          <w:color w:val="000000"/>
          <w:sz w:val="24"/>
          <w:u w:val="single"/>
        </w:rPr>
        <w:t>Section 7.01(d)(ii)</w:t>
      </w:r>
      <w:r>
        <w:rPr>
          <w:rFonts w:ascii="Times New Roman" w:hAnsi="Times New Roman"/>
          <w:color w:val="000000"/>
          <w:sz w:val="20"/>
        </w:rPr>
        <w:t xml:space="preserve"> </w:t>
      </w:r>
      <w:r>
        <w:rPr>
          <w:rFonts w:ascii="Times New Roman" w:hAnsi="Times New Roman"/>
          <w:color w:val="000000"/>
          <w:sz w:val="24"/>
        </w:rPr>
        <w:t xml:space="preserve">shall then be deemed to be in existence,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if the Cure Amount is not received by Holdings on or prior to the Cure Termination Date, such Event of Default shall be deemed to arise. Notwithstanding any other provision in this Agreement to the contrary, the Cure Amount received pursuant to any exercise of the Cure Right shall not be included in the calculation of Consolidated EBITDA or any incurrence ratio test for purposes of determining any available basket under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of this Agreement or for any other purpose under this Agreement. For the avoidance of doubt, no Cure Amounts shall be applied to reduce the Indebtedness of Holdings and its Restricted Subsidiaries on a Pro Forma Basis for purposes of determining compliance with the Financial Performance Covenant for the fiscal quarter in which such Cure Right was made and there shall not have been a breach of any covenant under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of this Agreement by reason of having no longer included such Cure Amount in any basket during the relevant period.</w:t>
      </w:r>
    </w:p>
    <w:p>
      <w:pPr>
        <w:pStyle w:val="TextBody"/>
        <w:bidi w:val="0"/>
        <w:jc w:val="center"/>
        <w:rPr>
          <w:rFonts w:ascii="Times New Roman" w:hAnsi="Times New Roman"/>
          <w:color w:val="000000"/>
          <w:sz w:val="24"/>
        </w:rPr>
      </w:pPr>
      <w:r>
        <w:rPr>
          <w:rFonts w:ascii="Times New Roman" w:hAnsi="Times New Roman"/>
          <w:color w:val="000000"/>
          <w:sz w:val="24"/>
        </w:rPr>
        <w:t>170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the foregoing, if an Event of Default would have occurred and be continuing had Holdings not had the option to exercise the Cure Right and not exercised such Cure Right pursuant to the foregoing provisions, the Borrower shall not be permitted, until such Event of Default is cured in accordance with the terms of </w:t>
      </w:r>
      <w:r>
        <w:rPr>
          <w:rFonts w:ascii="Times New Roman" w:hAnsi="Times New Roman"/>
          <w:color w:val="000000"/>
          <w:sz w:val="24"/>
          <w:u w:val="single"/>
        </w:rPr>
        <w:t>Section 7.02(a)</w:t>
      </w:r>
      <w:r>
        <w:rPr>
          <w:rFonts w:ascii="Times New Roman" w:hAnsi="Times New Roman"/>
          <w:color w:val="000000"/>
          <w:sz w:val="20"/>
        </w:rPr>
        <w:t xml:space="preserve"> </w:t>
      </w:r>
      <w:r>
        <w:rPr>
          <w:rFonts w:ascii="Times New Roman" w:hAnsi="Times New Roman"/>
          <w:color w:val="000000"/>
          <w:sz w:val="24"/>
        </w:rPr>
        <w:t xml:space="preserve">or waived in accordance with </w:t>
      </w:r>
      <w:r>
        <w:rPr>
          <w:rFonts w:ascii="Times New Roman" w:hAnsi="Times New Roman"/>
          <w:color w:val="000000"/>
          <w:sz w:val="24"/>
          <w:u w:val="single"/>
        </w:rPr>
        <w:t>Section 9.02</w:t>
      </w:r>
      <w:r>
        <w:rPr>
          <w:rFonts w:ascii="Times New Roman" w:hAnsi="Times New Roman"/>
          <w:color w:val="000000"/>
          <w:sz w:val="24"/>
        </w:rPr>
        <w:t>, to make any Borrowings or request any other extensions of credit under the Revolving Commitments (including any issuance of any Letter of Credit but excluding the continuation of any outstanding Revolving Loans and amendments of any outstanding Letters of Credit (not constituting an increase or extension)).</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7.03 </w:t>
      </w:r>
      <w:r>
        <w:rPr>
          <w:rFonts w:ascii="Times New Roman" w:hAnsi="Times New Roman"/>
          <w:b w:val="false"/>
          <w:color w:val="000000"/>
          <w:sz w:val="24"/>
          <w:u w:val="single"/>
        </w:rPr>
        <w:t>Application of Proceeds</w:t>
      </w:r>
      <w:r>
        <w:rPr>
          <w:rFonts w:ascii="Times New Roman" w:hAnsi="Times New Roman"/>
          <w:b w:val="false"/>
          <w:color w:val="000000"/>
          <w:sz w:val="24"/>
        </w:rPr>
        <w:t>. Subject to the terms of any applicable Intercreditor Agreement, the Collateral Agent shall apply the proceeds of any collection or sale of Collateral, including any Collateral consisting of cash, as follows:</w:t>
      </w:r>
    </w:p>
    <w:p>
      <w:pPr>
        <w:pStyle w:val="TextBody"/>
        <w:bidi w:val="0"/>
        <w:spacing w:before="0" w:after="240"/>
        <w:jc w:val="both"/>
        <w:rPr>
          <w:rFonts w:ascii="Times New Roman" w:hAnsi="Times New Roman"/>
          <w:sz w:val="20"/>
        </w:rPr>
      </w:pPr>
      <w:r>
        <w:rPr>
          <w:rFonts w:ascii="Times New Roman" w:hAnsi="Times New Roman"/>
          <w:color w:val="000000"/>
          <w:sz w:val="24"/>
        </w:rPr>
        <w:t>FIRST, to the payment of all costs and expenses incurred by the Administrative Agent or</w:t>
      </w:r>
      <w:r>
        <w:rPr>
          <w:rFonts w:ascii="Times New Roman" w:hAnsi="Times New Roman"/>
          <w:caps/>
          <w:color w:val="000000"/>
          <w:sz w:val="20"/>
        </w:rPr>
        <w:t xml:space="preserve"> </w:t>
      </w:r>
      <w:r>
        <w:rPr>
          <w:rFonts w:ascii="Times New Roman" w:hAnsi="Times New Roman"/>
          <w:color w:val="000000"/>
          <w:sz w:val="24"/>
        </w:rPr>
        <w:t>Collateral Agent in connection with such collection or sale or otherwise in connection with this Agreement, any other Loan Document or any of the Secured Obligations, including all fees, indemnities and other amounts payable to the Administrative Agent or</w:t>
      </w:r>
      <w:r>
        <w:rPr>
          <w:rFonts w:ascii="Times New Roman" w:hAnsi="Times New Roman"/>
          <w:caps/>
          <w:color w:val="000000"/>
          <w:sz w:val="20"/>
        </w:rPr>
        <w:t xml:space="preserve"> </w:t>
      </w:r>
      <w:r>
        <w:rPr>
          <w:rFonts w:ascii="Times New Roman" w:hAnsi="Times New Roman"/>
          <w:color w:val="000000"/>
          <w:sz w:val="24"/>
        </w:rPr>
        <w:t>Collateral Agent in connection with the Loan Documents or any of the Secured Obligations and all court costs and the fees and expenses of its agents and legal counsel, the repayment of all advances made by the Administrative Agent or</w:t>
      </w:r>
      <w:r>
        <w:rPr>
          <w:rFonts w:ascii="Times New Roman" w:hAnsi="Times New Roman"/>
          <w:caps/>
          <w:color w:val="000000"/>
          <w:sz w:val="20"/>
        </w:rPr>
        <w:t xml:space="preserve"> </w:t>
      </w:r>
      <w:r>
        <w:rPr>
          <w:rFonts w:ascii="Times New Roman" w:hAnsi="Times New Roman"/>
          <w:color w:val="000000"/>
          <w:sz w:val="24"/>
        </w:rPr>
        <w:t>Collateral Agent hereunder or under any other Loan Document on behalf of any Loan Party and any other costs or expenses incurred in connection with the exercise of any right or remedy hereunder or under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SECOND, to the payment in full of the Secured Obligations that constitute First Lien Indebtedness (the amounts so applied to be distributed among the Secured Parties pro rata in accordance with the amounts of such Secured Obligations owed to them on the date of any such distribution); </w:t>
      </w:r>
      <w:r>
        <w:rPr>
          <w:rFonts w:ascii="Times New Roman" w:hAnsi="Times New Roman"/>
          <w:color w:val="000000"/>
          <w:sz w:val="24"/>
          <w:u w:val="single"/>
        </w:rPr>
        <w:t xml:space="preserve">provided </w:t>
      </w:r>
      <w:r>
        <w:rPr>
          <w:rFonts w:ascii="Times New Roman" w:hAnsi="Times New Roman"/>
          <w:color w:val="000000"/>
          <w:sz w:val="24"/>
        </w:rPr>
        <w:t xml:space="preserve">that such payment shall be applied (u) </w:t>
      </w:r>
      <w:r>
        <w:rPr>
          <w:rFonts w:ascii="Times New Roman" w:hAnsi="Times New Roman"/>
          <w:i/>
          <w:color w:val="000000"/>
          <w:sz w:val="24"/>
          <w:u w:val="single"/>
        </w:rPr>
        <w:t>first</w:t>
      </w:r>
      <w:r>
        <w:rPr>
          <w:rFonts w:ascii="Times New Roman" w:hAnsi="Times New Roman"/>
          <w:color w:val="000000"/>
          <w:sz w:val="24"/>
        </w:rPr>
        <w:t xml:space="preserve">, to the portion of such Secured Obligations constituting accrued and unpaid fees, indemnities and other amounts (other than principal and interest) payable to (i) the Revolving Lenders and Issuing Banks in respect of the Initial Revolving Loans and (ii) the Lenders in respect of Additional First Out Debt in respect of such Additional First Out Debt incurred pursuant to the terms of this Agreement, (v) </w:t>
      </w:r>
      <w:r>
        <w:rPr>
          <w:rFonts w:ascii="Times New Roman" w:hAnsi="Times New Roman"/>
          <w:i/>
          <w:color w:val="000000"/>
          <w:sz w:val="24"/>
          <w:u w:val="single"/>
        </w:rPr>
        <w:t>second</w:t>
      </w:r>
      <w:r>
        <w:rPr>
          <w:rFonts w:ascii="Times New Roman" w:hAnsi="Times New Roman"/>
          <w:color w:val="000000"/>
          <w:sz w:val="24"/>
        </w:rPr>
        <w:t xml:space="preserve">, to the portion of such Secured Obligations constituting such accrued and unpaid interest in respect of (i) the Initial Revolving Loans and (ii) Additional First Out Debt, (w) </w:t>
      </w:r>
      <w:r>
        <w:rPr>
          <w:rFonts w:ascii="Times New Roman" w:hAnsi="Times New Roman"/>
          <w:i/>
          <w:color w:val="000000"/>
          <w:sz w:val="24"/>
          <w:u w:val="single"/>
        </w:rPr>
        <w:t>third</w:t>
      </w:r>
      <w:r>
        <w:rPr>
          <w:rFonts w:ascii="Times New Roman" w:hAnsi="Times New Roman"/>
          <w:color w:val="000000"/>
          <w:sz w:val="24"/>
        </w:rPr>
        <w:t xml:space="preserve">, to all other Secured Obligations payable to (i) the Revolving Lenders and Issuing Banks (including, with respect to any undrawn Letter of Credit, an amount equal to the amount of cash collateral required to be deposited in respect thereof by the terms herein) and (ii) the Lenders in respect of Additional First Out Debt in respect of such Additional First Out Debt incurred pursuant to the terms of this Agreement, (x) </w:t>
      </w:r>
      <w:r>
        <w:rPr>
          <w:rFonts w:ascii="Times New Roman" w:hAnsi="Times New Roman"/>
          <w:i/>
          <w:color w:val="000000"/>
          <w:sz w:val="24"/>
          <w:u w:val="single"/>
        </w:rPr>
        <w:t>fourth</w:t>
      </w:r>
      <w:r>
        <w:rPr>
          <w:rFonts w:ascii="Times New Roman" w:hAnsi="Times New Roman"/>
          <w:color w:val="000000"/>
          <w:sz w:val="24"/>
        </w:rPr>
        <w:t xml:space="preserve">, to the portion of such Secured Obligations constituting accrued and unpaid fees, indemnities and other amounts (other than principal and interest) payable to the Lenders in respect of the Additional Second Out Debt, (y) </w:t>
      </w:r>
      <w:r>
        <w:rPr>
          <w:rFonts w:ascii="Times New Roman" w:hAnsi="Times New Roman"/>
          <w:i/>
          <w:color w:val="000000"/>
          <w:sz w:val="24"/>
          <w:u w:val="single"/>
        </w:rPr>
        <w:t>fifth</w:t>
      </w:r>
      <w:r>
        <w:rPr>
          <w:rFonts w:ascii="Times New Roman" w:hAnsi="Times New Roman"/>
          <w:color w:val="000000"/>
          <w:sz w:val="24"/>
        </w:rPr>
        <w:t xml:space="preserve">, to the portion of such Secured Obligations constituting such accrued and unpaid interest in respect of the Additional Second Out Debt and (z) </w:t>
      </w:r>
      <w:r>
        <w:rPr>
          <w:rFonts w:ascii="Times New Roman" w:hAnsi="Times New Roman"/>
          <w:i/>
          <w:color w:val="000000"/>
          <w:sz w:val="24"/>
          <w:u w:val="single"/>
        </w:rPr>
        <w:t>sixth</w:t>
      </w:r>
      <w:r>
        <w:rPr>
          <w:rFonts w:ascii="Times New Roman" w:hAnsi="Times New Roman"/>
          <w:color w:val="000000"/>
          <w:sz w:val="24"/>
        </w:rPr>
        <w:t>, to all other Secured Obligations payable in respect of the Additional Second Out Debt;</w:t>
      </w:r>
    </w:p>
    <w:p>
      <w:pPr>
        <w:pStyle w:val="TextBody"/>
        <w:bidi w:val="0"/>
        <w:jc w:val="center"/>
        <w:rPr>
          <w:rFonts w:ascii="Times New Roman" w:hAnsi="Times New Roman"/>
          <w:color w:val="000000"/>
          <w:sz w:val="24"/>
        </w:rPr>
      </w:pPr>
      <w:r>
        <w:rPr>
          <w:rFonts w:ascii="Times New Roman" w:hAnsi="Times New Roman"/>
          <w:color w:val="000000"/>
          <w:sz w:val="24"/>
        </w:rPr>
        <w:t>171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THIRD, to any agent of any other junior secured debt, in accordance with the applicable Intercreditor Agreement;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FOURTH, to the Loan Parties, their successors or assigns, or as a court of competent jurisdiction may otherwise direct.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 In addition, each Secured Party acknowledges and agrees that because of, among other things, their differing rights (including as set forth in this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with regard to the application of proceeds of Collateral or otherwise received on account of the Secured Obligations), each of the Additional First Out Debt, Additional Second Out Debt and Additional Junior Lien Debt are fundamentally different from each other and must be separately classified in any plan of reorganization proposed, confirmed or adopted in an insolvency or liquidation proceeding. To further effectuate the intent of the parties as provided in the immediately preceding sentence, if it is held by a court of competent jurisdiction that the claims of the holders of the any loan class, on the one hand, and the holders of one or more other loan classes, on the other hand, constitute only one secured claim (rather than separate classes of senior and junior secured claims), then the Secured Parties hereby acknowledge and agree that all distributions with respect to the Collateral (or amount otherwise received on account of the Secured Obligations) shall be applied in accordance with this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as if there were separate classes of claims with respect to each loan class. In furtherance of the foregoing, each holder of Additional First Out Debt, Additional Second Out Debt and Additional Junior Lien Debt agrees that it will not propose, support, vote in favor of, or otherwise agree to any Non-Conforming Plan of Reorganization. Without limiting the generality of the foregoing, this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is intended to constitute and shall be deemed to constitute a “subordination agreement” within the meaning of Section 510(a) of the Bankruptcy Code and is intended to be and shall be interpreted to be enforceable to the maximum extent permitted pursuant to applicable nonbankruptcy law, and will continue in full force and effect and be binding upon each of the parties hereto, in any insolvency or liquidation proceeding. Amounts applied pursuant to this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are to be applied, for the avoidance of doubt, in the order required by such clause until the Payment In Full of the applicable Secured Obligations referred to in the applicable clause.</w:t>
      </w:r>
    </w:p>
    <w:p>
      <w:pPr>
        <w:pStyle w:val="TextBody"/>
        <w:bidi w:val="0"/>
        <w:jc w:val="center"/>
        <w:rPr>
          <w:rFonts w:ascii="Times New Roman" w:hAnsi="Times New Roman"/>
          <w:color w:val="000000"/>
          <w:sz w:val="24"/>
        </w:rPr>
      </w:pPr>
      <w:r>
        <w:rPr>
          <w:rFonts w:ascii="Times New Roman" w:hAnsi="Times New Roman"/>
          <w:color w:val="000000"/>
          <w:sz w:val="24"/>
        </w:rPr>
        <w:t>172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VIII</w:t>
      </w:r>
      <w:r>
        <w:rPr>
          <w:rFonts w:ascii="Times New Roman" w:hAnsi="Times New Roman"/>
          <w:b w:val="false"/>
          <w:caps/>
          <w:color w:val="000000"/>
          <w:sz w:val="24"/>
          <w:u w:val="single"/>
        </w:rPr>
        <w:br/>
        <w:t>ADMINISTRATIVE AGENT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8.01 </w:t>
      </w:r>
      <w:r>
        <w:rPr>
          <w:rFonts w:ascii="Times New Roman" w:hAnsi="Times New Roman"/>
          <w:b w:val="false"/>
          <w:color w:val="000000"/>
          <w:sz w:val="24"/>
          <w:u w:val="single"/>
        </w:rPr>
        <w:t>Appointment and Authority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of the Lenders, the Swing Line Lender and each of the Issuing Banks hereby irrevocably appoints the Administrative Agent to act on its behalf as the Administrative Agent, and the Collateral Agent to act on its behalf as the Collateral Agent, in each case hereunder and under the other Loan Documents and authorizes the Administrative Agent and/or the Collateral Agent, as applicable, to take such actions on its behalf and to exercise such powers as are delegated to the Administrative Agent and/or Collateral Agent, as applicable, by the terms hereof or thereof, together with such actions and powers as are reasonably incidental thereto. The provisions of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8.06</w:t>
      </w:r>
      <w:r>
        <w:rPr>
          <w:rFonts w:ascii="Times New Roman" w:hAnsi="Times New Roman"/>
          <w:color w:val="000000"/>
          <w:sz w:val="24"/>
        </w:rPr>
        <w:t>) are solely for the benefit of the Administrative Agent and the Collateral Agent, the Lenders, the Swing Line Lender and the Issuing Banks, and the Borrower shall not have rights as a third party beneficiary of any of such provisions. The Administrative Agent may perform any of its respective duties hereunder by or through its officers, directors, agents, employees or affiliates.</w:t>
      </w:r>
    </w:p>
    <w:p>
      <w:pPr>
        <w:pStyle w:val="TextBody"/>
        <w:bidi w:val="0"/>
        <w:spacing w:before="0" w:after="240"/>
        <w:jc w:val="both"/>
        <w:rPr>
          <w:rFonts w:ascii="Times New Roman" w:hAnsi="Times New Roman"/>
          <w:sz w:val="20"/>
        </w:rPr>
      </w:pPr>
      <w:r>
        <w:rPr>
          <w:rFonts w:ascii="Times New Roman" w:hAnsi="Times New Roman"/>
          <w:color w:val="000000"/>
          <w:sz w:val="24"/>
        </w:rPr>
        <w:t>(b) The Administrative Agent shall also act as the “</w:t>
      </w:r>
      <w:r>
        <w:rPr>
          <w:rFonts w:ascii="Times New Roman" w:hAnsi="Times New Roman"/>
          <w:color w:val="000000"/>
          <w:sz w:val="24"/>
          <w:u w:val="single"/>
        </w:rPr>
        <w:t>Collateral Agent</w:t>
      </w:r>
      <w:r>
        <w:rPr>
          <w:rFonts w:ascii="Times New Roman" w:hAnsi="Times New Roman"/>
          <w:color w:val="000000"/>
          <w:sz w:val="20"/>
        </w:rPr>
        <w:t xml:space="preserve">” </w:t>
      </w:r>
      <w:r>
        <w:rPr>
          <w:rFonts w:ascii="Times New Roman" w:hAnsi="Times New Roman"/>
          <w:color w:val="000000"/>
          <w:sz w:val="24"/>
        </w:rPr>
        <w:t>or, as the case may be, “</w:t>
      </w:r>
      <w:r>
        <w:rPr>
          <w:rFonts w:ascii="Times New Roman" w:hAnsi="Times New Roman"/>
          <w:color w:val="000000"/>
          <w:sz w:val="24"/>
          <w:u w:val="single"/>
        </w:rPr>
        <w:t>Security Trustee</w:t>
      </w:r>
      <w:r>
        <w:rPr>
          <w:rFonts w:ascii="Times New Roman" w:hAnsi="Times New Roman"/>
          <w:color w:val="000000"/>
          <w:sz w:val="20"/>
        </w:rPr>
        <w:t xml:space="preserve">” </w:t>
      </w:r>
      <w:r>
        <w:rPr>
          <w:rFonts w:ascii="Times New Roman" w:hAnsi="Times New Roman"/>
          <w:color w:val="000000"/>
          <w:sz w:val="24"/>
        </w:rPr>
        <w:t>under the Loan Documents, and each of the Lenders and each of the Issuing Banks hereby irrevocably appoints and authorizes the Collateral Agent to act as the agent or, as the case may be, the security trustee, of such Lender and such Issuing Bank, and acknowledges that, to the extent required in any relevant jurisdiction, the Administrative Agent may enter into such security trust or equivalent deeds as the Administrative Agent may consider necessary, in each case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w:t>
        <w:noBreakHyphen/>
        <w:t>agents, sub</w:t>
        <w:noBreakHyphen/>
        <w:t>agents and attorneys</w:t>
        <w:noBreakHyphen/>
        <w:t>in</w:t>
        <w:noBreakHyphen/>
        <w:t xml:space="preserve">fact appointed by the Administrative Agent and Collateral Agent pursuant to </w:t>
      </w:r>
      <w:r>
        <w:rPr>
          <w:rFonts w:ascii="Times New Roman" w:hAnsi="Times New Roman"/>
          <w:color w:val="000000"/>
          <w:sz w:val="24"/>
          <w:u w:val="single"/>
        </w:rPr>
        <w:t>Section 8.05</w:t>
      </w:r>
      <w:r>
        <w:rPr>
          <w:rFonts w:ascii="Times New Roman" w:hAnsi="Times New Roman"/>
          <w:color w:val="000000"/>
          <w:sz w:val="20"/>
        </w:rPr>
        <w:t xml:space="preserve"> </w:t>
      </w:r>
      <w:r>
        <w:rPr>
          <w:rFonts w:ascii="Times New Roman" w:hAnsi="Times New Roman"/>
          <w:color w:val="000000"/>
          <w:sz w:val="24"/>
        </w:rPr>
        <w:t xml:space="preserve">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(including </w:t>
      </w:r>
      <w:r>
        <w:rPr>
          <w:rFonts w:ascii="Times New Roman" w:hAnsi="Times New Roman"/>
          <w:color w:val="000000"/>
          <w:sz w:val="24"/>
          <w:u w:val="single"/>
        </w:rPr>
        <w:t>Section 9.03</w:t>
      </w:r>
      <w:r>
        <w:rPr>
          <w:rFonts w:ascii="Times New Roman" w:hAnsi="Times New Roman"/>
          <w:color w:val="000000"/>
          <w:sz w:val="20"/>
        </w:rPr>
        <w:t xml:space="preserve"> </w:t>
      </w:r>
      <w:r>
        <w:rPr>
          <w:rFonts w:ascii="Times New Roman" w:hAnsi="Times New Roman"/>
          <w:color w:val="000000"/>
          <w:sz w:val="24"/>
        </w:rPr>
        <w:t>as though such co</w:t>
        <w:noBreakHyphen/>
        <w:t>agents, sub</w:t>
        <w:noBreakHyphen/>
        <w:t>agents and attorneys</w:t>
        <w:noBreakHyphen/>
        <w:t>in</w:t>
        <w:noBreakHyphen/>
        <w:t>fact were the “collateral agent” or the “security agent” or the “security trustee” under the Loan Documents) as if set forth in full herein with respect thereto.</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8.02 </w:t>
      </w:r>
      <w:r>
        <w:rPr>
          <w:rFonts w:ascii="Times New Roman" w:hAnsi="Times New Roman"/>
          <w:b w:val="false"/>
          <w:color w:val="000000"/>
          <w:sz w:val="24"/>
          <w:u w:val="single"/>
        </w:rPr>
        <w:t>Rights as a Lender</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Administrative Agent hereunder and without any duty to account therefor to the Lenders.</w:t>
      </w:r>
    </w:p>
    <w:p>
      <w:pPr>
        <w:pStyle w:val="TextBody"/>
        <w:bidi w:val="0"/>
        <w:jc w:val="center"/>
        <w:rPr>
          <w:rFonts w:ascii="Times New Roman" w:hAnsi="Times New Roman"/>
          <w:color w:val="000000"/>
          <w:sz w:val="24"/>
        </w:rPr>
      </w:pPr>
      <w:r>
        <w:rPr>
          <w:rFonts w:ascii="Times New Roman" w:hAnsi="Times New Roman"/>
          <w:color w:val="000000"/>
          <w:sz w:val="24"/>
        </w:rPr>
        <w:t>173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8.03 </w:t>
      </w:r>
      <w:r>
        <w:rPr>
          <w:rFonts w:ascii="Times New Roman" w:hAnsi="Times New Roman"/>
          <w:b w:val="false"/>
          <w:color w:val="000000"/>
          <w:sz w:val="24"/>
          <w:u w:val="single"/>
        </w:rPr>
        <w:t>Exculpatory Provisions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not have any duties or obligations except those expressly set forth herein and in the other Loan Documents. Without limiting the generality of the foregoing,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shall not be subject to any fiduciary or other implied duties, regardless of whether a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color w:val="000000"/>
          <w:sz w:val="24"/>
          <w:u w:val="single"/>
        </w:rPr>
        <w:t xml:space="preserve">provided </w:t>
      </w:r>
      <w:r>
        <w:rPr>
          <w:rFonts w:ascii="Times New Roman" w:hAnsi="Times New Roman"/>
          <w:color w:val="000000"/>
          <w:sz w:val="24"/>
        </w:rPr>
        <w:t>that the Administrative Agent shall not be required to take any action that, in its opinion or the opinion of its counsel, may expose the Administrative Agent to liability or that is contrary to any Loan Document or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shall not, except as expressly set forth herein and in the other Loan Documents, have any duty to disclose, and shall not be liable for the failure to disclose, any information relating to the Borrower or any of their Affiliates that is communicated to or obtained by the Person serving as the Administrative Agent or any of its Affiliates in any capacity;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 xml:space="preserve">and in the last paragraph of </w:t>
      </w:r>
      <w:r>
        <w:rPr>
          <w:rFonts w:ascii="Times New Roman" w:hAnsi="Times New Roman"/>
          <w:color w:val="000000"/>
          <w:sz w:val="24"/>
          <w:u w:val="single"/>
        </w:rPr>
        <w:t>Section 7.01</w:t>
      </w:r>
      <w:r>
        <w:rPr>
          <w:rFonts w:ascii="Times New Roman" w:hAnsi="Times New Roman"/>
          <w:color w:val="000000"/>
          <w:sz w:val="24"/>
        </w:rPr>
        <w:t>) or (ii) in the absence of its own gross negligence or willful misconduct as determined by a court of competent jurisdiction by final and non</w:t>
        <w:noBreakHyphen/>
        <w:t xml:space="preserve">appealable judgment; </w:t>
      </w:r>
      <w:r>
        <w:rPr>
          <w:rFonts w:ascii="Times New Roman" w:hAnsi="Times New Roman"/>
          <w:color w:val="000000"/>
          <w:sz w:val="24"/>
          <w:u w:val="single"/>
        </w:rPr>
        <w:t xml:space="preserve">provided </w:t>
      </w:r>
      <w:r>
        <w:rPr>
          <w:rFonts w:ascii="Times New Roman" w:hAnsi="Times New Roman"/>
          <w:color w:val="000000"/>
          <w:sz w:val="24"/>
        </w:rPr>
        <w:t>that the Administrative Agent shall be deemed not to have knowledge of any Default unless and until written notice describing such Default is given to the Administrative Agent by the Borrower, a Lender or any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or elsewhere herein, other than to confirm receipt of items expressly required to be delivered to the Administrative Agent; and</w:t>
      </w:r>
    </w:p>
    <w:p>
      <w:pPr>
        <w:pStyle w:val="TextBody"/>
        <w:bidi w:val="0"/>
        <w:spacing w:before="0" w:after="240"/>
        <w:jc w:val="both"/>
        <w:rPr>
          <w:rFonts w:ascii="Times New Roman" w:hAnsi="Times New Roman"/>
          <w:sz w:val="20"/>
        </w:rPr>
      </w:pPr>
      <w:r>
        <w:rPr>
          <w:rFonts w:ascii="Times New Roman" w:hAnsi="Times New Roman"/>
          <w:color w:val="000000"/>
          <w:sz w:val="24"/>
        </w:rPr>
        <w:t>(f) shall not be responsible or have any liability for, or have any duty to ascertain, inquire into, monitor the Disqualified Lenders List or identities of, or enforce,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any anti</w:t>
        <w:noBreakHyphen/>
        <w:t>terrorism law, including any programs involving any of the following items relating to or in connection with the Loan Parties or their respective Subsidiaries, any of their respective Affiliates or agents, the Loan Documents or the transactions hereunder: (a) any identity verification procedures, (b) any record keeping, (c) any comparisons with government lists, (d) any customer notices or (e) any other procedures required under any anti</w:t>
        <w:noBreakHyphen/>
        <w:t>terrorism law.</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8.04 </w:t>
      </w:r>
      <w:r>
        <w:rPr>
          <w:rFonts w:ascii="Times New Roman" w:hAnsi="Times New Roman"/>
          <w:b w:val="false"/>
          <w:color w:val="000000"/>
          <w:sz w:val="24"/>
          <w:u w:val="single"/>
        </w:rPr>
        <w:t>Reliance by Administrative Agent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any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The Administrative Agent may rely on the Register and deem and treat the Lender specified in the Register with respect to any amount owing hereunder as the owner thereof for all purposes unless a written notice of assignment, negotiation or transfer thereof shall have been filed with the Administrative Agent.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8.05 </w:t>
      </w:r>
      <w:r>
        <w:rPr>
          <w:rFonts w:ascii="Times New Roman" w:hAnsi="Times New Roman"/>
          <w:b w:val="false"/>
          <w:color w:val="000000"/>
          <w:sz w:val="24"/>
          <w:u w:val="single"/>
        </w:rPr>
        <w:t>Delegation of Duties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may perform any and all of its duties and exercise its rights and powers hereunder or under any other Loan Document by or through any one or more sub</w:t>
        <w:noBreakHyphen/>
        <w:t>agents (which may include such of the Administrative Agent’s affiliates or branches as it deems appropriate) appointed by the Administrative Agent. The Administrative Agent and any such sub</w:t>
        <w:noBreakHyphen/>
        <w:t xml:space="preserve">agent may perform any and all of its duties and exercise its rights and powers by or through their respective Related Parties. The exculpatory provisions of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shall apply to any such sub</w:t>
        <w:noBreakHyphen/>
        <w:t>agent and to the Related Parties of the Administrative Agent and any such sub</w:t>
        <w:noBreakHyphen/>
        <w:t>agent, and shall apply to their respective activities in connection with the syndication of the credit facilities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for herein as well as activities as Administrative Agent. The Administrative Agent shall not be responsible for the negligence or misconduct of any sub agents, except to the extent that a court of competent jurisdiction determines in a final and non</w:t>
        <w:noBreakHyphen/>
        <w:t>appealable judgment that the Administrative Agent acted with gross negligence, bad faith or willful misconduct in the selection of such sub agents.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8.06 </w:t>
      </w:r>
      <w:r>
        <w:rPr>
          <w:rFonts w:ascii="Times New Roman" w:hAnsi="Times New Roman"/>
          <w:b w:val="false"/>
          <w:color w:val="000000"/>
          <w:sz w:val="24"/>
          <w:u w:val="single"/>
        </w:rPr>
        <w:t>Resignation of Administrative Agent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may resign upon fifteen (15) Business Days’ notice to the Lenders (unless such notice is waived by the Required Lenders), the Issuing Banks (unless such notice is waived by the Issuing Banks) and the Borrower (unless an Event of Default exists under 7.01(h) or 7.01(i) or unless such notice is waived by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or trust company with an office in the United States, or an Affiliate of any such bank or trust company with an office in the United States. If no such successor shall have been so appointed by the Required Lenders and shall have accepted such appointment within fifteen (15) Business Days after the retiring Administrative Agent gives notice of its resignation, then the retiring Administrative Agent may (but shall not be obligated to), with the Borrower’s consent (such consent not to be unreasonably withheld or delayed) unless a Specified Event of Default has occurred and is continuing on behalf of 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Times New Roman" w:hAnsi="Times New Roman"/>
          <w:color w:val="000000"/>
          <w:sz w:val="24"/>
          <w:u w:val="single"/>
        </w:rPr>
        <w:t>Resignation Effective Date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if the Administrative Agent shall notify the Borrower and the Lenders that it does not intend to appoint a successor or that no qualifying Person accepted such appointment, then such resignation shall nonetheless become effective in accordance with such notice and the retiring Administrative Agent shall be discharged from all of its duties and obligations hereunder and under the other Loan Documents as set forth in this </w:t>
      </w:r>
      <w:r>
        <w:rPr>
          <w:rFonts w:ascii="Times New Roman" w:hAnsi="Times New Roman"/>
          <w:color w:val="000000"/>
          <w:sz w:val="24"/>
          <w:u w:val="single"/>
        </w:rPr>
        <w:t>Section 8.06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If the Person serving as Administrative Agent is a Defaulting Lender, the Required Lenders and Holdings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fifteen (15) Business Days (the “</w:t>
      </w:r>
      <w:r>
        <w:rPr>
          <w:rFonts w:ascii="Times New Roman" w:hAnsi="Times New Roman"/>
          <w:color w:val="000000"/>
          <w:sz w:val="24"/>
          <w:u w:val="single"/>
        </w:rPr>
        <w:t>Removal Effective Date</w:t>
      </w:r>
      <w:r>
        <w:rPr>
          <w:rFonts w:ascii="Times New Roman" w:hAnsi="Times New Roman"/>
          <w:color w:val="000000"/>
          <w:sz w:val="20"/>
        </w:rPr>
        <w:t>”</w:t>
      </w:r>
      <w:r>
        <w:rPr>
          <w:rFonts w:ascii="Times New Roman" w:hAnsi="Times New Roman"/>
          <w:color w:val="000000"/>
          <w:sz w:val="24"/>
        </w:rPr>
        <w:t xml:space="preserve">), then such removal shall nonetheless become effective in accordance with such notice on the Removal Effective Date and the removed Administrative Agent shall be discharged from all of its duties and obligations hereunder and under the other Loan Documents as set forth in this </w:t>
      </w:r>
      <w:r>
        <w:rPr>
          <w:rFonts w:ascii="Times New Roman" w:hAnsi="Times New Roman"/>
          <w:color w:val="000000"/>
          <w:sz w:val="24"/>
          <w:u w:val="single"/>
        </w:rPr>
        <w:t>Section 8.06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w:t>
      </w:r>
      <w:r>
        <w:rPr>
          <w:rFonts w:ascii="Times New Roman" w:hAnsi="Times New Roman"/>
          <w:color w:val="000000"/>
          <w:sz w:val="24"/>
          <w:u w:val="single"/>
        </w:rPr>
        <w:t>Section 8.06</w:t>
      </w:r>
      <w:r>
        <w:rPr>
          <w:rFonts w:ascii="Times New Roman" w:hAnsi="Times New Roman"/>
          <w:color w:val="000000"/>
          <w:sz w:val="24"/>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shall continue in effect for the benefit of such retiring or removed Administrative Agent, its sub</w:t>
        <w:noBreakHyphen/>
        <w:t>agents and their respective Related Parties in respect of any actions taken or omitted to be taken by any of them while the retiring or removed Administrative Agent was acting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resignation by Barclays Bank PLC as Administrative Agent pursuant to this </w:t>
      </w:r>
      <w:r>
        <w:rPr>
          <w:rFonts w:ascii="Times New Roman" w:hAnsi="Times New Roman"/>
          <w:color w:val="000000"/>
          <w:sz w:val="24"/>
          <w:u w:val="single"/>
        </w:rPr>
        <w:t>Section 8.06</w:t>
      </w:r>
      <w:r>
        <w:rPr>
          <w:rFonts w:ascii="Times New Roman" w:hAnsi="Times New Roman"/>
          <w:color w:val="000000"/>
          <w:sz w:val="20"/>
        </w:rPr>
        <w:t xml:space="preserve"> </w:t>
      </w:r>
      <w:r>
        <w:rPr>
          <w:rFonts w:ascii="Times New Roman" w:hAnsi="Times New Roman"/>
          <w:color w:val="000000"/>
          <w:sz w:val="24"/>
        </w:rPr>
        <w:t>shall also constitute its resignation as the Swing Line Lender, in which case such resigning Swing Line Lender (x) shall not be required to extend any further Swing Line Loans hereunder and (y) shall maintain all of its rights as a Swing Line Lender with respect to any Swing Line Loans extended by it prior to the date of such resignation so long as such Swing Line Loans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Swing Line Lender and (ii) the retiring Swing Line Lender shall be discharged from all of their respective duties and obligations hereunder or under the other Loan Documents.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8.07 </w:t>
      </w:r>
      <w:r>
        <w:rPr>
          <w:rFonts w:ascii="Times New Roman" w:hAnsi="Times New Roman"/>
          <w:b w:val="false"/>
          <w:color w:val="000000"/>
          <w:sz w:val="24"/>
          <w:u w:val="single"/>
        </w:rPr>
        <w:t>Non</w:t>
        <w:noBreakHyphen/>
        <w:t>Reliance on Administrative Agent and Other Lenders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40"/>
        <w:jc w:val="both"/>
        <w:rPr>
          <w:rFonts w:ascii="Times New Roman" w:hAnsi="Times New Roman"/>
          <w:sz w:val="20"/>
        </w:rPr>
      </w:pPr>
      <w:r>
        <w:rPr>
          <w:rFonts w:ascii="Times New Roman" w:hAnsi="Times New Roman"/>
          <w:color w:val="000000"/>
          <w:sz w:val="24"/>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Loan Document and each other document required to be delivered to, or be approved by or satisfactory to, the Administrative Agent or the Lenders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8.08 </w:t>
      </w:r>
      <w:r>
        <w:rPr>
          <w:rFonts w:ascii="Times New Roman" w:hAnsi="Times New Roman"/>
          <w:b w:val="false"/>
          <w:color w:val="000000"/>
          <w:sz w:val="24"/>
          <w:u w:val="single"/>
        </w:rPr>
        <w:t>No Other Duties, Etc</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an Issuing Bank hereunder.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8.09 </w:t>
      </w:r>
      <w:r>
        <w:rPr>
          <w:rFonts w:ascii="Times New Roman" w:hAnsi="Times New Roman"/>
          <w:b w:val="false"/>
          <w:color w:val="000000"/>
          <w:sz w:val="24"/>
          <w:u w:val="single"/>
        </w:rPr>
        <w:t>Administrative Agent May File Proofs of Claim</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the Swing Line Lender and the Administrative Agent under </w:t>
      </w:r>
      <w:r>
        <w:rPr>
          <w:rFonts w:ascii="Times New Roman" w:hAnsi="Times New Roman"/>
          <w:color w:val="000000"/>
          <w:sz w:val="24"/>
          <w:u w:val="single"/>
        </w:rPr>
        <w:t>Sections 2.12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4"/>
        </w:rPr>
        <w:t>) allowed in such judicial proceeding; and</w:t>
      </w:r>
    </w:p>
    <w:p>
      <w:pPr>
        <w:pStyle w:val="TextBody"/>
        <w:bidi w:val="0"/>
        <w:jc w:val="center"/>
        <w:rPr>
          <w:rFonts w:ascii="Times New Roman" w:hAnsi="Times New Roman"/>
          <w:color w:val="000000"/>
          <w:sz w:val="24"/>
        </w:rPr>
      </w:pPr>
      <w:r>
        <w:rPr>
          <w:rFonts w:ascii="Times New Roman" w:hAnsi="Times New Roman"/>
          <w:color w:val="000000"/>
          <w:sz w:val="24"/>
        </w:rPr>
        <w:t>178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olor w:val="000000"/>
          <w:sz w:val="24"/>
          <w:u w:val="single"/>
        </w:rPr>
        <w:t>Sections 2.12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contained herein shall be deemed to authorize the Administrative Agent to authorize or consent to or accept or adopt on behalf of any Lender or any Issuing Bank any plan of reorganization, arrangement, adjustment or composition affecting the Secured Obligations or the rights of any Lender or any Issuing Bank to authorize the Administrative Agent to vote in respect of the claim of any Lender or any Issuing Bank or in any such proceeding.</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8.10 </w:t>
      </w:r>
      <w:r>
        <w:rPr>
          <w:rFonts w:ascii="Times New Roman" w:hAnsi="Times New Roman"/>
          <w:b w:val="false"/>
          <w:color w:val="000000"/>
          <w:sz w:val="24"/>
          <w:u w:val="single"/>
        </w:rPr>
        <w:t>No Waiver; Cumulative Remedies; Enforcement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failure by any Lender, any Issuing Bank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 xml:space="preserve">for the benefit of all the Lenders and the Issuing Banks;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the foregoing shall not prohibit (a) the Administrative Agent from exercising on its own behalf the rights and remedies that inure to its benefit (solely in its capacity as Administrative Agent) hereunder and under the other Loan Documents, (b) the Issuing Banks or the Swing Line Lender from exercising the rights and remedies that inure to its benefit (solely in its capacity as Issuing Bank or the Swing Line Lender, as the case may be) hereunder and under the other Loan Documents, (c) any Lender from exercising setoff rights in accordance with </w:t>
      </w:r>
      <w:r>
        <w:rPr>
          <w:rFonts w:ascii="Times New Roman" w:hAnsi="Times New Roman"/>
          <w:color w:val="000000"/>
          <w:sz w:val="24"/>
          <w:u w:val="single"/>
        </w:rPr>
        <w:t>Section 9.08</w:t>
      </w:r>
      <w:r>
        <w:rPr>
          <w:rFonts w:ascii="Times New Roman" w:hAnsi="Times New Roman"/>
          <w:color w:val="000000"/>
          <w:sz w:val="20"/>
        </w:rPr>
        <w:t xml:space="preserve"> </w:t>
      </w:r>
      <w:r>
        <w:rPr>
          <w:rFonts w:ascii="Times New Roman" w:hAnsi="Times New Roman"/>
          <w:color w:val="000000"/>
          <w:sz w:val="24"/>
        </w:rPr>
        <w:t xml:space="preserve">(subject to the terms of </w:t>
      </w:r>
      <w:r>
        <w:rPr>
          <w:rFonts w:ascii="Times New Roman" w:hAnsi="Times New Roman"/>
          <w:color w:val="000000"/>
          <w:sz w:val="24"/>
          <w:u w:val="single"/>
        </w:rPr>
        <w:t>Section 2.18</w:t>
      </w:r>
      <w:r>
        <w:rPr>
          <w:rFonts w:ascii="Times New Roman" w:hAnsi="Times New Roman"/>
          <w:color w:val="000000"/>
          <w:sz w:val="24"/>
        </w:rPr>
        <w:t xml:space="preserve">), or (d) any Lender from filing proofs of claim or appearing and filing pleadings on its own behalf during the pendency of a proceeding relative to any Loan Party under any Debtor Relief Law;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 xml:space="preserve">and (ii) in addition to the matters set forth in clauses (b), (c) and (d) of the preceding proviso and subject to </w:t>
      </w:r>
      <w:r>
        <w:rPr>
          <w:rFonts w:ascii="Times New Roman" w:hAnsi="Times New Roman"/>
          <w:color w:val="000000"/>
          <w:sz w:val="24"/>
          <w:u w:val="single"/>
        </w:rPr>
        <w:t>Section 2.18</w:t>
      </w:r>
      <w:r>
        <w:rPr>
          <w:rFonts w:ascii="Times New Roman" w:hAnsi="Times New Roman"/>
          <w:color w:val="000000"/>
          <w:sz w:val="24"/>
        </w:rPr>
        <w:t>, any Lender may, with the consent of the Required Lenders, enforce any rights and remedies available to it and as authorized by the Required Lenders.</w:t>
      </w:r>
    </w:p>
    <w:p>
      <w:pPr>
        <w:pStyle w:val="TextBody"/>
        <w:bidi w:val="0"/>
        <w:jc w:val="center"/>
        <w:rPr>
          <w:rFonts w:ascii="Times New Roman" w:hAnsi="Times New Roman"/>
          <w:color w:val="000000"/>
          <w:sz w:val="24"/>
        </w:rPr>
      </w:pPr>
      <w:r>
        <w:rPr>
          <w:rFonts w:ascii="Times New Roman" w:hAnsi="Times New Roman"/>
          <w:color w:val="000000"/>
          <w:sz w:val="24"/>
        </w:rPr>
        <w:t>179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8.11 </w:t>
      </w:r>
      <w:r>
        <w:rPr>
          <w:rFonts w:ascii="Times New Roman" w:hAnsi="Times New Roman"/>
          <w:b w:val="false"/>
          <w:color w:val="000000"/>
          <w:sz w:val="24"/>
          <w:u w:val="single"/>
        </w:rPr>
        <w:t>Status of Administrative Agent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date on which the Administrative Agent becomes the Administrative Agent under this Agreement, the Administrative Agent shall deliver to the Borrower (i) if the Administrative Agent is a United States person (as defined in Section 7701(a)(30) of the Code), an executed copy of Internal Revenue Service Form W</w:t>
        <w:noBreakHyphen/>
        <w:t>9, or (ii) if the Administrative Agent is not a United States person (as defined in Section 7701(a)(30) of the Code), (A) an executed applicable Internal Revenue Service Form W</w:t>
        <w:noBreakHyphen/>
        <w:t>8ECI with respect to amounts received on its own account and (B) an executed Internal Revenue Service Form W</w:t>
        <w:noBreakHyphen/>
        <w:t>8IMY evidencing its agreement with the Borrower to be treated as a United States person (as defined in Section 7701(a)(30) of the Code) as set forth in U.S. Treasury Regulation Section 1.1441</w:t>
        <w:noBreakHyphen/>
        <w:t>1T(b)(2)(iv), for the purpose of permitting the Borrower to make payments to such Administrative Agent without deduction or withholding of any Taxes imposed by the United States. The Administrative Agent shall deliver such documentation on or before any date on which such documentation expires or becomes obsolete or invalid, after the occurrence of any change in the Administrative Agent’s circumstances requiring a change in the most recent documentation previously delivered by it to the Borrower, and from time to time thereafter if reasonably requested by the Borrower, and shall promptly notify the Borrower in writing if it is no longer legally eligible to provide any documentation previously provided.</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8.12 </w:t>
      </w:r>
      <w:r>
        <w:rPr>
          <w:rFonts w:ascii="Times New Roman" w:hAnsi="Times New Roman"/>
          <w:b w:val="false"/>
          <w:color w:val="000000"/>
          <w:sz w:val="24"/>
          <w:u w:val="single"/>
        </w:rPr>
        <w:t>Erroneous Payments</w:t>
      </w:r>
      <w:r>
        <w:rPr>
          <w:rFonts w:ascii="Times New Roman" w:hAnsi="Times New Roman"/>
          <w:b w:val="false"/>
          <w:color w:val="000000"/>
          <w:sz w:val="24"/>
        </w:rPr>
        <w:t>.</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4"/>
        </w:rPr>
        <w:t>If the Administrative Agent (x) notifies a Lender, Issuing Bank, or any Person who has received funds on behalf of a Lender or Issuing Bank (any such Lender, Issuing Bank or other recipient (and each of their respective successors and assigns), a “</w:t>
      </w:r>
      <w:r>
        <w:rPr>
          <w:rFonts w:ascii="Times New Roman" w:hAnsi="Times New Roman"/>
          <w:color w:val="000000"/>
          <w:sz w:val="24"/>
          <w:u w:val="single"/>
        </w:rPr>
        <w:t>Payment Recipient</w:t>
      </w:r>
      <w:r>
        <w:rPr>
          <w:rFonts w:ascii="Times New Roman" w:hAnsi="Times New Roman"/>
          <w:color w:val="000000"/>
          <w:sz w:val="20"/>
        </w:rPr>
        <w:t>”</w:t>
      </w:r>
      <w:r>
        <w:rPr>
          <w:rFonts w:ascii="Times New Roman" w:hAnsi="Times New Roman"/>
          <w:color w:val="000000"/>
          <w:sz w:val="24"/>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Times New Roman" w:hAnsi="Times New Roman"/>
          <w:color w:val="000000"/>
          <w:sz w:val="24"/>
          <w:u w:val="single"/>
        </w:rPr>
        <w:t>Erroneous Payment</w:t>
      </w:r>
      <w:r>
        <w:rPr>
          <w:rFonts w:ascii="Times New Roman" w:hAnsi="Times New Roman"/>
          <w:color w:val="000000"/>
          <w:sz w:val="20"/>
        </w:rPr>
        <w:t>”</w:t>
      </w:r>
      <w:r>
        <w:rPr>
          <w:rFonts w:ascii="Times New Roman" w:hAnsi="Times New Roman"/>
          <w:color w:val="000000"/>
          <w:sz w:val="24"/>
        </w:rPr>
        <w:t>)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hAnsi="Times New Roman"/>
          <w:color w:val="000000"/>
          <w:sz w:val="24"/>
          <w:u w:val="single"/>
        </w:rPr>
        <w:t>Section 8.12</w:t>
      </w:r>
      <w:r>
        <w:rPr>
          <w:rFonts w:ascii="Times New Roman" w:hAnsi="Times New Roman"/>
          <w:color w:val="000000"/>
          <w:sz w:val="20"/>
        </w:rPr>
        <w:t xml:space="preserve"> </w:t>
      </w:r>
      <w:r>
        <w:rPr>
          <w:rFonts w:ascii="Times New Roman" w:hAnsi="Times New Roman"/>
          <w:color w:val="000000"/>
          <w:sz w:val="24"/>
        </w:rPr>
        <w:t>and held in trust for the benefit of the Administrative Agent, and such Lender or Issuing Bank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interbank compensation from time to time in effect. A notice of the Administrative Agent to any Payment Recipient under this clause (a) shall be conclusive, absent manifest error.</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4"/>
        </w:rPr>
        <w:t>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then in each such case:</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4"/>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4"/>
        </w:rPr>
        <w:t xml:space="preserve">such Lender or Issuing Bank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4"/>
          <w:u w:val="single"/>
        </w:rPr>
        <w:t>Section 8.12(b)</w:t>
      </w:r>
      <w:r>
        <w:rPr>
          <w:rFonts w:ascii="Times New Roman" w:hAnsi="Times New Roman"/>
          <w:color w:val="000000"/>
          <w:sz w:val="24"/>
        </w:rPr>
        <w:t>.</w:t>
      </w:r>
    </w:p>
    <w:p>
      <w:pPr>
        <w:pStyle w:val="TextBody"/>
        <w:bidi w:val="0"/>
        <w:spacing w:before="0" w:after="200"/>
        <w:jc w:val="both"/>
        <w:rPr>
          <w:rFonts w:ascii="Times New Roman" w:hAnsi="Times New Roman"/>
          <w:sz w:val="20"/>
        </w:rPr>
      </w:pPr>
      <w:r>
        <w:rPr>
          <w:rFonts w:ascii="Times New Roman" w:hAnsi="Times New Roman"/>
          <w:color w:val="000000"/>
          <w:sz w:val="24"/>
        </w:rPr>
        <w:t>For the avoidance of doubt, the failure to deliver a notice to the Administrative Agent pursuant to this ‎</w:t>
      </w:r>
      <w:r>
        <w:rPr>
          <w:rFonts w:ascii="Times New Roman" w:hAnsi="Times New Roman"/>
          <w:color w:val="000000"/>
          <w:sz w:val="24"/>
          <w:u w:val="single"/>
        </w:rPr>
        <w:t>Section 8.12(b)</w:t>
      </w:r>
      <w:r>
        <w:rPr>
          <w:rFonts w:ascii="Times New Roman" w:hAnsi="Times New Roman"/>
          <w:color w:val="000000"/>
          <w:sz w:val="20"/>
        </w:rPr>
        <w:t xml:space="preserve"> </w:t>
      </w:r>
      <w:r>
        <w:rPr>
          <w:rFonts w:ascii="Times New Roman" w:hAnsi="Times New Roman"/>
          <w:color w:val="000000"/>
          <w:sz w:val="24"/>
        </w:rPr>
        <w:t>shall not have any effect on a Payment Recipient’s obligations pursuant to ‎</w:t>
      </w:r>
      <w:r>
        <w:rPr>
          <w:rFonts w:ascii="Times New Roman" w:hAnsi="Times New Roman"/>
          <w:color w:val="000000"/>
          <w:sz w:val="24"/>
          <w:u w:val="single"/>
        </w:rPr>
        <w:t>Section 8.12(a)</w:t>
      </w:r>
      <w:r>
        <w:rPr>
          <w:rFonts w:ascii="Times New Roman" w:hAnsi="Times New Roman"/>
          <w:color w:val="000000"/>
          <w:sz w:val="20"/>
        </w:rPr>
        <w:t xml:space="preserve"> </w:t>
      </w:r>
      <w:r>
        <w:rPr>
          <w:rFonts w:ascii="Times New Roman" w:hAnsi="Times New Roman"/>
          <w:color w:val="000000"/>
          <w:sz w:val="24"/>
        </w:rPr>
        <w:t>or on whether or not an Erroneous Payment has been made.</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4"/>
        </w:rPr>
        <w:t>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4"/>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or Issuing Bank, as the case may be) under the Loan Documents with respect to such amount (the “</w:t>
      </w:r>
      <w:r>
        <w:rPr>
          <w:rFonts w:ascii="Times New Roman" w:hAnsi="Times New Roman"/>
          <w:color w:val="000000"/>
          <w:sz w:val="24"/>
          <w:u w:val="single"/>
        </w:rPr>
        <w:t>Erroneous Payment Subrogation Rights</w:t>
      </w:r>
      <w:r>
        <w:rPr>
          <w:rFonts w:ascii="Times New Roman" w:hAnsi="Times New Roman"/>
          <w:color w:val="000000"/>
          <w:sz w:val="20"/>
        </w:rPr>
        <w:t>”</w:t>
      </w:r>
      <w:r>
        <w:rPr>
          <w:rFonts w:ascii="Times New Roman" w:hAnsi="Times New Roman"/>
          <w:color w:val="000000"/>
          <w:sz w:val="24"/>
        </w:rPr>
        <w:t>) and (y) an Erroneous Payment shall not pay, prepay, repay, discharge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otherwise satisfy any Secured Obligations owed by the Borrower;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this ‎</w:t>
      </w:r>
      <w:r>
        <w:rPr>
          <w:rFonts w:ascii="Times New Roman" w:hAnsi="Times New Roman"/>
          <w:color w:val="000000"/>
          <w:sz w:val="24"/>
          <w:u w:val="single"/>
        </w:rPr>
        <w:t>Section 8.12</w:t>
      </w:r>
      <w:r>
        <w:rPr>
          <w:rFonts w:ascii="Times New Roman" w:hAnsi="Times New Roman"/>
          <w:color w:val="000000"/>
          <w:sz w:val="20"/>
        </w:rPr>
        <w:t xml:space="preserve"> </w:t>
      </w:r>
      <w:r>
        <w:rPr>
          <w:rFonts w:ascii="Times New Roman" w:hAnsi="Times New Roman"/>
          <w:color w:val="000000"/>
          <w:sz w:val="24"/>
        </w:rPr>
        <w:t xml:space="preserve">shall not be interpreted to increase (or accelerate the due date for), or have the effect of increasing (or accelerating the due date for), the Secured Obligations of the Borrower relative to the amount (and/or timing for payment) of the Secured Obligations that would have been payable had such Erroneous Payment not been made by the Administrative Agent;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Secured Obligations.</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4"/>
        </w:rPr>
        <w:t>Each Loan Party hereby agrees that (x) in the event an Erroneous Payment (or portion thereof) is not recovered from any Lender that has received such Erroneous Payment (or portion thereof) for any reason, the Administrative Agent shall be subrogated to all the rights of such Lender with respect to such amount, (y) an Erroneous Payment shall not pay, prepay, repay, discharge or otherwise satisfy any Secured Obligations owed by the Borrower or any other Loan Party, except, in each case, to the extent that such Erroneous Payment is, and solely with respect to the amount of such Erroneous Payment that is, comprised of funds received by the Lender from the Borrower or any other Loan Party for the purpose of making such Erroneous Payment (“</w:t>
      </w:r>
      <w:r>
        <w:rPr>
          <w:rFonts w:ascii="Times New Roman" w:hAnsi="Times New Roman"/>
          <w:color w:val="000000"/>
          <w:sz w:val="24"/>
          <w:u w:val="single"/>
        </w:rPr>
        <w:t>Loan Party Funds”),</w:t>
      </w:r>
      <w:r>
        <w:rPr>
          <w:rFonts w:ascii="Times New Roman" w:hAnsi="Times New Roman"/>
          <w:color w:val="000000"/>
          <w:sz w:val="20"/>
        </w:rPr>
        <w:t xml:space="preserve"> </w:t>
      </w:r>
      <w:r>
        <w:rPr>
          <w:rFonts w:ascii="Times New Roman" w:hAnsi="Times New Roman"/>
          <w:color w:val="000000"/>
          <w:sz w:val="24"/>
        </w:rPr>
        <w:t>unless the Borrower elects in its sole discretion (which election evidenced by a written notice delivered to the Administrative Agent) that such Loan Party Funds are deemed not to have been applied to discharge all or any portion of the Erroneous Payment and (z) if an Erroneous Payment has been made with Loan Party Funds, then no Default or Event of Default shall have occurred or be continuing as a result of any delay in any payment that is required under the Loan Documents arising due to the Erroneous Payment.</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Each party’s obligations, agreements and waivers under this </w:t>
      </w:r>
      <w:r>
        <w:rPr>
          <w:rFonts w:ascii="Times New Roman" w:hAnsi="Times New Roman"/>
          <w:color w:val="000000"/>
          <w:sz w:val="24"/>
          <w:u w:val="single"/>
        </w:rPr>
        <w:t>Section 8.12</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any transfer of rights or obligations by, or the replacement of, a Lender or Issuing Bank, the termination of the Commitments and/or the repayment, satisfaction or discharge of all Secured Obligations (or any portion thereof) under any Loan Document.</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IX</w:t>
      </w:r>
      <w:r>
        <w:rPr>
          <w:rFonts w:ascii="Times New Roman" w:hAnsi="Times New Roman"/>
          <w:b w:val="false"/>
          <w:caps/>
          <w:color w:val="000000"/>
          <w:sz w:val="24"/>
          <w:u w:val="single"/>
        </w:rPr>
        <w:br/>
        <w:t>MISCELLANEOUS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9.01 </w:t>
      </w:r>
      <w:r>
        <w:rPr>
          <w:rFonts w:ascii="Times New Roman" w:hAnsi="Times New Roman"/>
          <w:b w:val="false"/>
          <w:color w:val="000000"/>
          <w:sz w:val="24"/>
          <w:u w:val="single"/>
        </w:rPr>
        <w:t>Notices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notices and other communications provided for herein shall be in writing and shall be delivered by overnight courier service, mailed by certified or registered mail or sent by fax or other electronic transmission (including e</w:t>
        <w:noBreakHyphen/>
        <w:t>mail), as follows:</w:t>
      </w:r>
    </w:p>
    <w:p>
      <w:pPr>
        <w:pStyle w:val="TextBody"/>
        <w:bidi w:val="0"/>
        <w:jc w:val="center"/>
        <w:rPr>
          <w:rFonts w:ascii="Times New Roman" w:hAnsi="Times New Roman"/>
          <w:color w:val="000000"/>
          <w:sz w:val="24"/>
        </w:rPr>
      </w:pPr>
      <w:r>
        <w:rPr>
          <w:rFonts w:ascii="Times New Roman" w:hAnsi="Times New Roman"/>
          <w:color w:val="000000"/>
          <w:sz w:val="24"/>
        </w:rPr>
        <w:t>182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if to Holdings, the Borrower, the Administrative Agent, the Swing Line Lender or Barclays Bank PLC as an Issuing Bank, to the address, fax number, e</w:t>
        <w:noBreakHyphen/>
        <w:t xml:space="preserve">mail address or telephone number specified for such Person on </w:t>
      </w:r>
      <w:r>
        <w:rPr>
          <w:rFonts w:ascii="Times New Roman" w:hAnsi="Times New Roman"/>
          <w:color w:val="000000"/>
          <w:sz w:val="24"/>
          <w:u w:val="single"/>
        </w:rPr>
        <w:t>Schedule 9.01</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if to any other Lender or Issuing Bank, to it at its address (or fax number, telephone number or e</w:t>
        <w:noBreakHyphen/>
        <w:t>mail address) set forth in its Administrative Questionnaire (including, as appropriate, notices delivered solely to the Person designated by a Lender on its Administrative Questionnaire then in effect for the delivery of notices that may contain Material Non</w:t>
        <w:noBreakHyphen/>
        <w:t>Public Information relating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Notices and other communications sent by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color w:val="000000"/>
          <w:sz w:val="24"/>
          <w:u w:val="single"/>
        </w:rPr>
        <w:t>Section 9.01(b)</w:t>
      </w:r>
      <w:r>
        <w:rPr>
          <w:rFonts w:ascii="Times New Roman" w:hAnsi="Times New Roman"/>
          <w:color w:val="000000"/>
          <w:sz w:val="20"/>
        </w:rPr>
        <w:t xml:space="preserve"> </w:t>
      </w:r>
      <w:r>
        <w:rPr>
          <w:rFonts w:ascii="Times New Roman" w:hAnsi="Times New Roman"/>
          <w:color w:val="000000"/>
          <w:sz w:val="24"/>
        </w:rPr>
        <w:t xml:space="preserve">shall be effective as provided in </w:t>
      </w:r>
      <w:r>
        <w:rPr>
          <w:rFonts w:ascii="Times New Roman" w:hAnsi="Times New Roman"/>
          <w:color w:val="000000"/>
          <w:sz w:val="24"/>
          <w:u w:val="single"/>
        </w:rPr>
        <w:t>Section 9.01(b)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Electronic Communications</w:t>
      </w:r>
      <w:r>
        <w:rPr>
          <w:rFonts w:ascii="Times New Roman" w:hAnsi="Times New Roman"/>
          <w:color w:val="000000"/>
          <w:sz w:val="24"/>
        </w:rPr>
        <w:t>. Notices and other communications to the Lenders and the Issuing Banks hereunder may be delivered or furnished by electronic communication (including e</w:t>
        <w:noBreakHyphen/>
        <w:t xml:space="preserve">mail and Internet or intranet websites) pursuant to procedures reasonably approved by the Administrative Agent, </w:t>
      </w:r>
      <w:r>
        <w:rPr>
          <w:rFonts w:ascii="Times New Roman" w:hAnsi="Times New Roman"/>
          <w:color w:val="000000"/>
          <w:sz w:val="24"/>
          <w:u w:val="single"/>
        </w:rPr>
        <w:t xml:space="preserve">provided </w:t>
      </w:r>
      <w:r>
        <w:rPr>
          <w:rFonts w:ascii="Times New Roman" w:hAnsi="Times New Roman"/>
          <w:color w:val="000000"/>
          <w:sz w:val="24"/>
        </w:rPr>
        <w:t xml:space="preserve">that the foregoing shall not apply to notices to any Lender or any Issuing Bank pursuant to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if such Lender or such Issuing Bank, as applicable, has notified the Administrative Agent that it is incapable of receiving notices under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by electronic communication.</w:t>
      </w:r>
    </w:p>
    <w:p>
      <w:pPr>
        <w:pStyle w:val="TextBody"/>
        <w:bidi w:val="0"/>
        <w:spacing w:before="0" w:after="240"/>
        <w:jc w:val="both"/>
        <w:rPr>
          <w:rFonts w:ascii="Times New Roman" w:hAnsi="Times New Roman"/>
          <w:sz w:val="20"/>
        </w:rPr>
      </w:pPr>
      <w:r>
        <w:rPr>
          <w:rFonts w:ascii="Times New Roman" w:hAnsi="Times New Roman"/>
          <w:color w:val="000000"/>
          <w:sz w:val="24"/>
        </w:rPr>
        <w:t>Unless the Administrative Agent otherwise prescribes, (i) notices and other communications sent to an e</w:t>
        <w:noBreakHyphen/>
        <w:t>mail address shall be deemed received when sent to the proper e</w:t>
        <w:noBreakHyphen/>
        <w:t xml:space="preserve">mail address as specified on </w:t>
      </w:r>
      <w:r>
        <w:rPr>
          <w:rFonts w:ascii="Times New Roman" w:hAnsi="Times New Roman"/>
          <w:color w:val="000000"/>
          <w:sz w:val="24"/>
          <w:u w:val="single"/>
        </w:rPr>
        <w:t>Schedule 9.01</w:t>
      </w:r>
      <w:r>
        <w:rPr>
          <w:rFonts w:ascii="Times New Roman" w:hAnsi="Times New Roman"/>
          <w:color w:val="000000"/>
          <w:sz w:val="20"/>
        </w:rPr>
        <w:t xml:space="preserve"> </w:t>
      </w:r>
      <w:r>
        <w:rPr>
          <w:rFonts w:ascii="Times New Roman" w:hAnsi="Times New Roman"/>
          <w:color w:val="000000"/>
          <w:sz w:val="24"/>
        </w:rPr>
        <w:t xml:space="preserve">(as updated from time to time in accordance with </w:t>
      </w:r>
      <w:r>
        <w:rPr>
          <w:rFonts w:ascii="Times New Roman" w:hAnsi="Times New Roman"/>
          <w:color w:val="000000"/>
          <w:sz w:val="24"/>
          <w:u w:val="single"/>
        </w:rPr>
        <w:t>Section 9.01(d)</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when an e</w:t>
        <w:noBreakHyphen/>
        <w:t>mail is sent to the intended recipient at its e</w:t>
        <w:noBreakHyphen/>
        <w:t>mail address as described in the foregoing clause (i) 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The Platform</w:t>
      </w:r>
      <w:r>
        <w:rPr>
          <w:rFonts w:ascii="Times New Roman" w:hAnsi="Times New Roman"/>
          <w:color w:val="000000"/>
          <w:sz w:val="24"/>
        </w:rPr>
        <w:t>. THE PLATFORM IS PROVIDED “</w:t>
      </w:r>
      <w:r>
        <w:rPr>
          <w:rFonts w:ascii="Times New Roman" w:hAnsi="Times New Roman"/>
          <w:color w:val="000000"/>
          <w:sz w:val="24"/>
          <w:u w:val="single"/>
        </w:rPr>
        <w:t>AS IS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AS AVAILABLE</w:t>
      </w:r>
      <w:r>
        <w:rPr>
          <w:rFonts w:ascii="Times New Roman" w:hAnsi="Times New Roman"/>
          <w:color w:val="000000"/>
          <w:sz w:val="20"/>
        </w:rPr>
        <w:t>”</w:t>
      </w:r>
      <w:r>
        <w:rPr>
          <w:rFonts w:ascii="Times New Roman" w:hAnsi="Times New Roman"/>
          <w:color w:val="000000"/>
          <w:sz w:val="24"/>
        </w:rPr>
        <w:t>.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w:t>
        <w:noBreakHyphen/>
        <w:t>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color w:val="000000"/>
          <w:sz w:val="24"/>
          <w:u w:val="single"/>
        </w:rPr>
        <w:t>Agent Parties</w:t>
      </w:r>
      <w:r>
        <w:rPr>
          <w:rFonts w:ascii="Times New Roman" w:hAnsi="Times New Roman"/>
          <w:color w:val="000000"/>
          <w:sz w:val="20"/>
        </w:rPr>
        <w:t>”</w:t>
      </w:r>
      <w:r>
        <w:rPr>
          <w:rFonts w:ascii="Times New Roman" w:hAnsi="Times New Roman"/>
          <w:color w:val="000000"/>
          <w:sz w:val="24"/>
        </w:rPr>
        <w:t>) have any liability to Holdings,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any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w:t>
        <w:noBreakHyphen/>
        <w:t xml:space="preserve">appealable judgment to have resulted from the gross negligence or willful misconduct of such Agent Party;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in no event shall any Agent Party have any liability to Holdings, the Borrower, any Lender, any Issuing Bank or any other Person for indirect, special, incidental, consequential or punitive damages (as opposed to direct or actual damages).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Change of Address, Etc</w:t>
      </w:r>
      <w:r>
        <w:rPr>
          <w:rFonts w:ascii="Times New Roman" w:hAnsi="Times New Roman"/>
          <w:color w:val="000000"/>
          <w:sz w:val="24"/>
        </w:rPr>
        <w:t>. Each of Holdings, the Borrower, the Administrative Agent, the Swing Line Lender and any Issuing Bank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Administrative Agent, the Swing Line Lender and the Issuing Banks.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Reliance by Administrative Agent, Issuing Bank and Lenders</w:t>
      </w:r>
      <w:r>
        <w:rPr>
          <w:rFonts w:ascii="Times New Roman" w:hAnsi="Times New Roman"/>
          <w:color w:val="000000"/>
          <w:sz w:val="24"/>
        </w:rPr>
        <w:t>. The Administrative Agent, the Swing Line Lender, the Issuing Banks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9.02 </w:t>
      </w:r>
      <w:r>
        <w:rPr>
          <w:rFonts w:ascii="Times New Roman" w:hAnsi="Times New Roman"/>
          <w:b w:val="false"/>
          <w:color w:val="000000"/>
          <w:sz w:val="24"/>
          <w:u w:val="single"/>
        </w:rPr>
        <w:t>Waivers; Amendments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 Line Lender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w:t>
      </w:r>
      <w:r>
        <w:rPr>
          <w:rFonts w:ascii="Times New Roman" w:hAnsi="Times New Roman"/>
          <w:color w:val="000000"/>
          <w:sz w:val="24"/>
          <w:u w:val="single"/>
        </w:rPr>
        <w:t>Section 9.02(b)</w:t>
      </w:r>
      <w:r>
        <w:rPr>
          <w:rFonts w:ascii="Times New Roman" w:hAnsi="Times New Roman"/>
          <w:color w:val="000000"/>
          <w:sz w:val="24"/>
        </w:rPr>
        <w:t>,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Default at the time. No notice or demand on the Borrower or Holdings in any case shall entitle the Borrower or Holdings to any other or further notice or demand in similar or other circumstances.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Except as provided in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with respect to any Incremental Facility Amendment and </w:t>
      </w:r>
      <w:r>
        <w:rPr>
          <w:rFonts w:ascii="Times New Roman" w:hAnsi="Times New Roman"/>
          <w:color w:val="000000"/>
          <w:sz w:val="24"/>
          <w:u w:val="single"/>
        </w:rPr>
        <w:t>Section 2.21</w:t>
      </w:r>
      <w:r>
        <w:rPr>
          <w:rFonts w:ascii="Times New Roman" w:hAnsi="Times New Roman"/>
          <w:color w:val="000000"/>
          <w:sz w:val="20"/>
        </w:rPr>
        <w:t xml:space="preserve"> </w:t>
      </w:r>
      <w:r>
        <w:rPr>
          <w:rFonts w:ascii="Times New Roman" w:hAnsi="Times New Roman"/>
          <w:color w:val="000000"/>
          <w:sz w:val="24"/>
        </w:rPr>
        <w:t>with respect to any Refinancing Amendment, neither this Agreement, any Loan Document nor any provision hereof or thereof may be waived, amended or modified except, in the case of this Agreement, pursuant to an agreement or agreements in writing entered into by Holdings, the Borrower, the Administrative Agent and the Required Lenders (</w:t>
      </w:r>
      <w:r>
        <w:rPr>
          <w:rFonts w:ascii="Times New Roman" w:hAnsi="Times New Roman"/>
          <w:color w:val="000000"/>
          <w:sz w:val="24"/>
          <w:u w:val="single"/>
        </w:rPr>
        <w:t xml:space="preserve">provided </w:t>
      </w:r>
      <w:r>
        <w:rPr>
          <w:rFonts w:ascii="Times New Roman" w:hAnsi="Times New Roman"/>
          <w:color w:val="000000"/>
          <w:sz w:val="24"/>
        </w:rPr>
        <w:t xml:space="preserve">that if such waiver, amendment or modification does not affect the rights, duties, privileges or obligations of the Administrative Agent under this Agreement, the Administrative Agent shall only be required to acknowledge such waiver, amendment or modification)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hAnsi="Times New Roman"/>
          <w:color w:val="000000"/>
          <w:sz w:val="24"/>
          <w:u w:val="single"/>
        </w:rPr>
        <w:t xml:space="preserve">provided </w:t>
      </w:r>
      <w:r>
        <w:rPr>
          <w:rFonts w:ascii="Times New Roman" w:hAnsi="Times New Roman"/>
          <w:color w:val="000000"/>
          <w:sz w:val="24"/>
        </w:rPr>
        <w:t>that, to the extent not otherwise specified, the consent of the Required Lenders shall not be required with respect to the amendments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 such agreement shall increase the Commitment of any Lender without the written consent of (x) the Required Lenders and (y) such Lender (it being understood that a waiver of any condition precedent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or the waiver of any Default, mandatory prepayment or mandatory reduction of the Commitments shall not constitute an extension or increase of any Commitment of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written consent of each Lender directly and adversely affected thereby shall be required for any waiver, amendment or modification 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reduces the principal amount of any Loan or LC Disbursement or reduces the reimbursement obligations of the Borrower for the LC Exposure at such time (it being understood that a waiver of any Default, Event of Default, mandatory prepayment or mandatory reduction of the Commitments shall not constitute a reduction or forgiveness of principal) or reduces the rate of interest thereon, or reduces any fees or premiums payable hereunder or changes the manner of payment of any amounts payable hereunder or the form of consideration to other than cash (it being understood that any change to the definition of (or to any component definition within) “Total Net Leverage Ratio” or “First Lien Net Leverage Ratio” shall not constitute a reduction of interest or fees); </w:t>
      </w:r>
      <w:r>
        <w:rPr>
          <w:rFonts w:ascii="Times New Roman" w:hAnsi="Times New Roman"/>
          <w:color w:val="000000"/>
          <w:sz w:val="24"/>
          <w:u w:val="single"/>
        </w:rPr>
        <w:t xml:space="preserve">provided </w:t>
      </w:r>
      <w:r>
        <w:rPr>
          <w:rFonts w:ascii="Times New Roman" w:hAnsi="Times New Roman"/>
          <w:color w:val="000000"/>
          <w:sz w:val="24"/>
        </w:rPr>
        <w:t xml:space="preserve">that only the consent of the Required Lenders shall be necessary to waive or otherwise modify any obligation of the Borrower to pay default interest pursuant to </w:t>
      </w:r>
      <w:r>
        <w:rPr>
          <w:rFonts w:ascii="Times New Roman" w:hAnsi="Times New Roman"/>
          <w:color w:val="000000"/>
          <w:sz w:val="24"/>
          <w:u w:val="single"/>
        </w:rPr>
        <w:t>Section 2.13(c)</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postpones the maturity of any Loan (including any applicable grace period) (it being understood that a waiver of any Default, Event of Default, mandatory prepayment or mandatory reduction of the Commitments shall not constitute an extension of any maturity date), or the date of any applicable Refinancing Amendment, or the reimbursement date with respect to any LC Disbursement, or any date (including any applicable grace period) for the payment of any interest, premium or fees payable hereunder, or reduce the amount of, waive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excuse any such payment, or postpone the scheduled date of expiration of any Commitment;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changes </w:t>
      </w:r>
      <w:r>
        <w:rPr>
          <w:rFonts w:ascii="Times New Roman" w:hAnsi="Times New Roman"/>
          <w:color w:val="000000"/>
          <w:sz w:val="24"/>
          <w:u w:val="single"/>
        </w:rPr>
        <w:t>Section 2.08</w:t>
      </w:r>
      <w:r>
        <w:rPr>
          <w:rFonts w:ascii="Times New Roman" w:hAnsi="Times New Roman"/>
          <w:color w:val="000000"/>
          <w:sz w:val="24"/>
        </w:rPr>
        <w:t xml:space="preserve">, </w:t>
      </w:r>
      <w:r>
        <w:rPr>
          <w:rFonts w:ascii="Times New Roman" w:hAnsi="Times New Roman"/>
          <w:color w:val="000000"/>
          <w:sz w:val="24"/>
          <w:u w:val="single"/>
        </w:rPr>
        <w:t>2.18(b)</w:t>
      </w:r>
      <w:r>
        <w:rPr>
          <w:rFonts w:ascii="Times New Roman" w:hAnsi="Times New Roman"/>
          <w:color w:val="000000"/>
          <w:sz w:val="24"/>
        </w:rPr>
        <w:t xml:space="preserve">, </w:t>
      </w:r>
      <w:r>
        <w:rPr>
          <w:rFonts w:ascii="Times New Roman" w:hAnsi="Times New Roman"/>
          <w:color w:val="000000"/>
          <w:sz w:val="24"/>
          <w:u w:val="single"/>
        </w:rPr>
        <w:t>2.18(c)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7.03</w:t>
      </w:r>
      <w:r>
        <w:rPr>
          <w:rFonts w:ascii="Times New Roman" w:hAnsi="Times New Roman"/>
          <w:color w:val="000000"/>
          <w:sz w:val="20"/>
        </w:rPr>
        <w:t xml:space="preserve"> </w:t>
      </w:r>
      <w:r>
        <w:rPr>
          <w:rFonts w:ascii="Times New Roman" w:hAnsi="Times New Roman"/>
          <w:color w:val="000000"/>
          <w:sz w:val="24"/>
        </w:rPr>
        <w:t>or any other provisions or defined terms hereof in a manner that would have the effect of altering the pro rata sharing of payments or other amounts required hereby (</w:t>
      </w:r>
      <w:r>
        <w:rPr>
          <w:rFonts w:ascii="Times New Roman" w:hAnsi="Times New Roman"/>
          <w:color w:val="000000"/>
          <w:sz w:val="24"/>
          <w:u w:val="single"/>
        </w:rPr>
        <w:t xml:space="preserve">provided </w:t>
      </w:r>
      <w:r>
        <w:rPr>
          <w:rFonts w:ascii="Times New Roman" w:hAnsi="Times New Roman"/>
          <w:color w:val="000000"/>
          <w:sz w:val="24"/>
        </w:rPr>
        <w:t>that any such changes required in connection with any Refinancing Amendment, Incremental Facility Amendment or other transaction expressly permitted hereunder shall only require the approval (to the extent such approval is required is expressly required by the other terms of this Agreement) of the Required Lenders so long as the Administrative Agent is notified of such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amends the definition of “</w:t>
      </w:r>
      <w:r>
        <w:rPr>
          <w:rFonts w:ascii="Times New Roman" w:hAnsi="Times New Roman"/>
          <w:color w:val="000000"/>
          <w:sz w:val="24"/>
          <w:u w:val="single"/>
        </w:rPr>
        <w:t>Incremental Cap</w:t>
      </w:r>
      <w:r>
        <w:rPr>
          <w:rFonts w:ascii="Times New Roman" w:hAnsi="Times New Roman"/>
          <w:color w:val="000000"/>
          <w:sz w:val="20"/>
        </w:rPr>
        <w:t xml:space="preserve">” </w:t>
      </w:r>
      <w:r>
        <w:rPr>
          <w:rFonts w:ascii="Times New Roman" w:hAnsi="Times New Roman"/>
          <w:color w:val="000000"/>
          <w:sz w:val="24"/>
        </w:rPr>
        <w:t>or any definition referenced in the definition of “Incremental Cap”;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waives, amends or modifies any provision of this Agreement or any other Loan Document in a manner that would have the effect of authorizing the incurrence of additional Indebtedness that would be issued under this Agreement or the reduction of Commitments in contemplation of or for the primary purpose of influencing any voting threshold;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waives, amends or modifies </w:t>
      </w:r>
      <w:r>
        <w:rPr>
          <w:rFonts w:ascii="Times New Roman" w:hAnsi="Times New Roman"/>
          <w:color w:val="000000"/>
          <w:sz w:val="24"/>
          <w:u w:val="single"/>
        </w:rPr>
        <w:t>Section 7.01(a)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waives, amends or modifies this Agreement or any of the Loan Documents to permit or provide for any extension offers, maturity extensions or extension amendments with respect to the Revolving Maturity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written consent of each Lender shall be required for any waiver, amendment or modification 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changes any of the provisions of this </w:t>
      </w:r>
      <w:r>
        <w:rPr>
          <w:rFonts w:ascii="Times New Roman" w:hAnsi="Times New Roman"/>
          <w:color w:val="000000"/>
          <w:sz w:val="24"/>
          <w:u w:val="single"/>
        </w:rPr>
        <w:t>Section 9.02(b)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changes the definition of “Required Lenders”, “Required Revolving Lenders” or “Supermajority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releases all or a material portion of the value of the Guarantees under the Guarantee Agreement, or waives, amends, or modifies any provision of this Agreement or any Loan Document that would have the effect of releasing or permitting the release of all or a material portion of the value of the Guarantees under the Guarantee Agreement (except as expressly provided in the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(D) releases all or a material portion of the Collateral from the Liens of the Security Documents, or waives, amends, or modifies any provision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or any Loan Document (or enter into any other agreement) that would have the effect of releasing or permitting the release of all or a material portion of the Collateral from the Liens granted pursuant to the Loan Documents (except as expressly provided in the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waives, amends or modifies the definition of “Material Property” or any component definition thereof or of </w:t>
      </w:r>
      <w:r>
        <w:rPr>
          <w:rFonts w:ascii="Times New Roman" w:hAnsi="Times New Roman"/>
          <w:color w:val="000000"/>
          <w:sz w:val="24"/>
          <w:u w:val="single"/>
        </w:rPr>
        <w:t>Section 6.06</w:t>
      </w:r>
      <w:r>
        <w:rPr>
          <w:rFonts w:ascii="Times New Roman" w:hAnsi="Times New Roman"/>
          <w:color w:val="000000"/>
          <w:sz w:val="24"/>
        </w:rPr>
        <w:t xml:space="preserve">, or waives, amends or modifies any other provision of this Agreement or any other Loan Document in a manner that would have the effect of waiving, amending or modifying any of the definition of “Material Property” or any component definition thereof or </w:t>
      </w:r>
      <w:r>
        <w:rPr>
          <w:rFonts w:ascii="Times New Roman" w:hAnsi="Times New Roman"/>
          <w:color w:val="000000"/>
          <w:sz w:val="24"/>
          <w:u w:val="single"/>
        </w:rPr>
        <w:t>Section 6.06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waives, amends or modifies this Agreement (including </w:t>
      </w:r>
      <w:r>
        <w:rPr>
          <w:rFonts w:ascii="Times New Roman" w:hAnsi="Times New Roman"/>
          <w:color w:val="000000"/>
          <w:sz w:val="24"/>
          <w:u w:val="single"/>
        </w:rPr>
        <w:t>Section 5.13</w:t>
      </w:r>
      <w:r>
        <w:rPr>
          <w:rFonts w:ascii="Times New Roman" w:hAnsi="Times New Roman"/>
          <w:color w:val="000000"/>
          <w:sz w:val="24"/>
        </w:rPr>
        <w:t>) or any of the Loan Documents to permit the creation or the existence of any Subsidiary that would be “unrestricted” or otherwise have the effect of allowing any Person that did constitute or would have constituted a Subsidiary as of the Effective Date to be excluded from the requirements applicable to Subsidiaries pursuant to this Agreement or the other Loan Documents or that would otherwise permit or have the effect of permitting the designation or transfer or other disposition of assets to any such “unrestricted” or excluded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waives, amends or modifies this Agreement or any other Loan Document, to (a) reintroduce or permit any open market purchases or Dutch auctions (whether for cash or other consideration) of any Term Loans by any member of the Vegas Group, (b) to permit any member of the Vegas Group to purchase, acquire or be assigned Loans or commitments on a non-pro rata basis or (c) to waive, amend or modify the definition of “Eligible Assignee”, the definition of “Affiliated Lender” or any assignment provision in order to permit assignments or transfers of any Loans to a member of the Vegas Group;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waives, amends or modifies the definition of (or any component definition within) “Liability Management Transaction”, the “Chewy Provision” or the “Intercompany Loan Provision”, or </w:t>
      </w:r>
      <w:r>
        <w:rPr>
          <w:rFonts w:ascii="Times New Roman" w:hAnsi="Times New Roman"/>
          <w:color w:val="000000"/>
          <w:sz w:val="24"/>
          <w:u w:val="single"/>
        </w:rPr>
        <w:t>Section 6.03(c)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6.12</w:t>
      </w:r>
      <w:r>
        <w:rPr>
          <w:rFonts w:ascii="Times New Roman" w:hAnsi="Times New Roman"/>
          <w:color w:val="000000"/>
          <w:sz w:val="24"/>
        </w:rPr>
        <w:t xml:space="preserve">, or waive, amend, or modify any other provision of this Agreement or any other Loan Document in a manner that would have the effect of waiving, amending or modifying the definition of (or any component definition within) “Liability Management Transaction”, the “Chewy Provision”, or the “Intercompany Loan Provision”, or </w:t>
      </w:r>
      <w:r>
        <w:rPr>
          <w:rFonts w:ascii="Times New Roman" w:hAnsi="Times New Roman"/>
          <w:color w:val="000000"/>
          <w:sz w:val="24"/>
          <w:u w:val="single"/>
        </w:rPr>
        <w:t>Section 6.03(c)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6.12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waive, amend or modify the definition of (or any component definition within) “Subsidiary”, “Vegas Group”, “Excluded Subsidiary”, or “Excluded Assets”, or waive, amend or modify any other provision of this Agreement or any other Loan Document in a manner that would have the effect of waiving, amending or modifying the definition of (or any component definition within) “Subsidiary”, “Vegas Group”, “Excluded Subsidiary” or “Excluded Assets”;</w:t>
      </w:r>
    </w:p>
    <w:p>
      <w:pPr>
        <w:pStyle w:val="TextBody"/>
        <w:bidi w:val="0"/>
        <w:jc w:val="center"/>
        <w:rPr>
          <w:rFonts w:ascii="Times New Roman" w:hAnsi="Times New Roman"/>
          <w:color w:val="000000"/>
          <w:sz w:val="24"/>
        </w:rPr>
      </w:pPr>
      <w:r>
        <w:rPr>
          <w:rFonts w:ascii="Times New Roman" w:hAnsi="Times New Roman"/>
          <w:color w:val="000000"/>
          <w:sz w:val="24"/>
        </w:rPr>
        <w:t>187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waive, amend or modify this Agreement to permit, whether directly or indirectly, Investments to be made in or to a Subsidiary that is not a Loan Party, additional assets to be disposed or otherwise transferred to a Subsidiary that is not a Loan Party, additional Indebtedness to be incurred by a Subsidiary that is not a Loan Party or additional Liens on assets of any Subsidiary that is not a Loan Party, in each case, in excess of such amounts permitted under this Agreement and the Loan Documents in each case as in effect on the Effective Date, or waive, amend or modify any other provision of this Agreement or any other Loan Document in a manner that would have the effect of waiving, amending or modifying any such limitation as in effect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No such agreement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[reserved];</w:t>
      </w:r>
    </w:p>
    <w:p>
      <w:pPr>
        <w:pStyle w:val="TextBody"/>
        <w:bidi w:val="0"/>
        <w:spacing w:before="0" w:after="240"/>
        <w:jc w:val="both"/>
        <w:rPr>
          <w:rFonts w:ascii="Times New Roman" w:hAnsi="Times New Roman"/>
          <w:sz w:val="20"/>
        </w:rPr>
      </w:pPr>
      <w:r>
        <w:rPr>
          <w:rFonts w:ascii="Times New Roman" w:hAnsi="Times New Roman"/>
          <w:color w:val="000000"/>
          <w:sz w:val="24"/>
        </w:rPr>
        <w:t>(B) (i) subordinate or have the effect of subordinating any Loan Document Obligations in right of payment to any other Indebtedness of the Loan Parties or (ii) subordinate or have the effect of subordinating the Liens on any of the Collateral securing the Loan Document Obligations to Liens on any of the Collateral securing any other Indebtedness or other obligation (any such other Indebtedness or other obligations including any DIP Financing to which such Loan Document Obligations or such Liens securing any of the Loan Document Obligations, as applicable, are subordinated, “</w:t>
      </w:r>
      <w:r>
        <w:rPr>
          <w:rFonts w:ascii="Times New Roman" w:hAnsi="Times New Roman"/>
          <w:color w:val="000000"/>
          <w:sz w:val="24"/>
          <w:u w:val="single"/>
        </w:rPr>
        <w:t>Senior Indebtedness</w:t>
      </w:r>
      <w:r>
        <w:rPr>
          <w:rFonts w:ascii="Times New Roman" w:hAnsi="Times New Roman"/>
          <w:color w:val="000000"/>
          <w:sz w:val="20"/>
        </w:rPr>
        <w:t>”</w:t>
      </w:r>
      <w:r>
        <w:rPr>
          <w:rFonts w:ascii="Times New Roman" w:hAnsi="Times New Roman"/>
          <w:color w:val="000000"/>
          <w:sz w:val="24"/>
        </w:rPr>
        <w:t xml:space="preserve">), without the consent of the Supermajority Revolving Lenders (it being understood that this clause (B) shall not override the permission for Liens expressly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 xml:space="preserve">as in effect on the Effective Date or Indebtedness expressly permitted by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as in effect on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 amend, waive or otherwise modify </w:t>
      </w:r>
      <w:r>
        <w:rPr>
          <w:rFonts w:ascii="Times New Roman" w:hAnsi="Times New Roman"/>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 xml:space="preserve">or the defined terms used for </w:t>
      </w:r>
      <w:r>
        <w:rPr>
          <w:rFonts w:ascii="Times New Roman" w:hAnsi="Times New Roman"/>
          <w:color w:val="000000"/>
          <w:sz w:val="24"/>
          <w:u w:val="single"/>
        </w:rPr>
        <w:t>Section 6.11</w:t>
      </w:r>
      <w:r>
        <w:rPr>
          <w:rFonts w:ascii="Times New Roman" w:hAnsi="Times New Roman"/>
          <w:color w:val="000000"/>
          <w:sz w:val="24"/>
        </w:rPr>
        <w:t xml:space="preserve">, (x) waive any Financial Performance Covenant Event of Default, (y) amend, waive or otherwise modify any of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with respect to the making of any Revolving Loan or issuance of any Letters of Credit or (z) amend, waive or otherwise modify any of the provisions of </w:t>
      </w:r>
      <w:r>
        <w:rPr>
          <w:rFonts w:ascii="Times New Roman" w:hAnsi="Times New Roman"/>
          <w:color w:val="000000"/>
          <w:sz w:val="24"/>
          <w:u w:val="single"/>
        </w:rPr>
        <w:t>Section 9.09,</w:t>
      </w:r>
      <w:r>
        <w:rPr>
          <w:rFonts w:ascii="Times New Roman" w:hAnsi="Times New Roman"/>
          <w:color w:val="000000"/>
          <w:sz w:val="20"/>
        </w:rPr>
        <w:t xml:space="preserve"> </w:t>
      </w:r>
      <w:r>
        <w:rPr>
          <w:rFonts w:ascii="Times New Roman" w:hAnsi="Times New Roman"/>
          <w:color w:val="000000"/>
          <w:sz w:val="24"/>
        </w:rPr>
        <w:t>in each of the foregoing cases, without the written consent of the Required Revolving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amend, modify, override or circumvent any Intercreditor Agreement, any of the definitions of “Intercreditor Agreement”, “Pari Passu Intercreditor Agreement”, or “Junior Intercreditor Agreement”, any of the provisions of </w:t>
      </w:r>
      <w:r>
        <w:rPr>
          <w:rFonts w:ascii="Times New Roman" w:hAnsi="Times New Roman"/>
          <w:color w:val="000000"/>
          <w:sz w:val="24"/>
          <w:u w:val="single"/>
        </w:rPr>
        <w:t>Section 8.09(c)</w:t>
      </w:r>
      <w:r>
        <w:rPr>
          <w:rFonts w:ascii="Times New Roman" w:hAnsi="Times New Roman"/>
          <w:color w:val="000000"/>
          <w:sz w:val="24"/>
        </w:rPr>
        <w:t xml:space="preserve">, </w:t>
      </w:r>
      <w:r>
        <w:rPr>
          <w:rFonts w:ascii="Times New Roman" w:hAnsi="Times New Roman"/>
          <w:color w:val="000000"/>
          <w:sz w:val="24"/>
          <w:u w:val="single"/>
        </w:rPr>
        <w:t>8.09(d)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8.10</w:t>
      </w:r>
      <w:r>
        <w:rPr>
          <w:rFonts w:ascii="Times New Roman" w:hAnsi="Times New Roman"/>
          <w:color w:val="000000"/>
          <w:sz w:val="24"/>
        </w:rPr>
        <w:t>, or permit the entry into any intercreditor agreement or arrangement that is not an Intercreditor Agreement other than as expressly provided hereunder, in each case without the written consent of the Required Revolving Lenders and the Administrative Agent; or</w:t>
      </w:r>
    </w:p>
    <w:p>
      <w:pPr>
        <w:pStyle w:val="TextBody"/>
        <w:bidi w:val="0"/>
        <w:spacing w:before="0" w:after="240"/>
        <w:jc w:val="both"/>
        <w:rPr>
          <w:rFonts w:ascii="Times New Roman" w:hAnsi="Times New Roman"/>
          <w:sz w:val="20"/>
        </w:rPr>
      </w:pPr>
      <w:r>
        <w:rPr>
          <w:rFonts w:ascii="Times New Roman" w:hAnsi="Times New Roman"/>
          <w:color w:val="000000"/>
          <w:sz w:val="24"/>
        </w:rPr>
        <w:t>(E) waive, amend or modify any Loan Document in any manner that disproportionately and adversely affects the Revolving Lenders compared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Lenders of any other Class, without the consent of the Required Revolving Lenders and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in connection with an amendment that addresses solely a repricing transaction in which any Class of Term Loans or Revolving Commitments (and the Revolving Loans in respect hereof) is refinanced with a replacement Class of term loans or revolving commitments (and the revolving loans in respect hereof) bearing (or is modified in such a manner such that the resulting term loans or revolving commitments (and the revolving loans in respect hereof) bear a lower yield, only the consent of the Lenders holding Term Loans or Revolving Commitments (and the Revolving Loans in respect hereof) subject to such permitted repricing transaction that will continue as a Lender in respect of the repriced tranche of Term Loans or Revolving Commitments (and the Revolving Loans in respect hereof) or modified Term Loans or Revolving Commitments and the Revolving Loans in respect hereof shall be required);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no such agreement shall amend, modify or otherwise affect the rights or duties of the Administrative Agent, the Swing Line Lender or any Issuing Bank without the prior written consent of the Administrative Agent, the Swing Line Lender or such Issuing Bank, as the case may be;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this Agreement may be amended to adjust the borrowing mechanics related to Swing Line Loans with only the written consent of the Administrative Agent, the Swing Line Lender and the Borrower so long as the obligations of the Revolving Lenders are not affected thereby;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stating that would be required to consent thereto under this </w:t>
      </w:r>
      <w:r>
        <w:rPr>
          <w:rFonts w:ascii="Times New Roman" w:hAnsi="Times New Roman"/>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if such Class of Lenders were the only Class of Lenders hereunder at the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Notwithstanding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provision of this Agreement or any other Loan Document may be amended by an agreement in writing entered into by Holdings, the Borrower and the Administrative Agent to cure any mistake, ambiguity, omission, defect, obvious error or incorrect cross</w:t>
        <w:noBreakHyphen/>
        <w:t>reference, or to effect administrative changes of a technical or immaterial nature or to correct any inconsistency;</w:t>
      </w:r>
    </w:p>
    <w:p>
      <w:pPr>
        <w:pStyle w:val="TextBody"/>
        <w:bidi w:val="0"/>
        <w:spacing w:before="0" w:after="240"/>
        <w:jc w:val="both"/>
        <w:rPr>
          <w:rFonts w:ascii="Times New Roman" w:hAnsi="Times New Roman"/>
          <w:sz w:val="20"/>
        </w:rPr>
      </w:pPr>
      <w:r>
        <w:rPr>
          <w:rFonts w:ascii="Times New Roman" w:hAnsi="Times New Roman"/>
          <w:color w:val="000000"/>
          <w:sz w:val="24"/>
        </w:rPr>
        <w:t>(B) no Lender or Issuing Bank consent is required to effect any amendment, modification or supplement to any Intercreditor Agreement or subordination agreement or arrangement permitted under this Agreement or in any document pertaining to any Indebtedness permitted hereby that is permitted to be secured by the Collateral, including any Incremental Term Loan or Revolving Loan under any Incremental Revolving Commitment Increase, any Other Term Loan, Other Revolving Loan or Other Revolving Commitments, for the purpose of adding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holders of such Indebtedness (or their Senior Representative) as a party thereto and otherwise causing such Indebtedness to be subject thereto, to give effect hereto or otherwise carry out the purposes thereof, in each case as contemplated by the terms of such Intercreditor Agreement permitted under this Agreement (including any changes thereto as contemplated by </w:t>
      </w:r>
      <w:r>
        <w:rPr>
          <w:rFonts w:ascii="Times New Roman" w:hAnsi="Times New Roman"/>
          <w:color w:val="000000"/>
          <w:sz w:val="24"/>
          <w:u w:val="single"/>
        </w:rPr>
        <w:t>Section 9.14(b)</w:t>
      </w:r>
      <w:r>
        <w:rPr>
          <w:rFonts w:ascii="Times New Roman" w:hAnsi="Times New Roman"/>
          <w:color w:val="000000"/>
          <w:sz w:val="24"/>
        </w:rPr>
        <w:t>) or subordination agreement or arrangement permitted under this Agreement, as applicable;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guarantees,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(iii) to cause such guarantee, collateral security document or other document to be consistent with this Agreement and the other Loan Documents or (iv) to integrate any Incremental Facility or Credit Agreement Refinancing Indebtedness in a manner consistent with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(c) In connection with any proposed amendment, modification, waiver or termination (a “</w:t>
      </w:r>
      <w:r>
        <w:rPr>
          <w:rFonts w:ascii="Times New Roman" w:hAnsi="Times New Roman"/>
          <w:color w:val="000000"/>
          <w:sz w:val="24"/>
          <w:u w:val="single"/>
        </w:rPr>
        <w:t>Proposed Change</w:t>
      </w:r>
      <w:r>
        <w:rPr>
          <w:rFonts w:ascii="Times New Roman" w:hAnsi="Times New Roman"/>
          <w:color w:val="000000"/>
          <w:sz w:val="20"/>
        </w:rPr>
        <w:t>”</w:t>
      </w:r>
      <w:r>
        <w:rPr>
          <w:rFonts w:ascii="Times New Roman" w:hAnsi="Times New Roman"/>
          <w:color w:val="000000"/>
          <w:sz w:val="24"/>
        </w:rPr>
        <w:t xml:space="preserve">) requiring the consent of all Lenders or all directly and adversely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Times New Roman" w:hAnsi="Times New Roman"/>
          <w:color w:val="000000"/>
          <w:sz w:val="24"/>
          <w:u w:val="single"/>
        </w:rPr>
        <w:t>Section 9.02(b)</w:t>
      </w:r>
      <w:r>
        <w:rPr>
          <w:rFonts w:ascii="Times New Roman" w:hAnsi="Times New Roman"/>
          <w:color w:val="000000"/>
          <w:sz w:val="20"/>
        </w:rPr>
        <w:t xml:space="preserve"> </w:t>
      </w:r>
      <w:r>
        <w:rPr>
          <w:rFonts w:ascii="Times New Roman" w:hAnsi="Times New Roman"/>
          <w:color w:val="000000"/>
          <w:sz w:val="24"/>
        </w:rPr>
        <w:t>being referred to as a “</w:t>
      </w:r>
      <w:r>
        <w:rPr>
          <w:rFonts w:ascii="Times New Roman" w:hAnsi="Times New Roman"/>
          <w:color w:val="000000"/>
          <w:sz w:val="24"/>
          <w:u w:val="single"/>
        </w:rPr>
        <w:t>Non</w:t>
        <w:noBreakHyphen/>
        <w:t>Consenting Lender</w:t>
      </w:r>
      <w:r>
        <w:rPr>
          <w:rFonts w:ascii="Times New Roman" w:hAnsi="Times New Roman"/>
          <w:color w:val="000000"/>
          <w:sz w:val="20"/>
        </w:rPr>
        <w:t>”</w:t>
      </w:r>
      <w:r>
        <w:rPr>
          <w:rFonts w:ascii="Times New Roman" w:hAnsi="Times New Roman"/>
          <w:color w:val="000000"/>
          <w:sz w:val="24"/>
        </w:rPr>
        <w:t>), then the Borrower may, at its sole expense and effort, upon notice to such Non</w:t>
        <w:noBreakHyphen/>
        <w:t>Consenting Lender and the Administrative Agent, (i) require such Non</w:t>
        <w:noBreakHyphen/>
        <w:t xml:space="preserve">Consenting Lender to assign and delegate, without recourse (in accordance with and subject to the restrictions contained in </w:t>
      </w:r>
      <w:r>
        <w:rPr>
          <w:rFonts w:ascii="Times New Roman" w:hAnsi="Times New Roman"/>
          <w:color w:val="000000"/>
          <w:sz w:val="24"/>
          <w:u w:val="single"/>
        </w:rPr>
        <w:t>Section 9.04</w:t>
      </w:r>
      <w:r>
        <w:rPr>
          <w:rFonts w:ascii="Times New Roman" w:hAnsi="Times New Roman"/>
          <w:color w:val="000000"/>
          <w:sz w:val="24"/>
        </w:rPr>
        <w:t>), all its interests, rights and obligations under this Agreement to an Eligible Assignee that shall assume such obligations (which Eligible Assignee may be another Lender, if a Lender accepts such assignment) or (ii) prepay the Loans and, if applicable, terminate the Revolving Commitments of such Non</w:t>
        <w:noBreakHyphen/>
        <w:t xml:space="preserve">Consenting Lenders; </w:t>
      </w:r>
      <w:r>
        <w:rPr>
          <w:rFonts w:ascii="Times New Roman" w:hAnsi="Times New Roman"/>
          <w:color w:val="000000"/>
          <w:sz w:val="24"/>
          <w:u w:val="single"/>
        </w:rPr>
        <w:t xml:space="preserve">provided </w:t>
      </w:r>
      <w:r>
        <w:rPr>
          <w:rFonts w:ascii="Times New Roman" w:hAnsi="Times New Roman"/>
          <w:color w:val="000000"/>
          <w:sz w:val="24"/>
        </w:rPr>
        <w:t xml:space="preserve">that (a) in the case of the preceding clause (i), the Borrower shall have received the prior written consent of the Administrative Agent to the extent such consent would be required under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for an assignment of Loans or Commitments, as applicable (and, if a Revolving Commitment is being assigned and each Issuing Bank), which consent shall not unreasonably be withheld, (b) such Non</w:t>
        <w:noBreakHyphen/>
        <w:t xml:space="preserve">Consenting Lender shall have received payment of an amount equal to the outstanding par principal amount of its Loans and participations in LC Disbursements, accrued interest thereon, accrued fees and all other amounts payable to it hereunder from (x) in the case of preceding clause (i), the Eligible Assignee (to the extent of such outstanding principal and accrued interest and fees) or the Borrower (in the case of all other amounts) and (y) in the case of preceding clause (ii), from the Borrower, and (c) in the case of preceding clause (i), unless waived, the Borrower or such Eligible Assignee shall have paid to the Administrative Agent the processing and recordation fee specified in </w:t>
      </w:r>
      <w:r>
        <w:rPr>
          <w:rFonts w:ascii="Times New Roman" w:hAnsi="Times New Roman"/>
          <w:color w:val="000000"/>
          <w:sz w:val="24"/>
          <w:u w:val="single"/>
        </w:rPr>
        <w:t>Section 9.04(b)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(d) Notwithstanding anything in this Agreement or the other Loan Documents to the contrary, the Revolving Commitments and Revolving Exposure of any Lender that is at the time a Defaulting Lender shall not have any voting or approval rights under the Loan Documents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w:t>
      </w:r>
      <w:r>
        <w:rPr>
          <w:rFonts w:ascii="Times New Roman" w:hAnsi="Times New Roman"/>
          <w:color w:val="000000"/>
          <w:sz w:val="24"/>
          <w:u w:val="single"/>
        </w:rPr>
        <w:t>Section 9.02</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Notwithstanding anything herein to the contrary, for purposes of determining whether Required Lenders, Required Revolving Lenders, or Required Supermajority Revolving Lenders, as applicable, have provided any consent (or decision not to consent) to any amendment, modification, waiver, consent or other action with respect to any of the terms of any Loan Document, Incremental Loans incurred on the date, or substantially concurrently with the date, of such consent will be disregarded for purposes of determining whether Required Lenders, Required Revolving Lenders, or Required Supermajority Revolving Lenders, as applicable, have provided or not provided such consent on the date of the incurrence of such Incremental Loans to the extent (x) such Incremental Loans were provided by an Affiliate of the Borrower, (y) such transaction was not for a bona fide business purpose or (z) such Indebtedness is incurred for the primary purpose of influencing voting thresholds under the Loan Documents;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this clause may not be amended, modified or waived without the prior written consent of each Lender.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9.03 </w:t>
      </w:r>
      <w:r>
        <w:rPr>
          <w:rFonts w:ascii="Times New Roman" w:hAnsi="Times New Roman"/>
          <w:b w:val="false"/>
          <w:color w:val="000000"/>
          <w:sz w:val="24"/>
          <w:u w:val="single"/>
        </w:rPr>
        <w:t>Expenses; Indemnity; Damage Waiver</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Borrower shall pay, if the Effective Date occurs and the Transactions have been consummated, (i) all reasonable and documented out</w:t>
        <w:noBreakHyphen/>
        <w:t>of</w:t>
        <w:noBreakHyphen/>
        <w:t>pocket costs and expenses incurred by the Administrative Agent, the Joint Lead Arrangers, each Issuing Bank and their respective Affiliates (without duplication), (but limited, (A) in the case of legal fees and expenses, to the reasonable, documented, fees, disbursements and other charges of one counsel to the Administrative Agent, the Issuing Banks and the Joint Lead Arrangers, taken as a whole, plus, if reasonably necessary, one regulatory counsel and one local counsel to the Administrative Agent, the Issuing Banks and the Joint Lead Arrangers, taken as a whole, in any relevant material jurisdiction, in each case excluding allocated costs of in</w:t>
        <w:noBreakHyphen/>
        <w:t>house counsel (and in the case of an actual or potential conflict of interest, one additional counsel and local counsel to the affected Lenders, taken as a whole) and (B) in the case of other consultants and advisors, limited to the fees and expenses of such persons approved by the Borrower, such approval not to be unreasonably withheld or delayed), in each case for the 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w:t>
        <w:noBreakHyphen/>
        <w:t>of</w:t>
        <w:noBreakHyphen/>
        <w:t>pocket costs and expenses incurred by each Issuing Bank in connection with the issuance, amendment, renewal or extension of any Letter of Credit or any demand for payment thereunder and (iii) all reasonable and documented and invoiced out</w:t>
        <w:noBreakHyphen/>
        <w:t>of</w:t>
        <w:noBreakHyphen/>
        <w:t>pocket expenses (but not third-party costs or expenses such as legal fees or the fees of other advisors) incurred by the Administrative Agent, each Issuing Bank or any Lender and the fees, charges and disbursements of counsel to the Administrative Agent, the Issuing Banks and the Lenders, taken as a whole, in any relevant material jurisdiction (and in the case of an actual or potential conflict of interest, one additional counsel to the affected Lenders,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taken as a whole) (but limited, (A) in the case of legal fees and expenses, to the fees, disbursements and other charges of one counsel to the Administrative Agent, the Issuing Banks and the Lenders, taken as a whole, and, if reasonably necessary, one local counsel and one regulatory counsel to the Administrative Agent, the Issuing Banks and the Lenders, taken as a whole, in each relevant material jurisdiction (and in the case of an actual or potential conflict of interest, one additional counsel to the affected Lenders, taken as a whole) and (B) in the case of other consultants and advisors, limited to the fees and expenses of such persons approved by the Borrower, such approval not to be unreasonably withheld or delayed) in connection with the enforcement or protection of any rights or remedies in connection with the Loan Documents (including all such costs and expenses incurred during any legal proceeding, including any proceeding under any Debtor Relief Laws or during any workout, restructuring or negotiations in respect of such Loans or Letters of Credit).</w:t>
      </w:r>
    </w:p>
    <w:p>
      <w:pPr>
        <w:pStyle w:val="TextBody"/>
        <w:bidi w:val="0"/>
        <w:spacing w:before="0" w:after="240"/>
        <w:jc w:val="both"/>
        <w:rPr>
          <w:rFonts w:ascii="Times New Roman" w:hAnsi="Times New Roman"/>
          <w:sz w:val="20"/>
        </w:rPr>
      </w:pPr>
      <w:r>
        <w:rPr>
          <w:rFonts w:ascii="Times New Roman" w:hAnsi="Times New Roman"/>
          <w:color w:val="000000"/>
          <w:sz w:val="24"/>
        </w:rPr>
        <w:t>(b) Without duplication of the expense reimbursement obligations pursuant to clause (a) above, the Borrower shall indemnify the Administrative Agent, each Issuing Bank, each Lender, the Joint Lead Arrangers and each Related Party (other than Excluded Affiliates) of any of the foregoing Persons (each such Person being called an “</w:t>
      </w:r>
      <w:r>
        <w:rPr>
          <w:rFonts w:ascii="Times New Roman" w:hAnsi="Times New Roman"/>
          <w:color w:val="000000"/>
          <w:sz w:val="24"/>
          <w:u w:val="single"/>
        </w:rPr>
        <w:t>Indemnitee</w:t>
      </w:r>
      <w:r>
        <w:rPr>
          <w:rFonts w:ascii="Times New Roman" w:hAnsi="Times New Roman"/>
          <w:color w:val="000000"/>
          <w:sz w:val="20"/>
        </w:rPr>
        <w:t>”</w:t>
      </w:r>
      <w:r>
        <w:rPr>
          <w:rFonts w:ascii="Times New Roman" w:hAnsi="Times New Roman"/>
          <w:color w:val="000000"/>
          <w:sz w:val="24"/>
        </w:rPr>
        <w:t>) against, and hold each Indemnitee harmless from, any and all losses, claims, damages, liabilities and expenses (but limited, in the case of legal expenses, to the reasonable and documented and invoiced out</w:t>
        <w:noBreakHyphen/>
        <w:t>of</w:t>
        <w:noBreakHyphen/>
        <w:t>pocket fees and expenses of one counsel for all Indemnitees and to the extent reasonably determined by the Administrative Agent to be necessary, one regulatory counsel and one local counsel in each relevant jurisdiction (and, in the case of an actual or potential conflict of interest, one additional counsel) for all Indemnitees (which may include a single special counsel acting in multiple jurisdictions but excluding allocated costs of in</w:t>
        <w:noBreakHyphen/>
        <w:t xml:space="preserve">house counsel)),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or threat of Release of Hazardous Materials on, at, to or from any Mortgaged Property or any other real property currently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equity holders or creditors and regardless of whether any Indemnitee is a party thereto; </w:t>
      </w:r>
      <w:r>
        <w:rPr>
          <w:rFonts w:ascii="Times New Roman" w:hAnsi="Times New Roman"/>
          <w:color w:val="000000"/>
          <w:sz w:val="24"/>
          <w:u w:val="single"/>
        </w:rPr>
        <w:t xml:space="preserve">provided </w:t>
      </w:r>
      <w:r>
        <w:rPr>
          <w:rFonts w:ascii="Times New Roman" w:hAnsi="Times New Roman"/>
          <w:color w:val="000000"/>
          <w:sz w:val="24"/>
        </w:rPr>
        <w:t>that such indemnity shall not, as to any Indemnitee, be available to the extent that such losses, claims, damages, liabilities, costs or related expenses (w) resulted from the gross negligence, bad faith or willful misconduct of such Indemnitee or its controlled Related Parties (as determined by a court of competent jurisdiction in a final and non</w:t>
        <w:noBreakHyphen/>
        <w:t>appealable judgment), (x) resulted from a material breach of the Loan Documents by such Indemnitee or its Related Parties (as determined by a court of competent jurisdiction in a final and non</w:t>
        <w:noBreakHyphen/>
        <w:t>appealable judgment), (y) arise from disputes between or among Indemnitees (other than disputes involving claims against the Administrative Agent, the Collateral Agent or the Joint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Lead Arrangers or any Issuing Bank, in each case, in their respective capacities) that do not involve an act or omission by Holdings, the Borrower or any Restricted Subsidiary or (z) resulted from any settlement effected without the Borrower’s prior written consent (which consent shall not be unreasonably withheld or delayed); </w:t>
      </w:r>
      <w:r>
        <w:rPr>
          <w:rFonts w:ascii="Times New Roman" w:hAnsi="Times New Roman"/>
          <w:color w:val="000000"/>
          <w:sz w:val="24"/>
          <w:u w:val="single"/>
        </w:rPr>
        <w:t xml:space="preserve">provided </w:t>
      </w:r>
      <w:r>
        <w:rPr>
          <w:rFonts w:ascii="Times New Roman" w:hAnsi="Times New Roman"/>
          <w:color w:val="000000"/>
          <w:sz w:val="24"/>
        </w:rPr>
        <w:t xml:space="preserve">that, to the extent any amounts paid to an Indemnitee in respect of this </w:t>
      </w:r>
      <w:r>
        <w:rPr>
          <w:rFonts w:ascii="Times New Roman" w:hAnsi="Times New Roman"/>
          <w:color w:val="000000"/>
          <w:sz w:val="24"/>
          <w:u w:val="single"/>
        </w:rPr>
        <w:t>Section 9.03</w:t>
      </w:r>
      <w:r>
        <w:rPr>
          <w:rFonts w:ascii="Times New Roman" w:hAnsi="Times New Roman"/>
          <w:color w:val="000000"/>
          <w:sz w:val="24"/>
        </w:rPr>
        <w:t xml:space="preserve">, such Indemnitee, by its acceptance of the benefits hereof, agrees to refund and return any and all amounts paid by the Borrower to it if, pursuant to the operation of the foregoing clauses (w) through (z), such Indemnitee was not entitled to receipt of such amount. This </w:t>
      </w:r>
      <w:r>
        <w:rPr>
          <w:rFonts w:ascii="Times New Roman" w:hAnsi="Times New Roman"/>
          <w:color w:val="000000"/>
          <w:sz w:val="24"/>
          <w:u w:val="single"/>
        </w:rPr>
        <w:t>Section 9.03(b)</w:t>
      </w:r>
      <w:r>
        <w:rPr>
          <w:rFonts w:ascii="Times New Roman" w:hAnsi="Times New Roman"/>
          <w:color w:val="000000"/>
          <w:sz w:val="20"/>
        </w:rPr>
        <w:t xml:space="preserve"> </w:t>
      </w:r>
      <w:r>
        <w:rPr>
          <w:rFonts w:ascii="Times New Roman" w:hAnsi="Times New Roman"/>
          <w:color w:val="000000"/>
          <w:sz w:val="24"/>
        </w:rPr>
        <w:t>shall not apply with respect to Taxes other than any Taxes that represent losses, claims, damages, etc. arising from any non</w:t>
        <w:noBreakHyphen/>
        <w:t>Tax claim.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To the extent that the Borrower fails to pay any amount required to be paid by it to the Administrative Agent, any Lender or any Issuing Bank under </w:t>
      </w:r>
      <w:r>
        <w:rPr>
          <w:rFonts w:ascii="Times New Roman" w:hAnsi="Times New Roman"/>
          <w:color w:val="000000"/>
          <w:sz w:val="24"/>
          <w:u w:val="single"/>
        </w:rPr>
        <w:t>Section 9.03(a)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xml:space="preserve">, each Lender severally agrees to pay to the Administrative Agent, such Lender or such Issuing Bank, as the case may be, such Lender’s pro rata share (determined as of the time that the applicable unreimbursed expense or indemnity payment is sought) of such unpaid amount; </w:t>
      </w:r>
      <w:r>
        <w:rPr>
          <w:rFonts w:ascii="Times New Roman" w:hAnsi="Times New Roman"/>
          <w:color w:val="000000"/>
          <w:sz w:val="24"/>
          <w:u w:val="single"/>
        </w:rPr>
        <w:t xml:space="preserve">provided </w:t>
      </w:r>
      <w:r>
        <w:rPr>
          <w:rFonts w:ascii="Times New Roman" w:hAnsi="Times New Roman"/>
          <w:color w:val="000000"/>
          <w:sz w:val="24"/>
        </w:rPr>
        <w:t xml:space="preserve">that the unreimbursed expense or indemnified loss, claim, damage, liability or related expense, as the case may be, was incurred by or asserted against the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w:t>
      </w:r>
      <w:r>
        <w:rPr>
          <w:rFonts w:ascii="Times New Roman" w:hAnsi="Times New Roman"/>
          <w:color w:val="000000"/>
          <w:sz w:val="24"/>
          <w:u w:val="single"/>
        </w:rPr>
        <w:t>Section 9.03(c)</w:t>
      </w:r>
      <w:r>
        <w:rPr>
          <w:rFonts w:ascii="Times New Roman" w:hAnsi="Times New Roman"/>
          <w:color w:val="000000"/>
          <w:sz w:val="20"/>
        </w:rPr>
        <w:t xml:space="preserve"> </w:t>
      </w:r>
      <w:r>
        <w:rPr>
          <w:rFonts w:ascii="Times New Roman" w:hAnsi="Times New Roman"/>
          <w:color w:val="000000"/>
          <w:sz w:val="24"/>
        </w:rPr>
        <w:t xml:space="preserve">are subject to the last sentence of </w:t>
      </w:r>
      <w:r>
        <w:rPr>
          <w:rFonts w:ascii="Times New Roman" w:hAnsi="Times New Roman"/>
          <w:color w:val="000000"/>
          <w:sz w:val="24"/>
          <w:u w:val="single"/>
        </w:rPr>
        <w:t>Section 2.02(a)</w:t>
      </w:r>
      <w:r>
        <w:rPr>
          <w:rFonts w:ascii="Times New Roman" w:hAnsi="Times New Roman"/>
          <w:color w:val="000000"/>
          <w:sz w:val="20"/>
        </w:rPr>
        <w:t xml:space="preserve"> </w:t>
      </w:r>
      <w:r>
        <w:rPr>
          <w:rFonts w:ascii="Times New Roman" w:hAnsi="Times New Roman"/>
          <w:color w:val="000000"/>
          <w:sz w:val="24"/>
        </w:rPr>
        <w:t xml:space="preserve">(which shall apply </w:t>
      </w:r>
      <w:r>
        <w:rPr>
          <w:rFonts w:ascii="Times New Roman" w:hAnsi="Times New Roman"/>
          <w:i/>
          <w:color w:val="000000"/>
          <w:sz w:val="24"/>
        </w:rPr>
        <w:t xml:space="preserve">mutatis mutandis </w:t>
      </w:r>
      <w:r>
        <w:rPr>
          <w:rFonts w:ascii="Times New Roman" w:hAnsi="Times New Roman"/>
          <w:color w:val="000000"/>
          <w:sz w:val="24"/>
        </w:rPr>
        <w:t xml:space="preserve">to the Lenders’ obligations under this </w:t>
      </w:r>
      <w:r>
        <w:rPr>
          <w:rFonts w:ascii="Times New Roman" w:hAnsi="Times New Roman"/>
          <w:color w:val="000000"/>
          <w:sz w:val="24"/>
          <w:u w:val="single"/>
        </w:rPr>
        <w:t>Section 9.03(c)</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the extent permitted by applicable law, none of Holdings, the Borrower, any Agent, any Lender, any other party hereto or any Indemnitee shall assert, and each hereby waives, any claim against any other such Person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hAnsi="Times New Roman"/>
          <w:color w:val="000000"/>
          <w:sz w:val="24"/>
          <w:u w:val="single"/>
        </w:rPr>
        <w:t xml:space="preserve">provided </w:t>
      </w:r>
      <w:r>
        <w:rPr>
          <w:rFonts w:ascii="Times New Roman" w:hAnsi="Times New Roman"/>
          <w:color w:val="000000"/>
          <w:sz w:val="24"/>
        </w:rPr>
        <w:t>that the foregoing shall in no event limit the Borrower’s indemnification obligations under clause (b) 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 case any proceeding is instituted involving any Indemnitee for which indemnification is to be sought hereunder by such Indemnitee, then such Indemnitee will promptly notify the Borrower of the commencement of any proceeding;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Notwithstanding anything to the contrary in this Agreement, the extent permitted by applicable law, neither Holdings nor the Borrower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Times New Roman" w:hAnsi="Times New Roman"/>
          <w:color w:val="000000"/>
          <w:sz w:val="24"/>
          <w:u w:val="single"/>
        </w:rPr>
        <w:t>except</w:t>
      </w:r>
      <w:r>
        <w:rPr>
          <w:rFonts w:ascii="Times New Roman" w:hAnsi="Times New Roman"/>
          <w:color w:val="000000"/>
          <w:sz w:val="20"/>
        </w:rPr>
        <w:t xml:space="preserve"> </w:t>
      </w:r>
      <w:r>
        <w:rPr>
          <w:rFonts w:ascii="Times New Roman" w:hAnsi="Times New Roman"/>
          <w:color w:val="000000"/>
          <w:sz w:val="24"/>
        </w:rPr>
        <w:t>to the extent that such direct or actual damages are determined by a court of competent jurisdiction by final, non</w:t>
        <w:noBreakHyphen/>
        <w:t>appealable judgment to have resulted from the gross negligence, bad faith or willful misconduct of, or a material breach of the Loan Documents by, such Indemnitee or its Related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All amounts due under this </w:t>
      </w:r>
      <w:r>
        <w:rPr>
          <w:rFonts w:ascii="Times New Roman" w:hAnsi="Times New Roman"/>
          <w:color w:val="000000"/>
          <w:sz w:val="24"/>
          <w:u w:val="single"/>
        </w:rPr>
        <w:t>Section 9.03</w:t>
      </w:r>
      <w:r>
        <w:rPr>
          <w:rFonts w:ascii="Times New Roman" w:hAnsi="Times New Roman"/>
          <w:color w:val="000000"/>
          <w:sz w:val="20"/>
        </w:rPr>
        <w:t xml:space="preserve"> </w:t>
      </w:r>
      <w:r>
        <w:rPr>
          <w:rFonts w:ascii="Times New Roman" w:hAnsi="Times New Roman"/>
          <w:color w:val="000000"/>
          <w:sz w:val="24"/>
        </w:rPr>
        <w:t xml:space="preserve">shall be payable not later than ten (10) Business Days after written demand therefor;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 w:hAnsi="Times New Roman"/>
          <w:color w:val="000000"/>
          <w:sz w:val="24"/>
          <w:u w:val="single"/>
        </w:rPr>
        <w:t>Section 9.03</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9.04 </w:t>
      </w:r>
      <w:r>
        <w:rPr>
          <w:rFonts w:ascii="Times New Roman" w:hAnsi="Times New Roman"/>
          <w:b w:val="false"/>
          <w:color w:val="000000"/>
          <w:sz w:val="24"/>
          <w:u w:val="single"/>
        </w:rPr>
        <w:t>Successors and Assigns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(other than to a Successor Borrower pursuant to a transaction permitted by </w:t>
      </w:r>
      <w:r>
        <w:rPr>
          <w:rFonts w:ascii="Times New Roman" w:hAnsi="Times New Roman"/>
          <w:color w:val="000000"/>
          <w:sz w:val="24"/>
          <w:u w:val="single"/>
        </w:rPr>
        <w:t>Section 6.03(a)(iv)</w:t>
      </w:r>
      <w:r>
        <w:rPr>
          <w:rFonts w:ascii="Times New Roman" w:hAnsi="Times New Roman"/>
          <w:color w:val="000000"/>
          <w:sz w:val="24"/>
        </w:rPr>
        <w:t xml:space="preserve">) without the prior written consent of each Lender, each Issuing Bank and the acknowledgement of the Administrative Agent (and any attempted assignment or transfer by the Borrower without such consent (other than to a Successor Borrower pursuant to a transaction permitted by </w:t>
      </w:r>
      <w:r>
        <w:rPr>
          <w:rFonts w:ascii="Times New Roman" w:hAnsi="Times New Roman"/>
          <w:color w:val="000000"/>
          <w:sz w:val="24"/>
          <w:u w:val="single"/>
        </w:rPr>
        <w:t>Section 6.03(a)(iv)</w:t>
      </w:r>
      <w:r>
        <w:rPr>
          <w:rFonts w:ascii="Times New Roman" w:hAnsi="Times New Roman"/>
          <w:color w:val="000000"/>
          <w:sz w:val="24"/>
        </w:rPr>
        <w:t xml:space="preserve">) shall be null and void), (ii) no assignment shall be made to any Defaulting Lender or any of its Affiliates, or any Persons who, upon becoming a Lender hereunder, would constitute any of the foregoing Persons described in this clause (ii) and (iii) no Lender may assign or otherwise transfer its rights or obligations hereunder except in accordance with this </w:t>
      </w:r>
      <w:r>
        <w:rPr>
          <w:rFonts w:ascii="Times New Roman" w:hAnsi="Times New Roman"/>
          <w:color w:val="000000"/>
          <w:sz w:val="24"/>
          <w:u w:val="single"/>
        </w:rPr>
        <w:t>Section 9.04</w:t>
      </w:r>
      <w:r>
        <w:rPr>
          <w:rFonts w:ascii="Times New Roman" w:hAnsi="Times New Roman"/>
          <w:color w:val="000000"/>
          <w:sz w:val="24"/>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hAnsi="Times New Roman"/>
          <w:color w:val="000000"/>
          <w:sz w:val="24"/>
          <w:u w:val="single"/>
        </w:rPr>
        <w:t>Section 9.04(c)</w:t>
      </w:r>
      <w:r>
        <w:rPr>
          <w:rFonts w:ascii="Times New Roman" w:hAnsi="Times New Roman"/>
          <w:color w:val="000000"/>
          <w:sz w:val="24"/>
        </w:rPr>
        <w:t>), the Indemnitees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 Subject to the conditions set forth in </w:t>
      </w:r>
      <w:r>
        <w:rPr>
          <w:rFonts w:ascii="Times New Roman" w:hAnsi="Times New Roman"/>
          <w:color w:val="000000"/>
          <w:sz w:val="24"/>
          <w:u w:val="single"/>
        </w:rPr>
        <w:t>Sections 9.04(b)(ii)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9.04(f)</w:t>
      </w:r>
      <w:r>
        <w:rPr>
          <w:rFonts w:ascii="Times New Roman" w:hAnsi="Times New Roman"/>
          <w:color w:val="000000"/>
          <w:sz w:val="24"/>
        </w:rPr>
        <w:t>,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delayed) of (A) the Borrower; </w:t>
      </w:r>
      <w:r>
        <w:rPr>
          <w:rFonts w:ascii="Times New Roman" w:hAnsi="Times New Roman"/>
          <w:color w:val="000000"/>
          <w:sz w:val="24"/>
          <w:u w:val="single"/>
        </w:rPr>
        <w:t xml:space="preserve">provided </w:t>
      </w:r>
      <w:r>
        <w:rPr>
          <w:rFonts w:ascii="Times New Roman" w:hAnsi="Times New Roman"/>
          <w:color w:val="000000"/>
          <w:sz w:val="24"/>
        </w:rPr>
        <w:t xml:space="preserve">that no consent of the Borrower shall be required for an assignment (1) of Revolving Loans or Revolving Commitments (x) if an Event of Default has occurred and is continuing or (y) by a Revolving Lender to any Lender, an Affiliate of any Lender or an Approved Fund and (2) of any other Loans or Commitments if a Specified Event of Default has occurred and is continuing;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no assignee contemplated by the immediately preceding proviso shall be entitled to receive any greater payment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w:t>
      </w:r>
      <w:r>
        <w:rPr>
          <w:rFonts w:ascii="Times New Roman" w:hAnsi="Times New Roman"/>
          <w:color w:val="000000"/>
          <w:sz w:val="20"/>
        </w:rPr>
        <w:t xml:space="preserve"> </w:t>
      </w:r>
      <w:r>
        <w:rPr>
          <w:rFonts w:ascii="Times New Roman" w:hAnsi="Times New Roman"/>
          <w:color w:val="000000"/>
          <w:sz w:val="24"/>
        </w:rPr>
        <w:t xml:space="preserve">than the applicable assignor would have been entitled to receive with respect to the assignment made to such assignee, unless the assignment to such assignee is made with the Borrower’s prior written consent;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Times New Roman" w:hAnsi="Times New Roman"/>
          <w:color w:val="000000"/>
          <w:sz w:val="24"/>
          <w:u w:val="single"/>
        </w:rPr>
        <w:t xml:space="preserve">provided </w:t>
      </w:r>
      <w:r>
        <w:rPr>
          <w:rFonts w:ascii="Times New Roman" w:hAnsi="Times New Roman"/>
          <w:color w:val="000000"/>
          <w:sz w:val="24"/>
        </w:rPr>
        <w:t xml:space="preserve">that no consent of the Administrative Agent shall be required for an assignment of Term Loans, Revolving Commitments or Revolving Loans to a Lender or by a Lender to one of its controlled Affiliates or an Affiliate under common control with such Lender and (C) solely in the case of Revolving Loans and Revolving Commitments, each Issuing Bank and the Swing Line Lender (not to be unreasonably withheld or delayed);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for the avoidance of doubt, no consent of any Issuing Bank shall be required for an assignment of all or any portion of a Term Loan or commitment in respect thereof;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no consent shall be required for an assignment by a Revolving Lender to any Revolving Lender, an Affiliate of any Revolving Lender or an Approved Fund. Notwithstanding anything in this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to the contrary, if the Borrower has not given the Administrative Agent written notice of its objection to an assignment of Term Loans within ten (10) Business Days after written notice of such assignment, the Borrower shall be deemed to have consented to such assignment.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Assignments shall be subject to the following additional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thereof) or, in the case of a Term Loan, $1,000,000 (and integral multiples thereof), unless the Borrower and the Administrative Agent otherwise consent (in each case, such consent not to be unreasonably withheld or delayed); </w:t>
      </w:r>
      <w:r>
        <w:rPr>
          <w:rFonts w:ascii="Times New Roman" w:hAnsi="Times New Roman"/>
          <w:color w:val="000000"/>
          <w:sz w:val="24"/>
          <w:u w:val="single"/>
        </w:rPr>
        <w:t xml:space="preserve">provided </w:t>
      </w:r>
      <w:r>
        <w:rPr>
          <w:rFonts w:ascii="Times New Roman" w:hAnsi="Times New Roman"/>
          <w:color w:val="000000"/>
          <w:sz w:val="24"/>
        </w:rPr>
        <w:t>that no such consent of the Borrower shall be required if an Event of Default has occurred and is continuing;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partial assignment shall be made as an assignment of a proportionate part of all the assigning Lender’s rights and obligations under this Agreement; </w:t>
      </w:r>
      <w:r>
        <w:rPr>
          <w:rFonts w:ascii="Times New Roman" w:hAnsi="Times New Roman"/>
          <w:color w:val="000000"/>
          <w:sz w:val="24"/>
          <w:u w:val="single"/>
        </w:rPr>
        <w:t xml:space="preserve">provided </w:t>
      </w:r>
      <w:r>
        <w:rPr>
          <w:rFonts w:ascii="Times New Roman" w:hAnsi="Times New Roman"/>
          <w:color w:val="000000"/>
          <w:sz w:val="24"/>
        </w:rPr>
        <w:t>that this clause (B) shall not be construed to prohibit assignment of a proportionate part of all the assigning Lender’s rights and obligations in respect of one Class of Commitments or Loans, (C) the parties to each assignment shall execute and deliver to the Administrative Agent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payable by the assignee; </w:t>
      </w:r>
      <w:r>
        <w:rPr>
          <w:rFonts w:ascii="Times New Roman" w:hAnsi="Times New Roman"/>
          <w:color w:val="000000"/>
          <w:sz w:val="24"/>
          <w:u w:val="single"/>
        </w:rPr>
        <w:t xml:space="preserve">provided </w:t>
      </w:r>
      <w:r>
        <w:rPr>
          <w:rFonts w:ascii="Times New Roman" w:hAnsi="Times New Roman"/>
          <w:color w:val="000000"/>
          <w:sz w:val="24"/>
        </w:rPr>
        <w:t xml:space="preserve">that such processing and recordation fee shall not be payable in connection with an assignment by a Lender to one of its controlled Affiliates or an Affiliate under common control with such Lenders;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the Administrative Agent, in its sole discretion, may elect to waive or reduce such processing and recordation fee;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any such Assignment and Assumption shall include a representation by the assignee that the assignee is not a Disqualified Lender (but only if the Disqualified Lenders List is available to such assignee and Lenders upon request);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assignments made pursuant to </w:t>
      </w:r>
      <w:r>
        <w:rPr>
          <w:rFonts w:ascii="Times New Roman" w:hAnsi="Times New Roman"/>
          <w:color w:val="000000"/>
          <w:sz w:val="24"/>
          <w:u w:val="single"/>
        </w:rPr>
        <w:t>Section 2.19(b)</w:t>
      </w:r>
      <w:r>
        <w:rPr>
          <w:rFonts w:ascii="Times New Roman" w:hAnsi="Times New Roman"/>
          <w:color w:val="000000"/>
          <w:sz w:val="24"/>
        </w:rPr>
        <w:t xml:space="preserve">, </w:t>
      </w:r>
      <w:r>
        <w:rPr>
          <w:rFonts w:ascii="Times New Roman" w:hAnsi="Times New Roman"/>
          <w:color w:val="000000"/>
          <w:sz w:val="24"/>
          <w:u w:val="single"/>
        </w:rPr>
        <w:t>2.21(b)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9.02(c)</w:t>
      </w:r>
      <w:r>
        <w:rPr>
          <w:rFonts w:ascii="Times New Roman" w:hAnsi="Times New Roman"/>
          <w:color w:val="000000"/>
          <w:sz w:val="20"/>
        </w:rPr>
        <w:t xml:space="preserve"> </w:t>
      </w:r>
      <w:r>
        <w:rPr>
          <w:rFonts w:ascii="Times New Roman" w:hAnsi="Times New Roman"/>
          <w:color w:val="000000"/>
          <w:sz w:val="24"/>
        </w:rPr>
        <w:t xml:space="preserve">shall not require the signature of the assigning Lender to become effective, (D) the assignee, if it shall not be a Lender, shall deliver to the Administrative Agent any tax forms required by </w:t>
      </w:r>
      <w:r>
        <w:rPr>
          <w:rFonts w:ascii="Times New Roman" w:hAnsi="Times New Roman"/>
          <w:color w:val="000000"/>
          <w:sz w:val="24"/>
          <w:u w:val="single"/>
        </w:rPr>
        <w:t>Section 2.17(f)</w:t>
      </w:r>
      <w:r>
        <w:rPr>
          <w:rFonts w:ascii="Times New Roman" w:hAnsi="Times New Roman"/>
          <w:color w:val="000000"/>
          <w:sz w:val="20"/>
        </w:rPr>
        <w:t xml:space="preserve"> </w:t>
      </w:r>
      <w:r>
        <w:rPr>
          <w:rFonts w:ascii="Times New Roman" w:hAnsi="Times New Roman"/>
          <w:color w:val="000000"/>
          <w:sz w:val="24"/>
        </w:rPr>
        <w:t>and an Administrative Questionnaire in which the assignee designates one or more credit contacts to whom all syndicate</w:t>
        <w:noBreakHyphen/>
        <w:t>level information (which may contain Material Non</w:t>
        <w:noBreakHyphen/>
        <w:t xml:space="preserve">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an Issuing Bank may be made unless (1) the assignee shall be or become an Issuing Bank, as applicable, and assume a ratable portion of the rights and obligations of such assignor in its capacity as Issuing Bank, or (2) the assignor agrees, in its discretion, to retain all of its rights with respect to and obligations to make or issue Letters of Credit hereunder in which case the Applicable Fronting Exposure of such assignor may exceed such assignor’s Fronting Exposure Cap for purposes of </w:t>
      </w:r>
      <w:r>
        <w:rPr>
          <w:rFonts w:ascii="Times New Roman" w:hAnsi="Times New Roman"/>
          <w:color w:val="000000"/>
          <w:sz w:val="24"/>
          <w:u w:val="single"/>
        </w:rPr>
        <w:t>Section 2.05(b)</w:t>
      </w:r>
      <w:r>
        <w:rPr>
          <w:rFonts w:ascii="Times New Roman" w:hAnsi="Times New Roman"/>
          <w:color w:val="000000"/>
          <w:sz w:val="20"/>
        </w:rPr>
        <w:t xml:space="preserve"> </w:t>
      </w:r>
      <w:r>
        <w:rPr>
          <w:rFonts w:ascii="Times New Roman" w:hAnsi="Times New Roman"/>
          <w:color w:val="000000"/>
          <w:sz w:val="24"/>
        </w:rPr>
        <w:t xml:space="preserve">by an amount not to exceed the difference between the assignor’s Fronting Exposure Cap prior to such assignment and the assignor’s Fronting Exposure Cap following such assignment; </w:t>
      </w:r>
      <w:r>
        <w:rPr>
          <w:rFonts w:ascii="Times New Roman" w:hAnsi="Times New Roman"/>
          <w:color w:val="000000"/>
          <w:sz w:val="24"/>
          <w:u w:val="single"/>
        </w:rPr>
        <w:t xml:space="preserve">provided </w:t>
      </w:r>
      <w:r>
        <w:rPr>
          <w:rFonts w:ascii="Times New Roman" w:hAnsi="Times New Roman"/>
          <w:color w:val="000000"/>
          <w:sz w:val="24"/>
        </w:rPr>
        <w:t>that no such consent of the Borrower shall be required (i) in the case of a partial assignment of Revolving Loans or Revolving Commitments, an Event of Default has occurred and is continuing and (ii) in the case of a partial assignment of any other Loans or Commitments, a Specified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Subject to acceptance and recording thereof pursuant to </w:t>
      </w:r>
      <w:r>
        <w:rPr>
          <w:rFonts w:ascii="Times New Roman" w:hAnsi="Times New Roman"/>
          <w:color w:val="000000"/>
          <w:sz w:val="24"/>
          <w:u w:val="single"/>
        </w:rPr>
        <w:t>Section 9.04(b)(v)</w:t>
      </w:r>
      <w:r>
        <w:rPr>
          <w:rFonts w:ascii="Times New Roman" w:hAnsi="Times New Roman"/>
          <w:color w:val="000000"/>
          <w:sz w:val="24"/>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Times New Roman" w:hAnsi="Times New Roman"/>
          <w:color w:val="000000"/>
          <w:sz w:val="24"/>
          <w:u w:val="single"/>
        </w:rPr>
        <w:t>Sections 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4"/>
        </w:rPr>
        <w:t xml:space="preserve">, </w:t>
      </w:r>
      <w:r>
        <w:rPr>
          <w:rFonts w:ascii="Times New Roman" w:hAnsi="Times New Roman"/>
          <w:color w:val="000000"/>
          <w:sz w:val="24"/>
          <w:u w:val="single"/>
        </w:rPr>
        <w:t>2.17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and to any fees payable hereunder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have accrued for such Lender’s account but have not yet been paid). Any assignment or transfer by a Lender of rights or obligations under this Agreement that does not comply with this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shall be treated for purposes of this Agreement as a sale by such Lender of a participation in such rights and obligations in accordance with </w:t>
      </w:r>
      <w:r>
        <w:rPr>
          <w:rFonts w:ascii="Times New Roman" w:hAnsi="Times New Roman"/>
          <w:color w:val="000000"/>
          <w:sz w:val="24"/>
          <w:u w:val="single"/>
        </w:rPr>
        <w:t>Section 9.04(c)(i)</w:t>
      </w:r>
      <w:r>
        <w:rPr>
          <w:rFonts w:ascii="Times New Roman" w:hAnsi="Times New Roman"/>
          <w:color w:val="000000"/>
          <w:sz w:val="20"/>
        </w:rPr>
        <w:t xml:space="preserve"> </w:t>
      </w:r>
      <w:r>
        <w:rPr>
          <w:rFonts w:ascii="Times New Roman" w:hAnsi="Times New Roman"/>
          <w:color w:val="000000"/>
          <w:sz w:val="24"/>
        </w:rPr>
        <w:t>to the extent otherwise permitted thereby or otherwise shall be void.</w:t>
      </w:r>
    </w:p>
    <w:p>
      <w:pPr>
        <w:pStyle w:val="TextBody"/>
        <w:bidi w:val="0"/>
        <w:spacing w:before="0" w:after="240"/>
        <w:jc w:val="both"/>
        <w:rPr>
          <w:rFonts w:ascii="Times New Roman" w:hAnsi="Times New Roman"/>
          <w:sz w:val="20"/>
        </w:rPr>
      </w:pPr>
      <w:r>
        <w:rPr>
          <w:rFonts w:ascii="Times New Roman" w:hAnsi="Times New Roman"/>
          <w:color w:val="000000"/>
          <w:sz w:val="24"/>
        </w:rPr>
        <w:t>(iv) The Administrative Agent, acting solely for this purpose as a non</w:t>
        <w:noBreakHyphen/>
        <w:t>fiduciary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hAnsi="Times New Roman"/>
          <w:color w:val="000000"/>
          <w:sz w:val="24"/>
          <w:u w:val="single"/>
        </w:rPr>
        <w:t>Register</w:t>
      </w:r>
      <w:r>
        <w:rPr>
          <w:rFonts w:ascii="Times New Roman" w:hAnsi="Times New Roman"/>
          <w:color w:val="000000"/>
          <w:sz w:val="20"/>
        </w:rPr>
        <w:t>”</w:t>
      </w:r>
      <w:r>
        <w:rPr>
          <w:rFonts w:ascii="Times New Roman" w:hAnsi="Times New Roman"/>
          <w:color w:val="000000"/>
          <w:sz w:val="24"/>
        </w:rPr>
        <w:t>). Notwithstanding the foregoing, in no event shall the Administrative Agent be obligated to ascertain, monitor or inquire as to whether any Lender is an Affiliated Lender, nor shall the Administrative Agent be obligated to monitor the aggregate amount of the Loans or Incremental Loans held by Affiliated Lenders.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 The Register is intended to cause each Loan to be in registered form for U.S. federal income tax purposes under Section 5f.103</w:t>
        <w:noBreakHyphen/>
        <w:t>1(c) of the U.S. Treasury Regulations and Sections 163(f), 871(h)(2) and 881(c)(2) of the Code.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Upon its receipt of a duly completed Assignment and Assumption executed by an assigning Lender and an assignee, the assignee’s completed Administrative Questionnaire and any tax forms required by </w:t>
      </w:r>
      <w:r>
        <w:rPr>
          <w:rFonts w:ascii="Times New Roman" w:hAnsi="Times New Roman"/>
          <w:color w:val="000000"/>
          <w:sz w:val="24"/>
          <w:u w:val="single"/>
        </w:rPr>
        <w:t>Section 2.17(f)</w:t>
      </w:r>
      <w:r>
        <w:rPr>
          <w:rFonts w:ascii="Times New Roman" w:hAnsi="Times New Roman"/>
          <w:color w:val="000000"/>
          <w:sz w:val="20"/>
        </w:rPr>
        <w:t xml:space="preserve"> </w:t>
      </w:r>
      <w:r>
        <w:rPr>
          <w:rFonts w:ascii="Times New Roman" w:hAnsi="Times New Roman"/>
          <w:color w:val="000000"/>
          <w:sz w:val="24"/>
        </w:rPr>
        <w:t xml:space="preserve">(unless the assignee shall already be a Lender hereunder), the processing and recordation fee referred to in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 xml:space="preserve">and any written consent to such assignment required by </w:t>
      </w:r>
      <w:r>
        <w:rPr>
          <w:rFonts w:ascii="Times New Roman" w:hAnsi="Times New Roman"/>
          <w:color w:val="000000"/>
          <w:sz w:val="24"/>
          <w:u w:val="single"/>
        </w:rPr>
        <w:t>Section 9.04(b)</w:t>
      </w:r>
      <w:r>
        <w:rPr>
          <w:rFonts w:ascii="Times New Roman" w:hAnsi="Times New Roman"/>
          <w:color w:val="000000"/>
          <w:sz w:val="24"/>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hAnsi="Times New Roman"/>
          <w:color w:val="000000"/>
          <w:sz w:val="24"/>
          <w:u w:val="single"/>
        </w:rPr>
        <w:t>Section 9.04(b)(v)</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The words “execution”, “signed”, “signature” and words of like import in any Assignment and Assumption shall be deemed to include electronic signatures or the keeping of records in electronic form, each of which shall be of the same legal effect, validity or enforceability as an original executed signature or the use of a paper</w:t>
        <w:noBreakHyphen/>
        <w:t>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jc w:val="center"/>
        <w:rPr>
          <w:rFonts w:ascii="Times New Roman" w:hAnsi="Times New Roman"/>
          <w:color w:val="000000"/>
          <w:sz w:val="24"/>
        </w:rPr>
      </w:pPr>
      <w:r>
        <w:rPr>
          <w:rFonts w:ascii="Times New Roman" w:hAnsi="Times New Roman"/>
          <w:color w:val="000000"/>
          <w:sz w:val="24"/>
        </w:rPr>
        <w:t>197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(i) Any Lender may, without the consent of the Borrower, the Administrative Agent, the Issuing Banks or Swing Line Lenders, sell participations to one or more banks or other Persons (other than to a Disqualified Lender (but only if the Disqualified Lenders List is available to Lenders upon request) or other Person that is not an Eligible Assignee) (a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xml:space="preserve">) in all or a portion of such Lender’s rights and obligations under this Agreement (including all or a portion of its Commitment and the Loans owing to it); </w:t>
      </w:r>
      <w:r>
        <w:rPr>
          <w:rFonts w:ascii="Times New Roman" w:hAnsi="Times New Roman"/>
          <w:color w:val="000000"/>
          <w:sz w:val="24"/>
          <w:u w:val="single"/>
        </w:rPr>
        <w:t xml:space="preserve">provided </w:t>
      </w:r>
      <w:r>
        <w:rPr>
          <w:rFonts w:ascii="Times New Roman" w:hAnsi="Times New Roman"/>
          <w:color w:val="000000"/>
          <w:sz w:val="24"/>
        </w:rPr>
        <w:t xml:space="preserve">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Times New Roman" w:hAnsi="Times New Roman"/>
          <w:color w:val="000000"/>
          <w:sz w:val="24"/>
          <w:u w:val="single"/>
        </w:rPr>
        <w:t xml:space="preserve">provided </w:t>
      </w:r>
      <w:r>
        <w:rPr>
          <w:rFonts w:ascii="Times New Roman" w:hAnsi="Times New Roman"/>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 w:hAnsi="Times New Roman"/>
          <w:color w:val="000000"/>
          <w:sz w:val="24"/>
          <w:u w:val="single"/>
        </w:rPr>
        <w:t>Section 9.02(b)</w:t>
      </w:r>
      <w:r>
        <w:rPr>
          <w:rFonts w:ascii="Times New Roman" w:hAnsi="Times New Roman"/>
          <w:color w:val="000000"/>
          <w:sz w:val="20"/>
        </w:rPr>
        <w:t xml:space="preserve"> </w:t>
      </w:r>
      <w:r>
        <w:rPr>
          <w:rFonts w:ascii="Times New Roman" w:hAnsi="Times New Roman"/>
          <w:color w:val="000000"/>
          <w:sz w:val="24"/>
        </w:rPr>
        <w:t xml:space="preserve">that directly and adversely affects such Participant. Subject to </w:t>
      </w:r>
      <w:r>
        <w:rPr>
          <w:rFonts w:ascii="Times New Roman" w:hAnsi="Times New Roman"/>
          <w:color w:val="000000"/>
          <w:sz w:val="24"/>
          <w:u w:val="single"/>
        </w:rPr>
        <w:t>Section 9.04(c)(iii)</w:t>
      </w:r>
      <w:r>
        <w:rPr>
          <w:rFonts w:ascii="Times New Roman" w:hAnsi="Times New Roman"/>
          <w:color w:val="000000"/>
          <w:sz w:val="24"/>
        </w:rPr>
        <w:t xml:space="preserve">, the Borrower agrees that each Participant shall be entitled to the benefits of </w:t>
      </w:r>
      <w:r>
        <w:rPr>
          <w:rFonts w:ascii="Times New Roman" w:hAnsi="Times New Roman"/>
          <w:color w:val="000000"/>
          <w:sz w:val="24"/>
          <w:u w:val="single"/>
        </w:rPr>
        <w:t>Sections 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2.17</w:t>
      </w:r>
      <w:r>
        <w:rPr>
          <w:rFonts w:ascii="Times New Roman" w:hAnsi="Times New Roman"/>
          <w:color w:val="000000"/>
          <w:sz w:val="20"/>
        </w:rPr>
        <w:t xml:space="preserve"> </w:t>
      </w:r>
      <w:r>
        <w:rPr>
          <w:rFonts w:ascii="Times New Roman" w:hAnsi="Times New Roman"/>
          <w:color w:val="000000"/>
          <w:sz w:val="24"/>
        </w:rPr>
        <w:t xml:space="preserve">(subject to the obligations and limitations thereof and </w:t>
      </w:r>
      <w:r>
        <w:rPr>
          <w:rFonts w:ascii="Times New Roman" w:hAnsi="Times New Roman"/>
          <w:color w:val="000000"/>
          <w:sz w:val="24"/>
          <w:u w:val="single"/>
        </w:rPr>
        <w:t>Section 2.19</w:t>
      </w:r>
      <w:r>
        <w:rPr>
          <w:rFonts w:ascii="Times New Roman" w:hAnsi="Times New Roman"/>
          <w:color w:val="000000"/>
          <w:sz w:val="24"/>
        </w:rPr>
        <w:t xml:space="preserve">, it being understood that any tax forms required by </w:t>
      </w:r>
      <w:r>
        <w:rPr>
          <w:rFonts w:ascii="Times New Roman" w:hAnsi="Times New Roman"/>
          <w:color w:val="000000"/>
          <w:sz w:val="24"/>
          <w:u w:val="single"/>
        </w:rPr>
        <w:t>Section 2.17(f)</w:t>
      </w:r>
      <w:r>
        <w:rPr>
          <w:rFonts w:ascii="Times New Roman" w:hAnsi="Times New Roman"/>
          <w:color w:val="000000"/>
          <w:sz w:val="20"/>
        </w:rPr>
        <w:t xml:space="preserve"> </w:t>
      </w:r>
      <w:r>
        <w:rPr>
          <w:rFonts w:ascii="Times New Roman" w:hAnsi="Times New Roman"/>
          <w:color w:val="000000"/>
          <w:sz w:val="24"/>
        </w:rPr>
        <w:t xml:space="preserve">shall be provided to the participating Lender) to the same extent as if it were a Lender and had acquired its interest by assignment pursuant to </w:t>
      </w:r>
      <w:r>
        <w:rPr>
          <w:rFonts w:ascii="Times New Roman" w:hAnsi="Times New Roman"/>
          <w:color w:val="000000"/>
          <w:sz w:val="24"/>
          <w:u w:val="single"/>
        </w:rPr>
        <w:t>Section 9.04(b)</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such Participant agrees to be subject to the provisions of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as if it were an assignee under </w:t>
      </w:r>
      <w:r>
        <w:rPr>
          <w:rFonts w:ascii="Times New Roman" w:hAnsi="Times New Roman"/>
          <w:color w:val="000000"/>
          <w:sz w:val="24"/>
          <w:u w:val="single"/>
        </w:rPr>
        <w:t>Section 9.04(b)</w:t>
      </w:r>
      <w:r>
        <w:rPr>
          <w:rFonts w:ascii="Times New Roman" w:hAnsi="Times New Roman"/>
          <w:color w:val="000000"/>
          <w:sz w:val="24"/>
        </w:rPr>
        <w:t xml:space="preserve">. To the extent permitted by law, each Participant also shall be entitled to the benefits of </w:t>
      </w:r>
      <w:r>
        <w:rPr>
          <w:rFonts w:ascii="Times New Roman" w:hAnsi="Times New Roman"/>
          <w:color w:val="000000"/>
          <w:sz w:val="24"/>
          <w:u w:val="single"/>
        </w:rPr>
        <w:t>Section 9.08</w:t>
      </w:r>
      <w:r>
        <w:rPr>
          <w:rFonts w:ascii="Times New Roman" w:hAnsi="Times New Roman"/>
          <w:color w:val="000000"/>
          <w:sz w:val="20"/>
        </w:rPr>
        <w:t xml:space="preserve"> </w:t>
      </w:r>
      <w:r>
        <w:rPr>
          <w:rFonts w:ascii="Times New Roman" w:hAnsi="Times New Roman"/>
          <w:color w:val="000000"/>
          <w:sz w:val="24"/>
        </w:rPr>
        <w:t xml:space="preserve">as though it were a Lender; </w:t>
      </w:r>
      <w:r>
        <w:rPr>
          <w:rFonts w:ascii="Times New Roman" w:hAnsi="Times New Roman"/>
          <w:color w:val="000000"/>
          <w:sz w:val="24"/>
          <w:u w:val="single"/>
        </w:rPr>
        <w:t xml:space="preserve">provided </w:t>
      </w:r>
      <w:r>
        <w:rPr>
          <w:rFonts w:ascii="Times New Roman" w:hAnsi="Times New Roman"/>
          <w:color w:val="000000"/>
          <w:sz w:val="24"/>
        </w:rPr>
        <w:t xml:space="preserve">that such Participant agrees to be subject to </w:t>
      </w:r>
      <w:r>
        <w:rPr>
          <w:rFonts w:ascii="Times New Roman" w:hAnsi="Times New Roman"/>
          <w:color w:val="000000"/>
          <w:sz w:val="24"/>
          <w:u w:val="single"/>
        </w:rPr>
        <w:t>Section 2.18(c)</w:t>
      </w:r>
      <w:r>
        <w:rPr>
          <w:rFonts w:ascii="Times New Roman" w:hAnsi="Times New Roman"/>
          <w:color w:val="000000"/>
          <w:sz w:val="20"/>
        </w:rPr>
        <w:t xml:space="preserve"> </w:t>
      </w:r>
      <w:r>
        <w:rPr>
          <w:rFonts w:ascii="Times New Roman" w:hAnsi="Times New Roman"/>
          <w:color w:val="000000"/>
          <w:sz w:val="24"/>
        </w:rPr>
        <w:t>as though it were a Lender.</w:t>
      </w:r>
    </w:p>
    <w:p>
      <w:pPr>
        <w:pStyle w:val="TextBody"/>
        <w:bidi w:val="0"/>
        <w:spacing w:before="0" w:after="240"/>
        <w:jc w:val="both"/>
        <w:rPr>
          <w:rFonts w:ascii="Times New Roman" w:hAnsi="Times New Roman"/>
          <w:sz w:val="20"/>
        </w:rPr>
      </w:pPr>
      <w:r>
        <w:rPr>
          <w:rFonts w:ascii="Times New Roman" w:hAnsi="Times New Roman"/>
          <w:color w:val="000000"/>
          <w:sz w:val="24"/>
        </w:rPr>
        <w:t>(ii) Each Lender that sells a participation shall, acting solely for this purpose as a non</w:t>
        <w:noBreakHyphen/>
        <w:t>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hAnsi="Times New Roman"/>
          <w:color w:val="000000"/>
          <w:sz w:val="24"/>
          <w:u w:val="single"/>
        </w:rPr>
        <w:t>Participant Register</w:t>
      </w:r>
      <w:r>
        <w:rPr>
          <w:rFonts w:ascii="Times New Roman" w:hAnsi="Times New Roman"/>
          <w:color w:val="000000"/>
          <w:sz w:val="20"/>
        </w:rPr>
        <w:t>”</w:t>
      </w:r>
      <w:r>
        <w:rPr>
          <w:rFonts w:ascii="Times New Roman" w:hAnsi="Times New Roman"/>
          <w:color w:val="000000"/>
          <w:sz w:val="24"/>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to establish that such commitment, loan, letter of credit or other obligation is in registered form under Section 5f.103</w:t>
        <w:noBreakHyphen/>
        <w:t>1(c) of the United States Treasury Regulations.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 Participant (other than a Revolving Lender pursuant to </w:t>
      </w:r>
      <w:r>
        <w:rPr>
          <w:rFonts w:ascii="Times New Roman" w:hAnsi="Times New Roman"/>
          <w:color w:val="000000"/>
          <w:sz w:val="24"/>
          <w:u w:val="single"/>
        </w:rPr>
        <w:t>Section 2.05(e)</w:t>
      </w:r>
      <w:r>
        <w:rPr>
          <w:rFonts w:ascii="Times New Roman" w:hAnsi="Times New Roman"/>
          <w:color w:val="000000"/>
          <w:sz w:val="24"/>
        </w:rPr>
        <w:t xml:space="preserve">) shall not be entitled to receive any greater payment under </w:t>
      </w:r>
      <w:r>
        <w:rPr>
          <w:rFonts w:ascii="Times New Roman" w:hAnsi="Times New Roman"/>
          <w:color w:val="000000"/>
          <w:sz w:val="24"/>
          <w:u w:val="single"/>
        </w:rPr>
        <w:t>Section 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w:t>
      </w:r>
      <w:r>
        <w:rPr>
          <w:rFonts w:ascii="Times New Roman" w:hAnsi="Times New Roman"/>
          <w:color w:val="000000"/>
          <w:sz w:val="20"/>
        </w:rPr>
        <w:t xml:space="preserve"> </w:t>
      </w:r>
      <w:r>
        <w:rPr>
          <w:rFonts w:ascii="Times New Roman" w:hAnsi="Times New Roman"/>
          <w:color w:val="000000"/>
          <w:sz w:val="24"/>
        </w:rPr>
        <w:t>than the applicable Lender would have been entitled to receive with respect to the participation sold to such Participant, unless the sale of the participation to such Participant is made with the Borrower’s prior written consent.</w:t>
      </w:r>
    </w:p>
    <w:p>
      <w:pPr>
        <w:pStyle w:val="TextBody"/>
        <w:bidi w:val="0"/>
        <w:jc w:val="center"/>
        <w:rPr>
          <w:rFonts w:ascii="Times New Roman" w:hAnsi="Times New Roman"/>
          <w:color w:val="000000"/>
          <w:sz w:val="24"/>
        </w:rPr>
      </w:pPr>
      <w:r>
        <w:rPr>
          <w:rFonts w:ascii="Times New Roman" w:hAnsi="Times New Roman"/>
          <w:color w:val="000000"/>
          <w:sz w:val="24"/>
        </w:rPr>
        <w:t>198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shall not apply to any such pledge or assignment of a security interest, </w:t>
      </w:r>
      <w:r>
        <w:rPr>
          <w:rFonts w:ascii="Times New Roman" w:hAnsi="Times New Roman"/>
          <w:color w:val="000000"/>
          <w:sz w:val="24"/>
          <w:u w:val="single"/>
        </w:rPr>
        <w:t xml:space="preserve">provided </w:t>
      </w:r>
      <w:r>
        <w:rPr>
          <w:rFonts w:ascii="Times New Roman" w:hAnsi="Times New Roman"/>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and participations in Letters of Credit and Swing Line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hAnsi="Times New Roman"/>
          <w:color w:val="000000"/>
          <w:sz w:val="24"/>
          <w:u w:val="single"/>
        </w:rPr>
        <w:t>Section 9.04(e)</w:t>
      </w:r>
      <w:r>
        <w:rPr>
          <w:rFonts w:ascii="Times New Roman" w:hAnsi="Times New Roman"/>
          <w:color w:val="000000"/>
          <w:sz w:val="24"/>
        </w:rPr>
        <w:t>,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Notwithstanding anything to the contrary herein, Affiliated Lenders may not purchase any Commitments or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Notwithstanding the foregoing, no assignment may be made or participation sold to a Disqualified Lender without the prior written consent of the Borrower; </w:t>
      </w:r>
      <w:r>
        <w:rPr>
          <w:rFonts w:ascii="Times New Roman" w:hAnsi="Times New Roman"/>
          <w:color w:val="000000"/>
          <w:sz w:val="24"/>
          <w:u w:val="single"/>
        </w:rPr>
        <w:t xml:space="preserve">provided </w:t>
      </w:r>
      <w:r>
        <w:rPr>
          <w:rFonts w:ascii="Times New Roman" w:hAnsi="Times New Roman"/>
          <w:color w:val="000000"/>
          <w:sz w:val="24"/>
        </w:rPr>
        <w:t xml:space="preserve">that, upon the inquiry by (i) any Lender to the Administrative Agent as to whether a specified potential assignee or prospective participant is on the Disqualified Lenders List or (ii) any potential assignee as to whether such potential assignee is on the Disqualified Lenders List the Administrative Agent shall provide such list of Disqualified Lenders to such Lender or potential assignee, as applicable;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inclusion on the Disqualified Lenders List shall not apply retroactively to disqualify any persons that have previously acquired an assignment or participation in the Loan if such person was not included on the Disqualified Lenders List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the Borrower to such Lender and the Administrative Agent and otherwise in accordance with </w:t>
      </w:r>
      <w:r>
        <w:rPr>
          <w:rFonts w:ascii="Times New Roman" w:hAnsi="Times New Roman"/>
          <w:color w:val="000000"/>
          <w:sz w:val="24"/>
          <w:u w:val="single"/>
        </w:rPr>
        <w:t>Section 2.19(b)</w:t>
      </w:r>
      <w:r>
        <w:rPr>
          <w:rFonts w:ascii="Times New Roman" w:hAnsi="Times New Roman"/>
          <w:color w:val="000000"/>
          <w:sz w:val="24"/>
        </w:rPr>
        <w:t xml:space="preserve">, as applicable: (1) such Lender shall promptly assign all Loans and Commitments held by such Lender to an Eligible Assignee (and the signature of such Disqualified Lender shall not be required on any such assignment); </w:t>
      </w:r>
      <w:r>
        <w:rPr>
          <w:rFonts w:ascii="Times New Roman" w:hAnsi="Times New Roman"/>
          <w:color w:val="000000"/>
          <w:sz w:val="24"/>
          <w:u w:val="single"/>
        </w:rPr>
        <w:t xml:space="preserve">provided </w:t>
      </w:r>
      <w:r>
        <w:rPr>
          <w:rFonts w:ascii="Times New Roman" w:hAnsi="Times New Roman"/>
          <w:color w:val="000000"/>
          <w:sz w:val="24"/>
        </w:rPr>
        <w:t>that (A) the Administrative Agent shall not have any obligation to the Borrower, such Lender or any other Person to find such a replacement Lender, (B) the Borrower shall not have any obligation to such Disqualified Lender or any other Person to find such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replacement Lender or accept or consent to any such assignment to itself or any other Person subject to the Borrower’s consent in accordance with </w:t>
      </w:r>
      <w:r>
        <w:rPr>
          <w:rFonts w:ascii="Times New Roman" w:hAnsi="Times New Roman"/>
          <w:color w:val="000000"/>
          <w:sz w:val="24"/>
          <w:u w:val="single"/>
        </w:rPr>
        <w:t>Section 9.04(b)(i)</w:t>
      </w:r>
      <w:r>
        <w:rPr>
          <w:rFonts w:ascii="Times New Roman" w:hAnsi="Times New Roman"/>
          <w:color w:val="000000"/>
          <w:sz w:val="20"/>
        </w:rPr>
        <w:t xml:space="preserve"> </w:t>
      </w:r>
      <w:r>
        <w:rPr>
          <w:rFonts w:ascii="Times New Roman" w:hAnsi="Times New Roman"/>
          <w:color w:val="000000"/>
          <w:sz w:val="24"/>
        </w:rPr>
        <w:t xml:space="preserve">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w:t>
      </w:r>
      <w:r>
        <w:rPr>
          <w:rFonts w:ascii="Times New Roman" w:hAnsi="Times New Roman"/>
          <w:color w:val="000000"/>
          <w:sz w:val="24"/>
          <w:u w:val="single"/>
        </w:rPr>
        <w:t>Section 9.02</w:t>
      </w:r>
      <w:r>
        <w:rPr>
          <w:rFonts w:ascii="Times New Roman" w:hAnsi="Times New Roman"/>
          <w:color w:val="000000"/>
          <w:sz w:val="24"/>
        </w:rPr>
        <w:t xml:space="preserve">); </w:t>
      </w:r>
      <w:r>
        <w:rPr>
          <w:rFonts w:ascii="Times New Roman" w:hAnsi="Times New Roman"/>
          <w:color w:val="000000"/>
          <w:sz w:val="24"/>
          <w:u w:val="single"/>
        </w:rPr>
        <w:t xml:space="preserve">provided </w:t>
      </w:r>
      <w:r>
        <w:rPr>
          <w:rFonts w:ascii="Times New Roman" w:hAnsi="Times New Roman"/>
          <w:color w:val="000000"/>
          <w:sz w:val="24"/>
        </w:rPr>
        <w:t xml:space="preserve">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Times New Roman" w:hAnsi="Times New Roman"/>
          <w:color w:val="000000"/>
          <w:sz w:val="24"/>
          <w:u w:val="single"/>
        </w:rPr>
        <w:t>Article II</w:t>
      </w:r>
      <w:r>
        <w:rPr>
          <w:rFonts w:ascii="Times New Roman" w:hAnsi="Times New Roman"/>
          <w:color w:val="000000"/>
          <w:sz w:val="24"/>
        </w:rPr>
        <w:t>. Notwithstanding anything to the contrary herein, the Borrower (on behalf of itself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9.05 </w:t>
      </w:r>
      <w:r>
        <w:rPr>
          <w:rFonts w:ascii="Times New Roman" w:hAnsi="Times New Roman"/>
          <w:b w:val="false"/>
          <w:color w:val="000000"/>
          <w:sz w:val="24"/>
          <w:u w:val="single"/>
        </w:rPr>
        <w:t>Survival</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w:t>
      </w:r>
      <w:r>
        <w:rPr>
          <w:rFonts w:ascii="Times New Roman" w:hAnsi="Times New Roman"/>
          <w:color w:val="000000"/>
          <w:sz w:val="24"/>
          <w:u w:val="single"/>
        </w:rPr>
        <w:t>Sections 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4"/>
        </w:rPr>
        <w:t xml:space="preserve">, </w:t>
      </w:r>
      <w:r>
        <w:rPr>
          <w:rFonts w:ascii="Times New Roman" w:hAnsi="Times New Roman"/>
          <w:color w:val="000000"/>
          <w:sz w:val="24"/>
          <w:u w:val="single"/>
        </w:rPr>
        <w:t>2.17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outstanding hereunder for all purposes of this Agreement and the other Loan Documents, and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Revolving Lenders shall be deemed to have no participations in such Letter of Credit, and no obligations with respect thereto, under </w:t>
      </w:r>
      <w:r>
        <w:rPr>
          <w:rFonts w:ascii="Times New Roman" w:hAnsi="Times New Roman"/>
          <w:color w:val="000000"/>
          <w:sz w:val="24"/>
          <w:u w:val="single"/>
        </w:rPr>
        <w:t>Section 2.05(e)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9.06 </w:t>
      </w:r>
      <w:r>
        <w:rPr>
          <w:rFonts w:ascii="Times New Roman" w:hAnsi="Times New Roman"/>
          <w:b w:val="false"/>
          <w:color w:val="000000"/>
          <w:sz w:val="24"/>
          <w:u w:val="single"/>
        </w:rPr>
        <w:t>Counterparts; Integration; Effectiveness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4"/>
          <w:u w:val="single"/>
        </w:rPr>
        <w:t>Section 4.01</w:t>
      </w:r>
      <w:r>
        <w:rPr>
          <w:rFonts w:ascii="Times New Roman" w:hAnsi="Times New Roman"/>
          <w:color w:val="000000"/>
          <w:sz w:val="24"/>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It is understood and agreed that the words “execution”, “signed”, “signature”, “delivery” and words of like import in or relating to this Agreement and any other Loan Document shall be deemed to include any Electronic Signature, delivery or the keeping of any record in electronic form, each of which shall have the same legal effect, validity or enforceability as a manually executed signature, physical delivery thereof or the use of a paper</w:t>
        <w:noBreakHyphen/>
        <w:t>based recordkeeping system.</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9.07 </w:t>
      </w:r>
      <w:r>
        <w:rPr>
          <w:rFonts w:ascii="Times New Roman" w:hAnsi="Times New Roman"/>
          <w:b w:val="false"/>
          <w:color w:val="000000"/>
          <w:sz w:val="24"/>
          <w:u w:val="single"/>
        </w:rPr>
        <w:t>Severability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hAnsi="Times New Roman"/>
          <w:color w:val="000000"/>
          <w:sz w:val="24"/>
          <w:u w:val="single"/>
        </w:rPr>
        <w:t>Section 9.07</w:t>
      </w:r>
      <w:r>
        <w:rPr>
          <w:rFonts w:ascii="Times New Roman" w:hAnsi="Times New Roman"/>
          <w:color w:val="000000"/>
          <w:sz w:val="24"/>
        </w:rPr>
        <w:t>, if and to the extent that the enforceability of any provisions in this Agreement relating to Defaulting Lenders shall be limited by Debtor Relief Laws, as determined in good faith by the Administrative Agent, the Swing Line Lender or the Issuing Banks, as applicable, then such provisions shall be deemed to be in effect only to the extent not so limited.</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9.08 </w:t>
      </w:r>
      <w:r>
        <w:rPr>
          <w:rFonts w:ascii="Times New Roman" w:hAnsi="Times New Roman"/>
          <w:b w:val="false"/>
          <w:color w:val="000000"/>
          <w:sz w:val="24"/>
          <w:u w:val="single"/>
        </w:rPr>
        <w:t>Right of Setoff; Payment Set Aside</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but not withholding or payroll accounts, employee benefits accounts, </w:t>
      </w:r>
      <w:r>
        <w:rPr>
          <w:rFonts w:ascii="Times New Roman" w:hAnsi="Times New Roman"/>
          <w:i/>
          <w:color w:val="000000"/>
          <w:sz w:val="24"/>
        </w:rPr>
        <w:t xml:space="preserve">de minimis </w:t>
      </w:r>
      <w:r>
        <w:rPr>
          <w:rFonts w:ascii="Times New Roman" w:hAnsi="Times New Roman"/>
          <w:color w:val="000000"/>
          <w:sz w:val="24"/>
        </w:rPr>
        <w:t>accounts or other accounts used exclusively for taxes or fiduciary or trust purposes)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hAnsi="Times New Roman"/>
          <w:color w:val="000000"/>
          <w:sz w:val="24"/>
          <w:u w:val="single"/>
        </w:rPr>
        <w:t xml:space="preserve">provided </w:t>
      </w:r>
      <w:r>
        <w:rPr>
          <w:rFonts w:ascii="Times New Roman" w:hAnsi="Times New Roman"/>
          <w:color w:val="000000"/>
          <w:sz w:val="24"/>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and, pending such payment, shall be segregated by such Defaulting Lender from its other funds and deemed held in trust for the benefit of the Administrative Agent and the Lenders;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Times New Roman" w:hAnsi="Times New Roman"/>
          <w:color w:val="000000"/>
          <w:sz w:val="24"/>
          <w:u w:val="single"/>
        </w:rPr>
        <w:t xml:space="preserve">provided </w:t>
      </w:r>
      <w:r>
        <w:rPr>
          <w:rFonts w:ascii="Times New Roman" w:hAnsi="Times New Roman"/>
          <w:color w:val="000000"/>
          <w:sz w:val="24"/>
        </w:rPr>
        <w:t xml:space="preserve">that any failure to give or any delay in giving such notice shall not affect the validity of any such setoff and application under this </w:t>
      </w:r>
      <w:r>
        <w:rPr>
          <w:rFonts w:ascii="Times New Roman" w:hAnsi="Times New Roman"/>
          <w:color w:val="000000"/>
          <w:sz w:val="24"/>
          <w:u w:val="single"/>
        </w:rPr>
        <w:t>Section 9.08</w:t>
      </w:r>
      <w:r>
        <w:rPr>
          <w:rFonts w:ascii="Times New Roman" w:hAnsi="Times New Roman"/>
          <w:color w:val="000000"/>
          <w:sz w:val="24"/>
        </w:rPr>
        <w:t xml:space="preserve">. The rights of each Lender and each Issuing Bank under this </w:t>
      </w:r>
      <w:r>
        <w:rPr>
          <w:rFonts w:ascii="Times New Roman" w:hAnsi="Times New Roman"/>
          <w:color w:val="000000"/>
          <w:sz w:val="24"/>
          <w:u w:val="single"/>
        </w:rPr>
        <w:t>Section 9.08</w:t>
      </w:r>
      <w:r>
        <w:rPr>
          <w:rFonts w:ascii="Times New Roman" w:hAnsi="Times New Roman"/>
          <w:color w:val="000000"/>
          <w:sz w:val="20"/>
        </w:rPr>
        <w:t xml:space="preserve"> </w:t>
      </w:r>
      <w:r>
        <w:rPr>
          <w:rFonts w:ascii="Times New Roman" w:hAnsi="Times New Roman"/>
          <w:color w:val="000000"/>
          <w:sz w:val="24"/>
        </w:rPr>
        <w:t>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the extent that any payment by or on behalf of the Borrower is made to an Issuing Bank or any Lender, or an Issuing Bank or any Lender exercises its right of setoff, and such payment or the proceeds of such setoff or any part thereof is subsequently invalidated, declared to be fraudulent or preferential, set aside or required (including pursuant to any settlement entered into by such Issuing Bank or such Lender in its discretion) to be repaid to a trustee, receiver, or any other party, in connection with any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9.09 </w:t>
      </w:r>
      <w:r>
        <w:rPr>
          <w:rFonts w:ascii="Times New Roman" w:hAnsi="Times New Roman"/>
          <w:b w:val="false"/>
          <w:color w:val="000000"/>
          <w:sz w:val="24"/>
          <w:u w:val="single"/>
        </w:rPr>
        <w:t>Governing Law; Jurisdiction; Consent to Service of Process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This Agreement shall be construed in accordance with and governed by the laws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4"/>
        </w:rPr>
        <w:t>(b) Each party hereto hereby irrevocably and unconditionally submits, for itself and its property, to the exclusive jurisdiction of any federal court sitting in the Borough of Manhattan in the City of New York or, if that court does not have subject matter jurisdiction, in any state court located in the City and County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except to the extent required by any Security Document to be brought in another jurisdiction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the terms of such Security Document.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Times New Roman" w:hAnsi="Times New Roman"/>
          <w:color w:val="000000"/>
          <w:sz w:val="24"/>
          <w:u w:val="single"/>
        </w:rPr>
        <w:t>Section 9.09(b)</w:t>
      </w:r>
      <w:r>
        <w:rPr>
          <w:rFonts w:ascii="Times New Roman" w:hAnsi="Times New Roman"/>
          <w:color w:val="000000"/>
          <w:sz w:val="24"/>
        </w:rPr>
        <w:t>.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EACH PARTY TO THIS AGREEMENT IRREVOCABLY CONSENTS TO SERVICE OF PROCESS IN THE MANNER PROVIDED FOR NOTICES IN </w:t>
      </w:r>
      <w:r>
        <w:rPr>
          <w:rFonts w:ascii="Times New Roman" w:hAnsi="Times New Roman"/>
          <w:color w:val="000000"/>
          <w:sz w:val="24"/>
          <w:u w:val="single"/>
        </w:rPr>
        <w:t>SECTION</w:t>
      </w:r>
      <w:r>
        <w:rPr>
          <w:rFonts w:ascii="Times New Roman" w:hAnsi="Times New Roman"/>
          <w:color w:val="FF0000"/>
          <w:sz w:val="20"/>
          <w:u w:val="single"/>
        </w:rPr>
        <w:t xml:space="preserve"> </w:t>
      </w:r>
      <w:r>
        <w:rPr>
          <w:rFonts w:ascii="Times New Roman" w:hAnsi="Times New Roman"/>
          <w:color w:val="000000"/>
          <w:sz w:val="24"/>
          <w:u w:val="single"/>
        </w:rPr>
        <w:t>9.01</w:t>
      </w:r>
      <w:r>
        <w:rPr>
          <w:rFonts w:ascii="Times New Roman" w:hAnsi="Times New Roman"/>
          <w:color w:val="000000"/>
          <w:sz w:val="24"/>
        </w:rPr>
        <w:t>. NOTHING IN ANY LOAN DOCUMENT WILL AFFECT THE RIGHT OF ANY PARTY TO THIS AGREEMENT TO SERVE PROCESS IN ANY OTHER MANNER PERMITTED BY LAW.</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9.10 </w:t>
      </w:r>
      <w:r>
        <w:rPr>
          <w:rFonts w:ascii="Times New Roman" w:hAnsi="Times New Roman"/>
          <w:b w:val="false"/>
          <w:color w:val="000000"/>
          <w:sz w:val="24"/>
          <w:u w:val="single"/>
        </w:rPr>
        <w:t>WAIVER OF JURY TRIAL</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hAnsi="Times New Roman"/>
          <w:color w:val="000000"/>
          <w:sz w:val="24"/>
          <w:u w:val="single"/>
        </w:rPr>
        <w:t>SECTION 9.10</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9.11 </w:t>
      </w:r>
      <w:r>
        <w:rPr>
          <w:rFonts w:ascii="Times New Roman" w:hAnsi="Times New Roman"/>
          <w:b w:val="false"/>
          <w:color w:val="000000"/>
          <w:sz w:val="24"/>
          <w:u w:val="single"/>
        </w:rPr>
        <w:t>Headings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Article and Section headings and the Table of Contents used herein are for convenience of reference only, are not part of this Agreement and shall not affect the construction of, or be taken into consideration in interpreting, this Agreement.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9.12 </w:t>
      </w:r>
      <w:r>
        <w:rPr>
          <w:rFonts w:ascii="Times New Roman" w:hAnsi="Times New Roman"/>
          <w:b w:val="false"/>
          <w:color w:val="000000"/>
          <w:sz w:val="24"/>
          <w:u w:val="single"/>
        </w:rPr>
        <w:t>Confidentiality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Each of the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on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rPr>
        <w:t>need</w:t>
        <w:noBreakHyphen/>
        <w:t>to</w:t>
        <w:noBreakHyphen/>
        <w:t xml:space="preserve">know” basis (it being understood that the Persons to whom such disclosure is made will be informed of the confidential nature of such Information and will be instructed to keep such Information confidential and any failure of such Persons acting on behalf of the Administrative Agent, any Issuing Bank or the relevant Lender to comply with this </w:t>
      </w:r>
      <w:r>
        <w:rPr>
          <w:rFonts w:ascii="Times New Roman" w:hAnsi="Times New Roman"/>
          <w:color w:val="000000"/>
          <w:sz w:val="24"/>
          <w:u w:val="single"/>
        </w:rPr>
        <w:t>Section 9.12</w:t>
      </w:r>
      <w:r>
        <w:rPr>
          <w:rFonts w:ascii="Times New Roman" w:hAnsi="Times New Roman"/>
          <w:color w:val="000000"/>
          <w:sz w:val="20"/>
        </w:rPr>
        <w:t xml:space="preserve"> </w:t>
      </w:r>
      <w:r>
        <w:rPr>
          <w:rFonts w:ascii="Times New Roman" w:hAnsi="Times New Roman"/>
          <w:color w:val="000000"/>
          <w:sz w:val="24"/>
        </w:rPr>
        <w:t xml:space="preserve">shall constitute a breach of this </w:t>
      </w:r>
      <w:r>
        <w:rPr>
          <w:rFonts w:ascii="Times New Roman" w:hAnsi="Times New Roman"/>
          <w:color w:val="000000"/>
          <w:sz w:val="24"/>
          <w:u w:val="single"/>
        </w:rPr>
        <w:t>Section 9.12</w:t>
      </w:r>
      <w:r>
        <w:rPr>
          <w:rFonts w:ascii="Times New Roman" w:hAnsi="Times New Roman"/>
          <w:color w:val="000000"/>
          <w:sz w:val="20"/>
        </w:rPr>
        <w:t xml:space="preserve"> </w:t>
      </w:r>
      <w:r>
        <w:rPr>
          <w:rFonts w:ascii="Times New Roman" w:hAnsi="Times New Roman"/>
          <w:color w:val="000000"/>
          <w:sz w:val="24"/>
        </w:rPr>
        <w:t>by the Administrative Agent, such Issuing Bank or the relevant Lender, as applicable), (ii) to the extent requested or required by any governmental authority, regulatory authority or self</w:t>
        <w:noBreakHyphen/>
        <w:t>regulatory authority, required by applicable law, rule or regulation or by any subpoena or similar legal process or in connection with the exercise of remedies hereunder or any suit, action or proceeding relating to this Agreement or the enforcement of rights hereunder (including without limitation for purposes of establishing any appropriate due diligence defense) or any other pending legal, judicial or administrative proceeding or other compulsory process or upon the good faith determination by counsel that such Information should be disclosed in light of ongoing oversight or review of such Administrative Agent, Issuing Bank or Lender, as applicable, by any governmental or regulatory (including self</w:t>
        <w:noBreakHyphen/>
        <w:t xml:space="preserve">regulatory) authority having jurisdiction over the Administrative Agent, Issuing Bank or Lender or its Affiliates, as applicable; </w:t>
      </w:r>
      <w:r>
        <w:rPr>
          <w:rFonts w:ascii="Times New Roman" w:hAnsi="Times New Roman"/>
          <w:color w:val="000000"/>
          <w:sz w:val="24"/>
          <w:u w:val="single"/>
        </w:rPr>
        <w:t xml:space="preserve">provided </w:t>
      </w:r>
      <w:r>
        <w:rPr>
          <w:rFonts w:ascii="Times New Roman" w:hAnsi="Times New Roman"/>
          <w:color w:val="000000"/>
          <w:sz w:val="24"/>
        </w:rPr>
        <w:t>that (x) solely to the extent permitted by law and other than in connection with routine audits and reviews by regulatory and self</w:t>
        <w:noBreakHyphen/>
        <w:t xml:space="preserve">regulatory authorities, each Lender and the Administrative Agent shall promptly notify the Borrower of any such requested or required disclosure in connection with any legal or regulatory proceeding and (y) in the case of clause (ii) only, each Lender and the Administrative Agent shall use commercially reasonable efforts to ensure that such Information is kept confidential in connection with the exercise of such remedies, (iii) to any other party to this Agreement, (iv)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w:t>
      </w:r>
      <w:r>
        <w:rPr>
          <w:rFonts w:ascii="Times New Roman" w:hAnsi="Times New Roman"/>
          <w:color w:val="000000"/>
          <w:sz w:val="24"/>
          <w:u w:val="single"/>
        </w:rPr>
        <w:t>Section 9.04(d)</w:t>
      </w:r>
      <w:r>
        <w:rPr>
          <w:rFonts w:ascii="Times New Roman" w:hAnsi="Times New Roman"/>
          <w:color w:val="000000"/>
          <w:sz w:val="24"/>
        </w:rPr>
        <w:t xml:space="preserve">, in the case of each of the preceding clauses (A) through (C), other than to a Disqualified Lender; </w:t>
      </w:r>
      <w:r>
        <w:rPr>
          <w:rFonts w:ascii="Times New Roman" w:hAnsi="Times New Roman"/>
          <w:color w:val="000000"/>
          <w:sz w:val="24"/>
          <w:u w:val="single"/>
        </w:rPr>
        <w:t xml:space="preserve">provided </w:t>
      </w:r>
      <w:r>
        <w:rPr>
          <w:rFonts w:ascii="Times New Roman" w:hAnsi="Times New Roman"/>
          <w:color w:val="000000"/>
          <w:sz w:val="24"/>
        </w:rPr>
        <w:t xml:space="preserve">that any such disclosure under this clause (iv) shall be made subject to the acknowledgement and acceptance by such assignee or Participant, prospective assignee or Participant, actual or prospective counterparty (or its advisors) or pledgee, as applicable, that such Information is being disseminated on a confidential basis (on substantially the same terms set forth in this </w:t>
      </w:r>
      <w:r>
        <w:rPr>
          <w:rFonts w:ascii="Times New Roman" w:hAnsi="Times New Roman"/>
          <w:color w:val="000000"/>
          <w:sz w:val="24"/>
          <w:u w:val="single"/>
        </w:rPr>
        <w:t>Section 9.12</w:t>
      </w:r>
      <w:r>
        <w:rPr>
          <w:rFonts w:ascii="Times New Roman" w:hAnsi="Times New Roman"/>
          <w:color w:val="000000"/>
          <w:sz w:val="20"/>
        </w:rPr>
        <w:t xml:space="preserve"> </w:t>
      </w:r>
      <w:r>
        <w:rPr>
          <w:rFonts w:ascii="Times New Roman" w:hAnsi="Times New Roman"/>
          <w:color w:val="000000"/>
          <w:sz w:val="24"/>
        </w:rPr>
        <w:t xml:space="preserve">or as is reasonably acceptable to the Borrower and the Administrative Agent) in accordance with the customary market standards for dissemination of such type of Information, in the event of any electronic access through Intralinks, another website or similar electronic system or platform, which shall in any event require “click through” or other affirmative action on the part of the recipient to access such Information and acknowledge its confidentiality obligations in respect thereof, in each case on terms reasonably acceptable to the Borrower, (v) if required by any rating agency; </w:t>
      </w:r>
      <w:r>
        <w:rPr>
          <w:rFonts w:ascii="Times New Roman" w:hAnsi="Times New Roman"/>
          <w:color w:val="000000"/>
          <w:sz w:val="24"/>
          <w:u w:val="single"/>
        </w:rPr>
        <w:t xml:space="preserve">provided </w:t>
      </w:r>
      <w:r>
        <w:rPr>
          <w:rFonts w:ascii="Times New Roman" w:hAnsi="Times New Roman"/>
          <w:color w:val="000000"/>
          <w:sz w:val="24"/>
        </w:rPr>
        <w:t xml:space="preserve">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(e.g., identities of parties, maturity dates, interest rates, etc.) on a confidential basis, or (vii) to the extent such Information (x) becomes publicly available other than as a result of a breach of this </w:t>
      </w:r>
      <w:r>
        <w:rPr>
          <w:rFonts w:ascii="Times New Roman" w:hAnsi="Times New Roman"/>
          <w:color w:val="000000"/>
          <w:sz w:val="24"/>
          <w:u w:val="single"/>
        </w:rPr>
        <w:t>Section 9.12</w:t>
      </w:r>
      <w:r>
        <w:rPr>
          <w:rFonts w:ascii="Times New Roman" w:hAnsi="Times New Roman"/>
          <w:color w:val="000000"/>
          <w:sz w:val="20"/>
        </w:rPr>
        <w:t xml:space="preserve"> </w:t>
      </w:r>
      <w:r>
        <w:rPr>
          <w:rFonts w:ascii="Times New Roman" w:hAnsi="Times New Roman"/>
          <w:color w:val="000000"/>
          <w:sz w:val="24"/>
        </w:rPr>
        <w:t>or (y) becomes available to the Administrative Agent, any Issuing Bank, any Lender or any of their respective Affiliates on a nonconfidential basis from a source other than Holdings, the Borrower or any Subsidiary, which source is not known (after due inquiry) by the recipient of such information to be subject to a confidentiality obligation. For the purposes hereof, “</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means all information received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from or on behalf of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Notwithstanding the foregoing, </w:t>
      </w:r>
      <w:r>
        <w:rPr>
          <w:rFonts w:ascii="Times New Roman" w:hAnsi="Times New Roman"/>
          <w:color w:val="000000"/>
          <w:sz w:val="24"/>
          <w:u w:val="single"/>
        </w:rPr>
        <w:t xml:space="preserve">provided </w:t>
      </w:r>
      <w:r>
        <w:rPr>
          <w:rFonts w:ascii="Times New Roman" w:hAnsi="Times New Roman"/>
          <w:color w:val="000000"/>
          <w:sz w:val="24"/>
        </w:rPr>
        <w:t>that the Disqualified Lenders List has been shared with the Lenders, no such information shall be disclosed to a Disqualified Lender that constitutes a Disqualified Lender at the time of such disclosure without the Borrower’s prior written consent.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LENDER ACKNOWLEDGES THAT INFORMATION (AS DEFINED IN </w:t>
      </w:r>
      <w:r>
        <w:rPr>
          <w:rFonts w:ascii="Times New Roman" w:hAnsi="Times New Roman"/>
          <w:color w:val="000000"/>
          <w:sz w:val="24"/>
          <w:u w:val="single"/>
        </w:rPr>
        <w:t>SECTION 9.12(a)</w:t>
      </w:r>
      <w:r>
        <w:rPr>
          <w:rFonts w:ascii="Times New Roman" w:hAnsi="Times New Roman"/>
          <w:color w:val="000000"/>
          <w:sz w:val="24"/>
        </w:rPr>
        <w:t>) FURNISHED TO IT PURSUANT TO THIS AGREEMENT MAY INCLUDE MATERIAL NON</w:t>
        <w:noBreakHyphen/>
        <w:t>PUBLIC INFORMATION CONCERNING HOLDINGS, THE BORROWER, THE LOAN PARTIES AND THEIR RELATED PARTIES OR THEIR RESPECTIVE SECURITIES AND CONFIRMS THAT IT HAS DEVELOPED COMPLIANCE PROCEDURES REGARDING THE USE OF MATERIAL NON</w:t>
        <w:noBreakHyphen/>
        <w:t>PUBLIC INFORMATION AND THAT IT WILL HANDLE SUCH MATERIAL NON</w:t>
        <w:noBreakHyphen/>
        <w:t>PUBLIC INFORMATION IN ACCORDANCE WITH THOSE PROCEDURES AND APPLICABLE LAW, INCLUDING FEDERAL AND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INFORMATION, INCLUDING REQUESTS FOR WAIVERS AND AMENDMENTS FURNISHED BY THE BORROWER OR THE ADMINISTRATIVE AGENT PURSUANT TO, OR IN THE COURSE OF ADMINISTERING, THIS AGREEMENT, WILL BE SYNDICATE LEVEL INFORMATION, WHICH MAY CONTAIN MATERIAL NON</w:t>
        <w:noBreakHyphen/>
        <w:t>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w:t>
        <w:noBreakHyphen/>
        <w:t>PUBLIC INFORMATION IN ACCORDANCE WITH ITS COMPLIANCE PROCEDURES AND APPLICABLE LAW, INCLUDING FEDERAL AND STATE SECURITIES LAWS.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9.13 </w:t>
      </w:r>
      <w:r>
        <w:rPr>
          <w:rFonts w:ascii="Times New Roman" w:hAnsi="Times New Roman"/>
          <w:b w:val="false"/>
          <w:color w:val="000000"/>
          <w:sz w:val="24"/>
          <w:u w:val="single"/>
        </w:rPr>
        <w:t>USA PATRIOT Act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9.14 </w:t>
      </w:r>
      <w:r>
        <w:rPr>
          <w:rFonts w:ascii="Times New Roman" w:hAnsi="Times New Roman"/>
          <w:b w:val="false"/>
          <w:color w:val="000000"/>
          <w:sz w:val="24"/>
          <w:u w:val="single"/>
        </w:rPr>
        <w:t>Release of Liens and Guarantees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A Subsidiary Loan Party shall automatically be released from its obligations under the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Subsidiary or becomes an Excluded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provided </w:t>
      </w:r>
      <w:r>
        <w:rPr>
          <w:rFonts w:ascii="Times New Roman" w:hAnsi="Times New Roman"/>
          <w:color w:val="000000"/>
          <w:sz w:val="24"/>
        </w:rPr>
        <w:t xml:space="preserve">that the release of any Subsidiary Loan Party from its obligations under the Loan Documents pursuant hereto shall only be permitted if (x) a Subsidiary Loan Party shall not be released as a Loan Party hereunder solely by virtue of the Disposition of a </w:t>
      </w:r>
      <w:r>
        <w:rPr>
          <w:rFonts w:ascii="Times New Roman" w:hAnsi="Times New Roman"/>
          <w:i/>
          <w:color w:val="000000"/>
          <w:sz w:val="24"/>
        </w:rPr>
        <w:t xml:space="preserve">de minimis </w:t>
      </w:r>
      <w:r>
        <w:rPr>
          <w:rFonts w:ascii="Times New Roman" w:hAnsi="Times New Roman"/>
          <w:color w:val="000000"/>
          <w:sz w:val="24"/>
        </w:rPr>
        <w:t xml:space="preserve">amount of such Subsidiary Loan Party’s Equity Interests unless such Disposition is to an unaffiliated third party for fair market value (as determined by the Borrower in good faith), for a bona fide business purpose and the primary purpose of such Disposition is not to evade its Guarantee of the Secured Obligations (as determined by the Borrower in good faith) (it being understood that this proviso shall not limit the release of any Subsidiary Loan Party that otherwise qualifies as an Excluded Subsidiary for reasons other than not constituting a Wholly-Owned Subsidiary of the Borrower) and (y) a Subsidiary Loan Party shall not be released as a Loan Party hereunder solely by virtue of becoming an Excluded Subsidiary or ceasing to be a Subsidiary unless any single transaction or series of related transactions not prohibited hereunder as a result of which such Subsidiary Loan Party becomes an Excluded Subsidiary or ceases to be a Subsidiary (I) is or are undertaken for a bona fide business purpose and the primary purpose of which undertaking is not to evade the Loan Guaranty hereunder or status as a Subsidiary hereunder (as determined by the Borrower in good faith), (II) to the extent that any such single transaction or series of related transactions involves a Disposition, such Disposition is to an unaffiliated third party for fair market value (as determined by the Borrower in good faith), and (III) to the extent that any such single transaction or series of related transactions results in such released Subsidiary Loan Party becoming an Excluded Subsidiary, or results in the members of the Vegas Group retaining a minority equity interest in such Person, a Loan Party will be deemed to have made an Investment in such Excluded Subsidiary or such Person at the time of the consummation of such transaction or series of transactions, and such Investment must be permitted by </w:t>
      </w:r>
      <w:r>
        <w:rPr>
          <w:rFonts w:ascii="Times New Roman" w:hAnsi="Times New Roman"/>
          <w:color w:val="000000"/>
          <w:sz w:val="24"/>
          <w:u w:val="single"/>
        </w:rPr>
        <w:t>Section 6.04</w:t>
      </w:r>
      <w:r>
        <w:rPr>
          <w:rFonts w:ascii="Times New Roman" w:hAnsi="Times New Roman"/>
          <w:color w:val="000000"/>
          <w:sz w:val="20"/>
        </w:rPr>
        <w:t xml:space="preserve"> </w:t>
      </w:r>
      <w:r>
        <w:rPr>
          <w:rFonts w:ascii="Times New Roman" w:hAnsi="Times New Roman"/>
          <w:color w:val="000000"/>
          <w:sz w:val="24"/>
        </w:rPr>
        <w:t xml:space="preserve">at the time of the consummation of such transaction or series of transactions described in this </w:t>
      </w:r>
      <w:r>
        <w:rPr>
          <w:rFonts w:ascii="Times New Roman" w:hAnsi="Times New Roman"/>
          <w:color w:val="000000"/>
          <w:sz w:val="24"/>
          <w:u w:val="single"/>
        </w:rPr>
        <w:t>Section 9.14</w:t>
      </w:r>
      <w:r>
        <w:rPr>
          <w:rFonts w:ascii="Times New Roman" w:hAnsi="Times New Roman"/>
          <w:color w:val="000000"/>
          <w:sz w:val="20"/>
        </w:rPr>
        <w:t xml:space="preserve"> </w:t>
      </w:r>
      <w:r>
        <w:rPr>
          <w:rFonts w:ascii="Times New Roman" w:hAnsi="Times New Roman"/>
          <w:color w:val="000000"/>
          <w:sz w:val="24"/>
        </w:rPr>
        <w:t>(this proviso, the “</w:t>
      </w:r>
      <w:r>
        <w:rPr>
          <w:rFonts w:ascii="Times New Roman" w:hAnsi="Times New Roman"/>
          <w:color w:val="000000"/>
          <w:sz w:val="24"/>
          <w:u w:val="single"/>
        </w:rPr>
        <w:t>Chewy Provision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no such release shall occur if such Subsidiary Loan Party continues to be a guarantor in respect of any Incremental Equivalent Debt, any Other Term Loans, any Incremental Facility, any Junior Financing or any Permitted Refinancing in respect of any of the foregoing;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xml:space="preserve">that, if so required by this Agreement, the Required Lenders (or such other percentage of the Lenders whose consent may be required in accordance with </w:t>
      </w:r>
      <w:r>
        <w:rPr>
          <w:rFonts w:ascii="Times New Roman" w:hAnsi="Times New Roman"/>
          <w:color w:val="000000"/>
          <w:sz w:val="24"/>
          <w:u w:val="single"/>
        </w:rPr>
        <w:t>Section 9.02</w:t>
      </w:r>
      <w:r>
        <w:rPr>
          <w:rFonts w:ascii="Times New Roman" w:hAnsi="Times New Roman"/>
          <w:color w:val="000000"/>
          <w:sz w:val="24"/>
        </w:rPr>
        <w:t xml:space="preserve">) shall have consented to such transaction and the terms of such consent shall not have provided otherwise, or as provided in the applicable Intercreditor Agreement. Upon any sale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or upon any Collateral becoming an Excluded Asset,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created by the Security Documents shall be automatically released. To the extent the release of any Lien in any Collateral is approved, authorized or ratified in writing by the Required Lenders (or such other percentage of the Lenders whose consent may be required in accordance with </w:t>
      </w:r>
      <w:r>
        <w:rPr>
          <w:rFonts w:ascii="Times New Roman" w:hAnsi="Times New Roman"/>
          <w:color w:val="000000"/>
          <w:sz w:val="24"/>
          <w:u w:val="single"/>
        </w:rPr>
        <w:t>Section 9.02)</w:t>
      </w:r>
      <w:r>
        <w:rPr>
          <w:rFonts w:ascii="Times New Roman" w:hAnsi="Times New Roman"/>
          <w:color w:val="000000"/>
          <w:sz w:val="24"/>
        </w:rPr>
        <w:t>, the security interest in such Collateral shall be automatically released. To the extent the release of any security interest in any Collateral is required to effect any sale or other disposition of Collateral in connection with any exercise of remedies of the Collateral Agent pursuant to the Loan Documents, the security interest in such Collateral shall be automatically released. In addition, liens shall be released and guarantees released in accordance with the terms of the Security Documents and the Guarantee.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Upon the Termination Date all obligations under the Loan Documents and all security interests created by the Security Documents shall be automatically released. Any such release shall not in any manner discharge, affect, or impair the Secured Obligations (other than those being discharged or released) or any Liens (other than those being discharged or released) of the Loan Parties in respect of all interests retained by the Loan Parties, including the proceeds of any sale, all of which shall continue to constitute part of the Collateral except to the extent comprised of Excluded Assets or otherwise released in accordance with the provisions of the Loan Documents. In connection with any termination or release pursuant to this </w:t>
      </w:r>
      <w:r>
        <w:rPr>
          <w:rFonts w:ascii="Times New Roman" w:hAnsi="Times New Roman"/>
          <w:color w:val="000000"/>
          <w:sz w:val="24"/>
          <w:u w:val="single"/>
        </w:rPr>
        <w:t>Section 9.14</w:t>
      </w:r>
      <w:r>
        <w:rPr>
          <w:rFonts w:ascii="Times New Roman" w:hAnsi="Times New Roman"/>
          <w:color w:val="000000"/>
          <w:sz w:val="24"/>
        </w:rPr>
        <w:t xml:space="preserve">, without the further consent of any Lender, Issuing Bank or other Secured Party, the Administrative Agent or the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 The Administrative Agent or the Collateral Agent, as the case may be, will, at the Borrower’s expense, execute and deliver to the applicable Loan Party or to file or register in any office such documents as such Loan Party may reasonably request to subordinate its Lien on any property granted to or held by the Administrative Agent or the Collateral Agent, as the case may be, under any Loan Document to the holder of any Lien on such property that is permitted by </w:t>
      </w:r>
      <w:r>
        <w:rPr>
          <w:rFonts w:ascii="Times New Roman" w:hAnsi="Times New Roman"/>
          <w:color w:val="000000"/>
          <w:sz w:val="24"/>
          <w:u w:val="single"/>
        </w:rPr>
        <w:t>Section 6.02(ii)</w:t>
      </w:r>
      <w:r>
        <w:rPr>
          <w:rFonts w:ascii="Times New Roman" w:hAnsi="Times New Roman"/>
          <w:color w:val="000000"/>
          <w:sz w:val="20"/>
        </w:rPr>
        <w:t xml:space="preserve"> </w:t>
      </w:r>
      <w:r>
        <w:rPr>
          <w:rFonts w:ascii="Times New Roman" w:hAnsi="Times New Roman"/>
          <w:color w:val="000000"/>
          <w:sz w:val="24"/>
        </w:rPr>
        <w:t xml:space="preserve">(but only pursuant to clauses (d) and (j) of the definition of “Permitted Encumbrances”), </w:t>
      </w:r>
      <w:r>
        <w:rPr>
          <w:rFonts w:ascii="Times New Roman" w:hAnsi="Times New Roman"/>
          <w:color w:val="000000"/>
          <w:sz w:val="24"/>
          <w:u w:val="single"/>
        </w:rPr>
        <w:t>(iv)</w:t>
      </w:r>
      <w:r>
        <w:rPr>
          <w:rFonts w:ascii="Times New Roman" w:hAnsi="Times New Roman"/>
          <w:color w:val="000000"/>
          <w:sz w:val="24"/>
        </w:rPr>
        <w:t xml:space="preserve">, </w:t>
      </w:r>
      <w:r>
        <w:rPr>
          <w:rFonts w:ascii="Times New Roman" w:hAnsi="Times New Roman"/>
          <w:color w:val="000000"/>
          <w:sz w:val="24"/>
          <w:u w:val="single"/>
        </w:rPr>
        <w:t>(v)</w:t>
      </w:r>
      <w:r>
        <w:rPr>
          <w:rFonts w:ascii="Times New Roman" w:hAnsi="Times New Roman"/>
          <w:color w:val="000000"/>
          <w:sz w:val="24"/>
        </w:rPr>
        <w:t xml:space="preserve">, </w:t>
      </w:r>
      <w:r>
        <w:rPr>
          <w:rFonts w:ascii="Times New Roman" w:hAnsi="Times New Roman"/>
          <w:color w:val="000000"/>
          <w:sz w:val="24"/>
          <w:u w:val="single"/>
        </w:rPr>
        <w:t>(xi)</w:t>
      </w:r>
      <w:r>
        <w:rPr>
          <w:rFonts w:ascii="Times New Roman" w:hAnsi="Times New Roman"/>
          <w:color w:val="000000"/>
          <w:sz w:val="24"/>
        </w:rPr>
        <w:t xml:space="preserve">, </w:t>
      </w:r>
      <w:r>
        <w:rPr>
          <w:rFonts w:ascii="Times New Roman" w:hAnsi="Times New Roman"/>
          <w:color w:val="000000"/>
          <w:sz w:val="24"/>
          <w:u w:val="single"/>
        </w:rPr>
        <w:t>(xii)</w:t>
      </w:r>
      <w:r>
        <w:rPr>
          <w:rFonts w:ascii="Times New Roman" w:hAnsi="Times New Roman"/>
          <w:color w:val="000000"/>
          <w:sz w:val="24"/>
        </w:rPr>
        <w:t xml:space="preserve">, </w:t>
      </w:r>
      <w:r>
        <w:rPr>
          <w:rFonts w:ascii="Times New Roman" w:hAnsi="Times New Roman"/>
          <w:color w:val="000000"/>
          <w:sz w:val="24"/>
          <w:u w:val="single"/>
        </w:rPr>
        <w:t>(xxii)</w:t>
      </w:r>
      <w:r>
        <w:rPr>
          <w:rFonts w:ascii="Times New Roman" w:hAnsi="Times New Roman"/>
          <w:color w:val="000000"/>
          <w:sz w:val="20"/>
        </w:rPr>
        <w:t xml:space="preserve"> </w:t>
      </w:r>
      <w:r>
        <w:rPr>
          <w:rFonts w:ascii="Times New Roman" w:hAnsi="Times New Roman"/>
          <w:color w:val="000000"/>
          <w:sz w:val="24"/>
        </w:rPr>
        <w:t xml:space="preserve">(but only with respect to any such liens securing Indebtedness permitted under </w:t>
      </w:r>
      <w:r>
        <w:rPr>
          <w:rFonts w:ascii="Times New Roman" w:hAnsi="Times New Roman"/>
          <w:color w:val="000000"/>
          <w:sz w:val="24"/>
          <w:u w:val="single"/>
        </w:rPr>
        <w:t>Section 6.01(a)(viii)</w:t>
      </w:r>
      <w:r>
        <w:rPr>
          <w:rFonts w:ascii="Times New Roman" w:hAnsi="Times New Roman"/>
          <w:color w:val="000000"/>
          <w:sz w:val="24"/>
        </w:rPr>
        <w:t xml:space="preserve">), </w:t>
      </w:r>
      <w:r>
        <w:rPr>
          <w:rFonts w:ascii="Times New Roman" w:hAnsi="Times New Roman"/>
          <w:color w:val="000000"/>
          <w:sz w:val="24"/>
          <w:u w:val="single"/>
        </w:rPr>
        <w:t>(xxiii)</w:t>
      </w:r>
      <w:r>
        <w:rPr>
          <w:rFonts w:ascii="Times New Roman" w:hAnsi="Times New Roman"/>
          <w:color w:val="000000"/>
          <w:sz w:val="24"/>
        </w:rPr>
        <w:t xml:space="preserve">, </w:t>
      </w:r>
      <w:r>
        <w:rPr>
          <w:rFonts w:ascii="Times New Roman" w:hAnsi="Times New Roman"/>
          <w:color w:val="000000"/>
          <w:sz w:val="24"/>
          <w:u w:val="single"/>
        </w:rPr>
        <w:t>(xxix)</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(xxxv)</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of the Lenders and each of the Issuing Banks irrevocably authorizes the Administrative Agent or the Collateral Agent, as the case may be, to (i) provide any release or evidence of release, termination or subordination contemplated by this </w:t>
      </w:r>
      <w:r>
        <w:rPr>
          <w:rFonts w:ascii="Times New Roman" w:hAnsi="Times New Roman"/>
          <w:color w:val="000000"/>
          <w:sz w:val="24"/>
          <w:u w:val="single"/>
        </w:rPr>
        <w:t>Section 9.14</w:t>
      </w:r>
      <w:r>
        <w:rPr>
          <w:rFonts w:ascii="Times New Roman" w:hAnsi="Times New Roman"/>
          <w:color w:val="000000"/>
          <w:sz w:val="20"/>
        </w:rPr>
        <w:t xml:space="preserve"> </w:t>
      </w:r>
      <w:r>
        <w:rPr>
          <w:rFonts w:ascii="Times New Roman" w:hAnsi="Times New Roman"/>
          <w:color w:val="000000"/>
          <w:sz w:val="24"/>
        </w:rPr>
        <w:t xml:space="preserve">(and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Times New Roman" w:hAnsi="Times New Roman"/>
          <w:color w:val="000000"/>
          <w:sz w:val="24"/>
          <w:u w:val="single"/>
        </w:rPr>
        <w:t>Section 9.14</w:t>
      </w:r>
      <w:r>
        <w:rPr>
          <w:rFonts w:ascii="Times New Roman" w:hAnsi="Times New Roman"/>
          <w:color w:val="000000"/>
          <w:sz w:val="24"/>
        </w:rPr>
        <w:t xml:space="preserve">), (ii) enter into subordination or intercreditor agreements with respect to Indebtedness to the extent the Administrative Agent or Collateral Agent is otherwise contemplated herein as being a party to such intercreditor or subordination agreement, in each case to the extent such agreements, at the time they are first entered into, are substantially consistent with the terms set forth on </w:t>
      </w:r>
      <w:r>
        <w:rPr>
          <w:rFonts w:ascii="Times New Roman" w:hAnsi="Times New Roman"/>
          <w:color w:val="000000"/>
          <w:sz w:val="24"/>
          <w:u w:val="single"/>
        </w:rPr>
        <w:t>Exhibit E</w:t>
        <w:noBreakHyphen/>
        <w:t>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Exhibit E</w:t>
        <w:noBreakHyphen/>
        <w:t>2</w:t>
      </w:r>
      <w:r>
        <w:rPr>
          <w:rFonts w:ascii="Times New Roman" w:hAnsi="Times New Roman"/>
          <w:color w:val="000000"/>
          <w:sz w:val="24"/>
        </w:rPr>
        <w:t xml:space="preserve">, together with (A) any immaterial changes and (B)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and/or Collateral Agent’s entry into such intercreditor agreement (with such changes) is reasonable and to have consented to such intercreditor agreement (with such changes) and to the Administrative Agent’s and/or Collateral Agent’s execution thereof, in each case in form and substance reasonably satisfactory to the Administrative Agent and/or Collateral Agent (it being understood that junior Liens are not required to be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with other junior Liens, and that Indebtedness secured by junior Liens may be secured by Liens that are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with, or junior in priority to, other Liens that are junior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Liens securing the Initial Revolving Facility); and (iii) enter into and sign for and on behalf of the Lenders as Secured Parties the Security Documents for the benefit of the Lenders and the other Secured Parties.</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9.15 </w:t>
      </w:r>
      <w:r>
        <w:rPr>
          <w:rFonts w:ascii="Times New Roman" w:hAnsi="Times New Roman"/>
          <w:b w:val="false"/>
          <w:color w:val="000000"/>
          <w:sz w:val="24"/>
          <w:u w:val="single"/>
        </w:rPr>
        <w:t>No Advisory or Fiduciary Responsibility</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Joint Lead Arrangers, the Issuing Banks and the Lenders are arm’s</w:t>
        <w:noBreakHyphen/>
        <w:t>length commercial transactions between the Borrower, Holdings and their respective Affiliates, on the one hand, and the Administrative Agent, the Joint Lead Arrangers, the Issuing Banks and the Lenders on the other hand, (B) each of the Borrower and Holdings has consulted its own legal, accounting, regulatory and tax advisors to the extent it has deemed appropriate, that it is responsible for making its own independent judgment with respect to such transactions and the process leading thereto and it is not relying on the Administrative Agent, the Joint Lead Arrangers, the Issuing Banks or the Lenders for such advice, and (C) each of the Borrower and Holdings is capable of evaluating, and understands and accepts, the terms, risks and conditions of the transactions contemplated hereby and by the other Loan Documents; (ii) (A) 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Loan Documents; and (iii) the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Administrative Agent, the Joint Lead Arrangers, the Issuing Banks and the Lenders has any obligation to disclose any of such interests to the Borrower, Holdings or any of their respective Affiliates. To the fullest extent permitted by law, the Borrower and each other Loan Party hereby waives and releases any claims that it may have against the Administrative Agent, the Joint Lead Arrangers or any Lender with respect to any breach or alleged breach of agency or fiduciary duty in connection with any aspect of any transaction contemplated hereby.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9.16 </w:t>
      </w:r>
      <w:r>
        <w:rPr>
          <w:rFonts w:ascii="Times New Roman" w:hAnsi="Times New Roman"/>
          <w:b w:val="false"/>
          <w:color w:val="000000"/>
          <w:sz w:val="24"/>
          <w:u w:val="single"/>
        </w:rPr>
        <w:t>Interest Rate Limitation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in any Loan Document, the interest paid or agreed to be paid under the Loan Documents shall not exceed the maximum rate of non</w:t>
        <w:noBreakHyphen/>
        <w:t>usurious interest permitted by applicable law (the “</w:t>
      </w:r>
      <w:r>
        <w:rPr>
          <w:rFonts w:ascii="Times New Roman" w:hAnsi="Times New Roman"/>
          <w:color w:val="000000"/>
          <w:sz w:val="24"/>
          <w:u w:val="single"/>
        </w:rPr>
        <w:t>Maximum Rate</w:t>
      </w:r>
      <w:r>
        <w:rPr>
          <w:rFonts w:ascii="Times New Roman" w:hAnsi="Times New Roman"/>
          <w:color w:val="000000"/>
          <w:sz w:val="20"/>
        </w:rPr>
        <w:t>”</w:t>
      </w:r>
      <w:r>
        <w:rPr>
          <w:rFonts w:ascii="Times New Roman" w:hAnsi="Times New Roman"/>
          <w:color w:val="000000"/>
          <w:sz w:val="24"/>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9.17 </w:t>
      </w:r>
      <w:r>
        <w:rPr>
          <w:rFonts w:ascii="Times New Roman" w:hAnsi="Times New Roman"/>
          <w:b w:val="false"/>
          <w:color w:val="000000"/>
          <w:sz w:val="24"/>
          <w:u w:val="single"/>
        </w:rPr>
        <w:t>Judgment Currency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or any other Loan Party in respect of any such sum due from it to the Secured Parties hereunder or under the other Loan Documents shall, notwithstanding any judgment in a currency (the “</w:t>
      </w:r>
      <w:r>
        <w:rPr>
          <w:rFonts w:ascii="Times New Roman" w:hAnsi="Times New Roman"/>
          <w:color w:val="000000"/>
          <w:sz w:val="24"/>
          <w:u w:val="single"/>
        </w:rPr>
        <w:t>Judgment Currency</w:t>
      </w:r>
      <w:r>
        <w:rPr>
          <w:rFonts w:ascii="Times New Roman" w:hAnsi="Times New Roman"/>
          <w:color w:val="000000"/>
          <w:sz w:val="20"/>
        </w:rPr>
        <w:t>”</w:t>
      </w:r>
      <w:r>
        <w:rPr>
          <w:rFonts w:ascii="Times New Roman" w:hAnsi="Times New Roman"/>
          <w:color w:val="000000"/>
          <w:sz w:val="24"/>
        </w:rPr>
        <w:t>) other than that in which such sum is denominated in accordance with the applicable provisions of this Agreement (the “</w:t>
      </w:r>
      <w:r>
        <w:rPr>
          <w:rFonts w:ascii="Times New Roman" w:hAnsi="Times New Roman"/>
          <w:color w:val="000000"/>
          <w:sz w:val="24"/>
          <w:u w:val="single"/>
        </w:rPr>
        <w:t>Agreement Currency</w:t>
      </w:r>
      <w:r>
        <w:rPr>
          <w:rFonts w:ascii="Times New Roman" w:hAnsi="Times New Roman"/>
          <w:color w:val="000000"/>
          <w:sz w:val="20"/>
        </w:rPr>
        <w:t>”</w:t>
      </w:r>
      <w:r>
        <w:rPr>
          <w:rFonts w:ascii="Times New Roman" w:hAnsi="Times New Roman"/>
          <w:color w:val="000000"/>
          <w:sz w:val="24"/>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Requirements of Law).</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9.18 </w:t>
      </w:r>
      <w:r>
        <w:rPr>
          <w:rFonts w:ascii="Times New Roman" w:hAnsi="Times New Roman"/>
          <w:b w:val="false"/>
          <w:color w:val="000000"/>
          <w:sz w:val="24"/>
          <w:u w:val="single"/>
        </w:rPr>
        <w:t>Intercreditor Agreement</w:t>
      </w:r>
      <w:r>
        <w:rPr>
          <w:rFonts w:ascii="Times New Roman" w:hAnsi="Times New Roman"/>
          <w:b w:val="false"/>
          <w:color w:val="000000"/>
          <w:sz w:val="24"/>
        </w:rPr>
        <w:t xml:space="preserve">. Each Secured Party hereby agrees that the Administrative Agent and/or Collateral Agent may enter into an Intercreditor Agreement and any other intercreditor agreement and/or subordination agreement pursuant to, or contemplated by, the terms of this Agreement (including with respect to Indebtedness permitted pursuant to </w:t>
      </w:r>
      <w:r>
        <w:rPr>
          <w:rFonts w:ascii="Times New Roman" w:hAnsi="Times New Roman"/>
          <w:b w:val="false"/>
          <w:color w:val="000000"/>
          <w:sz w:val="24"/>
          <w:u w:val="single"/>
        </w:rPr>
        <w:t>Section 6.01</w:t>
      </w:r>
      <w:r>
        <w:rPr>
          <w:rFonts w:ascii="Times New Roman" w:hAnsi="Times New Roman"/>
          <w:b w:val="false"/>
          <w:color w:val="000000"/>
          <w:sz w:val="24"/>
        </w:rPr>
        <w:t xml:space="preserve">, any applicable Liens on Collateral permitted pursuant to </w:t>
      </w:r>
      <w:r>
        <w:rPr>
          <w:rFonts w:ascii="Times New Roman" w:hAnsi="Times New Roman"/>
          <w:b w:val="false"/>
          <w:color w:val="000000"/>
          <w:sz w:val="24"/>
          <w:u w:val="single"/>
        </w:rPr>
        <w:t>Section 6.02</w:t>
      </w:r>
      <w:r>
        <w:rPr>
          <w:rFonts w:ascii="Times New Roman" w:hAnsi="Times New Roman"/>
          <w:color w:val="000000"/>
          <w:sz w:val="20"/>
        </w:rPr>
        <w:t xml:space="preserve"> </w:t>
      </w:r>
      <w:r>
        <w:rPr>
          <w:rFonts w:ascii="Times New Roman" w:hAnsi="Times New Roman"/>
          <w:b w:val="false"/>
          <w:color w:val="000000"/>
          <w:sz w:val="24"/>
        </w:rPr>
        <w:t xml:space="preserve">and, in each case, together with the defined terms referenced therein) on its behalf and agrees to be bound by the terms thereof and, in each case, consents and agrees to the appointment of the Collateral Agent (or its affiliated designee, representative, agent or successor) on its behalf as collateral agent, respectively, thereunder. Each Lender (a) hereby agrees that it will be bound by and will take no actions contrary to the provisions of any applicable Intercreditor Agreement (if entered into) and (b) hereby authorizes and instructs the Administrative Agent and Collateral Agent to enter into any Intercreditor Agreement (and any amendments, amendments and restatements, restatements or waivers of or supplements to or other modifications to, such agreements (subject, if applicable, to the last sentence of </w:t>
      </w:r>
      <w:r>
        <w:rPr>
          <w:rFonts w:ascii="Times New Roman" w:hAnsi="Times New Roman"/>
          <w:b w:val="false"/>
          <w:color w:val="000000"/>
          <w:sz w:val="24"/>
          <w:u w:val="single"/>
        </w:rPr>
        <w:t>Section 9.02(b)</w:t>
      </w:r>
      <w:r>
        <w:rPr>
          <w:rFonts w:ascii="Times New Roman" w:hAnsi="Times New Roman"/>
          <w:b w:val="false"/>
          <w:color w:val="000000"/>
          <w:sz w:val="24"/>
        </w:rPr>
        <w:t>), and to subject the Liens on the Collateral securing the Secured Obligations to the provisions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9.19 </w:t>
      </w:r>
      <w:r>
        <w:rPr>
          <w:rFonts w:ascii="Times New Roman" w:hAnsi="Times New Roman"/>
          <w:b w:val="false"/>
          <w:color w:val="000000"/>
          <w:sz w:val="24"/>
          <w:u w:val="single"/>
        </w:rPr>
        <w:t>Cashless Settlement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in this Agreement, any Lender may exchange, continue or rollover all or a portion of its Loans in connection with any refinancing,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extension, loan modification or similar transaction permitted by the terms of this Agreement, pursuant to a cashless settlement mechanism approved by the Borrower, the Administrative Agent and such Lender.</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9.20 </w:t>
      </w:r>
      <w:r>
        <w:rPr>
          <w:rFonts w:ascii="Times New Roman" w:hAnsi="Times New Roman"/>
          <w:b w:val="false"/>
          <w:color w:val="000000"/>
          <w:sz w:val="24"/>
          <w:u w:val="single"/>
        </w:rPr>
        <w:t>Acknowledgement and Consent to Bail</w:t>
        <w:noBreakHyphen/>
        <w:t>In of EEA Financial Institutions</w:t>
      </w:r>
      <w:r>
        <w:rPr>
          <w:rFonts w:ascii="Times New Roman" w:hAnsi="Times New Roman"/>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w:t>
        <w:noBreakHyphen/>
        <w:t>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application of any Write</w:t>
        <w:noBreakHyphen/>
        <w:t>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effects of any Bail</w:t>
        <w:noBreakHyphen/>
        <w:t>In Action on any such liability, including,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0" w:after="240"/>
        <w:jc w:val="both"/>
        <w:rPr>
          <w:rFonts w:ascii="Times New Roman" w:hAnsi="Times New Roman"/>
          <w:sz w:val="20"/>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w:t>
        <w:noBreakHyphen/>
        <w:t>down and conversion powers of the applicable Resolution Authority.</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9.21 </w:t>
      </w:r>
      <w:r>
        <w:rPr>
          <w:rFonts w:ascii="Times New Roman" w:hAnsi="Times New Roman"/>
          <w:b w:val="false"/>
          <w:color w:val="000000"/>
          <w:sz w:val="24"/>
          <w:u w:val="single"/>
        </w:rPr>
        <w:t>[Reserved]</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Section 9.22 </w:t>
      </w:r>
      <w:r>
        <w:rPr>
          <w:rFonts w:ascii="Times New Roman" w:hAnsi="Times New Roman"/>
          <w:b w:val="false"/>
          <w:color w:val="000000"/>
          <w:sz w:val="24"/>
          <w:u w:val="single"/>
        </w:rPr>
        <w:t>Acknowledgement Regarding Any Supported QFC</w:t>
      </w:r>
      <w:r>
        <w:rPr>
          <w:rFonts w:ascii="Times New Roman" w:hAnsi="Times New Roman"/>
          <w:b w:val="false"/>
          <w:color w:val="000000"/>
          <w:sz w:val="24"/>
        </w:rPr>
        <w:t>. To the extent that the Loan Documents provide support, through a guarantee or otherwise, for any agreement or instrument that is a QFC (such support, “</w:t>
      </w:r>
      <w:r>
        <w:rPr>
          <w:rFonts w:ascii="Times New Roman" w:hAnsi="Times New Roman"/>
          <w:b w:val="false"/>
          <w:color w:val="000000"/>
          <w:sz w:val="24"/>
          <w:u w:val="single"/>
        </w:rPr>
        <w:t>QFC Credit Support</w:t>
      </w:r>
      <w:r>
        <w:rPr>
          <w:rFonts w:ascii="Times New Roman" w:hAnsi="Times New Roman"/>
          <w:color w:val="000000"/>
          <w:sz w:val="20"/>
        </w:rPr>
        <w:t>”</w:t>
      </w:r>
      <w:r>
        <w:rPr>
          <w:rFonts w:ascii="Times New Roman" w:hAnsi="Times New Roman"/>
          <w:b w:val="false"/>
          <w:color w:val="000000"/>
          <w:sz w:val="24"/>
        </w:rPr>
        <w:t>, and each such QFC, a “</w:t>
      </w:r>
      <w:r>
        <w:rPr>
          <w:rFonts w:ascii="Times New Roman" w:hAnsi="Times New Roman"/>
          <w:b w:val="false"/>
          <w:color w:val="000000"/>
          <w:sz w:val="24"/>
          <w:u w:val="single"/>
        </w:rPr>
        <w:t>Supported QFC</w:t>
      </w:r>
      <w:r>
        <w:rPr>
          <w:rFonts w:ascii="Times New Roman" w:hAnsi="Times New Roman"/>
          <w:color w:val="000000"/>
          <w:sz w:val="20"/>
        </w:rPr>
        <w:t>”</w:t>
      </w:r>
      <w:r>
        <w:rPr>
          <w:rFonts w:ascii="Times New Roman" w:hAnsi="Times New Roman"/>
          <w:b w:val="false"/>
          <w:color w:val="000000"/>
          <w:sz w:val="24"/>
        </w:rPr>
        <w:t>), the parties acknowledge and agree as follows with respect to the resolution power of the Federal Deposit Insurance Corporation under the Federal Deposit Insurance Act and Title II of the Dodd</w:t>
        <w:noBreakHyphen/>
        <w:t>Frank Wall Street Reform and Consumer Protection Act (together with the regulations promulgated thereunder, the “</w:t>
      </w:r>
      <w:r>
        <w:rPr>
          <w:rFonts w:ascii="Times New Roman" w:hAnsi="Times New Roman"/>
          <w:b w:val="false"/>
          <w:color w:val="000000"/>
          <w:sz w:val="24"/>
          <w:u w:val="single"/>
        </w:rPr>
        <w:t>U.S. Special Resolution Regimes</w:t>
      </w:r>
      <w:r>
        <w:rPr>
          <w:rFonts w:ascii="Times New Roman" w:hAnsi="Times New Roman"/>
          <w:color w:val="000000"/>
          <w:sz w:val="20"/>
        </w:rPr>
        <w:t>”</w:t>
      </w:r>
      <w:r>
        <w:rPr>
          <w:rFonts w:ascii="Times New Roman" w:hAnsi="Times New Roman"/>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(a) In the event a Covered Entity that is party to a Supported QFC (each, a “</w:t>
      </w:r>
      <w:r>
        <w:rPr>
          <w:rFonts w:ascii="Times New Roman" w:hAnsi="Times New Roman"/>
          <w:color w:val="000000"/>
          <w:sz w:val="24"/>
          <w:u w:val="single"/>
        </w:rPr>
        <w:t>Covered Party</w:t>
      </w:r>
      <w:r>
        <w:rPr>
          <w:rFonts w:ascii="Times New Roman" w:hAnsi="Times New Roman"/>
          <w:color w:val="000000"/>
          <w:sz w:val="20"/>
        </w:rPr>
        <w:t>”</w:t>
      </w:r>
      <w:r>
        <w:rPr>
          <w:rFonts w:ascii="Times New Roman" w:hAnsi="Times New Roman"/>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As used in this </w:t>
      </w:r>
      <w:r>
        <w:rPr>
          <w:rFonts w:ascii="Times New Roman" w:hAnsi="Times New Roman"/>
          <w:color w:val="000000"/>
          <w:sz w:val="24"/>
          <w:u w:val="single"/>
        </w:rPr>
        <w:t>Section 9.22</w:t>
      </w:r>
      <w:r>
        <w:rPr>
          <w:rFonts w:ascii="Times New Roman" w:hAnsi="Times New Roman"/>
          <w:color w:val="000000"/>
          <w:sz w:val="24"/>
        </w:rPr>
        <w:t>, the following terms have the following meanings:</w:t>
      </w:r>
    </w:p>
    <w:p>
      <w:pPr>
        <w:pStyle w:val="TextBody"/>
        <w:bidi w:val="0"/>
        <w:spacing w:before="0" w:after="240"/>
        <w:jc w:val="both"/>
        <w:rPr/>
      </w:pPr>
      <w:r>
        <w:rPr>
          <w:color w:val="000000"/>
        </w:rPr>
        <w:t>“</w:t>
      </w:r>
      <w:r>
        <w:rPr>
          <w:rFonts w:ascii="Times New Roman" w:hAnsi="Times New Roman"/>
          <w:color w:val="000000"/>
          <w:sz w:val="24"/>
          <w:u w:val="single"/>
        </w:rPr>
        <w:t>BHC Act Affiliate</w:t>
      </w:r>
      <w:r>
        <w:rPr>
          <w:rFonts w:ascii="Times New Roman" w:hAnsi="Times New Roman"/>
          <w:color w:val="000000"/>
          <w:sz w:val="20"/>
        </w:rPr>
        <w:t xml:space="preserve">” </w:t>
      </w:r>
      <w:r>
        <w:rPr>
          <w:rFonts w:ascii="Times New Roman" w:hAnsi="Times New Roman"/>
          <w:color w:val="000000"/>
          <w:sz w:val="24"/>
        </w:rPr>
        <w:t>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4"/>
          <w:u w:val="single"/>
        </w:rPr>
        <w:t>Covered Entity</w:t>
      </w:r>
      <w:r>
        <w:rPr>
          <w:rFonts w:ascii="Times New Roman" w:hAnsi="Times New Roman"/>
          <w:color w:val="000000"/>
          <w:sz w:val="20"/>
        </w:rPr>
        <w:t xml:space="preserve">” </w:t>
      </w:r>
      <w:r>
        <w:rPr>
          <w:rFonts w:ascii="Times New Roman" w:hAnsi="Times New Roman"/>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color w:val="000000"/>
          <w:sz w:val="24"/>
          <w:u w:val="single"/>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color w:val="000000"/>
          <w:sz w:val="24"/>
          <w:u w:val="single"/>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5390(c)(8)(D).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parties hereto have caused this Agreement to be duly executed by their respective authorized officers as of the day and year first above written.</w:t>
      </w:r>
    </w:p>
    <w:p>
      <w:pPr>
        <w:pStyle w:val="TextBody"/>
        <w:bidi w:val="0"/>
        <w:jc w:val="left"/>
        <w:rPr>
          <w:rFonts w:ascii="Times New Roman" w:hAnsi="Times New Roman"/>
          <w:b/>
          <w:color w:val="000000"/>
          <w:sz w:val="24"/>
        </w:rPr>
      </w:pPr>
      <w:r>
        <w:rPr>
          <w:rFonts w:ascii="Times New Roman" w:hAnsi="Times New Roman"/>
          <w:b/>
          <w:color w:val="000000"/>
          <w:sz w:val="24"/>
        </w:rPr>
        <w:t>VDC-MGG HOLDINGS, LLC</w:t>
      </w:r>
    </w:p>
    <w:p>
      <w:pPr>
        <w:pStyle w:val="TextBody"/>
        <w:bidi w:val="0"/>
        <w:spacing w:before="0" w:after="240"/>
        <w:jc w:val="left"/>
        <w:rPr>
          <w:rFonts w:ascii="Times New Roman" w:hAnsi="Times New Roman"/>
          <w:sz w:val="20"/>
        </w:rPr>
      </w:pPr>
      <w:r>
        <w:rPr>
          <w:rFonts w:ascii="Times New Roman" w:hAnsi="Times New Roman"/>
          <w:color w:val="000000"/>
          <w:sz w:val="24"/>
        </w:rPr>
        <w:t>as Holdings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Lawrence Fey </w:t>
      </w:r>
    </w:p>
    <w:p>
      <w:pPr>
        <w:pStyle w:val="TextBody"/>
        <w:bidi w:val="0"/>
        <w:jc w:val="left"/>
        <w:rPr>
          <w:rFonts w:ascii="Times New Roman" w:hAnsi="Times New Roman"/>
          <w:color w:val="000000"/>
          <w:sz w:val="24"/>
        </w:rPr>
      </w:pPr>
      <w:r>
        <w:rPr>
          <w:rFonts w:ascii="Times New Roman" w:hAnsi="Times New Roman"/>
          <w:color w:val="000000"/>
          <w:sz w:val="24"/>
        </w:rPr>
        <w:t>Name: Lawrence Fey</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jc w:val="left"/>
        <w:rPr>
          <w:rFonts w:ascii="Times New Roman" w:hAnsi="Times New Roman"/>
          <w:b/>
          <w:color w:val="000000"/>
          <w:sz w:val="24"/>
        </w:rPr>
      </w:pPr>
      <w:r>
        <w:rPr>
          <w:rFonts w:ascii="Times New Roman" w:hAnsi="Times New Roman"/>
          <w:b/>
          <w:color w:val="000000"/>
          <w:sz w:val="24"/>
        </w:rPr>
        <w:t>VEGAS.COM, LLC</w:t>
      </w:r>
    </w:p>
    <w:p>
      <w:pPr>
        <w:pStyle w:val="TextBody"/>
        <w:bidi w:val="0"/>
        <w:spacing w:before="0" w:after="240"/>
        <w:jc w:val="left"/>
        <w:rPr>
          <w:rFonts w:ascii="Times New Roman" w:hAnsi="Times New Roman"/>
          <w:sz w:val="20"/>
        </w:rPr>
      </w:pPr>
      <w:r>
        <w:rPr>
          <w:rFonts w:ascii="Times New Roman" w:hAnsi="Times New Roman"/>
          <w:color w:val="000000"/>
          <w:sz w:val="24"/>
        </w:rPr>
        <w:t>as Borrower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Lawrence Fey </w:t>
      </w:r>
    </w:p>
    <w:p>
      <w:pPr>
        <w:pStyle w:val="TextBody"/>
        <w:bidi w:val="0"/>
        <w:jc w:val="left"/>
        <w:rPr>
          <w:rFonts w:ascii="Times New Roman" w:hAnsi="Times New Roman"/>
          <w:color w:val="000000"/>
          <w:sz w:val="24"/>
        </w:rPr>
      </w:pPr>
      <w:r>
        <w:rPr>
          <w:rFonts w:ascii="Times New Roman" w:hAnsi="Times New Roman"/>
          <w:color w:val="000000"/>
          <w:sz w:val="24"/>
        </w:rPr>
        <w:t>Name: Lawrence Fey</w:t>
      </w:r>
    </w:p>
    <w:p>
      <w:pPr>
        <w:pStyle w:val="TextBody"/>
        <w:bidi w:val="0"/>
        <w:jc w:val="left"/>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jc w:val="center"/>
        <w:rPr>
          <w:rFonts w:ascii="Times New Roman" w:hAnsi="Times New Roman"/>
          <w:sz w:val="20"/>
        </w:rPr>
      </w:pPr>
      <w:r>
        <w:rPr>
          <w:rFonts w:ascii="Times New Roman" w:hAnsi="Times New Roman"/>
          <w:i/>
          <w:color w:val="000000"/>
          <w:sz w:val="24"/>
        </w:rPr>
        <w:t>[Signature Page to Credit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BARCLAYS BANK PLC</w:t>
      </w:r>
    </w:p>
    <w:p>
      <w:pPr>
        <w:pStyle w:val="TextBody"/>
        <w:bidi w:val="0"/>
        <w:spacing w:before="0" w:after="240"/>
        <w:jc w:val="left"/>
        <w:rPr>
          <w:rFonts w:ascii="Times New Roman" w:hAnsi="Times New Roman"/>
          <w:sz w:val="20"/>
        </w:rPr>
      </w:pPr>
      <w:r>
        <w:rPr>
          <w:rFonts w:ascii="Times New Roman" w:hAnsi="Times New Roman"/>
          <w:color w:val="000000"/>
          <w:sz w:val="24"/>
        </w:rPr>
        <w:t>as Administrative Agent, an Issuing Bank, Swing Line Lender and a Lender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Nicholas Sibayan </w:t>
      </w:r>
    </w:p>
    <w:p>
      <w:pPr>
        <w:pStyle w:val="TextBody"/>
        <w:bidi w:val="0"/>
        <w:jc w:val="left"/>
        <w:rPr>
          <w:rFonts w:ascii="Times New Roman" w:hAnsi="Times New Roman"/>
          <w:color w:val="000000"/>
          <w:sz w:val="24"/>
        </w:rPr>
      </w:pPr>
      <w:r>
        <w:rPr>
          <w:rFonts w:ascii="Times New Roman" w:hAnsi="Times New Roman"/>
          <w:color w:val="000000"/>
          <w:sz w:val="24"/>
        </w:rPr>
        <w:t>Name: Nicholas Sibayan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Vice President</w:t>
      </w:r>
    </w:p>
    <w:p>
      <w:pPr>
        <w:pStyle w:val="TextBody"/>
        <w:bidi w:val="0"/>
        <w:jc w:val="left"/>
        <w:rPr>
          <w:rFonts w:ascii="Times New Roman" w:hAnsi="Times New Roman"/>
          <w:b/>
          <w:color w:val="000000"/>
          <w:sz w:val="24"/>
        </w:rPr>
      </w:pPr>
      <w:r>
        <w:rPr>
          <w:rFonts w:ascii="Times New Roman" w:hAnsi="Times New Roman"/>
          <w:b/>
          <w:color w:val="000000"/>
          <w:sz w:val="24"/>
        </w:rPr>
        <w:t>BANK OF AMERICA, N.A.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Lender and an Issuing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Mirth St. Juste </w:t>
      </w:r>
    </w:p>
    <w:p>
      <w:pPr>
        <w:pStyle w:val="TextBody"/>
        <w:bidi w:val="0"/>
        <w:jc w:val="left"/>
        <w:rPr>
          <w:rFonts w:ascii="Times New Roman" w:hAnsi="Times New Roman"/>
          <w:color w:val="000000"/>
          <w:sz w:val="24"/>
        </w:rPr>
      </w:pPr>
      <w:r>
        <w:rPr>
          <w:rFonts w:ascii="Times New Roman" w:hAnsi="Times New Roman"/>
          <w:color w:val="000000"/>
          <w:sz w:val="24"/>
        </w:rPr>
        <w:t>Name: Mirth St. Juste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Vice President</w:t>
      </w:r>
    </w:p>
    <w:p>
      <w:pPr>
        <w:pStyle w:val="TextBody"/>
        <w:bidi w:val="0"/>
        <w:jc w:val="left"/>
        <w:rPr>
          <w:rFonts w:ascii="Times New Roman" w:hAnsi="Times New Roman"/>
          <w:b/>
          <w:color w:val="000000"/>
          <w:sz w:val="24"/>
        </w:rPr>
      </w:pPr>
      <w:r>
        <w:rPr>
          <w:rFonts w:ascii="Times New Roman" w:hAnsi="Times New Roman"/>
          <w:b/>
          <w:color w:val="000000"/>
          <w:sz w:val="24"/>
        </w:rPr>
        <w:t>CITICORP NORTH AMERICA, INC.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Lender</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Doug Baird </w:t>
      </w:r>
    </w:p>
    <w:p>
      <w:pPr>
        <w:pStyle w:val="TextBody"/>
        <w:bidi w:val="0"/>
        <w:jc w:val="left"/>
        <w:rPr>
          <w:rFonts w:ascii="Times New Roman" w:hAnsi="Times New Roman"/>
          <w:color w:val="000000"/>
          <w:sz w:val="24"/>
        </w:rPr>
      </w:pPr>
      <w:r>
        <w:rPr>
          <w:rFonts w:ascii="Times New Roman" w:hAnsi="Times New Roman"/>
          <w:color w:val="000000"/>
          <w:sz w:val="24"/>
        </w:rPr>
        <w:t>Name: Doug Baird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Vice President &amp; Managing Director</w:t>
      </w:r>
    </w:p>
    <w:p>
      <w:pPr>
        <w:pStyle w:val="TextBody"/>
        <w:bidi w:val="0"/>
        <w:jc w:val="left"/>
        <w:rPr>
          <w:rFonts w:ascii="Times New Roman" w:hAnsi="Times New Roman"/>
          <w:b/>
          <w:color w:val="000000"/>
          <w:sz w:val="24"/>
        </w:rPr>
      </w:pPr>
      <w:r>
        <w:rPr>
          <w:rFonts w:ascii="Times New Roman" w:hAnsi="Times New Roman"/>
          <w:b/>
          <w:color w:val="000000"/>
          <w:sz w:val="24"/>
        </w:rPr>
        <w:t>CITIBANK, N.A.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an Issuing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Stella Zhang </w:t>
      </w:r>
    </w:p>
    <w:p>
      <w:pPr>
        <w:pStyle w:val="TextBody"/>
        <w:bidi w:val="0"/>
        <w:jc w:val="left"/>
        <w:rPr>
          <w:rFonts w:ascii="Times New Roman" w:hAnsi="Times New Roman"/>
          <w:color w:val="000000"/>
          <w:sz w:val="24"/>
        </w:rPr>
      </w:pPr>
      <w:r>
        <w:rPr>
          <w:rFonts w:ascii="Times New Roman" w:hAnsi="Times New Roman"/>
          <w:color w:val="000000"/>
          <w:sz w:val="24"/>
        </w:rPr>
        <w:t>Name: Stella Zhang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Vice President</w:t>
      </w:r>
    </w:p>
    <w:p>
      <w:pPr>
        <w:pStyle w:val="TextBody"/>
        <w:bidi w:val="0"/>
        <w:jc w:val="left"/>
        <w:rPr>
          <w:rFonts w:ascii="Times New Roman" w:hAnsi="Times New Roman"/>
          <w:b/>
          <w:color w:val="000000"/>
          <w:sz w:val="24"/>
        </w:rPr>
      </w:pPr>
      <w:r>
        <w:rPr>
          <w:rFonts w:ascii="Times New Roman" w:hAnsi="Times New Roman"/>
          <w:b/>
          <w:color w:val="000000"/>
          <w:sz w:val="24"/>
        </w:rPr>
        <w:t>DEUTSCHE BANK AG NEW YORK BRANCH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Lender and an Issuing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Philip Tancorra </w:t>
      </w:r>
    </w:p>
    <w:p>
      <w:pPr>
        <w:pStyle w:val="TextBody"/>
        <w:bidi w:val="0"/>
        <w:jc w:val="left"/>
        <w:rPr>
          <w:rFonts w:ascii="Times New Roman" w:hAnsi="Times New Roman"/>
          <w:color w:val="000000"/>
          <w:sz w:val="24"/>
        </w:rPr>
      </w:pPr>
      <w:r>
        <w:rPr>
          <w:rFonts w:ascii="Times New Roman" w:hAnsi="Times New Roman"/>
          <w:color w:val="000000"/>
          <w:sz w:val="24"/>
        </w:rPr>
        <w:t>Name: Philip Tancorra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Director</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Craig Cheverko </w:t>
      </w:r>
    </w:p>
    <w:p>
      <w:pPr>
        <w:pStyle w:val="TextBody"/>
        <w:bidi w:val="0"/>
        <w:jc w:val="left"/>
        <w:rPr>
          <w:rFonts w:ascii="Times New Roman" w:hAnsi="Times New Roman"/>
          <w:color w:val="000000"/>
          <w:sz w:val="24"/>
        </w:rPr>
      </w:pPr>
      <w:r>
        <w:rPr>
          <w:rFonts w:ascii="Times New Roman" w:hAnsi="Times New Roman"/>
          <w:color w:val="000000"/>
          <w:sz w:val="24"/>
        </w:rPr>
        <w:t>Name: Craig Cheverko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Vice President</w:t>
      </w:r>
    </w:p>
    <w:p>
      <w:pPr>
        <w:pStyle w:val="TextBody"/>
        <w:bidi w:val="0"/>
        <w:jc w:val="left"/>
        <w:rPr>
          <w:rFonts w:ascii="Times New Roman" w:hAnsi="Times New Roman"/>
          <w:b/>
          <w:color w:val="000000"/>
          <w:sz w:val="24"/>
        </w:rPr>
      </w:pPr>
      <w:r>
        <w:rPr>
          <w:rFonts w:ascii="Times New Roman" w:hAnsi="Times New Roman"/>
          <w:b/>
          <w:color w:val="000000"/>
          <w:sz w:val="24"/>
        </w:rPr>
        <w:t>MIZUHO BANK, LTD.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Lender and an Issuing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Jonathan Lasner </w:t>
      </w:r>
    </w:p>
    <w:p>
      <w:pPr>
        <w:pStyle w:val="TextBody"/>
        <w:bidi w:val="0"/>
        <w:jc w:val="left"/>
        <w:rPr>
          <w:rFonts w:ascii="Times New Roman" w:hAnsi="Times New Roman"/>
          <w:color w:val="000000"/>
          <w:sz w:val="24"/>
        </w:rPr>
      </w:pPr>
      <w:r>
        <w:rPr>
          <w:rFonts w:ascii="Times New Roman" w:hAnsi="Times New Roman"/>
          <w:color w:val="000000"/>
          <w:sz w:val="24"/>
        </w:rPr>
        <w:t>Name: Jonathan Lasner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Credit Agreement]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MORGAN STANLEY SENIOR FUNDING, INC.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Lender and an Issuing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Michael King </w:t>
      </w:r>
    </w:p>
    <w:p>
      <w:pPr>
        <w:pStyle w:val="TextBody"/>
        <w:bidi w:val="0"/>
        <w:jc w:val="left"/>
        <w:rPr>
          <w:rFonts w:ascii="Times New Roman" w:hAnsi="Times New Roman"/>
          <w:color w:val="000000"/>
          <w:sz w:val="24"/>
        </w:rPr>
      </w:pPr>
      <w:r>
        <w:rPr>
          <w:rFonts w:ascii="Times New Roman" w:hAnsi="Times New Roman"/>
          <w:color w:val="000000"/>
          <w:sz w:val="24"/>
        </w:rPr>
        <w:t>Name: Michael King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Vice President</w:t>
      </w:r>
    </w:p>
    <w:p>
      <w:pPr>
        <w:pStyle w:val="TextBody"/>
        <w:bidi w:val="0"/>
        <w:jc w:val="left"/>
        <w:rPr>
          <w:rFonts w:ascii="Times New Roman" w:hAnsi="Times New Roman"/>
          <w:b/>
          <w:color w:val="000000"/>
          <w:sz w:val="24"/>
        </w:rPr>
      </w:pPr>
      <w:r>
        <w:rPr>
          <w:rFonts w:ascii="Times New Roman" w:hAnsi="Times New Roman"/>
          <w:b/>
          <w:color w:val="000000"/>
          <w:sz w:val="24"/>
        </w:rPr>
        <w:t>ROYAL BANK OF CANADA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Lender and an Issuing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Rizwan Merchant </w:t>
      </w:r>
    </w:p>
    <w:p>
      <w:pPr>
        <w:pStyle w:val="TextBody"/>
        <w:bidi w:val="0"/>
        <w:jc w:val="left"/>
        <w:rPr>
          <w:rFonts w:ascii="Times New Roman" w:hAnsi="Times New Roman"/>
          <w:color w:val="000000"/>
          <w:sz w:val="24"/>
        </w:rPr>
      </w:pPr>
      <w:r>
        <w:rPr>
          <w:rFonts w:ascii="Times New Roman" w:hAnsi="Times New Roman"/>
          <w:color w:val="000000"/>
          <w:sz w:val="24"/>
        </w:rPr>
        <w:t>Name: Rizwan Merchant</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Credit Agreement]</w:t>
      </w:r>
    </w:p>
    <w:p>
      <w:pPr>
        <w:pStyle w:val="HorizontalLine"/>
        <w:pBdr>
          <w:bottom w:val="double" w:sz="2" w:space="0" w:color="808080"/>
        </w:pBdr>
        <w:bidi w:val="0"/>
        <w:spacing w:before="0" w:after="283"/>
        <w:jc w:val="left"/>
        <w:rPr/>
      </w:pPr>
      <w:r>
        <w:rPr/>
      </w:r>
    </w:p>
    <w:p>
      <w:pPr>
        <w:pStyle w:val="TextBody"/>
        <w:bidi w:val="0"/>
        <w:jc w:val="left"/>
        <w:rPr/>
      </w:pPr>
      <w:bookmarkStart w:id="27" w:name="seat-ex31_1.htm"/>
      <w:bookmarkStart w:id="28" w:name="ksseatex31_1"/>
      <w:bookmarkEnd w:id="27"/>
      <w:bookmarkEnd w:id="28"/>
      <w:r>
        <w:rPr/>
        <w:t> </w:t>
      </w:r>
      <w:r>
        <w:br w:type="page"/>
      </w:r>
    </w:p>
    <w:p>
      <w:pPr>
        <w:pStyle w:val="TextBody"/>
        <w:bidi w:val="0"/>
        <w:spacing w:before="0" w:after="120"/>
        <w:jc w:val="right"/>
        <w:rPr>
          <w:rFonts w:ascii="sans-serif" w:hAnsi="sans-serif"/>
          <w:b/>
          <w:color w:val="000000"/>
          <w:sz w:val="20"/>
        </w:rPr>
      </w:pPr>
      <w:r>
        <w:rPr>
          <w:rFonts w:ascii="sans-serif" w:hAnsi="sans-serif"/>
          <w:b/>
          <w:color w:val="000000"/>
          <w:sz w:val="20"/>
        </w:rPr>
        <w:t>Exhibit 31.1</w:t>
      </w:r>
    </w:p>
    <w:p>
      <w:pPr>
        <w:pStyle w:val="TextBody"/>
        <w:bidi w:val="0"/>
        <w:jc w:val="center"/>
        <w:rPr>
          <w:rFonts w:ascii="sans-serif" w:hAnsi="sans-serif"/>
          <w:b/>
          <w:color w:val="000000"/>
          <w:sz w:val="20"/>
        </w:rPr>
      </w:pPr>
      <w:r>
        <w:rPr>
          <w:rFonts w:ascii="sans-serif" w:hAnsi="sans-serif"/>
          <w:b/>
          <w:color w:val="000000"/>
          <w:sz w:val="20"/>
        </w:rPr>
        <w:t>CERTIFICATION PURSUANT TO</w:t>
      </w:r>
    </w:p>
    <w:p>
      <w:pPr>
        <w:pStyle w:val="TextBody"/>
        <w:bidi w:val="0"/>
        <w:jc w:val="center"/>
        <w:rPr>
          <w:rFonts w:ascii="sans-serif" w:hAnsi="sans-serif"/>
          <w:b/>
          <w:color w:val="000000"/>
          <w:sz w:val="20"/>
        </w:rPr>
      </w:pPr>
      <w:r>
        <w:rPr>
          <w:rFonts w:ascii="sans-serif" w:hAnsi="sans-serif"/>
          <w:b/>
          <w:color w:val="000000"/>
          <w:sz w:val="20"/>
        </w:rPr>
        <w:t>RULE 13a-14(a) / 15d-14(a) UNDER THE SECURITIES EXCHANGE ACT OF 1934,</w:t>
      </w:r>
    </w:p>
    <w:p>
      <w:pPr>
        <w:pStyle w:val="TextBody"/>
        <w:bidi w:val="0"/>
        <w:spacing w:before="0" w:after="120"/>
        <w:jc w:val="center"/>
        <w:rPr>
          <w:rFonts w:ascii="sans-serif" w:hAnsi="sans-serif"/>
          <w:b/>
          <w:color w:val="000000"/>
          <w:sz w:val="20"/>
        </w:rPr>
      </w:pPr>
      <w:r>
        <w:rPr>
          <w:rFonts w:ascii="sans-serif" w:hAnsi="sans-serif"/>
          <w:b/>
          <w:color w:val="000000"/>
          <w:sz w:val="20"/>
        </w:rPr>
        <w:t>AS ADOPTED PURSUANT TO SECTION 302 OF THE SARBANES-OXLEY ACT OF 2002</w:t>
      </w:r>
    </w:p>
    <w:p>
      <w:pPr>
        <w:pStyle w:val="TextBody"/>
        <w:bidi w:val="0"/>
        <w:spacing w:before="0" w:after="120"/>
        <w:jc w:val="both"/>
        <w:rPr>
          <w:rFonts w:ascii="sans-serif" w:hAnsi="sans-serif"/>
          <w:color w:val="000000"/>
          <w:sz w:val="20"/>
        </w:rPr>
      </w:pPr>
      <w:r>
        <w:rPr>
          <w:rFonts w:ascii="sans-serif" w:hAnsi="sans-serif"/>
          <w:color w:val="000000"/>
          <w:sz w:val="20"/>
        </w:rPr>
        <w:t>I, Lawrence Fey certify that:</w:t>
      </w:r>
    </w:p>
    <w:p>
      <w:pPr>
        <w:pStyle w:val="TextBody"/>
        <w:bidi w:val="0"/>
        <w:spacing w:before="0" w:after="120"/>
        <w:jc w:val="both"/>
        <w:rPr>
          <w:rFonts w:ascii="sans-serif" w:hAnsi="sans-serif"/>
          <w:color w:val="000000"/>
          <w:sz w:val="20"/>
        </w:rPr>
      </w:pPr>
      <w:r>
        <w:rPr>
          <w:rFonts w:ascii="sans-serif" w:hAnsi="sans-serif"/>
          <w:color w:val="000000"/>
          <w:sz w:val="20"/>
        </w:rPr>
        <w:t>1.</w:t>
      </w:r>
    </w:p>
    <w:p>
      <w:pPr>
        <w:pStyle w:val="TextBody"/>
        <w:bidi w:val="0"/>
        <w:spacing w:before="0" w:after="120"/>
        <w:jc w:val="both"/>
        <w:rPr>
          <w:rFonts w:ascii="sans-serif" w:hAnsi="sans-serif"/>
          <w:color w:val="000000"/>
          <w:sz w:val="20"/>
        </w:rPr>
      </w:pPr>
      <w:r>
        <w:rPr>
          <w:rFonts w:ascii="sans-serif" w:hAnsi="sans-serif"/>
          <w:color w:val="000000"/>
          <w:sz w:val="20"/>
        </w:rPr>
        <w:t>I have reviewed this Quarterly Report on Form 10-Q of Vivid Seats Inc.;</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both"/>
        <w:rPr>
          <w:rFonts w:ascii="sans-serif" w:hAnsi="sans-serif"/>
          <w:color w:val="000000"/>
          <w:sz w:val="20"/>
        </w:rPr>
      </w:pPr>
      <w:r>
        <w:rPr>
          <w:rFonts w:ascii="sans-serif" w:hAnsi="sans-serif"/>
          <w:color w:val="000000"/>
          <w:sz w:val="20"/>
        </w:rPr>
        <w:t>3.</w:t>
      </w:r>
    </w:p>
    <w:p>
      <w:pPr>
        <w:pStyle w:val="TextBody"/>
        <w:bidi w:val="0"/>
        <w:spacing w:before="0" w:after="120"/>
        <w:jc w:val="both"/>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sans-serif" w:hAnsi="sans-serif"/>
          <w:color w:val="000000"/>
          <w:sz w:val="20"/>
        </w:rPr>
      </w:pPr>
      <w:r>
        <w:rPr>
          <w:rFonts w:ascii="sans-serif" w:hAnsi="sans-serif"/>
          <w:color w:val="000000"/>
          <w:sz w:val="20"/>
        </w:rPr>
        <w:t>4.</w:t>
      </w:r>
    </w:p>
    <w:p>
      <w:pPr>
        <w:pStyle w:val="TextBody"/>
        <w:bidi w:val="0"/>
        <w:spacing w:before="0" w:after="120"/>
        <w:jc w:val="both"/>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both"/>
        <w:rPr>
          <w:rFonts w:ascii="sans-serif" w:hAnsi="sans-serif"/>
          <w:color w:val="000000"/>
          <w:sz w:val="20"/>
        </w:rPr>
      </w:pPr>
      <w:r>
        <w:rPr>
          <w:rFonts w:ascii="sans-serif" w:hAnsi="sans-serif"/>
          <w:color w:val="000000"/>
          <w:sz w:val="20"/>
        </w:rPr>
        <w:t>a.</w:t>
      </w:r>
    </w:p>
    <w:p>
      <w:pPr>
        <w:pStyle w:val="TextBody"/>
        <w:bidi w:val="0"/>
        <w:spacing w:before="0" w:after="120"/>
        <w:jc w:val="both"/>
        <w:rPr>
          <w:rFonts w:ascii="sans-serif" w:hAnsi="sans-serif"/>
          <w:color w:val="000000"/>
          <w:sz w:val="20"/>
        </w:rPr>
      </w:pPr>
      <w:r>
        <w:rPr>
          <w:rFonts w:ascii="sans-serif" w:hAns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both"/>
        <w:rPr>
          <w:rFonts w:ascii="sans-serif" w:hAnsi="sans-serif"/>
          <w:color w:val="000000"/>
          <w:sz w:val="20"/>
        </w:rPr>
      </w:pPr>
      <w:r>
        <w:rPr>
          <w:rFonts w:ascii="sans-serif" w:hAnsi="sans-serif"/>
          <w:color w:val="000000"/>
          <w:sz w:val="20"/>
        </w:rPr>
        <w:t>b.</w:t>
      </w:r>
    </w:p>
    <w:p>
      <w:pPr>
        <w:pStyle w:val="TextBody"/>
        <w:bidi w:val="0"/>
        <w:spacing w:before="0" w:after="120"/>
        <w:jc w:val="both"/>
        <w:rPr>
          <w:rFonts w:ascii="sans-serif" w:hAnsi="sans-serif"/>
          <w:color w:val="000000"/>
          <w:sz w:val="20"/>
        </w:rPr>
      </w:pPr>
      <w:r>
        <w:rPr>
          <w:rFonts w:ascii="sans-serif" w:hAns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both"/>
        <w:rPr>
          <w:rFonts w:ascii="sans-serif" w:hAnsi="sans-serif"/>
          <w:color w:val="000000"/>
          <w:sz w:val="20"/>
        </w:rPr>
      </w:pPr>
      <w:r>
        <w:rPr>
          <w:rFonts w:ascii="sans-serif" w:hAnsi="sans-serif"/>
          <w:color w:val="000000"/>
          <w:sz w:val="20"/>
        </w:rPr>
        <w:t>c.</w:t>
      </w:r>
    </w:p>
    <w:p>
      <w:pPr>
        <w:pStyle w:val="TextBody"/>
        <w:bidi w:val="0"/>
        <w:spacing w:before="0" w:after="120"/>
        <w:jc w:val="both"/>
        <w:rPr>
          <w:rFonts w:ascii="sans-serif" w:hAnsi="sans-serif"/>
          <w:color w:val="000000"/>
          <w:sz w:val="20"/>
        </w:rPr>
      </w:pPr>
      <w:r>
        <w:rPr>
          <w:rFonts w:ascii="sans-serif" w:hAns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both"/>
        <w:rPr>
          <w:rFonts w:ascii="sans-serif" w:hAnsi="sans-serif"/>
          <w:color w:val="000000"/>
          <w:sz w:val="20"/>
        </w:rPr>
      </w:pPr>
      <w:r>
        <w:rPr>
          <w:rFonts w:ascii="sans-serif" w:hAnsi="sans-serif"/>
          <w:color w:val="000000"/>
          <w:sz w:val="20"/>
        </w:rPr>
        <w:t>d.</w:t>
      </w:r>
    </w:p>
    <w:p>
      <w:pPr>
        <w:pStyle w:val="TextBody"/>
        <w:bidi w:val="0"/>
        <w:spacing w:before="0" w:after="120"/>
        <w:jc w:val="both"/>
        <w:rPr>
          <w:rFonts w:ascii="sans-serif" w:hAnsi="sans-serif"/>
          <w:color w:val="000000"/>
          <w:sz w:val="20"/>
        </w:rPr>
      </w:pPr>
      <w:r>
        <w:rPr>
          <w:rFonts w:ascii="sans-serif" w:hAns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sans-serif" w:hAnsi="sans-serif"/>
          <w:color w:val="000000"/>
          <w:sz w:val="20"/>
        </w:rPr>
      </w:pPr>
      <w:r>
        <w:rPr>
          <w:rFonts w:ascii="sans-serif" w:hAnsi="sans-serif"/>
          <w:color w:val="000000"/>
          <w:sz w:val="20"/>
        </w:rPr>
        <w:t>5.</w:t>
      </w:r>
    </w:p>
    <w:p>
      <w:pPr>
        <w:pStyle w:val="TextBody"/>
        <w:bidi w:val="0"/>
        <w:spacing w:before="0" w:after="120"/>
        <w:jc w:val="both"/>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both"/>
        <w:rPr>
          <w:rFonts w:ascii="sans-serif" w:hAnsi="sans-serif"/>
          <w:color w:val="000000"/>
          <w:sz w:val="20"/>
        </w:rPr>
      </w:pPr>
      <w:r>
        <w:rPr>
          <w:rFonts w:ascii="sans-serif" w:hAnsi="sans-serif"/>
          <w:color w:val="000000"/>
          <w:sz w:val="20"/>
        </w:rPr>
        <w:t>a.</w:t>
      </w:r>
    </w:p>
    <w:p>
      <w:pPr>
        <w:pStyle w:val="TextBody"/>
        <w:bidi w:val="0"/>
        <w:spacing w:before="0" w:after="120"/>
        <w:jc w:val="both"/>
        <w:rPr>
          <w:rFonts w:ascii="sans-serif" w:hAnsi="sans-serif"/>
          <w:color w:val="000000"/>
          <w:sz w:val="20"/>
        </w:rPr>
      </w:pPr>
      <w:r>
        <w:rPr>
          <w:rFonts w:ascii="sans-serif" w:hAns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sans-serif" w:hAnsi="sans-serif"/>
          <w:color w:val="000000"/>
          <w:sz w:val="20"/>
        </w:rPr>
      </w:pPr>
      <w:r>
        <w:rPr>
          <w:rFonts w:ascii="sans-serif" w:hAnsi="sans-serif"/>
          <w:color w:val="000000"/>
          <w:sz w:val="20"/>
        </w:rPr>
        <w:t>b.</w:t>
      </w:r>
    </w:p>
    <w:p>
      <w:pPr>
        <w:pStyle w:val="TextBody"/>
        <w:bidi w:val="0"/>
        <w:spacing w:before="0" w:after="240"/>
        <w:jc w:val="both"/>
        <w:rPr>
          <w:rFonts w:ascii="sans-serif" w:hAnsi="sans-serif"/>
          <w:color w:val="000000"/>
          <w:sz w:val="20"/>
        </w:rPr>
      </w:pPr>
      <w:r>
        <w:rPr>
          <w:rFonts w:ascii="sans-serif" w:hAnsi="sans-serif"/>
          <w:color w:val="000000"/>
          <w:sz w:val="20"/>
        </w:rPr>
        <w:t>Any fraud, whether or not material, that involves management or other employees who have a significant role in the registrant’s internal control over financial reporting.</w:t>
      </w:r>
    </w:p>
    <w:tbl>
      <w:tblPr>
        <w:tblW w:w="5594" w:type="dxa"/>
        <w:jc w:val="left"/>
        <w:tblInd w:w="0" w:type="dxa"/>
        <w:tblLayout w:type="fixed"/>
        <w:tblCellMar>
          <w:top w:w="28" w:type="dxa"/>
          <w:left w:w="28" w:type="dxa"/>
          <w:bottom w:w="28" w:type="dxa"/>
          <w:right w:w="28" w:type="dxa"/>
        </w:tblCellMar>
      </w:tblPr>
      <w:tblGrid>
        <w:gridCol w:w="2161"/>
        <w:gridCol w:w="146"/>
        <w:gridCol w:w="421"/>
        <w:gridCol w:w="286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Lawrence Fey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Lawrence Fey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Chief Executive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eat-ex31_2.htm"/>
      <w:bookmarkStart w:id="30" w:name="ksseatex31_2"/>
      <w:bookmarkEnd w:id="29"/>
      <w:bookmarkEnd w:id="30"/>
      <w:r>
        <w:rPr/>
        <w:t> </w:t>
      </w:r>
      <w:r>
        <w:br w:type="page"/>
      </w:r>
    </w:p>
    <w:p>
      <w:pPr>
        <w:pStyle w:val="TextBody"/>
        <w:bidi w:val="0"/>
        <w:spacing w:before="0" w:after="120"/>
        <w:jc w:val="right"/>
        <w:rPr>
          <w:rFonts w:ascii="sans-serif" w:hAnsi="sans-serif"/>
          <w:b/>
          <w:color w:val="000000"/>
          <w:sz w:val="20"/>
        </w:rPr>
      </w:pPr>
      <w:r>
        <w:rPr>
          <w:rFonts w:ascii="sans-serif" w:hAnsi="sans-serif"/>
          <w:b/>
          <w:color w:val="000000"/>
          <w:sz w:val="20"/>
        </w:rPr>
        <w:t>Exhibit 31.2</w:t>
      </w:r>
    </w:p>
    <w:p>
      <w:pPr>
        <w:pStyle w:val="TextBody"/>
        <w:bidi w:val="0"/>
        <w:jc w:val="center"/>
        <w:rPr>
          <w:rFonts w:ascii="sans-serif" w:hAnsi="sans-serif"/>
          <w:b/>
          <w:color w:val="000000"/>
          <w:sz w:val="20"/>
        </w:rPr>
      </w:pPr>
      <w:r>
        <w:rPr>
          <w:rFonts w:ascii="sans-serif" w:hAnsi="sans-serif"/>
          <w:b/>
          <w:color w:val="000000"/>
          <w:sz w:val="20"/>
        </w:rPr>
        <w:t>CERTIFICATION PURSUANT TO</w:t>
      </w:r>
    </w:p>
    <w:p>
      <w:pPr>
        <w:pStyle w:val="TextBody"/>
        <w:bidi w:val="0"/>
        <w:jc w:val="center"/>
        <w:rPr>
          <w:rFonts w:ascii="sans-serif" w:hAnsi="sans-serif"/>
          <w:b/>
          <w:color w:val="000000"/>
          <w:sz w:val="20"/>
        </w:rPr>
      </w:pPr>
      <w:r>
        <w:rPr>
          <w:rFonts w:ascii="sans-serif" w:hAnsi="sans-serif"/>
          <w:b/>
          <w:color w:val="000000"/>
          <w:sz w:val="20"/>
        </w:rPr>
        <w:t>RULE 13a-14(a) / 15d-14(a) UNDER THE SECURITIES EXCHANGE ACT OF 1934,</w:t>
      </w:r>
    </w:p>
    <w:p>
      <w:pPr>
        <w:pStyle w:val="TextBody"/>
        <w:bidi w:val="0"/>
        <w:spacing w:before="0" w:after="120"/>
        <w:jc w:val="center"/>
        <w:rPr>
          <w:rFonts w:ascii="sans-serif" w:hAnsi="sans-serif"/>
          <w:b/>
          <w:color w:val="000000"/>
          <w:sz w:val="20"/>
        </w:rPr>
      </w:pPr>
      <w:r>
        <w:rPr>
          <w:rFonts w:ascii="sans-serif" w:hAnsi="sans-serif"/>
          <w:b/>
          <w:color w:val="000000"/>
          <w:sz w:val="20"/>
        </w:rPr>
        <w:t>AS ADOPTED PURSUANT TO SECTION 302 OF THE SARBANES-OXLEY ACT OF 2002</w:t>
      </w:r>
    </w:p>
    <w:p>
      <w:pPr>
        <w:pStyle w:val="TextBody"/>
        <w:bidi w:val="0"/>
        <w:spacing w:before="0" w:after="120"/>
        <w:jc w:val="both"/>
        <w:rPr>
          <w:rFonts w:ascii="sans-serif" w:hAnsi="sans-serif"/>
          <w:color w:val="000000"/>
          <w:sz w:val="20"/>
        </w:rPr>
      </w:pPr>
      <w:r>
        <w:rPr>
          <w:rFonts w:ascii="sans-serif" w:hAnsi="sans-serif"/>
          <w:color w:val="000000"/>
          <w:sz w:val="20"/>
        </w:rPr>
        <w:t>I, Joseph Thomas, certify that:</w:t>
      </w:r>
    </w:p>
    <w:p>
      <w:pPr>
        <w:pStyle w:val="TextBody"/>
        <w:bidi w:val="0"/>
        <w:spacing w:before="0" w:after="120"/>
        <w:jc w:val="both"/>
        <w:rPr>
          <w:rFonts w:ascii="sans-serif" w:hAnsi="sans-serif"/>
          <w:color w:val="000000"/>
          <w:sz w:val="20"/>
        </w:rPr>
      </w:pPr>
      <w:r>
        <w:rPr>
          <w:rFonts w:ascii="sans-serif" w:hAnsi="sans-serif"/>
          <w:color w:val="000000"/>
          <w:sz w:val="20"/>
        </w:rPr>
        <w:t>1.</w:t>
      </w:r>
    </w:p>
    <w:p>
      <w:pPr>
        <w:pStyle w:val="TextBody"/>
        <w:bidi w:val="0"/>
        <w:spacing w:before="0" w:after="120"/>
        <w:jc w:val="both"/>
        <w:rPr>
          <w:rFonts w:ascii="sans-serif" w:hAnsi="sans-serif"/>
          <w:color w:val="000000"/>
          <w:sz w:val="20"/>
        </w:rPr>
      </w:pPr>
      <w:r>
        <w:rPr>
          <w:rFonts w:ascii="sans-serif" w:hAnsi="sans-serif"/>
          <w:color w:val="000000"/>
          <w:sz w:val="20"/>
        </w:rPr>
        <w:t>I have reviewed this Quarterly Report on Form 10-Q of Vivid Seats Inc.;</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both"/>
        <w:rPr>
          <w:rFonts w:ascii="sans-serif" w:hAnsi="sans-serif"/>
          <w:color w:val="000000"/>
          <w:sz w:val="20"/>
        </w:rPr>
      </w:pPr>
      <w:r>
        <w:rPr>
          <w:rFonts w:ascii="sans-serif" w:hAnsi="sans-serif"/>
          <w:color w:val="000000"/>
          <w:sz w:val="20"/>
        </w:rPr>
        <w:t>3.</w:t>
      </w:r>
    </w:p>
    <w:p>
      <w:pPr>
        <w:pStyle w:val="TextBody"/>
        <w:bidi w:val="0"/>
        <w:spacing w:before="0" w:after="120"/>
        <w:jc w:val="both"/>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sans-serif" w:hAnsi="sans-serif"/>
          <w:color w:val="000000"/>
          <w:sz w:val="20"/>
        </w:rPr>
      </w:pPr>
      <w:r>
        <w:rPr>
          <w:rFonts w:ascii="sans-serif" w:hAnsi="sans-serif"/>
          <w:color w:val="000000"/>
          <w:sz w:val="20"/>
        </w:rPr>
        <w:t>4.</w:t>
      </w:r>
    </w:p>
    <w:p>
      <w:pPr>
        <w:pStyle w:val="TextBody"/>
        <w:bidi w:val="0"/>
        <w:spacing w:before="0" w:after="120"/>
        <w:jc w:val="both"/>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both"/>
        <w:rPr>
          <w:rFonts w:ascii="sans-serif" w:hAnsi="sans-serif"/>
          <w:color w:val="000000"/>
          <w:sz w:val="20"/>
        </w:rPr>
      </w:pPr>
      <w:r>
        <w:rPr>
          <w:rFonts w:ascii="sans-serif" w:hAnsi="sans-serif"/>
          <w:color w:val="000000"/>
          <w:sz w:val="20"/>
        </w:rPr>
        <w:t>a.</w:t>
      </w:r>
    </w:p>
    <w:p>
      <w:pPr>
        <w:pStyle w:val="TextBody"/>
        <w:bidi w:val="0"/>
        <w:spacing w:before="0" w:after="120"/>
        <w:jc w:val="both"/>
        <w:rPr>
          <w:rFonts w:ascii="sans-serif" w:hAnsi="sans-serif"/>
          <w:color w:val="000000"/>
          <w:sz w:val="20"/>
        </w:rPr>
      </w:pPr>
      <w:r>
        <w:rPr>
          <w:rFonts w:ascii="sans-serif" w:hAns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both"/>
        <w:rPr>
          <w:rFonts w:ascii="sans-serif" w:hAnsi="sans-serif"/>
          <w:color w:val="000000"/>
          <w:sz w:val="20"/>
        </w:rPr>
      </w:pPr>
      <w:r>
        <w:rPr>
          <w:rFonts w:ascii="sans-serif" w:hAnsi="sans-serif"/>
          <w:color w:val="000000"/>
          <w:sz w:val="20"/>
        </w:rPr>
        <w:t>b.</w:t>
      </w:r>
    </w:p>
    <w:p>
      <w:pPr>
        <w:pStyle w:val="TextBody"/>
        <w:bidi w:val="0"/>
        <w:spacing w:before="0" w:after="120"/>
        <w:jc w:val="both"/>
        <w:rPr>
          <w:rFonts w:ascii="sans-serif" w:hAnsi="sans-serif"/>
          <w:color w:val="000000"/>
          <w:sz w:val="20"/>
        </w:rPr>
      </w:pPr>
      <w:r>
        <w:rPr>
          <w:rFonts w:ascii="sans-serif" w:hAns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both"/>
        <w:rPr>
          <w:rFonts w:ascii="sans-serif" w:hAnsi="sans-serif"/>
          <w:color w:val="000000"/>
          <w:sz w:val="20"/>
        </w:rPr>
      </w:pPr>
      <w:r>
        <w:rPr>
          <w:rFonts w:ascii="sans-serif" w:hAnsi="sans-serif"/>
          <w:color w:val="000000"/>
          <w:sz w:val="20"/>
        </w:rPr>
        <w:t>c.</w:t>
      </w:r>
    </w:p>
    <w:p>
      <w:pPr>
        <w:pStyle w:val="TextBody"/>
        <w:bidi w:val="0"/>
        <w:spacing w:before="0" w:after="120"/>
        <w:jc w:val="both"/>
        <w:rPr>
          <w:rFonts w:ascii="sans-serif" w:hAnsi="sans-serif"/>
          <w:color w:val="000000"/>
          <w:sz w:val="20"/>
        </w:rPr>
      </w:pPr>
      <w:r>
        <w:rPr>
          <w:rFonts w:ascii="sans-serif" w:hAns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both"/>
        <w:rPr>
          <w:rFonts w:ascii="sans-serif" w:hAnsi="sans-serif"/>
          <w:color w:val="000000"/>
          <w:sz w:val="20"/>
        </w:rPr>
      </w:pPr>
      <w:r>
        <w:rPr>
          <w:rFonts w:ascii="sans-serif" w:hAnsi="sans-serif"/>
          <w:color w:val="000000"/>
          <w:sz w:val="20"/>
        </w:rPr>
        <w:t>d.</w:t>
      </w:r>
    </w:p>
    <w:p>
      <w:pPr>
        <w:pStyle w:val="TextBody"/>
        <w:bidi w:val="0"/>
        <w:spacing w:before="0" w:after="120"/>
        <w:jc w:val="both"/>
        <w:rPr>
          <w:rFonts w:ascii="sans-serif" w:hAnsi="sans-serif"/>
          <w:color w:val="000000"/>
          <w:sz w:val="20"/>
        </w:rPr>
      </w:pPr>
      <w:r>
        <w:rPr>
          <w:rFonts w:ascii="sans-serif" w:hAns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sans-serif" w:hAnsi="sans-serif"/>
          <w:color w:val="000000"/>
          <w:sz w:val="20"/>
        </w:rPr>
      </w:pPr>
      <w:r>
        <w:rPr>
          <w:rFonts w:ascii="sans-serif" w:hAnsi="sans-serif"/>
          <w:color w:val="000000"/>
          <w:sz w:val="20"/>
        </w:rPr>
        <w:t>5.</w:t>
      </w:r>
    </w:p>
    <w:p>
      <w:pPr>
        <w:pStyle w:val="TextBody"/>
        <w:bidi w:val="0"/>
        <w:spacing w:before="0" w:after="120"/>
        <w:jc w:val="both"/>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both"/>
        <w:rPr>
          <w:rFonts w:ascii="sans-serif" w:hAnsi="sans-serif"/>
          <w:color w:val="000000"/>
          <w:sz w:val="20"/>
        </w:rPr>
      </w:pPr>
      <w:r>
        <w:rPr>
          <w:rFonts w:ascii="sans-serif" w:hAnsi="sans-serif"/>
          <w:color w:val="000000"/>
          <w:sz w:val="20"/>
        </w:rPr>
        <w:t>a.</w:t>
      </w:r>
    </w:p>
    <w:p>
      <w:pPr>
        <w:pStyle w:val="TextBody"/>
        <w:bidi w:val="0"/>
        <w:spacing w:before="0" w:after="120"/>
        <w:jc w:val="both"/>
        <w:rPr>
          <w:rFonts w:ascii="sans-serif" w:hAnsi="sans-serif"/>
          <w:color w:val="000000"/>
          <w:sz w:val="20"/>
        </w:rPr>
      </w:pPr>
      <w:r>
        <w:rPr>
          <w:rFonts w:ascii="sans-serif" w:hAns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sans-serif" w:hAnsi="sans-serif"/>
          <w:color w:val="000000"/>
          <w:sz w:val="20"/>
        </w:rPr>
      </w:pPr>
      <w:r>
        <w:rPr>
          <w:rFonts w:ascii="sans-serif" w:hAnsi="sans-serif"/>
          <w:color w:val="000000"/>
          <w:sz w:val="20"/>
        </w:rPr>
        <w:t>b.</w:t>
      </w:r>
    </w:p>
    <w:p>
      <w:pPr>
        <w:pStyle w:val="TextBody"/>
        <w:bidi w:val="0"/>
        <w:spacing w:before="0" w:after="240"/>
        <w:jc w:val="both"/>
        <w:rPr>
          <w:rFonts w:ascii="sans-serif" w:hAnsi="sans-serif"/>
          <w:color w:val="000000"/>
          <w:sz w:val="20"/>
        </w:rPr>
      </w:pPr>
      <w:r>
        <w:rPr>
          <w:rFonts w:ascii="sans-serif" w:hAnsi="sans-serif"/>
          <w:color w:val="000000"/>
          <w:sz w:val="20"/>
        </w:rPr>
        <w:t>Any fraud, whether or not material, that involves management or other employees who have a significant role in the registrant’s internal control over financial reporting.</w:t>
      </w:r>
    </w:p>
    <w:tbl>
      <w:tblPr>
        <w:tblW w:w="5504" w:type="dxa"/>
        <w:jc w:val="left"/>
        <w:tblInd w:w="0" w:type="dxa"/>
        <w:tblLayout w:type="fixed"/>
        <w:tblCellMar>
          <w:top w:w="28" w:type="dxa"/>
          <w:left w:w="28" w:type="dxa"/>
          <w:bottom w:w="28" w:type="dxa"/>
          <w:right w:w="28" w:type="dxa"/>
        </w:tblCellMar>
      </w:tblPr>
      <w:tblGrid>
        <w:gridCol w:w="2161"/>
        <w:gridCol w:w="146"/>
        <w:gridCol w:w="421"/>
        <w:gridCol w:w="277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27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Joseph Thomas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Joseph Thomas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Chief Financial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seat-ex32_1.htm"/>
      <w:bookmarkStart w:id="32" w:name="ksseatex32_1"/>
      <w:bookmarkEnd w:id="31"/>
      <w:bookmarkEnd w:id="32"/>
      <w:r>
        <w:rPr/>
        <w:t> </w:t>
      </w:r>
      <w:r>
        <w:br w:type="page"/>
      </w:r>
    </w:p>
    <w:p>
      <w:pPr>
        <w:pStyle w:val="TextBody"/>
        <w:bidi w:val="0"/>
        <w:spacing w:before="0" w:after="12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sans-serif" w:hAnsi="sans-serif"/>
          <w:b/>
          <w:color w:val="000000"/>
          <w:sz w:val="20"/>
        </w:rPr>
      </w:pPr>
      <w:r>
        <w:rPr>
          <w:rFonts w:ascii="sans-serif" w:hAnsi="sans-serif"/>
          <w:b/>
          <w:color w:val="000000"/>
          <w:sz w:val="20"/>
        </w:rPr>
        <w:t>CERTIFICATIONS OF CHIEF EXECUTIVE OFFICER AND CHIEF FINANCIAL OFFICER</w:t>
      </w:r>
    </w:p>
    <w:p>
      <w:pPr>
        <w:pStyle w:val="TextBody"/>
        <w:bidi w:val="0"/>
        <w:jc w:val="center"/>
        <w:rPr>
          <w:rFonts w:ascii="Times New Roman" w:hAnsi="Times New Roman"/>
          <w:sz w:val="20"/>
        </w:rPr>
      </w:pPr>
      <w:r>
        <w:rPr>
          <w:rFonts w:ascii="sans-serif" w:hAnsi="sans-serif"/>
          <w:b/>
          <w:color w:val="000000"/>
          <w:sz w:val="20"/>
        </w:rPr>
        <w:t>PURSUANT TO 18 U.S.C. SECTION</w:t>
      </w:r>
      <w:r>
        <w:rPr>
          <w:rFonts w:ascii="Times New Roman" w:hAnsi="Times New Roman"/>
          <w:color w:val="000000"/>
          <w:sz w:val="20"/>
        </w:rPr>
        <w:t xml:space="preserve"> </w:t>
      </w:r>
      <w:r>
        <w:rPr>
          <w:rFonts w:ascii="sans-serif" w:hAnsi="sans-serif"/>
          <w:b/>
          <w:color w:val="000000"/>
          <w:sz w:val="20"/>
        </w:rPr>
        <w:t>1350,</w:t>
      </w:r>
    </w:p>
    <w:p>
      <w:pPr>
        <w:pStyle w:val="TextBody"/>
        <w:bidi w:val="0"/>
        <w:spacing w:before="0" w:after="120"/>
        <w:jc w:val="center"/>
        <w:rPr>
          <w:rFonts w:ascii="sans-serif" w:hAnsi="sans-serif"/>
          <w:b/>
          <w:color w:val="000000"/>
          <w:sz w:val="20"/>
        </w:rPr>
      </w:pPr>
      <w:r>
        <w:rPr>
          <w:rFonts w:ascii="sans-serif" w:hAnsi="sans-serif"/>
          <w:b/>
          <w:color w:val="000000"/>
          <w:sz w:val="20"/>
        </w:rPr>
        <w:t>AS ADOPTED PURSUANT TO SECTION 906 OF THE SARBANES-OXLEY ACT OF 2002</w:t>
      </w:r>
    </w:p>
    <w:p>
      <w:pPr>
        <w:pStyle w:val="TextBody"/>
        <w:bidi w:val="0"/>
        <w:spacing w:before="0" w:after="240"/>
        <w:jc w:val="both"/>
        <w:rPr>
          <w:rFonts w:ascii="sans-serif" w:hAnsi="sans-serif"/>
          <w:color w:val="000000"/>
          <w:sz w:val="20"/>
        </w:rPr>
      </w:pPr>
      <w:r>
        <w:rPr>
          <w:rFonts w:ascii="sans-serif" w:hAnsi="sans-serif"/>
          <w:color w:val="000000"/>
          <w:sz w:val="20"/>
        </w:rPr>
        <w:t>I, Lawrence Fey, certify pursuant to 18 U.S.C. Section 1350, as adopted pursuant to Section 906 of the Sarbanes-Oxley Act of 2002, that (i) the Quarterly Report on Form 10-Q of Vivid Seats Inc. for the period ended June 30, 2026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tbl>
      <w:tblPr>
        <w:tblW w:w="5594" w:type="dxa"/>
        <w:jc w:val="left"/>
        <w:tblInd w:w="0" w:type="dxa"/>
        <w:tblLayout w:type="fixed"/>
        <w:tblCellMar>
          <w:top w:w="28" w:type="dxa"/>
          <w:left w:w="28" w:type="dxa"/>
          <w:bottom w:w="28" w:type="dxa"/>
          <w:right w:w="28" w:type="dxa"/>
        </w:tblCellMar>
      </w:tblPr>
      <w:tblGrid>
        <w:gridCol w:w="2161"/>
        <w:gridCol w:w="146"/>
        <w:gridCol w:w="421"/>
        <w:gridCol w:w="286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2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Lawrence Fey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Lawrence Fey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Chief Executive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(Principal Executive Officer)</w:t>
            </w:r>
          </w:p>
        </w:tc>
      </w:tr>
    </w:tbl>
    <w:p>
      <w:pPr>
        <w:pStyle w:val="TextBody"/>
        <w:bidi w:val="0"/>
        <w:spacing w:before="240" w:after="240"/>
        <w:jc w:val="both"/>
        <w:rPr>
          <w:rFonts w:ascii="sans-serif" w:hAnsi="sans-serif"/>
          <w:color w:val="000000"/>
          <w:sz w:val="20"/>
        </w:rPr>
      </w:pPr>
      <w:r>
        <w:rPr>
          <w:rFonts w:ascii="sans-serif" w:hAnsi="sans-serif"/>
          <w:color w:val="000000"/>
          <w:sz w:val="20"/>
        </w:rPr>
        <w:t>I, Joseph Thomas, certify pursuant to 18 U.S.C. Section 1350, as adopted pursuant to Section 906 of the Sarbanes-Oxley Act of 2002, that (i) the Quarterly Report on Form 10-Q of Vivid Seats Inc. for the period ended June 30, 2026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tbl>
      <w:tblPr>
        <w:tblW w:w="5504" w:type="dxa"/>
        <w:jc w:val="left"/>
        <w:tblInd w:w="0" w:type="dxa"/>
        <w:tblLayout w:type="fixed"/>
        <w:tblCellMar>
          <w:top w:w="28" w:type="dxa"/>
          <w:left w:w="28" w:type="dxa"/>
          <w:bottom w:w="28" w:type="dxa"/>
          <w:right w:w="28" w:type="dxa"/>
        </w:tblCellMar>
      </w:tblPr>
      <w:tblGrid>
        <w:gridCol w:w="2161"/>
        <w:gridCol w:w="146"/>
        <w:gridCol w:w="421"/>
        <w:gridCol w:w="277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27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Joseph Thomas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Joseph Thomas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Chief Financial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(Principal Financial Officer)</w:t>
            </w:r>
          </w:p>
        </w:tc>
      </w:tr>
    </w:tbl>
    <w:p>
      <w:pPr>
        <w:pStyle w:val="TextBody"/>
        <w:bidi w:val="0"/>
        <w:spacing w:before="240" w:after="120"/>
        <w:jc w:val="both"/>
        <w:rPr>
          <w:rFonts w:ascii="sans-serif" w:hAnsi="sans-serif"/>
          <w:color w:val="000000"/>
          <w:sz w:val="20"/>
        </w:rPr>
      </w:pPr>
      <w:r>
        <w:rPr>
          <w:rFonts w:ascii="sans-serif" w:hAnsi="sans-serif"/>
          <w:color w:val="000000"/>
          <w:sz w:val="20"/>
        </w:rPr>
        <w:t>A signed original of this written statement required by Section 906 has been provided to Vivid Seats Inc. and will be retained by Vivid Seats Inc. and furnished to the Securities and Exchange Commission or its staff upon request.</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031/000119312521175583/d447259dex22.htm" TargetMode="External"/><Relationship Id="rId3" Type="http://schemas.openxmlformats.org/officeDocument/2006/relationships/hyperlink" Target="https://www.sec.gov/Archives/edgar/data/0001856031/000095017021004585/seat-ex2_3.htm" TargetMode="External"/><Relationship Id="rId4" Type="http://schemas.openxmlformats.org/officeDocument/2006/relationships/hyperlink" Target="https://www.sec.gov/Archives/edgar/data/1856031/000095017023059730/seat-ex2_1.htm" TargetMode="External"/><Relationship Id="rId5" Type="http://schemas.openxmlformats.org/officeDocument/2006/relationships/hyperlink" Target="https://www.sec.gov/Archives/edgar/data/0001856031/000119312521305506/d216055dex31.htm" TargetMode="External"/><Relationship Id="rId6" Type="http://schemas.openxmlformats.org/officeDocument/2006/relationships/hyperlink" Target="https://www.sec.gov/Archives/edgar/data/1856031/000119312525267993/seat-ex3_2.htm" TargetMode="External"/><Relationship Id="rId7" Type="http://schemas.openxmlformats.org/officeDocument/2006/relationships/hyperlink" Target="https://www.sec.gov/Archives/edgar/data/1856031/000095017022008705/seat-ex3_2.htm" TargetMode="External"/><Relationship Id="rId8" Type="http://schemas.openxmlformats.org/officeDocument/2006/relationships/hyperlink" Target="https://www.sec.gov/Archives/edgar/data/0001856031/000119312521305506/d216055dex32.htm" TargetMode="External"/><Relationship Id="rId9" Type="http://schemas.openxmlformats.org/officeDocument/2006/relationships/hyperlink" Target="https://www.sec.gov/Archives/edgar/data/0001856031/000119312521305506/d216055dex107.htm" TargetMode="External"/><Relationship Id="rId10" Type="http://schemas.openxmlformats.org/officeDocument/2006/relationships/hyperlink" Target="https://www.sec.gov/Archives/edgar/data/0001856031/000119312521305506/d216055dex108.htm" TargetMode="External"/><Relationship Id="rId11" Type="http://schemas.openxmlformats.org/officeDocument/2006/relationships/hyperlink" Target="https://www.sec.gov/Archives/edgar/data/0001856031/000119312521305506/d216055dex109.htm" TargetMode="External"/><Relationship Id="rId12" Type="http://schemas.openxmlformats.org/officeDocument/2006/relationships/hyperlink" Target="https://www.sec.gov/Archives/edgar/data/1856031/000119312525267994/seat-ex10_2.htm" TargetMode="External"/><Relationship Id="rId13" Type="http://schemas.openxmlformats.org/officeDocument/2006/relationships/hyperlink" Target="https://www.sec.gov/Archives/edgar/data/1856031/000095017022003749/seat-ex4_2.htm" TargetMode="External"/><Relationship Id="rId14" Type="http://schemas.openxmlformats.org/officeDocument/2006/relationships/hyperlink" Target="https://www.sec.gov/Archives/edgar/data/1856031/000095017022003749/seat-ex4_3.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160581</Words>
  <Characters>863132</Characters>
  <CharactersWithSpaces>1023387</CharactersWithSpaces>
  <Paragraphs>11427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