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09" w:lineRule="exact"/>
        <w:rPr>
          <w:sz w:val="24"/>
          <w:szCs w:val="24"/>
          <w:color w:val="auto"/>
        </w:rPr>
      </w:pPr>
    </w:p>
    <w:p>
      <w:pPr>
        <w:ind w:left="4180" w:right="3540" w:hanging="4172"/>
        <w:spacing w:after="0" w:line="412" w:lineRule="auto"/>
        <w:tabs>
          <w:tab w:leader="none" w:pos="345"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09" w:lineRule="exact"/>
        <w:rPr>
          <w:sz w:val="24"/>
          <w:szCs w:val="24"/>
          <w:color w:val="auto"/>
        </w:rPr>
      </w:pPr>
    </w:p>
    <w:p>
      <w:pPr>
        <w:ind w:left="3780" w:right="3560" w:hanging="3772"/>
        <w:spacing w:after="0" w:line="412" w:lineRule="auto"/>
        <w:tabs>
          <w:tab w:leader="none" w:pos="345"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__________ to __________</w:t>
      </w:r>
    </w:p>
    <w:p>
      <w:pPr>
        <w:ind w:left="4440"/>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001-40926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Vivid Seats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jc w:val="center"/>
              <w:ind w:left="1268"/>
              <w:spacing w:after="0"/>
              <w:rPr>
                <w:sz w:val="20"/>
                <w:szCs w:val="20"/>
                <w:color w:val="auto"/>
              </w:rPr>
            </w:pPr>
            <w:r>
              <w:rPr>
                <w:rFonts w:ascii="Arial" w:cs="Arial" w:eastAsia="Arial" w:hAnsi="Arial"/>
                <w:sz w:val="14"/>
                <w:szCs w:val="14"/>
                <w:b w:val="1"/>
                <w:bCs w:val="1"/>
                <w:color w:val="auto"/>
              </w:rPr>
              <w:t>Delaware</w:t>
            </w: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jc w:val="right"/>
              <w:ind w:right="2368"/>
              <w:spacing w:after="0"/>
              <w:rPr>
                <w:sz w:val="20"/>
                <w:szCs w:val="20"/>
                <w:color w:val="auto"/>
              </w:rPr>
            </w:pPr>
            <w:r>
              <w:rPr>
                <w:rFonts w:ascii="Arial" w:cs="Arial" w:eastAsia="Arial" w:hAnsi="Arial"/>
                <w:sz w:val="14"/>
                <w:szCs w:val="14"/>
                <w:b w:val="1"/>
                <w:bCs w:val="1"/>
                <w:color w:val="auto"/>
              </w:rPr>
              <w:t>86-3355184</w:t>
            </w:r>
          </w:p>
        </w:tc>
      </w:tr>
      <w:tr>
        <w:trPr>
          <w:trHeight w:val="190"/>
        </w:trPr>
        <w:tc>
          <w:tcPr>
            <w:tcW w:w="6200" w:type="dxa"/>
            <w:vAlign w:val="bottom"/>
            <w:gridSpan w:val="4"/>
          </w:tcPr>
          <w:p>
            <w:pPr>
              <w:jc w:val="center"/>
              <w:ind w:right="580"/>
              <w:spacing w:after="0"/>
              <w:rPr>
                <w:sz w:val="20"/>
                <w:szCs w:val="20"/>
                <w:color w:val="auto"/>
              </w:rPr>
            </w:pPr>
            <w:r>
              <w:rPr>
                <w:rFonts w:ascii="Arial" w:cs="Arial" w:eastAsia="Arial" w:hAnsi="Arial"/>
                <w:sz w:val="14"/>
                <w:szCs w:val="14"/>
                <w:color w:val="auto"/>
              </w:rPr>
              <w:t>(State or other jurisdiction of incorporation or organization)</w:t>
            </w:r>
          </w:p>
        </w:tc>
        <w:tc>
          <w:tcPr>
            <w:tcW w:w="5040" w:type="dxa"/>
            <w:vAlign w:val="bottom"/>
          </w:tcPr>
          <w:p>
            <w:pPr>
              <w:jc w:val="center"/>
              <w:ind w:right="508"/>
              <w:spacing w:after="0"/>
              <w:rPr>
                <w:sz w:val="20"/>
                <w:szCs w:val="20"/>
                <w:color w:val="auto"/>
              </w:rPr>
            </w:pPr>
            <w:r>
              <w:rPr>
                <w:rFonts w:ascii="Arial" w:cs="Arial" w:eastAsia="Arial" w:hAnsi="Arial"/>
                <w:sz w:val="14"/>
                <w:szCs w:val="14"/>
                <w:color w:val="auto"/>
              </w:rPr>
              <w:t>(I.R.S. Employer Identification No.)</w:t>
            </w:r>
          </w:p>
        </w:tc>
      </w:tr>
      <w:tr>
        <w:trPr>
          <w:trHeight w:val="242"/>
        </w:trPr>
        <w:tc>
          <w:tcPr>
            <w:tcW w:w="4280" w:type="dxa"/>
            <w:vAlign w:val="bottom"/>
          </w:tcPr>
          <w:p>
            <w:pPr>
              <w:jc w:val="center"/>
              <w:ind w:left="1268"/>
              <w:spacing w:after="0"/>
              <w:rPr>
                <w:sz w:val="20"/>
                <w:szCs w:val="20"/>
                <w:color w:val="auto"/>
              </w:rPr>
            </w:pPr>
            <w:r>
              <w:rPr>
                <w:rFonts w:ascii="Arial" w:cs="Arial" w:eastAsia="Arial" w:hAnsi="Arial"/>
                <w:sz w:val="14"/>
                <w:szCs w:val="14"/>
                <w:b w:val="1"/>
                <w:bCs w:val="1"/>
                <w:color w:val="auto"/>
              </w:rPr>
              <w:t>24 E. Washington Street, Suite 900</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40" w:type="dxa"/>
            <w:vAlign w:val="bottom"/>
          </w:tcPr>
          <w:p>
            <w:pPr>
              <w:spacing w:after="0"/>
              <w:rPr>
                <w:sz w:val="21"/>
                <w:szCs w:val="21"/>
                <w:color w:val="auto"/>
              </w:rPr>
            </w:pPr>
          </w:p>
        </w:tc>
      </w:tr>
      <w:tr>
        <w:trPr>
          <w:trHeight w:val="162"/>
        </w:trPr>
        <w:tc>
          <w:tcPr>
            <w:tcW w:w="4280" w:type="dxa"/>
            <w:vAlign w:val="bottom"/>
          </w:tcPr>
          <w:p>
            <w:pPr>
              <w:jc w:val="center"/>
              <w:ind w:left="1268"/>
              <w:spacing w:after="0"/>
              <w:rPr>
                <w:sz w:val="20"/>
                <w:szCs w:val="20"/>
                <w:color w:val="auto"/>
              </w:rPr>
            </w:pPr>
            <w:r>
              <w:rPr>
                <w:rFonts w:ascii="Arial" w:cs="Arial" w:eastAsia="Arial" w:hAnsi="Arial"/>
                <w:sz w:val="14"/>
                <w:szCs w:val="14"/>
                <w:b w:val="1"/>
                <w:bCs w:val="1"/>
                <w:color w:val="auto"/>
              </w:rPr>
              <w:t>Chicago, Illinois</w:t>
            </w: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jc w:val="right"/>
              <w:ind w:right="2548"/>
              <w:spacing w:after="0"/>
              <w:rPr>
                <w:sz w:val="20"/>
                <w:szCs w:val="20"/>
                <w:color w:val="auto"/>
              </w:rPr>
            </w:pPr>
            <w:r>
              <w:rPr>
                <w:rFonts w:ascii="Arial" w:cs="Arial" w:eastAsia="Arial" w:hAnsi="Arial"/>
                <w:sz w:val="14"/>
                <w:szCs w:val="14"/>
                <w:b w:val="1"/>
                <w:bCs w:val="1"/>
                <w:color w:val="auto"/>
              </w:rPr>
              <w:t>60602</w:t>
            </w:r>
          </w:p>
        </w:tc>
      </w:tr>
      <w:tr>
        <w:trPr>
          <w:trHeight w:val="190"/>
        </w:trPr>
        <w:tc>
          <w:tcPr>
            <w:tcW w:w="4280" w:type="dxa"/>
            <w:vAlign w:val="bottom"/>
          </w:tcPr>
          <w:p>
            <w:pPr>
              <w:jc w:val="center"/>
              <w:ind w:left="1268"/>
              <w:spacing w:after="0"/>
              <w:rPr>
                <w:sz w:val="20"/>
                <w:szCs w:val="20"/>
                <w:color w:val="auto"/>
              </w:rPr>
            </w:pPr>
            <w:r>
              <w:rPr>
                <w:rFonts w:ascii="Arial" w:cs="Arial" w:eastAsia="Arial" w:hAnsi="Arial"/>
                <w:sz w:val="14"/>
                <w:szCs w:val="14"/>
                <w:color w:val="auto"/>
              </w:rPr>
              <w:t>(Address of principal executive offices)</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jc w:val="center"/>
              <w:ind w:right="528"/>
              <w:spacing w:after="0"/>
              <w:rPr>
                <w:sz w:val="20"/>
                <w:szCs w:val="20"/>
                <w:color w:val="auto"/>
              </w:rPr>
            </w:pPr>
            <w:r>
              <w:rPr>
                <w:rFonts w:ascii="Arial" w:cs="Arial" w:eastAsia="Arial" w:hAnsi="Arial"/>
                <w:sz w:val="14"/>
                <w:szCs w:val="14"/>
                <w:color w:val="auto"/>
              </w:rPr>
              <w:t>(Zip Code)</w:t>
            </w:r>
          </w:p>
        </w:tc>
      </w:tr>
      <w:tr>
        <w:trPr>
          <w:trHeight w:val="242"/>
        </w:trPr>
        <w:tc>
          <w:tcPr>
            <w:tcW w:w="4280" w:type="dxa"/>
            <w:vAlign w:val="bottom"/>
          </w:tcPr>
          <w:p>
            <w:pPr>
              <w:spacing w:after="0"/>
              <w:rPr>
                <w:sz w:val="21"/>
                <w:szCs w:val="21"/>
                <w:color w:val="auto"/>
              </w:rPr>
            </w:pPr>
          </w:p>
        </w:tc>
        <w:tc>
          <w:tcPr>
            <w:tcW w:w="1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(312) 291-9966</w:t>
            </w:r>
          </w:p>
        </w:tc>
        <w:tc>
          <w:tcPr>
            <w:tcW w:w="5040" w:type="dxa"/>
            <w:vAlign w:val="bottom"/>
          </w:tcPr>
          <w:p>
            <w:pPr>
              <w:spacing w:after="0"/>
              <w:rPr>
                <w:sz w:val="21"/>
                <w:szCs w:val="21"/>
                <w:color w:val="auto"/>
              </w:rPr>
            </w:pPr>
          </w:p>
        </w:tc>
      </w:tr>
      <w:tr>
        <w:trPr>
          <w:trHeight w:val="190"/>
        </w:trPr>
        <w:tc>
          <w:tcPr>
            <w:tcW w:w="11240" w:type="dxa"/>
            <w:vAlign w:val="bottom"/>
            <w:gridSpan w:val="5"/>
          </w:tcPr>
          <w:p>
            <w:pPr>
              <w:jc w:val="center"/>
              <w:spacing w:after="0"/>
              <w:rPr>
                <w:sz w:val="20"/>
                <w:szCs w:val="20"/>
                <w:color w:val="auto"/>
              </w:rPr>
            </w:pPr>
            <w:r>
              <w:rPr>
                <w:rFonts w:ascii="Arial" w:cs="Arial" w:eastAsia="Arial" w:hAnsi="Arial"/>
                <w:sz w:val="14"/>
                <w:szCs w:val="14"/>
                <w:color w:val="auto"/>
              </w:rPr>
              <w:t>(Registrant’s telephone number, including area code)</w:t>
            </w:r>
          </w:p>
        </w:tc>
      </w:tr>
      <w:tr>
        <w:trPr>
          <w:trHeight w:val="116"/>
        </w:trPr>
        <w:tc>
          <w:tcPr>
            <w:tcW w:w="4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r>
      <w:tr>
        <w:trPr>
          <w:trHeight w:val="283"/>
        </w:trPr>
        <w:tc>
          <w:tcPr>
            <w:tcW w:w="42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51"/>
        </w:trPr>
        <w:tc>
          <w:tcPr>
            <w:tcW w:w="4280" w:type="dxa"/>
            <w:vAlign w:val="bottom"/>
          </w:tcPr>
          <w:p>
            <w:pPr>
              <w:jc w:val="center"/>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21"/>
                <w:szCs w:val="21"/>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rPr>
              <w:t>Trading Symbol(s)</w:t>
            </w:r>
          </w:p>
        </w:tc>
        <w:tc>
          <w:tcPr>
            <w:tcW w:w="504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46"/>
        </w:trPr>
        <w:tc>
          <w:tcPr>
            <w:tcW w:w="42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Class A common stock, par value $0.0001 per share</w:t>
            </w:r>
          </w:p>
        </w:tc>
        <w:tc>
          <w:tcPr>
            <w:tcW w:w="120" w:type="dxa"/>
            <w:vAlign w:val="bottom"/>
          </w:tcPr>
          <w:p>
            <w:pPr>
              <w:spacing w:after="0"/>
              <w:rPr>
                <w:sz w:val="12"/>
                <w:szCs w:val="12"/>
                <w:color w:val="auto"/>
              </w:rPr>
            </w:pPr>
          </w:p>
        </w:tc>
        <w:tc>
          <w:tcPr>
            <w:tcW w:w="16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SEAT</w:t>
            </w:r>
          </w:p>
        </w:tc>
        <w:tc>
          <w:tcPr>
            <w:tcW w:w="120" w:type="dxa"/>
            <w:vAlign w:val="bottom"/>
          </w:tcPr>
          <w:p>
            <w:pPr>
              <w:spacing w:after="0"/>
              <w:rPr>
                <w:sz w:val="12"/>
                <w:szCs w:val="12"/>
                <w:color w:val="auto"/>
              </w:rPr>
            </w:pPr>
          </w:p>
        </w:tc>
        <w:tc>
          <w:tcPr>
            <w:tcW w:w="50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The Nasdaq Stock Market LLC</w:t>
            </w:r>
          </w:p>
        </w:tc>
      </w:tr>
      <w:tr>
        <w:trPr>
          <w:trHeight w:val="196"/>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rPr>
              <w:t>Warrants to purchase one share of Class A common stock</w:t>
            </w:r>
          </w:p>
        </w:tc>
        <w:tc>
          <w:tcPr>
            <w:tcW w:w="120" w:type="dxa"/>
            <w:vAlign w:val="bottom"/>
          </w:tcPr>
          <w:p>
            <w:pPr>
              <w:spacing w:after="0"/>
              <w:rPr>
                <w:sz w:val="17"/>
                <w:szCs w:val="17"/>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SEATW</w:t>
            </w: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74"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2600"/>
              <w:spacing w:after="0"/>
              <w:rPr>
                <w:sz w:val="20"/>
                <w:szCs w:val="20"/>
                <w:color w:val="auto"/>
              </w:rPr>
            </w:pPr>
            <w:r>
              <w:rPr>
                <w:rFonts w:ascii="Arial" w:cs="Arial" w:eastAsia="Arial" w:hAnsi="Arial"/>
                <w:sz w:val="14"/>
                <w:szCs w:val="14"/>
                <w:color w:val="auto"/>
              </w:rPr>
              <w:t>Accelerated filer</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04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2600"/>
              <w:spacing w:after="0"/>
              <w:rPr>
                <w:sz w:val="20"/>
                <w:szCs w:val="20"/>
                <w:color w:val="auto"/>
              </w:rPr>
            </w:pPr>
            <w:r>
              <w:rPr>
                <w:rFonts w:ascii="Arial" w:cs="Arial" w:eastAsia="Arial" w:hAnsi="Arial"/>
                <w:sz w:val="14"/>
                <w:szCs w:val="14"/>
                <w:color w:val="auto"/>
              </w:rPr>
              <w:t>Smaller reporting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0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980" w:type="dxa"/>
            <w:vAlign w:val="bottom"/>
          </w:tcPr>
          <w:p>
            <w:pPr>
              <w:ind w:left="2600"/>
              <w:spacing w:after="0"/>
              <w:rPr>
                <w:sz w:val="20"/>
                <w:szCs w:val="20"/>
                <w:color w:val="auto"/>
              </w:rPr>
            </w:pPr>
            <w:r>
              <w:rPr>
                <w:rFonts w:ascii="Arial" w:cs="Arial" w:eastAsia="Arial" w:hAnsi="Arial"/>
                <w:sz w:val="14"/>
                <w:szCs w:val="14"/>
                <w:color w:val="auto"/>
              </w:rPr>
              <w:t>Emerging growth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3"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No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285" w:lineRule="auto"/>
        <w:rPr>
          <w:sz w:val="20"/>
          <w:szCs w:val="20"/>
          <w:color w:val="auto"/>
        </w:rPr>
      </w:pPr>
      <w:r>
        <w:rPr>
          <w:rFonts w:ascii="Arial" w:cs="Arial" w:eastAsia="Arial" w:hAnsi="Arial"/>
          <w:sz w:val="14"/>
          <w:szCs w:val="14"/>
          <w:color w:val="auto"/>
        </w:rPr>
        <w:t>As of July 31, 2025, the registrant had outstanding 129,420,198 shares of Class A common stock, $0.0001 par value per share, net of treasury shares, and 76,225,000 shares of Class B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gridSpan w:val="1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1"/>
                <w:szCs w:val="21"/>
                <w:color w:val="auto"/>
              </w:rPr>
            </w:pPr>
          </w:p>
        </w:tc>
      </w:tr>
      <w:tr>
        <w:trPr>
          <w:trHeight w:val="662"/>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8"/>
        </w:trPr>
        <w:tc>
          <w:tcPr>
            <w:tcW w:w="8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91"/>
        </w:trPr>
        <w:tc>
          <w:tcPr>
            <w:tcW w:w="23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Forward-Looking Statements</w:t>
            </w:r>
          </w:p>
        </w:tc>
        <w:tc>
          <w:tcPr>
            <w:tcW w:w="20" w:type="dxa"/>
            <w:vAlign w:val="bottom"/>
            <w:tcBorders>
              <w:bottom w:val="single" w:sz="8" w:color="0000EE"/>
            </w:tcBorders>
          </w:tcPr>
          <w:p>
            <w:pPr>
              <w:spacing w:after="0"/>
              <w:rPr>
                <w:sz w:val="24"/>
                <w:szCs w:val="24"/>
                <w:color w:val="auto"/>
              </w:rPr>
            </w:pPr>
          </w:p>
        </w:tc>
        <w:tc>
          <w:tcPr>
            <w:tcW w:w="8340" w:type="dxa"/>
            <w:vAlign w:val="bottom"/>
            <w:gridSpan w:val="2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FINANCIAL INFORMATION</w:t>
            </w:r>
          </w:p>
        </w:tc>
        <w:tc>
          <w:tcPr>
            <w:tcW w:w="20" w:type="dxa"/>
            <w:vAlign w:val="bottom"/>
            <w:tcBorders>
              <w:bottom w:val="single" w:sz="8" w:color="0000EE"/>
            </w:tcBorders>
          </w:tcPr>
          <w:p>
            <w:pPr>
              <w:spacing w:after="0"/>
              <w:rPr>
                <w:sz w:val="20"/>
                <w:szCs w:val="20"/>
                <w:color w:val="auto"/>
              </w:rPr>
            </w:pPr>
          </w:p>
        </w:tc>
        <w:tc>
          <w:tcPr>
            <w:tcW w:w="7260" w:type="dxa"/>
            <w:vAlign w:val="bottom"/>
            <w:gridSpan w:val="18"/>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Financial Statements (Unaudited)</w:t>
            </w:r>
          </w:p>
        </w:tc>
        <w:tc>
          <w:tcPr>
            <w:tcW w:w="20" w:type="dxa"/>
            <w:vAlign w:val="bottom"/>
            <w:tcBorders>
              <w:bottom w:val="single" w:sz="8" w:color="0000EE"/>
            </w:tcBorders>
          </w:tcPr>
          <w:p>
            <w:pPr>
              <w:spacing w:after="0"/>
              <w:rPr>
                <w:sz w:val="20"/>
                <w:szCs w:val="20"/>
                <w:color w:val="auto"/>
              </w:rPr>
            </w:pPr>
          </w:p>
        </w:tc>
        <w:tc>
          <w:tcPr>
            <w:tcW w:w="6840" w:type="dxa"/>
            <w:vAlign w:val="bottom"/>
            <w:gridSpan w:val="15"/>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6"/>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20"/>
                <w:szCs w:val="20"/>
                <w:color w:val="auto"/>
              </w:rPr>
            </w:pPr>
          </w:p>
        </w:tc>
        <w:tc>
          <w:tcPr>
            <w:tcW w:w="6180" w:type="dxa"/>
            <w:vAlign w:val="bottom"/>
            <w:gridSpan w:val="13"/>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20" w:type="dxa"/>
            <w:vAlign w:val="bottom"/>
            <w:tcBorders>
              <w:bottom w:val="single" w:sz="8" w:color="0000EE"/>
            </w:tcBorders>
          </w:tcPr>
          <w:p>
            <w:pPr>
              <w:spacing w:after="0"/>
              <w:rPr>
                <w:sz w:val="20"/>
                <w:szCs w:val="20"/>
                <w:color w:val="auto"/>
              </w:rPr>
            </w:pPr>
          </w:p>
        </w:tc>
        <w:tc>
          <w:tcPr>
            <w:tcW w:w="5400" w:type="dxa"/>
            <w:vAlign w:val="bottom"/>
            <w:gridSpan w:val="9"/>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gridSpan w:val="29"/>
          </w:tcPr>
          <w:p>
            <w:pPr>
              <w:spacing w:after="0"/>
              <w:rPr>
                <w:sz w:val="20"/>
                <w:szCs w:val="20"/>
                <w:color w:val="auto"/>
              </w:rPr>
            </w:pPr>
            <w:r>
              <w:rPr>
                <w:rFonts w:ascii="Arial" w:cs="Arial" w:eastAsia="Arial" w:hAnsi="Arial"/>
                <w:sz w:val="18"/>
                <w:szCs w:val="18"/>
                <w:color w:val="0000FF"/>
              </w:rPr>
              <w:t>Condensed Consolidated Statements of Comprehensive Income (Loss)</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99"/>
              </w:rPr>
              <w:t>Condensed Consolidated Statements of Equity</w:t>
            </w:r>
          </w:p>
        </w:tc>
        <w:tc>
          <w:tcPr>
            <w:tcW w:w="20" w:type="dxa"/>
            <w:vAlign w:val="bottom"/>
            <w:tcBorders>
              <w:top w:val="single" w:sz="8" w:color="0000FF"/>
              <w:bottom w:val="single" w:sz="8" w:color="0000EE"/>
            </w:tcBorders>
          </w:tcPr>
          <w:p>
            <w:pPr>
              <w:spacing w:after="0"/>
              <w:rPr>
                <w:sz w:val="20"/>
                <w:szCs w:val="20"/>
                <w:color w:val="auto"/>
              </w:rPr>
            </w:pPr>
          </w:p>
        </w:tc>
        <w:tc>
          <w:tcPr>
            <w:tcW w:w="1920" w:type="dxa"/>
            <w:vAlign w:val="bottom"/>
            <w:tcBorders>
              <w:top w:val="single" w:sz="8" w:color="0000FF"/>
            </w:tcBorders>
            <w:gridSpan w:val="9"/>
          </w:tcPr>
          <w:p>
            <w:pPr>
              <w:spacing w:after="0"/>
              <w:rPr>
                <w:sz w:val="20"/>
                <w:szCs w:val="20"/>
                <w:color w:val="auto"/>
              </w:rPr>
            </w:pPr>
          </w:p>
        </w:tc>
        <w:tc>
          <w:tcPr>
            <w:tcW w:w="3860" w:type="dxa"/>
            <w:vAlign w:val="bottom"/>
            <w:gridSpan w:val="2"/>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6"/>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bottom w:val="single" w:sz="8" w:color="0000EE"/>
            </w:tcBorders>
          </w:tcPr>
          <w:p>
            <w:pPr>
              <w:spacing w:after="0"/>
              <w:rPr>
                <w:sz w:val="20"/>
                <w:szCs w:val="20"/>
                <w:color w:val="auto"/>
              </w:rPr>
            </w:pPr>
          </w:p>
        </w:tc>
        <w:tc>
          <w:tcPr>
            <w:tcW w:w="5340" w:type="dxa"/>
            <w:vAlign w:val="bottom"/>
            <w:gridSpan w:val="7"/>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20" w:type="dxa"/>
            <w:vAlign w:val="bottom"/>
            <w:tcBorders>
              <w:bottom w:val="single" w:sz="8" w:color="0000EE"/>
            </w:tcBorders>
          </w:tcPr>
          <w:p>
            <w:pPr>
              <w:spacing w:after="0"/>
              <w:rPr>
                <w:sz w:val="20"/>
                <w:szCs w:val="20"/>
                <w:color w:val="auto"/>
              </w:rPr>
            </w:pPr>
          </w:p>
        </w:tc>
        <w:tc>
          <w:tcPr>
            <w:tcW w:w="5040" w:type="dxa"/>
            <w:vAlign w:val="bottom"/>
            <w:gridSpan w:val="5"/>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2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25"/>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3"/>
          </w:tcPr>
          <w:p>
            <w:pPr>
              <w:spacing w:after="0"/>
              <w:rPr>
                <w:sz w:val="20"/>
                <w:szCs w:val="20"/>
                <w:color w:val="auto"/>
              </w:rPr>
            </w:pPr>
          </w:p>
        </w:tc>
        <w:tc>
          <w:tcPr>
            <w:tcW w:w="24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Controls and Procedures</w:t>
            </w:r>
          </w:p>
        </w:tc>
        <w:tc>
          <w:tcPr>
            <w:tcW w:w="7540" w:type="dxa"/>
            <w:vAlign w:val="bottom"/>
            <w:gridSpan w:val="20"/>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OTHER INFORMATION</w:t>
            </w:r>
          </w:p>
        </w:tc>
        <w:tc>
          <w:tcPr>
            <w:tcW w:w="7580" w:type="dxa"/>
            <w:vAlign w:val="bottom"/>
            <w:gridSpan w:val="21"/>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8040" w:type="dxa"/>
            <w:vAlign w:val="bottom"/>
            <w:gridSpan w:val="23"/>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29"/>
          </w:tcPr>
          <w:p>
            <w:pPr>
              <w:spacing w:after="0"/>
              <w:rPr>
                <w:sz w:val="20"/>
                <w:szCs w:val="20"/>
                <w:color w:val="auto"/>
              </w:rPr>
            </w:pPr>
            <w:r>
              <w:rPr>
                <w:rFonts w:ascii="Arial" w:cs="Arial" w:eastAsia="Arial" w:hAnsi="Arial"/>
                <w:sz w:val="18"/>
                <w:szCs w:val="18"/>
                <w:color w:val="0000FF"/>
              </w:rPr>
              <w:t>Risk Factors</w:t>
            </w: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300" w:type="dxa"/>
            <w:vAlign w:val="bottom"/>
            <w:gridSpan w:val="14"/>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680" w:type="dxa"/>
            <w:vAlign w:val="bottom"/>
            <w:gridSpan w:val="3"/>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6"/>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Defaults Upon Senior Securities</w:t>
            </w:r>
          </w:p>
        </w:tc>
        <w:tc>
          <w:tcPr>
            <w:tcW w:w="6980" w:type="dxa"/>
            <w:vAlign w:val="bottom"/>
            <w:gridSpan w:val="17"/>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Mine Safety Disclosures</w:t>
            </w:r>
          </w:p>
        </w:tc>
        <w:tc>
          <w:tcPr>
            <w:tcW w:w="7600" w:type="dxa"/>
            <w:vAlign w:val="bottom"/>
            <w:gridSpan w:val="22"/>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540" w:type="dxa"/>
            <w:vAlign w:val="bottom"/>
            <w:gridSpan w:val="29"/>
          </w:tcPr>
          <w:p>
            <w:pPr>
              <w:spacing w:after="0"/>
              <w:rPr>
                <w:sz w:val="20"/>
                <w:szCs w:val="20"/>
                <w:color w:val="auto"/>
              </w:rPr>
            </w:pPr>
            <w:r>
              <w:rPr>
                <w:rFonts w:ascii="Arial" w:cs="Arial" w:eastAsia="Arial" w:hAnsi="Arial"/>
                <w:sz w:val="18"/>
                <w:szCs w:val="18"/>
                <w:color w:val="0000FF"/>
              </w:rPr>
              <w:t>Other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Exhibits</w:t>
            </w:r>
          </w:p>
        </w:tc>
        <w:tc>
          <w:tcPr>
            <w:tcW w:w="8140" w:type="dxa"/>
            <w:vAlign w:val="bottom"/>
            <w:gridSpan w:val="24"/>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6"/>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4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1688"/>
        </w:trPr>
        <w:tc>
          <w:tcPr>
            <w:tcW w:w="8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4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Quarterly Report on Form 10-Q (this “Report”) contains “forward-looking statements” within the meaning of Section 27A of the Securities Act of 1933, as amended, and Section 21E of the Securities Exchange Act of 1934, as amended (the “Exchange Act”), regarding future events and the future results of Vivid Seats Inc. and its subsidiaries, including Hoya Intermediate, LLC (“Hoya Intermediate”), Hoya Midco, LLC, and Vivid Seats LLC (collectively, “we,” “us,” and “our”). Words such as “anticipate,” “believe,” “can,” “continue,” “could,” “design,” “estimate,” “expect,” “forecast,” “future,” “goal,” “intend,” “likely,” “may,” “plan,” “project,” “propose,” “seek,” “should,” “target,” “will,” and “would,” as well as similar expressions which predict or indicate future events and trends or which do not relate to historical matters, are intended to identify such forward-looking statements.</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use forward-looking statements when addressing topics such as our future operating results and financial performance, including our ability to generate sufficient cash flows and/or raise additional capital when necessary or desirable, our success in attracting, hiring, motivating, and retaining our senior management team, key technical employees, and other highly skilled personnel, any payment of dividends on our Class A common stock, and other topics relating to our business, operations, and financial performance, such as:</w:t>
      </w:r>
    </w:p>
    <w:p>
      <w:pPr>
        <w:spacing w:after="0" w:line="6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supply and demand of live concert, sporting, and theater events;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adverse economic conditions and other factors affecting discretionary consumer and corporate spending;</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maintain and develop our relationships with ticket buyers, sellers, and partners;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compete in the ticketing industry;</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continue to maintain and improve our platform and to successfully develop new and improved solutions and enhancements;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extraordinary events, including disease epidemics;</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identify suitable acquisition targets, to complete planned acquisitions, and to realize the expected benefits of completed acquisitions and other strategic investments;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comply with applicable laws and regulations;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unfavorable outcomes in legislation and legal proceedings;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realize the anticipated benefits of the Reverse Stock Split (as defined herein)</w:t>
      </w:r>
      <w:r>
        <w:rPr>
          <w:rFonts w:ascii="Arial" w:cs="Arial" w:eastAsia="Arial" w:hAnsi="Arial"/>
          <w:sz w:val="18"/>
          <w:szCs w:val="18"/>
          <w:color w:val="000000"/>
        </w:rPr>
        <w:t>;</w:t>
      </w:r>
      <w:r>
        <w:rPr>
          <w:rFonts w:ascii="Arial" w:cs="Arial" w:eastAsia="Arial" w:hAnsi="Arial"/>
          <w:sz w:val="18"/>
          <w:szCs w:val="18"/>
          <w:color w:val="231F20"/>
        </w:rPr>
        <w:t xml:space="preserve"> and</w:t>
      </w:r>
    </w:p>
    <w:p>
      <w:pPr>
        <w:spacing w:after="0" w:line="11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maintain the integrity of our information systems and infrastructure, and to identify, assess, and manage relevant cybersecurity risks.</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based these forward-looking statements on our current expectations, estimates, forecasts, and projections about future events and financial trends that we believe may affect our business, financial condition, and results of operations.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not guarantees of future performance, conditions, or results, and are subject to risks, uncertainties, and assumptions that can be difficult to predict and/or are outside of our control. Therefore, actual results may differ materially from those contemplated by any forward-looking statements.</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Important factors that could cause or contribute to such differences include, but are not limited to, those discussed in the “Risk Factors” and “Management’s Discussion and Analysis of Financial Condition and Results of Operations” sections of this Report and our Annual Report on Form 10-K for the fiscal year ended December 31, 2024 (our “2024 Form 10-K”), as well as in our press releases and other filings with the U.S. Securities and Exchange Commission (the “SEC”).</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 should not place undue reliance on forward-looking statements, which speak only as of the date of this Report (or, in the case of statements incorporated by reference herein, as of the date of the incorporated document). Except as required by applicable law,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56"/>
        </w:trPr>
        <w:tc>
          <w:tcPr>
            <w:tcW w:w="83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153,007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243,482</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ind w:left="6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979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1,166</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Accounts receivable – net</w:t>
            </w: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49,530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48,315</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ind w:left="60"/>
              <w:spacing w:after="0"/>
              <w:rPr>
                <w:sz w:val="20"/>
                <w:szCs w:val="20"/>
                <w:color w:val="auto"/>
              </w:rPr>
            </w:pPr>
            <w:r>
              <w:rPr>
                <w:rFonts w:ascii="Arial" w:cs="Arial" w:eastAsia="Arial" w:hAnsi="Arial"/>
                <w:sz w:val="14"/>
                <w:szCs w:val="14"/>
                <w:color w:val="auto"/>
              </w:rPr>
              <w:t>Inventory – net</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32,621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19,601</w:t>
            </w:r>
          </w:p>
        </w:tc>
        <w:tc>
          <w:tcPr>
            <w:tcW w:w="100" w:type="dxa"/>
            <w:vAlign w:val="bottom"/>
          </w:tcPr>
          <w:p>
            <w:pPr>
              <w:spacing w:after="0"/>
              <w:rPr>
                <w:sz w:val="14"/>
                <w:szCs w:val="14"/>
                <w:color w:val="auto"/>
              </w:rPr>
            </w:pPr>
          </w:p>
        </w:tc>
      </w:tr>
      <w:tr>
        <w:trPr>
          <w:trHeight w:val="162"/>
        </w:trPr>
        <w:tc>
          <w:tcPr>
            <w:tcW w:w="83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28,796</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32,607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8380" w:type="dxa"/>
            <w:vAlign w:val="bottom"/>
          </w:tcPr>
          <w:p>
            <w:pPr>
              <w:ind w:left="120"/>
              <w:spacing w:after="0" w:line="155" w:lineRule="exact"/>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264,933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345,171</w:t>
            </w:r>
          </w:p>
        </w:tc>
        <w:tc>
          <w:tcPr>
            <w:tcW w:w="100" w:type="dxa"/>
            <w:vAlign w:val="bottom"/>
          </w:tcPr>
          <w:p>
            <w:pPr>
              <w:spacing w:after="0"/>
              <w:rPr>
                <w:sz w:val="13"/>
                <w:szCs w:val="13"/>
                <w:color w:val="auto"/>
              </w:rPr>
            </w:pPr>
          </w:p>
        </w:tc>
      </w:tr>
      <w:tr>
        <w:trPr>
          <w:trHeight w:val="162"/>
        </w:trPr>
        <w:tc>
          <w:tcPr>
            <w:tcW w:w="8380" w:type="dxa"/>
            <w:vAlign w:val="bottom"/>
            <w:shd w:val="clear" w:color="auto" w:fill="CFF0FC"/>
          </w:tcPr>
          <w:p>
            <w:pPr>
              <w:spacing w:after="0"/>
              <w:rPr>
                <w:sz w:val="20"/>
                <w:szCs w:val="20"/>
                <w:color w:val="auto"/>
              </w:rPr>
            </w:pPr>
            <w:r>
              <w:rPr>
                <w:rFonts w:ascii="Arial" w:cs="Arial" w:eastAsia="Arial" w:hAnsi="Arial"/>
                <w:sz w:val="14"/>
                <w:szCs w:val="14"/>
                <w:color w:val="auto"/>
              </w:rPr>
              <w:t>Property and equipment – net</w:t>
            </w: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13,401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12,567</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Right-of-use assets – net</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11,396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12,008</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spacing w:after="0"/>
              <w:rPr>
                <w:sz w:val="20"/>
                <w:szCs w:val="20"/>
                <w:color w:val="auto"/>
              </w:rPr>
            </w:pPr>
            <w:r>
              <w:rPr>
                <w:rFonts w:ascii="Arial" w:cs="Arial" w:eastAsia="Arial" w:hAnsi="Arial"/>
                <w:sz w:val="14"/>
                <w:szCs w:val="14"/>
                <w:color w:val="auto"/>
              </w:rPr>
              <w:t>Intangible assets – net</w:t>
            </w: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198,152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233,116</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Goodwill – net</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649,418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943,119</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spacing w:after="0"/>
              <w:rPr>
                <w:sz w:val="20"/>
                <w:szCs w:val="20"/>
                <w:color w:val="auto"/>
              </w:rPr>
            </w:pPr>
            <w:r>
              <w:rPr>
                <w:rFonts w:ascii="Arial" w:cs="Arial" w:eastAsia="Arial" w:hAnsi="Arial"/>
                <w:sz w:val="14"/>
                <w:szCs w:val="14"/>
                <w:color w:val="auto"/>
              </w:rPr>
              <w:t>Deferred tax assets – net</w:t>
            </w: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77,967</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Investments</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6,674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6,929</w:t>
            </w:r>
          </w:p>
        </w:tc>
        <w:tc>
          <w:tcPr>
            <w:tcW w:w="100" w:type="dxa"/>
            <w:vAlign w:val="bottom"/>
          </w:tcPr>
          <w:p>
            <w:pPr>
              <w:spacing w:after="0"/>
              <w:rPr>
                <w:sz w:val="14"/>
                <w:szCs w:val="14"/>
                <w:color w:val="auto"/>
              </w:rPr>
            </w:pPr>
          </w:p>
        </w:tc>
      </w:tr>
      <w:tr>
        <w:trPr>
          <w:trHeight w:val="162"/>
        </w:trPr>
        <w:tc>
          <w:tcPr>
            <w:tcW w:w="8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4,034</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5,219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8380" w:type="dxa"/>
            <w:vAlign w:val="bottom"/>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1,149,268</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1,636,096</w:t>
            </w:r>
          </w:p>
        </w:tc>
        <w:tc>
          <w:tcPr>
            <w:tcW w:w="100" w:type="dxa"/>
            <w:vAlign w:val="bottom"/>
          </w:tcPr>
          <w:p>
            <w:pPr>
              <w:spacing w:after="0"/>
              <w:rPr>
                <w:sz w:val="13"/>
                <w:szCs w:val="13"/>
                <w:color w:val="auto"/>
              </w:rPr>
            </w:pPr>
          </w:p>
        </w:tc>
      </w:tr>
      <w:tr>
        <w:trPr>
          <w:trHeight w:val="20"/>
        </w:trPr>
        <w:tc>
          <w:tcPr>
            <w:tcW w:w="8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38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Liabilities, redeemable noncontrolling interests, and shareholders' equity</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204,241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232,984</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ind w:left="6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138,912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165,047</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Deferred revenue</w:t>
            </w: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19,977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23,804</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ind w:left="60"/>
              <w:spacing w:after="0"/>
              <w:rPr>
                <w:sz w:val="20"/>
                <w:szCs w:val="20"/>
                <w:color w:val="auto"/>
              </w:rPr>
            </w:pPr>
            <w:r>
              <w:rPr>
                <w:rFonts w:ascii="Arial" w:cs="Arial" w:eastAsia="Arial" w:hAnsi="Arial"/>
                <w:sz w:val="14"/>
                <w:szCs w:val="14"/>
                <w:color w:val="auto"/>
              </w:rPr>
              <w:t>Current maturities of long-term debt</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3,950</w:t>
            </w:r>
          </w:p>
        </w:tc>
        <w:tc>
          <w:tcPr>
            <w:tcW w:w="100" w:type="dxa"/>
            <w:vAlign w:val="bottom"/>
          </w:tcPr>
          <w:p>
            <w:pPr>
              <w:spacing w:after="0"/>
              <w:rPr>
                <w:sz w:val="14"/>
                <w:szCs w:val="14"/>
                <w:color w:val="auto"/>
              </w:rPr>
            </w:pPr>
          </w:p>
        </w:tc>
      </w:tr>
      <w:tr>
        <w:trPr>
          <w:trHeight w:val="155"/>
        </w:trPr>
        <w:tc>
          <w:tcPr>
            <w:tcW w:w="8380" w:type="dxa"/>
            <w:vAlign w:val="bottom"/>
            <w:shd w:val="clear" w:color="auto" w:fill="CFF0FC"/>
          </w:tcPr>
          <w:p>
            <w:pPr>
              <w:ind w:left="120"/>
              <w:spacing w:after="0" w:line="155" w:lineRule="exact"/>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367,080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425,785</w:t>
            </w:r>
          </w:p>
        </w:tc>
        <w:tc>
          <w:tcPr>
            <w:tcW w:w="100" w:type="dxa"/>
            <w:vAlign w:val="bottom"/>
            <w:shd w:val="clear" w:color="auto" w:fill="CFF0FC"/>
          </w:tcPr>
          <w:p>
            <w:pPr>
              <w:spacing w:after="0"/>
              <w:rPr>
                <w:sz w:val="13"/>
                <w:szCs w:val="13"/>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Long-term debt – net</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384,998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384,960</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spacing w:after="0"/>
              <w:rPr>
                <w:sz w:val="20"/>
                <w:szCs w:val="20"/>
                <w:color w:val="auto"/>
              </w:rPr>
            </w:pPr>
            <w:r>
              <w:rPr>
                <w:rFonts w:ascii="Arial" w:cs="Arial" w:eastAsia="Arial" w:hAnsi="Arial"/>
                <w:sz w:val="14"/>
                <w:szCs w:val="14"/>
                <w:color w:val="auto"/>
              </w:rPr>
              <w:t>Long-term lease liabilities</w:t>
            </w: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17,673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18,731</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TRA liability</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155,720</w:t>
            </w:r>
          </w:p>
        </w:tc>
        <w:tc>
          <w:tcPr>
            <w:tcW w:w="100" w:type="dxa"/>
            <w:vAlign w:val="bottom"/>
          </w:tcPr>
          <w:p>
            <w:pPr>
              <w:spacing w:after="0"/>
              <w:rPr>
                <w:sz w:val="14"/>
                <w:szCs w:val="14"/>
                <w:color w:val="auto"/>
              </w:rPr>
            </w:pPr>
          </w:p>
        </w:tc>
      </w:tr>
      <w:tr>
        <w:trPr>
          <w:trHeight w:val="162"/>
        </w:trPr>
        <w:tc>
          <w:tcPr>
            <w:tcW w:w="8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32,563</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36,865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8380" w:type="dxa"/>
            <w:vAlign w:val="bottom"/>
          </w:tcPr>
          <w:p>
            <w:pPr>
              <w:ind w:left="120"/>
              <w:spacing w:after="0" w:line="155" w:lineRule="exact"/>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803,109</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1,022,061</w:t>
            </w:r>
          </w:p>
        </w:tc>
        <w:tc>
          <w:tcPr>
            <w:tcW w:w="100" w:type="dxa"/>
            <w:vAlign w:val="bottom"/>
          </w:tcPr>
          <w:p>
            <w:pPr>
              <w:spacing w:after="0"/>
              <w:rPr>
                <w:sz w:val="13"/>
                <w:szCs w:val="13"/>
                <w:color w:val="auto"/>
              </w:rPr>
            </w:pPr>
          </w:p>
        </w:tc>
      </w:tr>
      <w:tr>
        <w:trPr>
          <w:trHeight w:val="155"/>
        </w:trPr>
        <w:tc>
          <w:tcPr>
            <w:tcW w:w="83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Commitments and contingencies (Note 13)</w:t>
            </w:r>
          </w:p>
        </w:tc>
        <w:tc>
          <w:tcPr>
            <w:tcW w:w="2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Redeemable noncontrolling interests</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128,822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352,922</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53"/>
        </w:trPr>
        <w:tc>
          <w:tcPr>
            <w:tcW w:w="8380" w:type="dxa"/>
            <w:vAlign w:val="bottom"/>
          </w:tcPr>
          <w:p>
            <w:pPr>
              <w:ind w:left="60"/>
              <w:spacing w:after="0" w:line="153" w:lineRule="exact"/>
              <w:rPr>
                <w:sz w:val="20"/>
                <w:szCs w:val="20"/>
                <w:color w:val="auto"/>
              </w:rPr>
            </w:pPr>
            <w:r>
              <w:rPr>
                <w:rFonts w:ascii="Arial" w:cs="Arial" w:eastAsia="Arial" w:hAnsi="Arial"/>
                <w:sz w:val="14"/>
                <w:szCs w:val="14"/>
                <w:color w:val="auto"/>
              </w:rPr>
              <w:t>Class A common stock, $0.0001 par value; 500,000,000 shares authorized, 148,060,865 and 143,819,497 shares issued and</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8380" w:type="dxa"/>
            <w:vAlign w:val="bottom"/>
          </w:tcPr>
          <w:p>
            <w:pPr>
              <w:ind w:left="60"/>
              <w:spacing w:after="0"/>
              <w:rPr>
                <w:sz w:val="20"/>
                <w:szCs w:val="20"/>
                <w:color w:val="auto"/>
              </w:rPr>
            </w:pPr>
            <w:r>
              <w:rPr>
                <w:rFonts w:ascii="Arial" w:cs="Arial" w:eastAsia="Arial" w:hAnsi="Arial"/>
                <w:sz w:val="14"/>
                <w:szCs w:val="14"/>
                <w:color w:val="auto"/>
              </w:rPr>
              <w:t>outstanding at June 30, 2025 and December 31, 2024, respectively</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r>
      <w:tr>
        <w:trPr>
          <w:trHeight w:val="153"/>
        </w:trPr>
        <w:tc>
          <w:tcPr>
            <w:tcW w:w="8380" w:type="dxa"/>
            <w:vAlign w:val="bottom"/>
            <w:shd w:val="clear" w:color="auto" w:fill="CFF0FC"/>
          </w:tcPr>
          <w:p>
            <w:pPr>
              <w:ind w:left="60"/>
              <w:spacing w:after="0" w:line="153" w:lineRule="exact"/>
              <w:rPr>
                <w:sz w:val="20"/>
                <w:szCs w:val="20"/>
                <w:color w:val="auto"/>
              </w:rPr>
            </w:pPr>
            <w:r>
              <w:rPr>
                <w:rFonts w:ascii="Arial" w:cs="Arial" w:eastAsia="Arial" w:hAnsi="Arial"/>
                <w:sz w:val="14"/>
                <w:szCs w:val="14"/>
                <w:color w:val="auto"/>
              </w:rPr>
              <w:t>Class B common stock, $0.0001 par value; 250,000,000 shares authorized, 76,225,000 shares issued and outstanding at June</w:t>
            </w:r>
          </w:p>
        </w:tc>
        <w:tc>
          <w:tcPr>
            <w:tcW w:w="2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30, 2025 and December 31, 2024</w:t>
            </w: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ind w:left="6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1,384,399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1,267,710</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Treasury stock, at cost, 17,715,581 and 11,433,749 shares at June 30, 2025 and December 31, 2024, respectively</w:t>
            </w:r>
          </w:p>
        </w:tc>
        <w:tc>
          <w:tcPr>
            <w:tcW w:w="2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(91,705)</w:t>
            </w: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(75,568)</w:t>
            </w:r>
          </w:p>
        </w:tc>
      </w:tr>
      <w:tr>
        <w:trPr>
          <w:trHeight w:val="162"/>
        </w:trPr>
        <w:tc>
          <w:tcPr>
            <w:tcW w:w="8380" w:type="dxa"/>
            <w:vAlign w:val="bottom"/>
          </w:tcPr>
          <w:p>
            <w:pPr>
              <w:ind w:left="60"/>
              <w:spacing w:after="0"/>
              <w:rPr>
                <w:sz w:val="20"/>
                <w:szCs w:val="20"/>
                <w:color w:val="auto"/>
              </w:rPr>
            </w:pPr>
            <w:r>
              <w:rPr>
                <w:rFonts w:ascii="Arial" w:cs="Arial" w:eastAsia="Arial" w:hAnsi="Arial"/>
                <w:sz w:val="14"/>
                <w:szCs w:val="14"/>
                <w:color w:val="auto"/>
              </w:rPr>
              <w:t>Accumulated deficit</w:t>
            </w:r>
          </w:p>
        </w:tc>
        <w:tc>
          <w:tcPr>
            <w:tcW w:w="20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(1,075,788)</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(930,171)</w:t>
            </w:r>
          </w:p>
        </w:tc>
      </w:tr>
      <w:tr>
        <w:trPr>
          <w:trHeight w:val="162"/>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Accumulated other comprehensive income (loss)</w:t>
            </w: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(880)</w:t>
            </w:r>
          </w:p>
        </w:tc>
      </w:tr>
      <w:tr>
        <w:trPr>
          <w:trHeight w:val="155"/>
        </w:trPr>
        <w:tc>
          <w:tcPr>
            <w:tcW w:w="8380" w:type="dxa"/>
            <w:vAlign w:val="bottom"/>
            <w:tcBorders>
              <w:top w:val="single" w:sz="8" w:color="CFF0FC"/>
            </w:tcBorders>
          </w:tcPr>
          <w:p>
            <w:pPr>
              <w:ind w:left="120"/>
              <w:spacing w:after="0" w:line="155" w:lineRule="exact"/>
              <w:rPr>
                <w:sz w:val="20"/>
                <w:szCs w:val="20"/>
                <w:color w:val="auto"/>
              </w:rPr>
            </w:pPr>
            <w:r>
              <w:rPr>
                <w:rFonts w:ascii="Arial" w:cs="Arial" w:eastAsia="Arial" w:hAnsi="Arial"/>
                <w:sz w:val="14"/>
                <w:szCs w:val="14"/>
                <w:color w:val="auto"/>
              </w:rPr>
              <w:t>Total shareholders' equity</w:t>
            </w:r>
          </w:p>
        </w:tc>
        <w:tc>
          <w:tcPr>
            <w:tcW w:w="2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217,337</w:t>
            </w: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261,113</w:t>
            </w:r>
          </w:p>
        </w:tc>
        <w:tc>
          <w:tcPr>
            <w:tcW w:w="100" w:type="dxa"/>
            <w:vAlign w:val="bottom"/>
            <w:tcBorders>
              <w:top w:val="single" w:sz="8" w:color="CFF0FC"/>
            </w:tcBorders>
          </w:tcPr>
          <w:p>
            <w:pPr>
              <w:spacing w:after="0"/>
              <w:rPr>
                <w:sz w:val="13"/>
                <w:szCs w:val="13"/>
                <w:color w:val="auto"/>
              </w:rPr>
            </w:pPr>
          </w:p>
        </w:tc>
      </w:tr>
      <w:tr>
        <w:trPr>
          <w:trHeight w:val="195"/>
        </w:trPr>
        <w:tc>
          <w:tcPr>
            <w:tcW w:w="83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liabilities, redeemable noncontrolling interests, and shareholders' equity</w:t>
            </w: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1,149,268</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1,636,096</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-3608070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-2776855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-1499235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236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8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6"/>
        </w:trPr>
        <w:tc>
          <w:tcPr>
            <w:tcW w:w="58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143,566</w:t>
            </w:r>
          </w:p>
        </w:tc>
        <w:tc>
          <w:tcPr>
            <w:tcW w:w="14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198,316</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307,589</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389,168</w:t>
            </w:r>
          </w:p>
        </w:tc>
        <w:tc>
          <w:tcPr>
            <w:tcW w:w="100" w:type="dxa"/>
            <w:vAlign w:val="bottom"/>
            <w:shd w:val="clear" w:color="auto" w:fill="CFF0FC"/>
          </w:tcPr>
          <w:p>
            <w:pPr>
              <w:spacing w:after="0"/>
              <w:rPr>
                <w:sz w:val="13"/>
                <w:szCs w:val="13"/>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4"/>
                <w:szCs w:val="14"/>
                <w:color w:val="auto"/>
              </w:rPr>
              <w:t>Costs and expenses: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60" w:type="dxa"/>
            <w:vAlign w:val="bottom"/>
            <w:shd w:val="clear" w:color="auto" w:fill="CFF0FC"/>
          </w:tcPr>
          <w:p>
            <w:pPr>
              <w:ind w:left="40"/>
              <w:spacing w:after="0"/>
              <w:rPr>
                <w:sz w:val="20"/>
                <w:szCs w:val="20"/>
                <w:color w:val="auto"/>
              </w:rPr>
            </w:pPr>
            <w:r>
              <w:rPr>
                <w:rFonts w:ascii="Arial" w:cs="Arial" w:eastAsia="Arial" w:hAnsi="Arial"/>
                <w:sz w:val="14"/>
                <w:szCs w:val="14"/>
                <w:color w:val="auto"/>
              </w:rPr>
              <w:t>Cost of revenues (exclusive of depreciation and amortization shown separately below)</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42,429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48,765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86,954</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98,348</w:t>
            </w:r>
          </w:p>
        </w:tc>
        <w:tc>
          <w:tcPr>
            <w:tcW w:w="100" w:type="dxa"/>
            <w:vAlign w:val="bottom"/>
            <w:shd w:val="clear" w:color="auto" w:fill="CFF0FC"/>
          </w:tcPr>
          <w:p>
            <w:pPr>
              <w:spacing w:after="0"/>
              <w:rPr>
                <w:sz w:val="14"/>
                <w:szCs w:val="14"/>
                <w:color w:val="auto"/>
              </w:rPr>
            </w:pPr>
          </w:p>
        </w:tc>
      </w:tr>
      <w:tr>
        <w:trPr>
          <w:trHeight w:val="162"/>
        </w:trPr>
        <w:tc>
          <w:tcPr>
            <w:tcW w:w="5860" w:type="dxa"/>
            <w:vAlign w:val="bottom"/>
          </w:tcPr>
          <w:p>
            <w:pPr>
              <w:ind w:left="40"/>
              <w:spacing w:after="0"/>
              <w:rPr>
                <w:sz w:val="20"/>
                <w:szCs w:val="20"/>
                <w:color w:val="auto"/>
              </w:rPr>
            </w:pPr>
            <w:r>
              <w:rPr>
                <w:rFonts w:ascii="Arial" w:cs="Arial" w:eastAsia="Arial" w:hAnsi="Arial"/>
                <w:sz w:val="14"/>
                <w:szCs w:val="14"/>
                <w:color w:val="auto"/>
              </w:rPr>
              <w:t>Marketing and selling</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53,800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70,114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117,912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137,861</w:t>
            </w:r>
          </w:p>
        </w:tc>
        <w:tc>
          <w:tcPr>
            <w:tcW w:w="100" w:type="dxa"/>
            <w:vAlign w:val="bottom"/>
          </w:tcPr>
          <w:p>
            <w:pPr>
              <w:spacing w:after="0"/>
              <w:rPr>
                <w:sz w:val="14"/>
                <w:szCs w:val="14"/>
                <w:color w:val="auto"/>
              </w:rPr>
            </w:pPr>
          </w:p>
        </w:tc>
      </w:tr>
      <w:tr>
        <w:trPr>
          <w:trHeight w:val="162"/>
        </w:trPr>
        <w:tc>
          <w:tcPr>
            <w:tcW w:w="5860" w:type="dxa"/>
            <w:vAlign w:val="bottom"/>
            <w:shd w:val="clear" w:color="auto" w:fill="CFF0FC"/>
          </w:tcPr>
          <w:p>
            <w:pPr>
              <w:ind w:left="40"/>
              <w:spacing w:after="0"/>
              <w:rPr>
                <w:sz w:val="20"/>
                <w:szCs w:val="20"/>
                <w:color w:val="auto"/>
              </w:rPr>
            </w:pPr>
            <w:r>
              <w:rPr>
                <w:rFonts w:ascii="Arial" w:cs="Arial" w:eastAsia="Arial" w:hAnsi="Arial"/>
                <w:sz w:val="14"/>
                <w:szCs w:val="14"/>
                <w:color w:val="auto"/>
              </w:rPr>
              <w:t>General and administrative</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46,272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61,053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94,354</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103,420</w:t>
            </w:r>
          </w:p>
        </w:tc>
        <w:tc>
          <w:tcPr>
            <w:tcW w:w="100" w:type="dxa"/>
            <w:vAlign w:val="bottom"/>
            <w:shd w:val="clear" w:color="auto" w:fill="CFF0FC"/>
          </w:tcPr>
          <w:p>
            <w:pPr>
              <w:spacing w:after="0"/>
              <w:rPr>
                <w:sz w:val="14"/>
                <w:szCs w:val="14"/>
                <w:color w:val="auto"/>
              </w:rPr>
            </w:pPr>
          </w:p>
        </w:tc>
      </w:tr>
      <w:tr>
        <w:trPr>
          <w:trHeight w:val="162"/>
        </w:trPr>
        <w:tc>
          <w:tcPr>
            <w:tcW w:w="586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12,341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10,502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23,966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20,985</w:t>
            </w:r>
          </w:p>
        </w:tc>
        <w:tc>
          <w:tcPr>
            <w:tcW w:w="100" w:type="dxa"/>
            <w:vAlign w:val="bottom"/>
          </w:tcPr>
          <w:p>
            <w:pPr>
              <w:spacing w:after="0"/>
              <w:rPr>
                <w:sz w:val="14"/>
                <w:szCs w:val="14"/>
                <w:color w:val="auto"/>
              </w:rPr>
            </w:pPr>
          </w:p>
        </w:tc>
      </w:tr>
      <w:tr>
        <w:trPr>
          <w:trHeight w:val="162"/>
        </w:trPr>
        <w:tc>
          <w:tcPr>
            <w:tcW w:w="5860" w:type="dxa"/>
            <w:vAlign w:val="bottom"/>
            <w:shd w:val="clear" w:color="auto" w:fill="CFF0FC"/>
          </w:tcPr>
          <w:p>
            <w:pPr>
              <w:ind w:left="40"/>
              <w:spacing w:after="0"/>
              <w:rPr>
                <w:sz w:val="20"/>
                <w:szCs w:val="20"/>
                <w:color w:val="auto"/>
              </w:rPr>
            </w:pPr>
            <w:r>
              <w:rPr>
                <w:rFonts w:ascii="Arial" w:cs="Arial" w:eastAsia="Arial" w:hAnsi="Arial"/>
                <w:sz w:val="14"/>
                <w:szCs w:val="14"/>
                <w:color w:val="auto"/>
              </w:rPr>
              <w:t>Impairment charges</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320,449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320,449</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5860" w:type="dxa"/>
            <w:vAlign w:val="bottom"/>
            <w:tcBorders>
              <w:top w:val="single" w:sz="8" w:color="CFF0FC"/>
            </w:tcBorders>
          </w:tcPr>
          <w:p>
            <w:pPr>
              <w:ind w:left="100"/>
              <w:spacing w:after="0" w:line="155" w:lineRule="exact"/>
              <w:rPr>
                <w:sz w:val="20"/>
                <w:szCs w:val="20"/>
                <w:color w:val="auto"/>
              </w:rPr>
            </w:pPr>
            <w:r>
              <w:rPr>
                <w:rFonts w:ascii="Arial" w:cs="Arial" w:eastAsia="Arial" w:hAnsi="Arial"/>
                <w:sz w:val="14"/>
                <w:szCs w:val="14"/>
                <w:color w:val="auto"/>
              </w:rPr>
              <w:t>Total costs and expenses</w:t>
            </w:r>
          </w:p>
        </w:tc>
        <w:tc>
          <w:tcPr>
            <w:tcW w:w="1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475,291</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190,434</w:t>
            </w: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643,635</w:t>
            </w:r>
          </w:p>
        </w:tc>
        <w:tc>
          <w:tcPr>
            <w:tcW w:w="220" w:type="dxa"/>
            <w:vAlign w:val="bottom"/>
            <w:tcBorders>
              <w:top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360,614</w:t>
            </w:r>
          </w:p>
        </w:tc>
        <w:tc>
          <w:tcPr>
            <w:tcW w:w="100" w:type="dxa"/>
            <w:vAlign w:val="bottom"/>
            <w:tcBorders>
              <w:top w:val="single" w:sz="8" w:color="CFF0FC"/>
            </w:tcBorders>
          </w:tcPr>
          <w:p>
            <w:pPr>
              <w:spacing w:after="0"/>
              <w:rPr>
                <w:sz w:val="13"/>
                <w:szCs w:val="13"/>
                <w:color w:val="auto"/>
              </w:rPr>
            </w:pPr>
          </w:p>
        </w:tc>
      </w:tr>
      <w:tr>
        <w:trPr>
          <w:trHeight w:val="155"/>
        </w:trPr>
        <w:tc>
          <w:tcPr>
            <w:tcW w:w="58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 (loss) from operations</w:t>
            </w: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(331,725)</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7,882</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b w:val="1"/>
                <w:bCs w:val="1"/>
                <w:color w:val="auto"/>
              </w:rPr>
              <w:t>(336,046)</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28,554</w:t>
            </w:r>
          </w:p>
        </w:tc>
        <w:tc>
          <w:tcPr>
            <w:tcW w:w="100" w:type="dxa"/>
            <w:vAlign w:val="bottom"/>
            <w:shd w:val="clear" w:color="auto" w:fill="CFF0FC"/>
          </w:tcPr>
          <w:p>
            <w:pPr>
              <w:spacing w:after="0"/>
              <w:rPr>
                <w:sz w:val="13"/>
                <w:szCs w:val="13"/>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4"/>
                <w:szCs w:val="14"/>
                <w:color w:val="auto"/>
              </w:rPr>
              <w:t>Interest expense – net</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5,634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5,324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11,299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10,406</w:t>
            </w:r>
          </w:p>
        </w:tc>
        <w:tc>
          <w:tcPr>
            <w:tcW w:w="100" w:type="dxa"/>
            <w:vAlign w:val="bottom"/>
          </w:tcPr>
          <w:p>
            <w:pPr>
              <w:spacing w:after="0"/>
              <w:rPr>
                <w:sz w:val="14"/>
                <w:szCs w:val="14"/>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4"/>
                <w:szCs w:val="14"/>
                <w:color w:val="auto"/>
              </w:rPr>
              <w:t>Other expense (income) – net</w:t>
            </w: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(150,197)</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(154,351)</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5,784</w:t>
            </w:r>
          </w:p>
        </w:tc>
        <w:tc>
          <w:tcPr>
            <w:tcW w:w="100" w:type="dxa"/>
            <w:vAlign w:val="bottom"/>
            <w:shd w:val="clear" w:color="auto" w:fill="CFF0FC"/>
          </w:tcPr>
          <w:p>
            <w:pPr>
              <w:spacing w:after="0"/>
              <w:rPr>
                <w:sz w:val="14"/>
                <w:szCs w:val="14"/>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4"/>
                <w:szCs w:val="14"/>
                <w:color w:val="auto"/>
              </w:rPr>
              <w:t>Loss on extinguishment of debt</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56"/>
        </w:trPr>
        <w:tc>
          <w:tcPr>
            <w:tcW w:w="58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(187,162)</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b w:val="1"/>
                <w:bCs w:val="1"/>
                <w:color w:val="auto"/>
              </w:rPr>
              <w:t>(644)</w:t>
            </w: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b w:val="1"/>
                <w:bCs w:val="1"/>
                <w:color w:val="auto"/>
              </w:rPr>
              <w:t>(193,795)</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12,364</w:t>
            </w:r>
          </w:p>
        </w:tc>
        <w:tc>
          <w:tcPr>
            <w:tcW w:w="100" w:type="dxa"/>
            <w:vAlign w:val="bottom"/>
            <w:shd w:val="clear" w:color="auto" w:fill="CFF0FC"/>
          </w:tcPr>
          <w:p>
            <w:pPr>
              <w:spacing w:after="0"/>
              <w:rPr>
                <w:sz w:val="13"/>
                <w:szCs w:val="13"/>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76,165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79,320</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2,846</w:t>
            </w:r>
          </w:p>
        </w:tc>
        <w:tc>
          <w:tcPr>
            <w:tcW w:w="100" w:type="dxa"/>
            <w:vAlign w:val="bottom"/>
          </w:tcPr>
          <w:p>
            <w:pPr>
              <w:spacing w:after="0"/>
              <w:rPr>
                <w:sz w:val="14"/>
                <w:szCs w:val="14"/>
                <w:color w:val="auto"/>
              </w:rPr>
            </w:pPr>
          </w:p>
        </w:tc>
      </w:tr>
      <w:tr>
        <w:trPr>
          <w:trHeight w:val="156"/>
        </w:trPr>
        <w:tc>
          <w:tcPr>
            <w:tcW w:w="58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w:t>
            </w: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(263,327)</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b w:val="1"/>
                <w:bCs w:val="1"/>
                <w:color w:val="auto"/>
              </w:rPr>
              <w:t>(1,221)</w:t>
            </w: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b w:val="1"/>
                <w:bCs w:val="1"/>
                <w:color w:val="auto"/>
              </w:rPr>
              <w:t>(273,115)</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9,518</w:t>
            </w:r>
          </w:p>
        </w:tc>
        <w:tc>
          <w:tcPr>
            <w:tcW w:w="100" w:type="dxa"/>
            <w:vAlign w:val="bottom"/>
            <w:shd w:val="clear" w:color="auto" w:fill="CFF0FC"/>
          </w:tcPr>
          <w:p>
            <w:pPr>
              <w:spacing w:after="0"/>
              <w:rPr>
                <w:sz w:val="13"/>
                <w:szCs w:val="13"/>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4"/>
                <w:szCs w:val="14"/>
                <w:color w:val="auto"/>
              </w:rPr>
              <w:t>Net income (loss) attributable to redeemable noncontrolling interests</w:t>
            </w:r>
          </w:p>
        </w:tc>
        <w:tc>
          <w:tcPr>
            <w:tcW w:w="18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(123,652)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(160)</w:t>
            </w:r>
          </w:p>
        </w:tc>
        <w:tc>
          <w:tcPr>
            <w:tcW w:w="1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(127,498)</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4,505</w:t>
            </w:r>
          </w:p>
        </w:tc>
        <w:tc>
          <w:tcPr>
            <w:tcW w:w="100" w:type="dxa"/>
            <w:vAlign w:val="bottom"/>
          </w:tcPr>
          <w:p>
            <w:pPr>
              <w:spacing w:after="0"/>
              <w:rPr>
                <w:sz w:val="14"/>
                <w:szCs w:val="14"/>
                <w:color w:val="auto"/>
              </w:rPr>
            </w:pPr>
          </w:p>
        </w:tc>
      </w:tr>
      <w:tr>
        <w:trPr>
          <w:trHeight w:val="196"/>
        </w:trPr>
        <w:tc>
          <w:tcPr>
            <w:tcW w:w="58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 attributable to Class A common stockholders</w:t>
            </w:r>
          </w:p>
        </w:tc>
        <w:tc>
          <w:tcPr>
            <w:tcW w:w="180" w:type="dxa"/>
            <w:vAlign w:val="bottom"/>
            <w:tcBorders>
              <w:top w:val="single" w:sz="8" w:color="auto"/>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(139,675)</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(1,061)</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(145,617)</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5,013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5860" w:type="dxa"/>
            <w:vAlign w:val="bottom"/>
          </w:tcPr>
          <w:p>
            <w:pPr>
              <w:spacing w:after="0" w:line="143" w:lineRule="exact"/>
              <w:rPr>
                <w:sz w:val="20"/>
                <w:szCs w:val="20"/>
                <w:color w:val="auto"/>
              </w:rPr>
            </w:pPr>
            <w:r>
              <w:rPr>
                <w:rFonts w:ascii="Arial" w:cs="Arial" w:eastAsia="Arial" w:hAnsi="Arial"/>
                <w:sz w:val="14"/>
                <w:szCs w:val="14"/>
                <w:b w:val="1"/>
                <w:bCs w:val="1"/>
                <w:color w:val="auto"/>
              </w:rPr>
              <w:t>Net income (loss) per Class A common stock:</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860" w:type="dxa"/>
            <w:vAlign w:val="bottom"/>
            <w:shd w:val="clear" w:color="auto" w:fill="CFF0FC"/>
          </w:tcPr>
          <w:p>
            <w:pPr>
              <w:ind w:left="40"/>
              <w:spacing w:after="0"/>
              <w:rPr>
                <w:sz w:val="20"/>
                <w:szCs w:val="20"/>
                <w:color w:val="auto"/>
              </w:rPr>
            </w:pPr>
            <w:r>
              <w:rPr>
                <w:rFonts w:ascii="Arial" w:cs="Arial" w:eastAsia="Arial" w:hAnsi="Arial"/>
                <w:sz w:val="14"/>
                <w:szCs w:val="14"/>
                <w:color w:val="auto"/>
              </w:rPr>
              <w:t>Basic</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(1.07)</w:t>
            </w: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(0.01)</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(1.11)</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FF0FC"/>
          </w:tcPr>
          <w:p>
            <w:pPr>
              <w:spacing w:after="0"/>
              <w:rPr>
                <w:sz w:val="14"/>
                <w:szCs w:val="14"/>
                <w:color w:val="auto"/>
              </w:rPr>
            </w:pPr>
          </w:p>
        </w:tc>
      </w:tr>
      <w:tr>
        <w:trPr>
          <w:trHeight w:val="162"/>
        </w:trPr>
        <w:tc>
          <w:tcPr>
            <w:tcW w:w="5860" w:type="dxa"/>
            <w:vAlign w:val="bottom"/>
          </w:tcPr>
          <w:p>
            <w:pPr>
              <w:ind w:left="4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(1.27)</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(0.01)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(1.31)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4"/>
                <w:szCs w:val="14"/>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Weighted average Class A common stock outstanding:</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860" w:type="dxa"/>
            <w:vAlign w:val="bottom"/>
          </w:tcPr>
          <w:p>
            <w:pPr>
              <w:ind w:left="40"/>
              <w:spacing w:after="0"/>
              <w:rPr>
                <w:sz w:val="20"/>
                <w:szCs w:val="20"/>
                <w:color w:val="auto"/>
              </w:rPr>
            </w:pPr>
            <w:r>
              <w:rPr>
                <w:rFonts w:ascii="Arial" w:cs="Arial" w:eastAsia="Arial" w:hAnsi="Arial"/>
                <w:sz w:val="14"/>
                <w:szCs w:val="14"/>
                <w:color w:val="auto"/>
              </w:rPr>
              <w:t>Basic</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130,537,970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131,802,620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131,712,573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132,935,446</w:t>
            </w:r>
          </w:p>
        </w:tc>
        <w:tc>
          <w:tcPr>
            <w:tcW w:w="100" w:type="dxa"/>
            <w:vAlign w:val="bottom"/>
          </w:tcPr>
          <w:p>
            <w:pPr>
              <w:spacing w:after="0"/>
              <w:rPr>
                <w:sz w:val="14"/>
                <w:szCs w:val="14"/>
                <w:color w:val="auto"/>
              </w:rPr>
            </w:pPr>
          </w:p>
        </w:tc>
      </w:tr>
      <w:tr>
        <w:trPr>
          <w:trHeight w:val="162"/>
        </w:trPr>
        <w:tc>
          <w:tcPr>
            <w:tcW w:w="5860" w:type="dxa"/>
            <w:vAlign w:val="bottom"/>
            <w:shd w:val="clear" w:color="auto" w:fill="CFF0FC"/>
          </w:tcPr>
          <w:p>
            <w:pPr>
              <w:ind w:left="40"/>
              <w:spacing w:after="0"/>
              <w:rPr>
                <w:sz w:val="20"/>
                <w:szCs w:val="20"/>
                <w:color w:val="auto"/>
              </w:rPr>
            </w:pPr>
            <w:r>
              <w:rPr>
                <w:rFonts w:ascii="Arial" w:cs="Arial" w:eastAsia="Arial" w:hAnsi="Arial"/>
                <w:sz w:val="14"/>
                <w:szCs w:val="14"/>
                <w:color w:val="auto"/>
              </w:rPr>
              <w:t>Diluted</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206,962,634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208,027,620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208,137,237</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209,937,710</w:t>
            </w:r>
          </w:p>
        </w:tc>
        <w:tc>
          <w:tcPr>
            <w:tcW w:w="10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-1713865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-1713865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-1713865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-642620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-625475</wp:posOffset>
            </wp:positionV>
            <wp:extent cx="76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-642620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-625475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-642620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-625475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-625475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63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6"/>
        </w:trPr>
        <w:tc>
          <w:tcPr>
            <w:tcW w:w="63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w:t>
            </w: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142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b w:val="1"/>
                <w:bCs w:val="1"/>
                <w:color w:val="auto"/>
              </w:rPr>
              <w:t>(263,327)</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9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(1,221)</w:t>
            </w:r>
          </w:p>
        </w:tc>
        <w:tc>
          <w:tcPr>
            <w:tcW w:w="2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FF0FC"/>
          </w:tcPr>
          <w:p>
            <w:pPr>
              <w:jc w:val="right"/>
              <w:ind w:right="59"/>
              <w:spacing w:after="0" w:line="155" w:lineRule="exact"/>
              <w:rPr>
                <w:sz w:val="20"/>
                <w:szCs w:val="20"/>
                <w:color w:val="auto"/>
              </w:rPr>
            </w:pPr>
            <w:r>
              <w:rPr>
                <w:rFonts w:ascii="Arial" w:cs="Arial" w:eastAsia="Arial" w:hAnsi="Arial"/>
                <w:sz w:val="14"/>
                <w:szCs w:val="14"/>
                <w:b w:val="1"/>
                <w:bCs w:val="1"/>
                <w:color w:val="auto"/>
              </w:rPr>
              <w:t>(273,115)</w:t>
            </w:r>
          </w:p>
        </w:tc>
        <w:tc>
          <w:tcPr>
            <w:tcW w:w="28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9,518</w:t>
            </w:r>
          </w:p>
        </w:tc>
        <w:tc>
          <w:tcPr>
            <w:tcW w:w="100" w:type="dxa"/>
            <w:vAlign w:val="bottom"/>
            <w:shd w:val="clear" w:color="auto" w:fill="CFF0FC"/>
          </w:tcPr>
          <w:p>
            <w:pPr>
              <w:spacing w:after="0"/>
              <w:rPr>
                <w:sz w:val="13"/>
                <w:szCs w:val="13"/>
                <w:color w:val="auto"/>
              </w:rPr>
            </w:pPr>
          </w:p>
        </w:tc>
      </w:tr>
      <w:tr>
        <w:trPr>
          <w:trHeight w:val="162"/>
        </w:trPr>
        <w:tc>
          <w:tcPr>
            <w:tcW w:w="632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320" w:type="dxa"/>
            <w:vAlign w:val="bottom"/>
            <w:shd w:val="clear" w:color="auto" w:fill="CFF0FC"/>
          </w:tcPr>
          <w:p>
            <w:pPr>
              <w:ind w:left="60"/>
              <w:spacing w:after="0"/>
              <w:rPr>
                <w:sz w:val="20"/>
                <w:szCs w:val="20"/>
                <w:color w:val="auto"/>
              </w:rPr>
            </w:pPr>
            <w:r>
              <w:rPr>
                <w:rFonts w:ascii="Arial" w:cs="Arial" w:eastAsia="Arial" w:hAnsi="Arial"/>
                <w:sz w:val="14"/>
                <w:szCs w:val="14"/>
                <w:color w:val="auto"/>
              </w:rPr>
              <w:t>Foreign currency translation adjustment</w:t>
            </w: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857</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(1,258)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(3,123)</w:t>
            </w:r>
          </w:p>
        </w:tc>
      </w:tr>
      <w:tr>
        <w:trPr>
          <w:trHeight w:val="162"/>
        </w:trPr>
        <w:tc>
          <w:tcPr>
            <w:tcW w:w="6320" w:type="dxa"/>
            <w:vAlign w:val="bottom"/>
          </w:tcPr>
          <w:p>
            <w:pPr>
              <w:ind w:left="60"/>
              <w:spacing w:after="0"/>
              <w:rPr>
                <w:sz w:val="20"/>
                <w:szCs w:val="20"/>
                <w:color w:val="auto"/>
              </w:rPr>
            </w:pPr>
            <w:r>
              <w:rPr>
                <w:rFonts w:ascii="Arial" w:cs="Arial" w:eastAsia="Arial" w:hAnsi="Arial"/>
                <w:sz w:val="14"/>
                <w:szCs w:val="14"/>
                <w:color w:val="auto"/>
              </w:rPr>
              <w:t>Unrealized gain (loss) on Note</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59"/>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320" w:type="dxa"/>
            <w:vAlign w:val="bottom"/>
            <w:shd w:val="clear" w:color="auto" w:fill="CFF0FC"/>
          </w:tcPr>
          <w:p>
            <w:pPr>
              <w:ind w:left="100"/>
              <w:spacing w:after="0" w:line="155" w:lineRule="exact"/>
              <w:rPr>
                <w:sz w:val="20"/>
                <w:szCs w:val="20"/>
                <w:color w:val="auto"/>
              </w:rPr>
            </w:pPr>
            <w:r>
              <w:rPr>
                <w:rFonts w:ascii="Arial" w:cs="Arial" w:eastAsia="Arial" w:hAnsi="Arial"/>
                <w:sz w:val="14"/>
                <w:szCs w:val="14"/>
                <w:color w:val="auto"/>
              </w:rPr>
              <w:t>Total other comprehensive income (loss)</w:t>
            </w:r>
          </w:p>
        </w:tc>
        <w:tc>
          <w:tcPr>
            <w:tcW w:w="16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858</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(1,308)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2,034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(3,081)</w:t>
            </w:r>
          </w:p>
        </w:tc>
      </w:tr>
      <w:tr>
        <w:trPr>
          <w:trHeight w:val="20"/>
        </w:trPr>
        <w:tc>
          <w:tcPr>
            <w:tcW w:w="6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6320" w:type="dxa"/>
            <w:vAlign w:val="bottom"/>
          </w:tcPr>
          <w:p>
            <w:pPr>
              <w:spacing w:after="0" w:line="155" w:lineRule="exact"/>
              <w:rPr>
                <w:sz w:val="20"/>
                <w:szCs w:val="20"/>
                <w:color w:val="auto"/>
              </w:rPr>
            </w:pPr>
            <w:r>
              <w:rPr>
                <w:rFonts w:ascii="Arial" w:cs="Arial" w:eastAsia="Arial" w:hAnsi="Arial"/>
                <w:sz w:val="14"/>
                <w:szCs w:val="14"/>
                <w:b w:val="1"/>
                <w:bCs w:val="1"/>
                <w:color w:val="auto"/>
              </w:rPr>
              <w:t>Comprehensive income (loss)</w:t>
            </w:r>
          </w:p>
        </w:tc>
        <w:tc>
          <w:tcPr>
            <w:tcW w:w="160" w:type="dxa"/>
            <w:vAlign w:val="bottom"/>
          </w:tcPr>
          <w:p>
            <w:pPr>
              <w:spacing w:after="0"/>
              <w:rPr>
                <w:sz w:val="13"/>
                <w:szCs w:val="13"/>
                <w:color w:val="auto"/>
              </w:rPr>
            </w:pPr>
          </w:p>
        </w:tc>
        <w:tc>
          <w:tcPr>
            <w:tcW w:w="142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(262,469)</w:t>
            </w:r>
          </w:p>
        </w:tc>
        <w:tc>
          <w:tcPr>
            <w:tcW w:w="180" w:type="dxa"/>
            <w:vAlign w:val="bottom"/>
          </w:tcPr>
          <w:p>
            <w:pPr>
              <w:spacing w:after="0"/>
              <w:rPr>
                <w:sz w:val="13"/>
                <w:szCs w:val="13"/>
                <w:color w:val="auto"/>
              </w:rPr>
            </w:pPr>
          </w:p>
        </w:tc>
        <w:tc>
          <w:tcPr>
            <w:tcW w:w="9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(2,529)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59"/>
              <w:spacing w:after="0" w:line="155" w:lineRule="exact"/>
              <w:rPr>
                <w:sz w:val="20"/>
                <w:szCs w:val="20"/>
                <w:color w:val="auto"/>
              </w:rPr>
            </w:pPr>
            <w:r>
              <w:rPr>
                <w:rFonts w:ascii="Arial" w:cs="Arial" w:eastAsia="Arial" w:hAnsi="Arial"/>
                <w:sz w:val="14"/>
                <w:szCs w:val="14"/>
                <w:b w:val="1"/>
                <w:bCs w:val="1"/>
                <w:color w:val="auto"/>
              </w:rPr>
              <w:t>(271,081)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6,437</w:t>
            </w:r>
          </w:p>
        </w:tc>
        <w:tc>
          <w:tcPr>
            <w:tcW w:w="100" w:type="dxa"/>
            <w:vAlign w:val="bottom"/>
          </w:tcPr>
          <w:p>
            <w:pPr>
              <w:spacing w:after="0"/>
              <w:rPr>
                <w:sz w:val="13"/>
                <w:szCs w:val="13"/>
                <w:color w:val="auto"/>
              </w:rPr>
            </w:pPr>
          </w:p>
        </w:tc>
      </w:tr>
      <w:tr>
        <w:trPr>
          <w:trHeight w:val="162"/>
        </w:trPr>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attributable to redeemable noncontrolling interests</w:t>
            </w:r>
          </w:p>
        </w:tc>
        <w:tc>
          <w:tcPr>
            <w:tcW w:w="1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(123,652)</w:t>
            </w: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(127,498)</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4,505</w:t>
            </w:r>
          </w:p>
        </w:tc>
        <w:tc>
          <w:tcPr>
            <w:tcW w:w="100" w:type="dxa"/>
            <w:vAlign w:val="bottom"/>
            <w:shd w:val="clear" w:color="auto" w:fill="CFF0FC"/>
          </w:tcPr>
          <w:p>
            <w:pPr>
              <w:spacing w:after="0"/>
              <w:rPr>
                <w:sz w:val="14"/>
                <w:szCs w:val="14"/>
                <w:color w:val="auto"/>
              </w:rPr>
            </w:pPr>
          </w:p>
        </w:tc>
      </w:tr>
      <w:tr>
        <w:trPr>
          <w:trHeight w:val="162"/>
        </w:trPr>
        <w:tc>
          <w:tcPr>
            <w:tcW w:w="6320" w:type="dxa"/>
            <w:vAlign w:val="bottom"/>
          </w:tcPr>
          <w:p>
            <w:pPr>
              <w:spacing w:after="0"/>
              <w:rPr>
                <w:sz w:val="20"/>
                <w:szCs w:val="20"/>
                <w:color w:val="auto"/>
              </w:rPr>
            </w:pPr>
            <w:r>
              <w:rPr>
                <w:rFonts w:ascii="Arial" w:cs="Arial" w:eastAsia="Arial" w:hAnsi="Arial"/>
                <w:sz w:val="14"/>
                <w:szCs w:val="14"/>
                <w:color w:val="auto"/>
              </w:rPr>
              <w:t>Other comprehensive income (loss) attributable to redeemable noncontrolling interests: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320" w:type="dxa"/>
            <w:vAlign w:val="bottom"/>
            <w:shd w:val="clear" w:color="auto" w:fill="CFF0FC"/>
          </w:tcPr>
          <w:p>
            <w:pPr>
              <w:ind w:left="60"/>
              <w:spacing w:after="0"/>
              <w:rPr>
                <w:sz w:val="20"/>
                <w:szCs w:val="20"/>
                <w:color w:val="auto"/>
              </w:rPr>
            </w:pPr>
            <w:r>
              <w:rPr>
                <w:rFonts w:ascii="Arial" w:cs="Arial" w:eastAsia="Arial" w:hAnsi="Arial"/>
                <w:sz w:val="14"/>
                <w:szCs w:val="14"/>
                <w:color w:val="auto"/>
              </w:rPr>
              <w:t>Foreign currency translation adjustment attributable to redeemable noncontrolling interests</w:t>
            </w: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(1,134)</w:t>
            </w:r>
          </w:p>
        </w:tc>
      </w:tr>
      <w:tr>
        <w:trPr>
          <w:trHeight w:val="162"/>
        </w:trPr>
        <w:tc>
          <w:tcPr>
            <w:tcW w:w="6320" w:type="dxa"/>
            <w:vAlign w:val="bottom"/>
          </w:tcPr>
          <w:p>
            <w:pPr>
              <w:ind w:left="60"/>
              <w:spacing w:after="0"/>
              <w:rPr>
                <w:sz w:val="20"/>
                <w:szCs w:val="20"/>
                <w:color w:val="auto"/>
              </w:rPr>
            </w:pPr>
            <w:r>
              <w:rPr>
                <w:rFonts w:ascii="Arial" w:cs="Arial" w:eastAsia="Arial" w:hAnsi="Arial"/>
                <w:sz w:val="14"/>
                <w:szCs w:val="14"/>
                <w:color w:val="auto"/>
              </w:rPr>
              <w:t>Unrealized gain (loss) on Note attributable to redeemable noncontrolling interests</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5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6320" w:type="dxa"/>
            <w:vAlign w:val="bottom"/>
            <w:shd w:val="clear" w:color="auto" w:fill="CFF0FC"/>
          </w:tcPr>
          <w:p>
            <w:pPr>
              <w:ind w:left="100"/>
              <w:spacing w:after="0" w:line="155" w:lineRule="exact"/>
              <w:rPr>
                <w:sz w:val="20"/>
                <w:szCs w:val="20"/>
                <w:color w:val="auto"/>
              </w:rPr>
            </w:pPr>
            <w:r>
              <w:rPr>
                <w:rFonts w:ascii="Arial" w:cs="Arial" w:eastAsia="Arial" w:hAnsi="Arial"/>
                <w:sz w:val="14"/>
                <w:szCs w:val="14"/>
                <w:color w:val="auto"/>
              </w:rPr>
              <w:t>Total other comprehensive income (loss) attributable to redeemable noncontrolling interests</w:t>
            </w:r>
          </w:p>
        </w:tc>
        <w:tc>
          <w:tcPr>
            <w:tcW w:w="16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316</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(476)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745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(1,119)</w:t>
            </w:r>
          </w:p>
        </w:tc>
      </w:tr>
      <w:tr>
        <w:trPr>
          <w:trHeight w:val="156"/>
        </w:trPr>
        <w:tc>
          <w:tcPr>
            <w:tcW w:w="632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Comprehensive income (loss) attributable to Class A common stockholders</w:t>
            </w: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(139,133)</w:t>
            </w:r>
          </w:p>
        </w:tc>
        <w:tc>
          <w:tcPr>
            <w:tcW w:w="280" w:type="dxa"/>
            <w:vAlign w:val="bottom"/>
            <w:tcBorders>
              <w:top w:val="single" w:sz="8" w:color="CFF0FC"/>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(1,893)</w:t>
            </w:r>
          </w:p>
        </w:tc>
        <w:tc>
          <w:tcPr>
            <w:tcW w:w="14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(144,328</w:t>
            </w:r>
          </w:p>
        </w:tc>
        <w:tc>
          <w:tcPr>
            <w:tcW w:w="140" w:type="dxa"/>
            <w:vAlign w:val="bottom"/>
            <w:tcBorders>
              <w:top w:val="single" w:sz="8" w:color="CFF0FC"/>
              <w:bottom w:val="single" w:sz="8" w:color="CFF0FC"/>
            </w:tcBorders>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CFF0FC"/>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3,051</w:t>
            </w:r>
          </w:p>
        </w:tc>
        <w:tc>
          <w:tcPr>
            <w:tcW w:w="100" w:type="dxa"/>
            <w:vAlign w:val="bottom"/>
            <w:tcBorders>
              <w:top w:val="single" w:sz="8" w:color="CFF0FC"/>
            </w:tcBorders>
          </w:tcPr>
          <w:p>
            <w:pPr>
              <w:spacing w:after="0"/>
              <w:rPr>
                <w:sz w:val="13"/>
                <w:szCs w:val="13"/>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-770890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-770890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-770890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-136525</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-136525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-136525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 (Unaudited)</w:t>
      </w:r>
    </w:p>
    <w:p>
      <w:pPr>
        <w:sectPr>
          <w:pgSz w:w="11900" w:h="16838" w:orient="portrait"/>
          <w:cols w:equalWidth="0" w:num="1">
            <w:col w:w="11240"/>
          </w:cols>
          <w:pgMar w:left="320" w:top="769" w:right="339" w:bottom="1440" w:gutter="0" w:footer="0" w:header="0"/>
        </w:sect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9"/>
              </w:rPr>
              <w:t>Class A common stock</w:t>
            </w:r>
          </w:p>
        </w:tc>
        <w:tc>
          <w:tcPr>
            <w:tcW w:w="240" w:type="dxa"/>
            <w:vAlign w:val="bottom"/>
          </w:tcPr>
          <w:p>
            <w:pPr>
              <w:spacing w:after="0"/>
              <w:rPr>
                <w:sz w:val="13"/>
                <w:szCs w:val="13"/>
                <w:color w:val="auto"/>
              </w:rPr>
            </w:pPr>
          </w:p>
        </w:tc>
        <w:tc>
          <w:tcPr>
            <w:tcW w:w="1240" w:type="dxa"/>
            <w:vAlign w:val="bottom"/>
            <w:gridSpan w:val="4"/>
          </w:tcPr>
          <w:p>
            <w:pPr>
              <w:jc w:val="center"/>
              <w:ind w:left="37"/>
              <w:spacing w:after="0"/>
              <w:rPr>
                <w:sz w:val="20"/>
                <w:szCs w:val="20"/>
                <w:color w:val="auto"/>
              </w:rPr>
            </w:pPr>
            <w:r>
              <w:rPr>
                <w:rFonts w:ascii="Arial" w:cs="Arial" w:eastAsia="Arial" w:hAnsi="Arial"/>
                <w:sz w:val="13"/>
                <w:szCs w:val="13"/>
                <w:b w:val="1"/>
                <w:bCs w:val="1"/>
                <w:color w:val="auto"/>
                <w:w w:val="96"/>
              </w:rPr>
              <w:t>Class B common</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Borders>
              <w:bottom w:val="single" w:sz="8" w:color="auto"/>
            </w:tcBorders>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Borders>
              <w:bottom w:val="single" w:sz="8" w:color="auto"/>
            </w:tcBorders>
            <w:gridSpan w:val="2"/>
          </w:tcPr>
          <w:p>
            <w:pPr>
              <w:jc w:val="center"/>
              <w:ind w:left="417"/>
              <w:spacing w:after="0"/>
              <w:rPr>
                <w:sz w:val="20"/>
                <w:szCs w:val="20"/>
                <w:color w:val="auto"/>
              </w:rPr>
            </w:pPr>
            <w:r>
              <w:rPr>
                <w:rFonts w:ascii="Arial" w:cs="Arial" w:eastAsia="Arial" w:hAnsi="Arial"/>
                <w:sz w:val="13"/>
                <w:szCs w:val="13"/>
                <w:b w:val="1"/>
                <w:bCs w:val="1"/>
                <w:color w:val="auto"/>
                <w:w w:val="99"/>
              </w:rPr>
              <w:t>stock</w:t>
            </w: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170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6"/>
              </w:rPr>
              <w:t>Redeemable</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Amoun</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Amou</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04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8"/>
              </w:rPr>
              <w:t>noncontrolli</w:t>
            </w:r>
          </w:p>
        </w:tc>
        <w:tc>
          <w:tcPr>
            <w:tcW w:w="80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240" w:type="dxa"/>
            <w:vAlign w:val="bottom"/>
            <w:vMerge w:val="restart"/>
          </w:tcPr>
          <w:p>
            <w:pPr>
              <w:spacing w:after="0"/>
              <w:rPr>
                <w:sz w:val="11"/>
                <w:szCs w:val="11"/>
                <w:color w:val="auto"/>
              </w:rPr>
            </w:pPr>
          </w:p>
        </w:tc>
        <w:tc>
          <w:tcPr>
            <w:tcW w:w="4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20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vMerge w:val="restart"/>
          </w:tcPr>
          <w:p>
            <w:pPr>
              <w:spacing w:after="0"/>
              <w:rPr>
                <w:sz w:val="20"/>
                <w:szCs w:val="20"/>
                <w:color w:val="auto"/>
              </w:rPr>
            </w:pPr>
            <w:r>
              <w:rPr>
                <w:rFonts w:ascii="Arial" w:cs="Arial" w:eastAsia="Arial" w:hAnsi="Arial"/>
                <w:sz w:val="13"/>
                <w:szCs w:val="13"/>
                <w:b w:val="1"/>
                <w:bCs w:val="1"/>
                <w:color w:val="auto"/>
              </w:rPr>
              <w:t>Balances at January 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ng interests</w:t>
            </w:r>
          </w:p>
        </w:tc>
        <w:tc>
          <w:tcPr>
            <w:tcW w:w="240" w:type="dxa"/>
            <w:vAlign w:val="bottom"/>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4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w:t>
            </w:r>
          </w:p>
        </w:tc>
        <w:tc>
          <w:tcPr>
            <w:tcW w:w="24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auto"/>
            </w:tcBorders>
          </w:tcPr>
          <w:p>
            <w:pPr>
              <w:jc w:val="center"/>
              <w:ind w:left="77"/>
              <w:spacing w:after="0"/>
              <w:rPr>
                <w:sz w:val="20"/>
                <w:szCs w:val="20"/>
                <w:color w:val="auto"/>
              </w:rPr>
            </w:pPr>
            <w:r>
              <w:rPr>
                <w:rFonts w:ascii="Arial" w:cs="Arial" w:eastAsia="Arial" w:hAnsi="Arial"/>
                <w:sz w:val="13"/>
                <w:szCs w:val="13"/>
                <w:b w:val="1"/>
                <w:bCs w:val="1"/>
                <w:color w:val="auto"/>
                <w:w w:val="97"/>
              </w:rPr>
              <w:t>nt</w:t>
            </w: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7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$481,742</w:t>
            </w:r>
          </w:p>
        </w:tc>
        <w:tc>
          <w:tcPr>
            <w:tcW w:w="24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141,167,31</w:t>
            </w:r>
          </w:p>
        </w:tc>
        <w:tc>
          <w:tcPr>
            <w:tcW w:w="24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14</w:t>
            </w:r>
          </w:p>
        </w:tc>
        <w:tc>
          <w:tcPr>
            <w:tcW w:w="24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76,225,0</w:t>
            </w:r>
          </w:p>
        </w:tc>
        <w:tc>
          <w:tcPr>
            <w:tcW w:w="200" w:type="dxa"/>
            <w:vAlign w:val="bottom"/>
          </w:tcPr>
          <w:p>
            <w:pPr>
              <w:spacing w:after="0"/>
              <w:rPr>
                <w:sz w:val="9"/>
                <w:szCs w:val="9"/>
                <w:color w:val="auto"/>
              </w:rPr>
            </w:pPr>
          </w:p>
        </w:tc>
        <w:tc>
          <w:tcPr>
            <w:tcW w:w="340" w:type="dxa"/>
            <w:vAlign w:val="bottom"/>
            <w:gridSpan w:val="2"/>
            <w:vMerge w:val="restart"/>
          </w:tcPr>
          <w:p>
            <w:pPr>
              <w:jc w:val="right"/>
              <w:ind w:right="157"/>
              <w:spacing w:after="0"/>
              <w:rPr>
                <w:sz w:val="20"/>
                <w:szCs w:val="20"/>
                <w:color w:val="auto"/>
              </w:rPr>
            </w:pPr>
            <w:r>
              <w:rPr>
                <w:rFonts w:ascii="Arial" w:cs="Arial" w:eastAsia="Arial" w:hAnsi="Arial"/>
                <w:sz w:val="13"/>
                <w:szCs w:val="13"/>
                <w:b w:val="1"/>
                <w:bCs w:val="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b w:val="1"/>
                <w:bCs w:val="1"/>
                <w:color w:val="auto"/>
              </w:rPr>
              <w:t>2024</w:t>
            </w:r>
          </w:p>
        </w:tc>
        <w:tc>
          <w:tcPr>
            <w:tcW w:w="8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w:t>
            </w:r>
          </w:p>
        </w:tc>
        <w:tc>
          <w:tcPr>
            <w:tcW w:w="2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00</w:t>
            </w:r>
          </w:p>
        </w:tc>
        <w:tc>
          <w:tcPr>
            <w:tcW w:w="20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4,665</w:t>
            </w:r>
          </w:p>
        </w:tc>
        <w:tc>
          <w:tcPr>
            <w:tcW w:w="24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Issuances of Class A</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common stock</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961,573</w:t>
            </w:r>
          </w:p>
        </w:tc>
        <w:tc>
          <w:tcPr>
            <w:tcW w:w="2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Net settlement of equity</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incentive awards</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(79,905)</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Deemed contributions from</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former parent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75</w:t>
            </w:r>
          </w:p>
        </w:tc>
        <w:tc>
          <w:tcPr>
            <w:tcW w:w="24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Equity-based compensation</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Repurchases of Class A</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common stock</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Tax distributions to</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redeemable noncontrolling</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interests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(3,654)</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Other comprehensive loss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(643)</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Subsequent</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remeasurement of</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redeemable noncontrolling</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(25,597)</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9"/>
        </w:trPr>
        <w:tc>
          <w:tcPr>
            <w:tcW w:w="1700" w:type="dxa"/>
            <w:vAlign w:val="bottom"/>
          </w:tcPr>
          <w:p>
            <w:pPr>
              <w:spacing w:after="0" w:line="139" w:lineRule="exact"/>
              <w:rPr>
                <w:sz w:val="20"/>
                <w:szCs w:val="20"/>
                <w:color w:val="auto"/>
              </w:rPr>
            </w:pPr>
            <w:r>
              <w:rPr>
                <w:rFonts w:ascii="Arial" w:cs="Arial" w:eastAsia="Arial" w:hAnsi="Arial"/>
                <w:sz w:val="13"/>
                <w:szCs w:val="13"/>
                <w:color w:val="auto"/>
              </w:rPr>
              <w:t>interests</w:t>
            </w: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700" w:type="dxa"/>
            <w:vAlign w:val="bottom"/>
          </w:tcPr>
          <w:p>
            <w:pPr>
              <w:spacing w:after="0" w:line="111" w:lineRule="exact"/>
              <w:rPr>
                <w:sz w:val="20"/>
                <w:szCs w:val="20"/>
                <w:color w:val="auto"/>
              </w:rPr>
            </w:pPr>
            <w:r>
              <w:rPr>
                <w:rFonts w:ascii="Arial" w:cs="Arial" w:eastAsia="Arial" w:hAnsi="Arial"/>
                <w:sz w:val="12"/>
                <w:szCs w:val="12"/>
                <w:b w:val="1"/>
                <w:bCs w:val="1"/>
                <w:color w:val="auto"/>
              </w:rPr>
              <w:t>Balances at March 31,</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456,588</w:t>
            </w:r>
          </w:p>
        </w:tc>
        <w:tc>
          <w:tcPr>
            <w:tcW w:w="240" w:type="dxa"/>
            <w:vAlign w:val="bottom"/>
          </w:tcPr>
          <w:p>
            <w:pPr>
              <w:spacing w:after="0"/>
              <w:rPr>
                <w:sz w:val="9"/>
                <w:szCs w:val="9"/>
                <w:color w:val="auto"/>
              </w:rPr>
            </w:pPr>
          </w:p>
        </w:tc>
        <w:tc>
          <w:tcPr>
            <w:tcW w:w="8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b w:val="1"/>
                <w:bCs w:val="1"/>
                <w:color w:val="auto"/>
              </w:rPr>
              <w:t>142,048,97</w:t>
            </w:r>
          </w:p>
        </w:tc>
        <w:tc>
          <w:tcPr>
            <w:tcW w:w="240" w:type="dxa"/>
            <w:vAlign w:val="bottom"/>
          </w:tcPr>
          <w:p>
            <w:pPr>
              <w:spacing w:after="0"/>
              <w:rPr>
                <w:sz w:val="9"/>
                <w:szCs w:val="9"/>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14</w:t>
            </w:r>
          </w:p>
        </w:tc>
        <w:tc>
          <w:tcPr>
            <w:tcW w:w="240" w:type="dxa"/>
            <w:vAlign w:val="bottom"/>
          </w:tcPr>
          <w:p>
            <w:pPr>
              <w:spacing w:after="0"/>
              <w:rPr>
                <w:sz w:val="9"/>
                <w:szCs w:val="9"/>
                <w:color w:val="auto"/>
              </w:rPr>
            </w:pPr>
          </w:p>
        </w:tc>
        <w:tc>
          <w:tcPr>
            <w:tcW w:w="7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b w:val="1"/>
                <w:bCs w:val="1"/>
                <w:color w:val="auto"/>
              </w:rPr>
              <w:t>76,225,0</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8</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b w:val="1"/>
                <w:bCs w:val="1"/>
                <w:color w:val="auto"/>
              </w:rPr>
              <w:t>2024</w:t>
            </w:r>
          </w:p>
        </w:tc>
        <w:tc>
          <w:tcPr>
            <w:tcW w:w="8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9</w:t>
            </w:r>
          </w:p>
        </w:tc>
        <w:tc>
          <w:tcPr>
            <w:tcW w:w="2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00</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(160)</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Issuances of Class A</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common stock</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524,906</w:t>
            </w:r>
          </w:p>
        </w:tc>
        <w:tc>
          <w:tcPr>
            <w:tcW w:w="2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Net settlement of equity</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incentive awards</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(19,182)</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Deemed contributions from</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former parent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2,959</w:t>
            </w:r>
          </w:p>
        </w:tc>
        <w:tc>
          <w:tcPr>
            <w:tcW w:w="24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Equity-based compensation</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Repurchases of Class A</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common stock</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Tax distributions to</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redeemable noncontrolling</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interests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(2,760)</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Other comprehensive loss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(476)</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Subsequent</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remeasurement of</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redeemable noncontrolling</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(17,857)</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9"/>
        </w:trPr>
        <w:tc>
          <w:tcPr>
            <w:tcW w:w="1700" w:type="dxa"/>
            <w:vAlign w:val="bottom"/>
          </w:tcPr>
          <w:p>
            <w:pPr>
              <w:spacing w:after="0" w:line="139" w:lineRule="exact"/>
              <w:rPr>
                <w:sz w:val="20"/>
                <w:szCs w:val="20"/>
                <w:color w:val="auto"/>
              </w:rPr>
            </w:pPr>
            <w:r>
              <w:rPr>
                <w:rFonts w:ascii="Arial" w:cs="Arial" w:eastAsia="Arial" w:hAnsi="Arial"/>
                <w:sz w:val="13"/>
                <w:szCs w:val="13"/>
                <w:color w:val="auto"/>
              </w:rPr>
              <w:t>interests</w:t>
            </w: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-3419475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-2562225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-2134235</wp:posOffset>
            </wp:positionV>
            <wp:extent cx="7132320" cy="85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-1705610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-1105535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-847725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5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7"/>
              </w:rPr>
              <w:t>Accumulate</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8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d other</w:t>
            </w:r>
          </w:p>
        </w:tc>
        <w:tc>
          <w:tcPr>
            <w:tcW w:w="100" w:type="dxa"/>
            <w:vAlign w:val="bottom"/>
          </w:tcPr>
          <w:p>
            <w:pPr>
              <w:spacing w:after="0"/>
              <w:rPr>
                <w:sz w:val="11"/>
                <w:szCs w:val="11"/>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88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6"/>
              </w:rPr>
              <w:t>Accumulat</w:t>
            </w:r>
          </w:p>
        </w:tc>
        <w:tc>
          <w:tcPr>
            <w:tcW w:w="9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comprehens</w:t>
            </w: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8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8"/>
              </w:rPr>
              <w:t>paid-in</w:t>
            </w: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220" w:type="dxa"/>
            <w:vAlign w:val="bottom"/>
            <w:vMerge w:val="restart"/>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0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8"/>
              </w:rPr>
              <w:t>ive income</w:t>
            </w:r>
          </w:p>
        </w:tc>
        <w:tc>
          <w:tcPr>
            <w:tcW w:w="100" w:type="dxa"/>
            <w:vAlign w:val="bottom"/>
          </w:tcPr>
          <w:p>
            <w:pPr>
              <w:spacing w:after="0"/>
              <w:rPr>
                <w:sz w:val="11"/>
                <w:szCs w:val="11"/>
                <w:color w:val="auto"/>
              </w:rPr>
            </w:pPr>
          </w:p>
        </w:tc>
        <w:tc>
          <w:tcPr>
            <w:tcW w:w="7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sharehold</w:t>
            </w:r>
          </w:p>
        </w:tc>
        <w:tc>
          <w:tcPr>
            <w:tcW w:w="0" w:type="dxa"/>
            <w:vAlign w:val="bottom"/>
          </w:tcPr>
          <w:p>
            <w:pPr>
              <w:spacing w:after="0"/>
              <w:rPr>
                <w:sz w:val="1"/>
                <w:szCs w:val="1"/>
                <w:color w:val="auto"/>
              </w:rPr>
            </w:pPr>
          </w:p>
        </w:tc>
      </w:tr>
      <w:tr>
        <w:trPr>
          <w:trHeight w:val="153"/>
        </w:trPr>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7"/>
              </w:rPr>
              <w:t>capital</w:t>
            </w:r>
          </w:p>
        </w:tc>
        <w:tc>
          <w:tcPr>
            <w:tcW w:w="220" w:type="dxa"/>
            <w:vAlign w:val="bottom"/>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ed deficit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(loss)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ers' equity</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1,096,43</w:t>
            </w:r>
          </w:p>
        </w:tc>
        <w:tc>
          <w:tcPr>
            <w:tcW w:w="22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(7,291,49</w:t>
            </w:r>
          </w:p>
        </w:tc>
        <w:tc>
          <w:tcPr>
            <w:tcW w:w="220" w:type="dxa"/>
            <w:vAlign w:val="bottom"/>
          </w:tcPr>
          <w:p>
            <w:pPr>
              <w:spacing w:after="0"/>
              <w:rPr>
                <w:sz w:val="9"/>
                <w:szCs w:val="9"/>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w w:val="97"/>
              </w:rPr>
              <w:t>$ (52,586)</w:t>
            </w:r>
          </w:p>
        </w:tc>
        <w:tc>
          <w:tcPr>
            <w:tcW w:w="960" w:type="dxa"/>
            <w:vAlign w:val="bottom"/>
            <w:gridSpan w:val="3"/>
            <w:vMerge w:val="restart"/>
          </w:tcPr>
          <w:p>
            <w:pPr>
              <w:jc w:val="right"/>
              <w:ind w:right="160"/>
              <w:spacing w:after="0"/>
              <w:rPr>
                <w:sz w:val="20"/>
                <w:szCs w:val="20"/>
                <w:color w:val="auto"/>
              </w:rPr>
            </w:pPr>
            <w:r>
              <w:rPr>
                <w:rFonts w:ascii="Arial" w:cs="Arial" w:eastAsia="Arial" w:hAnsi="Arial"/>
                <w:sz w:val="13"/>
                <w:szCs w:val="13"/>
                <w:b w:val="1"/>
                <w:bCs w:val="1"/>
                <w:color w:val="auto"/>
              </w:rPr>
              <w:t>$ (939,596)</w:t>
            </w: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747</w:t>
            </w:r>
          </w:p>
        </w:tc>
        <w:tc>
          <w:tcPr>
            <w:tcW w:w="120" w:type="dxa"/>
            <w:vAlign w:val="bottom"/>
          </w:tcPr>
          <w:p>
            <w:pPr>
              <w:spacing w:after="0"/>
              <w:rPr>
                <w:sz w:val="9"/>
                <w:szCs w:val="9"/>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  105,017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 w:type="dxa"/>
            <w:vAlign w:val="bottom"/>
            <w:vMerge w:val="continue"/>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0</w:t>
            </w:r>
          </w:p>
        </w:tc>
        <w:tc>
          <w:tcPr>
            <w:tcW w:w="2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7)</w:t>
            </w:r>
          </w:p>
        </w:tc>
        <w:tc>
          <w:tcPr>
            <w:tcW w:w="680" w:type="dxa"/>
            <w:vAlign w:val="bottom"/>
            <w:gridSpan w:val="2"/>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6,077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6,077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(462)</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133</w:t>
            </w:r>
          </w:p>
        </w:tc>
        <w:tc>
          <w:tcPr>
            <w:tcW w:w="2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8,439</w:t>
            </w:r>
          </w:p>
        </w:tc>
        <w:tc>
          <w:tcPr>
            <w:tcW w:w="2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8,439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(715,000)</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(4,120)</w:t>
            </w:r>
          </w:p>
        </w:tc>
        <w:tc>
          <w:tcPr>
            <w:tcW w:w="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(4,120)</w:t>
            </w:r>
          </w:p>
        </w:tc>
        <w:tc>
          <w:tcPr>
            <w:tcW w:w="0" w:type="dxa"/>
            <w:vAlign w:val="bottom"/>
          </w:tcPr>
          <w:p>
            <w:pPr>
              <w:spacing w:after="0"/>
              <w:rPr>
                <w:sz w:val="1"/>
                <w:szCs w:val="1"/>
                <w:color w:val="auto"/>
              </w:rPr>
            </w:pPr>
          </w:p>
        </w:tc>
      </w:tr>
      <w:tr>
        <w:trPr>
          <w:trHeight w:val="374"/>
        </w:trPr>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(1,130)</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(1,130)</w:t>
            </w:r>
          </w:p>
        </w:tc>
        <w:tc>
          <w:tcPr>
            <w:tcW w:w="0" w:type="dxa"/>
            <w:vAlign w:val="bottom"/>
          </w:tcPr>
          <w:p>
            <w:pPr>
              <w:spacing w:after="0"/>
              <w:rPr>
                <w:sz w:val="1"/>
                <w:szCs w:val="1"/>
                <w:color w:val="auto"/>
              </w:rPr>
            </w:pPr>
          </w:p>
        </w:tc>
      </w:tr>
      <w:tr>
        <w:trPr>
          <w:trHeight w:val="513"/>
        </w:trPr>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25,597</w:t>
            </w:r>
          </w:p>
        </w:tc>
        <w:tc>
          <w:tcPr>
            <w:tcW w:w="22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25,597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1,130,13</w:t>
            </w:r>
          </w:p>
        </w:tc>
        <w:tc>
          <w:tcPr>
            <w:tcW w:w="22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(8,006,49</w:t>
            </w:r>
          </w:p>
        </w:tc>
        <w:tc>
          <w:tcPr>
            <w:tcW w:w="220" w:type="dxa"/>
            <w:vAlign w:val="bottom"/>
          </w:tcPr>
          <w:p>
            <w:pPr>
              <w:spacing w:after="0"/>
              <w:rPr>
                <w:sz w:val="9"/>
                <w:szCs w:val="9"/>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(56,706)</w:t>
            </w:r>
          </w:p>
        </w:tc>
        <w:tc>
          <w:tcPr>
            <w:tcW w:w="960" w:type="dxa"/>
            <w:vAlign w:val="bottom"/>
            <w:gridSpan w:val="3"/>
            <w:vMerge w:val="restart"/>
          </w:tcPr>
          <w:p>
            <w:pPr>
              <w:jc w:val="right"/>
              <w:ind w:right="160"/>
              <w:spacing w:after="0"/>
              <w:rPr>
                <w:sz w:val="20"/>
                <w:szCs w:val="20"/>
                <w:color w:val="auto"/>
              </w:rPr>
            </w:pPr>
            <w:r>
              <w:rPr>
                <w:rFonts w:ascii="Arial" w:cs="Arial" w:eastAsia="Arial" w:hAnsi="Arial"/>
                <w:sz w:val="13"/>
                <w:szCs w:val="13"/>
                <w:b w:val="1"/>
                <w:bCs w:val="1"/>
                <w:color w:val="auto"/>
              </w:rPr>
              <w:t>(933,519)</w:t>
            </w:r>
          </w:p>
        </w:tc>
        <w:tc>
          <w:tcPr>
            <w:tcW w:w="120" w:type="dxa"/>
            <w:vAlign w:val="bottom"/>
          </w:tcPr>
          <w:p>
            <w:pPr>
              <w:spacing w:after="0"/>
              <w:rPr>
                <w:sz w:val="9"/>
                <w:szCs w:val="9"/>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(383)</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139,551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7</w:t>
            </w:r>
          </w:p>
        </w:tc>
        <w:tc>
          <w:tcPr>
            <w:tcW w:w="2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7)</w:t>
            </w:r>
          </w:p>
        </w:tc>
        <w:tc>
          <w:tcPr>
            <w:tcW w:w="680" w:type="dxa"/>
            <w:vAlign w:val="bottom"/>
            <w:gridSpan w:val="2"/>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(1,061)</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(1,061)</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(104)</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5,113</w:t>
            </w:r>
          </w:p>
        </w:tc>
        <w:tc>
          <w:tcPr>
            <w:tcW w:w="2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5,113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11,237</w:t>
            </w:r>
          </w:p>
        </w:tc>
        <w:tc>
          <w:tcPr>
            <w:tcW w:w="22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11,237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(2,743,65</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6)</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(15,949)</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(15,949)</w:t>
            </w:r>
          </w:p>
        </w:tc>
        <w:tc>
          <w:tcPr>
            <w:tcW w:w="0" w:type="dxa"/>
            <w:vAlign w:val="bottom"/>
          </w:tcPr>
          <w:p>
            <w:pPr>
              <w:spacing w:after="0"/>
              <w:rPr>
                <w:sz w:val="1"/>
                <w:szCs w:val="1"/>
                <w:color w:val="auto"/>
              </w:rPr>
            </w:pPr>
          </w:p>
        </w:tc>
      </w:tr>
      <w:tr>
        <w:trPr>
          <w:trHeight w:val="374"/>
        </w:trPr>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(833)</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(833)</w:t>
            </w:r>
          </w:p>
        </w:tc>
        <w:tc>
          <w:tcPr>
            <w:tcW w:w="0" w:type="dxa"/>
            <w:vAlign w:val="bottom"/>
          </w:tcPr>
          <w:p>
            <w:pPr>
              <w:spacing w:after="0"/>
              <w:rPr>
                <w:sz w:val="1"/>
                <w:szCs w:val="1"/>
                <w:color w:val="auto"/>
              </w:rPr>
            </w:pPr>
          </w:p>
        </w:tc>
      </w:tr>
      <w:tr>
        <w:trPr>
          <w:trHeight w:val="513"/>
        </w:trPr>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17,857</w:t>
            </w:r>
          </w:p>
        </w:tc>
        <w:tc>
          <w:tcPr>
            <w:tcW w:w="22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17,857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860" w:space="220"/>
            <w:col w:w="516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111"/>
        </w:trPr>
        <w:tc>
          <w:tcPr>
            <w:tcW w:w="170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142,554,70</w:t>
            </w:r>
          </w:p>
        </w:tc>
        <w:tc>
          <w:tcPr>
            <w:tcW w:w="24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76,225,0</w:t>
            </w:r>
          </w:p>
        </w:tc>
        <w:tc>
          <w:tcPr>
            <w:tcW w:w="240" w:type="dxa"/>
            <w:vAlign w:val="bottom"/>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1,164,24</w:t>
            </w:r>
          </w:p>
        </w:tc>
        <w:tc>
          <w:tcPr>
            <w:tcW w:w="220" w:type="dxa"/>
            <w:vAlign w:val="bottom"/>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(10,750,1</w:t>
            </w:r>
          </w:p>
        </w:tc>
        <w:tc>
          <w:tcPr>
            <w:tcW w:w="220" w:type="dxa"/>
            <w:vAlign w:val="bottom"/>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93"/>
        </w:trPr>
        <w:tc>
          <w:tcPr>
            <w:tcW w:w="1700" w:type="dxa"/>
            <w:vAlign w:val="bottom"/>
            <w:tcBorders>
              <w:bottom w:val="single" w:sz="8" w:color="CFF0FC"/>
            </w:tcBorders>
            <w:shd w:val="clear" w:color="auto" w:fill="CFF0FC"/>
          </w:tcPr>
          <w:p>
            <w:pPr>
              <w:spacing w:after="0" w:line="147" w:lineRule="exact"/>
              <w:rPr>
                <w:sz w:val="20"/>
                <w:szCs w:val="20"/>
                <w:color w:val="auto"/>
              </w:rPr>
            </w:pPr>
            <w:r>
              <w:rPr>
                <w:rFonts w:ascii="Arial" w:cs="Arial" w:eastAsia="Arial" w:hAnsi="Arial"/>
                <w:sz w:val="13"/>
                <w:szCs w:val="13"/>
                <w:b w:val="1"/>
                <w:bCs w:val="1"/>
                <w:color w:val="auto"/>
              </w:rPr>
              <w:t>Balances at June 30, 2024</w:t>
            </w:r>
          </w:p>
        </w:tc>
        <w:tc>
          <w:tcPr>
            <w:tcW w:w="200" w:type="dxa"/>
            <w:vAlign w:val="bottom"/>
            <w:tcBorders>
              <w:bottom w:val="single" w:sz="8" w:color="auto"/>
            </w:tcBorders>
            <w:shd w:val="clear" w:color="auto" w:fill="CFF0FC"/>
          </w:tcPr>
          <w:p>
            <w:pPr>
              <w:jc w:val="right"/>
              <w:ind w:right="57"/>
              <w:spacing w:after="0" w:line="133" w:lineRule="exact"/>
              <w:rPr>
                <w:sz w:val="20"/>
                <w:szCs w:val="20"/>
                <w:color w:val="auto"/>
              </w:rPr>
            </w:pPr>
            <w:r>
              <w:rPr>
                <w:rFonts w:ascii="Arial" w:cs="Arial" w:eastAsia="Arial" w:hAnsi="Arial"/>
                <w:sz w:val="13"/>
                <w:szCs w:val="13"/>
                <w:b w:val="1"/>
                <w:bCs w:val="1"/>
                <w:color w:val="auto"/>
                <w:w w:val="82"/>
              </w:rPr>
              <w:t>$</w:t>
            </w:r>
          </w:p>
        </w:tc>
        <w:tc>
          <w:tcPr>
            <w:tcW w:w="600" w:type="dxa"/>
            <w:vAlign w:val="bottom"/>
            <w:tcBorders>
              <w:bottom w:val="single" w:sz="8" w:color="auto"/>
            </w:tcBorders>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rPr>
              <w:t>438,294</w:t>
            </w: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rPr>
              <w:t>3</w:t>
            </w: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57"/>
              <w:spacing w:after="0" w:line="133" w:lineRule="exact"/>
              <w:rPr>
                <w:sz w:val="20"/>
                <w:szCs w:val="20"/>
                <w:color w:val="auto"/>
              </w:rPr>
            </w:pPr>
            <w:r>
              <w:rPr>
                <w:rFonts w:ascii="Arial" w:cs="Arial" w:eastAsia="Arial" w:hAnsi="Arial"/>
                <w:sz w:val="13"/>
                <w:szCs w:val="13"/>
                <w:b w:val="1"/>
                <w:bCs w:val="1"/>
                <w:color w:val="auto"/>
                <w:w w:val="82"/>
              </w:rPr>
              <w:t>$</w:t>
            </w:r>
          </w:p>
        </w:tc>
        <w:tc>
          <w:tcPr>
            <w:tcW w:w="260" w:type="dxa"/>
            <w:vAlign w:val="bottom"/>
            <w:tcBorders>
              <w:bottom w:val="single" w:sz="8" w:color="auto"/>
            </w:tcBorders>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rPr>
              <w:t>14</w:t>
            </w:r>
          </w:p>
        </w:tc>
        <w:tc>
          <w:tcPr>
            <w:tcW w:w="24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rPr>
              <w:t>00</w:t>
            </w: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77"/>
              <w:spacing w:after="0" w:line="133" w:lineRule="exact"/>
              <w:rPr>
                <w:sz w:val="20"/>
                <w:szCs w:val="20"/>
                <w:color w:val="auto"/>
              </w:rPr>
            </w:pPr>
            <w:r>
              <w:rPr>
                <w:rFonts w:ascii="Arial" w:cs="Arial" w:eastAsia="Arial" w:hAnsi="Arial"/>
                <w:sz w:val="13"/>
                <w:szCs w:val="13"/>
                <w:b w:val="1"/>
                <w:bCs w:val="1"/>
                <w:color w:val="auto"/>
                <w:w w:val="82"/>
              </w:rPr>
              <w:t>$</w:t>
            </w:r>
          </w:p>
        </w:tc>
        <w:tc>
          <w:tcPr>
            <w:tcW w:w="220" w:type="dxa"/>
            <w:vAlign w:val="bottom"/>
            <w:tcBorders>
              <w:bottom w:val="single" w:sz="8" w:color="auto"/>
            </w:tcBorders>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rPr>
              <w:t>8</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rPr>
              <w:t>0</w:t>
            </w:r>
          </w:p>
        </w:tc>
        <w:tc>
          <w:tcPr>
            <w:tcW w:w="2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rPr>
              <w:t>53)</w:t>
            </w:r>
          </w:p>
        </w:tc>
        <w:tc>
          <w:tcPr>
            <w:tcW w:w="2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w w:val="94"/>
              </w:rPr>
              <w:t>$ (72,655</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Arial" w:cs="Arial" w:eastAsia="Arial" w:hAnsi="Arial"/>
                <w:sz w:val="8"/>
                <w:szCs w:val="8"/>
                <w:b w:val="1"/>
                <w:bCs w:val="1"/>
                <w:color w:val="auto"/>
                <w:w w:val="73"/>
              </w:rPr>
              <w:t>)</w:t>
            </w:r>
          </w:p>
        </w:tc>
        <w:tc>
          <w:tcPr>
            <w:tcW w:w="660" w:type="dxa"/>
            <w:vAlign w:val="bottom"/>
            <w:tcBorders>
              <w:bottom w:val="single" w:sz="8" w:color="auto"/>
            </w:tcBorders>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rPr>
              <w:t>$ (934,580</w:t>
            </w:r>
          </w:p>
        </w:tc>
        <w:tc>
          <w:tcPr>
            <w:tcW w:w="220" w:type="dxa"/>
            <w:vAlign w:val="bottom"/>
            <w:tcBorders>
              <w:bottom w:val="single" w:sz="8" w:color="CFF0FC"/>
            </w:tcBorders>
            <w:shd w:val="clear" w:color="auto" w:fill="CFF0FC"/>
          </w:tcPr>
          <w:p>
            <w:pPr>
              <w:jc w:val="right"/>
              <w:ind w:right="97"/>
              <w:spacing w:after="0" w:line="147" w:lineRule="exact"/>
              <w:rPr>
                <w:sz w:val="20"/>
                <w:szCs w:val="20"/>
                <w:color w:val="auto"/>
              </w:rPr>
            </w:pPr>
            <w:r>
              <w:rPr>
                <w:rFonts w:ascii="Arial" w:cs="Arial" w:eastAsia="Arial" w:hAnsi="Arial"/>
                <w:sz w:val="13"/>
                <w:szCs w:val="13"/>
                <w:b w:val="1"/>
                <w:bCs w:val="1"/>
                <w:color w:val="auto"/>
                <w:w w:val="91"/>
              </w:rPr>
              <w:t>)</w:t>
            </w:r>
          </w:p>
        </w:tc>
        <w:tc>
          <w:tcPr>
            <w:tcW w:w="240" w:type="dxa"/>
            <w:vAlign w:val="bottom"/>
            <w:tcBorders>
              <w:bottom w:val="single" w:sz="8" w:color="auto"/>
            </w:tcBorders>
            <w:shd w:val="clear" w:color="auto" w:fill="CFF0FC"/>
          </w:tcPr>
          <w:p>
            <w:pPr>
              <w:jc w:val="right"/>
              <w:ind w:right="97"/>
              <w:spacing w:after="0" w:line="133"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rPr>
              <w:t>(1,216)</w:t>
            </w:r>
          </w:p>
        </w:tc>
        <w:tc>
          <w:tcPr>
            <w:tcW w:w="2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rPr>
              <w:t>$  155,811</w:t>
            </w:r>
          </w:p>
        </w:tc>
        <w:tc>
          <w:tcPr>
            <w:tcW w:w="10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-24765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-7620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-24765</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-7620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-24765</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-7620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-24765</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-7620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-24765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rPr>
          <w:sz w:val="20"/>
          <w:szCs w:val="20"/>
          <w:color w:val="auto"/>
        </w:rPr>
      </w:pPr>
      <w:r>
        <w:rPr>
          <w:rFonts w:ascii="Arial" w:cs="Arial" w:eastAsia="Arial" w:hAnsi="Arial"/>
          <w:sz w:val="18"/>
          <w:szCs w:val="18"/>
          <w:b w:val="1"/>
          <w:bCs w:val="1"/>
          <w:color w:val="auto"/>
        </w:rPr>
        <w:t>(in thousands, except share data) (Unaudited)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9"/>
              </w:rPr>
              <w:t>Class A common stock</w:t>
            </w:r>
          </w:p>
        </w:tc>
        <w:tc>
          <w:tcPr>
            <w:tcW w:w="240" w:type="dxa"/>
            <w:vAlign w:val="bottom"/>
          </w:tcPr>
          <w:p>
            <w:pPr>
              <w:spacing w:after="0"/>
              <w:rPr>
                <w:sz w:val="13"/>
                <w:szCs w:val="13"/>
                <w:color w:val="auto"/>
              </w:rPr>
            </w:pPr>
          </w:p>
        </w:tc>
        <w:tc>
          <w:tcPr>
            <w:tcW w:w="1200" w:type="dxa"/>
            <w:vAlign w:val="bottom"/>
            <w:gridSpan w:val="3"/>
          </w:tcPr>
          <w:p>
            <w:pPr>
              <w:jc w:val="center"/>
              <w:ind w:left="37"/>
              <w:spacing w:after="0"/>
              <w:rPr>
                <w:sz w:val="20"/>
                <w:szCs w:val="20"/>
                <w:color w:val="auto"/>
              </w:rPr>
            </w:pPr>
            <w:r>
              <w:rPr>
                <w:rFonts w:ascii="Arial" w:cs="Arial" w:eastAsia="Arial" w:hAnsi="Arial"/>
                <w:sz w:val="13"/>
                <w:szCs w:val="13"/>
                <w:b w:val="1"/>
                <w:bCs w:val="1"/>
                <w:color w:val="auto"/>
                <w:w w:val="96"/>
              </w:rPr>
              <w:t>Class B common</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5"/>
            <w:vMerge w:val="restart"/>
          </w:tcPr>
          <w:p>
            <w:pPr>
              <w:jc w:val="right"/>
              <w:ind w:right="438"/>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center"/>
              <w:ind w:left="357"/>
              <w:spacing w:after="0"/>
              <w:rPr>
                <w:sz w:val="20"/>
                <w:szCs w:val="20"/>
                <w:color w:val="auto"/>
              </w:rPr>
            </w:pPr>
            <w:r>
              <w:rPr>
                <w:rFonts w:ascii="Arial" w:cs="Arial" w:eastAsia="Arial" w:hAnsi="Arial"/>
                <w:sz w:val="13"/>
                <w:szCs w:val="13"/>
                <w:b w:val="1"/>
                <w:bCs w:val="1"/>
                <w:color w:val="auto"/>
                <w:w w:val="99"/>
              </w:rPr>
              <w:t>stock</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0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Redeemable</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4"/>
            <w:vMerge w:val="restart"/>
          </w:tcPr>
          <w:p>
            <w:pPr>
              <w:ind w:left="220"/>
              <w:spacing w:after="0"/>
              <w:rPr>
                <w:sz w:val="20"/>
                <w:szCs w:val="20"/>
                <w:color w:val="auto"/>
              </w:rPr>
            </w:pPr>
            <w:r>
              <w:rPr>
                <w:rFonts w:ascii="Arial" w:cs="Arial" w:eastAsia="Arial" w:hAnsi="Arial"/>
                <w:sz w:val="13"/>
                <w:szCs w:val="13"/>
                <w:b w:val="1"/>
                <w:bCs w:val="1"/>
                <w:color w:val="auto"/>
              </w:rPr>
              <w:t>Additional</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8"/>
              </w:rPr>
              <w:t>other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8"/>
              </w:rPr>
              <w:t>Amoun</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Amou</w:t>
            </w:r>
          </w:p>
        </w:tc>
        <w:tc>
          <w:tcPr>
            <w:tcW w:w="110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w:t>
            </w:r>
          </w:p>
        </w:tc>
        <w:tc>
          <w:tcPr>
            <w:tcW w:w="80" w:type="dxa"/>
            <w:vAlign w:val="bottom"/>
          </w:tcPr>
          <w:p>
            <w:pPr>
              <w:spacing w:after="0"/>
              <w:rPr>
                <w:sz w:val="11"/>
                <w:szCs w:val="11"/>
                <w:color w:val="auto"/>
              </w:rPr>
            </w:pPr>
          </w:p>
        </w:tc>
        <w:tc>
          <w:tcPr>
            <w:tcW w:w="102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comprehensiv</w:t>
            </w:r>
          </w:p>
        </w:tc>
        <w:tc>
          <w:tcPr>
            <w:tcW w:w="80" w:type="dxa"/>
            <w:vAlign w:val="bottom"/>
          </w:tcPr>
          <w:p>
            <w:pPr>
              <w:spacing w:after="0"/>
              <w:rPr>
                <w:sz w:val="11"/>
                <w:szCs w:val="11"/>
                <w:color w:val="auto"/>
              </w:rPr>
            </w:pPr>
          </w:p>
        </w:tc>
        <w:tc>
          <w:tcPr>
            <w:tcW w:w="7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sharehol</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040" w:type="dxa"/>
            <w:vAlign w:val="bottom"/>
            <w:gridSpan w:val="3"/>
          </w:tcPr>
          <w:p>
            <w:pPr>
              <w:jc w:val="right"/>
              <w:ind w:right="300"/>
              <w:spacing w:after="0" w:line="135" w:lineRule="exact"/>
              <w:rPr>
                <w:sz w:val="20"/>
                <w:szCs w:val="20"/>
                <w:color w:val="auto"/>
              </w:rPr>
            </w:pPr>
            <w:r>
              <w:rPr>
                <w:rFonts w:ascii="Arial" w:cs="Arial" w:eastAsia="Arial" w:hAnsi="Arial"/>
                <w:sz w:val="13"/>
                <w:szCs w:val="13"/>
                <w:b w:val="1"/>
                <w:bCs w:val="1"/>
                <w:color w:val="auto"/>
                <w:w w:val="95"/>
              </w:rPr>
              <w:t>noncontrolli</w:t>
            </w:r>
          </w:p>
        </w:tc>
        <w:tc>
          <w:tcPr>
            <w:tcW w:w="80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240" w:type="dxa"/>
            <w:vAlign w:val="bottom"/>
            <w:vMerge w:val="restart"/>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240" w:type="dxa"/>
            <w:vAlign w:val="bottom"/>
            <w:vMerge w:val="restart"/>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w w:val="93"/>
              </w:rPr>
              <w:t>paid-in</w:t>
            </w:r>
          </w:p>
        </w:tc>
        <w:tc>
          <w:tcPr>
            <w:tcW w:w="6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vMerge w:val="restart"/>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9"/>
              </w:rPr>
              <w:t>e 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ders'</w:t>
            </w:r>
          </w:p>
        </w:tc>
        <w:tc>
          <w:tcPr>
            <w:tcW w:w="0" w:type="dxa"/>
            <w:vAlign w:val="bottom"/>
          </w:tcPr>
          <w:p>
            <w:pPr>
              <w:spacing w:after="0"/>
              <w:rPr>
                <w:sz w:val="1"/>
                <w:szCs w:val="1"/>
                <w:color w:val="auto"/>
              </w:rPr>
            </w:pPr>
          </w:p>
        </w:tc>
      </w:tr>
      <w:tr>
        <w:trPr>
          <w:trHeight w:val="153"/>
        </w:trPr>
        <w:tc>
          <w:tcPr>
            <w:tcW w:w="1660" w:type="dxa"/>
            <w:vAlign w:val="bottom"/>
          </w:tcPr>
          <w:p>
            <w:pPr>
              <w:spacing w:after="0"/>
              <w:rPr>
                <w:sz w:val="13"/>
                <w:szCs w:val="13"/>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ng interests</w:t>
            </w:r>
          </w:p>
        </w:tc>
        <w:tc>
          <w:tcPr>
            <w:tcW w:w="240" w:type="dxa"/>
            <w:vAlign w:val="bottom"/>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t</w:t>
            </w:r>
          </w:p>
        </w:tc>
        <w:tc>
          <w:tcPr>
            <w:tcW w:w="24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nt</w:t>
            </w:r>
          </w:p>
        </w:tc>
        <w:tc>
          <w:tcPr>
            <w:tcW w:w="1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ed deficit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(loss)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3"/>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660" w:type="dxa"/>
            <w:vAlign w:val="bottom"/>
            <w:shd w:val="clear" w:color="auto" w:fill="CFF0FC"/>
          </w:tcPr>
          <w:p>
            <w:pPr>
              <w:spacing w:after="0" w:line="111" w:lineRule="exact"/>
              <w:rPr>
                <w:sz w:val="20"/>
                <w:szCs w:val="20"/>
                <w:color w:val="auto"/>
              </w:rPr>
            </w:pPr>
            <w:r>
              <w:rPr>
                <w:rFonts w:ascii="Arial" w:cs="Arial" w:eastAsia="Arial" w:hAnsi="Arial"/>
                <w:sz w:val="12"/>
                <w:szCs w:val="12"/>
                <w:b w:val="1"/>
                <w:bCs w:val="1"/>
                <w:color w:val="auto"/>
              </w:rPr>
              <w:t>Balances at January 1,</w:t>
            </w:r>
          </w:p>
        </w:tc>
        <w:tc>
          <w:tcPr>
            <w:tcW w:w="18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352,922</w:t>
            </w: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143,819,49</w:t>
            </w:r>
          </w:p>
        </w:tc>
        <w:tc>
          <w:tcPr>
            <w:tcW w:w="24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14</w:t>
            </w:r>
          </w:p>
        </w:tc>
        <w:tc>
          <w:tcPr>
            <w:tcW w:w="920" w:type="dxa"/>
            <w:vAlign w:val="bottom"/>
            <w:gridSpan w:val="2"/>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76,225,0</w:t>
            </w:r>
          </w:p>
        </w:tc>
        <w:tc>
          <w:tcPr>
            <w:tcW w:w="240" w:type="dxa"/>
            <w:vAlign w:val="bottom"/>
            <w:tcBorders>
              <w:right w:val="single" w:sz="8" w:color="CFF0FC"/>
            </w:tcBorders>
            <w:shd w:val="clear" w:color="auto" w:fill="CFF0FC"/>
          </w:tcPr>
          <w:p>
            <w:pPr>
              <w:spacing w:after="0"/>
              <w:rPr>
                <w:sz w:val="9"/>
                <w:szCs w:val="9"/>
                <w:color w:val="auto"/>
              </w:rPr>
            </w:pPr>
          </w:p>
        </w:tc>
        <w:tc>
          <w:tcPr>
            <w:tcW w:w="280" w:type="dxa"/>
            <w:vAlign w:val="bottom"/>
            <w:vMerge w:val="restart"/>
            <w:shd w:val="clear" w:color="auto" w:fill="CFF0FC"/>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8</w:t>
            </w:r>
          </w:p>
        </w:tc>
        <w:tc>
          <w:tcPr>
            <w:tcW w:w="300" w:type="dxa"/>
            <w:vAlign w:val="bottom"/>
            <w:gridSpan w:val="2"/>
            <w:vMerge w:val="restart"/>
            <w:shd w:val="clear" w:color="auto" w:fill="CFF0FC"/>
          </w:tcPr>
          <w:p>
            <w:pPr>
              <w:ind w:left="220"/>
              <w:spacing w:after="0"/>
              <w:rPr>
                <w:sz w:val="20"/>
                <w:szCs w:val="20"/>
                <w:color w:val="auto"/>
              </w:rPr>
            </w:pPr>
            <w:r>
              <w:rPr>
                <w:rFonts w:ascii="Arial" w:cs="Arial" w:eastAsia="Arial" w:hAnsi="Arial"/>
                <w:sz w:val="13"/>
                <w:szCs w:val="13"/>
                <w:b w:val="1"/>
                <w:bCs w:val="1"/>
                <w:color w:val="auto"/>
                <w:w w:val="82"/>
              </w:rPr>
              <w:t>$</w:t>
            </w:r>
          </w:p>
        </w:tc>
        <w:tc>
          <w:tcPr>
            <w:tcW w:w="58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1,267,71</w:t>
            </w: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(11,433,7</w:t>
            </w:r>
          </w:p>
        </w:tc>
        <w:tc>
          <w:tcPr>
            <w:tcW w:w="120" w:type="dxa"/>
            <w:vAlign w:val="bottom"/>
            <w:shd w:val="clear" w:color="auto" w:fill="CFF0FC"/>
          </w:tcPr>
          <w:p>
            <w:pPr>
              <w:spacing w:after="0"/>
              <w:rPr>
                <w:sz w:val="9"/>
                <w:szCs w:val="9"/>
                <w:color w:val="auto"/>
              </w:rPr>
            </w:pPr>
          </w:p>
        </w:tc>
        <w:tc>
          <w:tcPr>
            <w:tcW w:w="860" w:type="dxa"/>
            <w:vAlign w:val="bottom"/>
            <w:gridSpan w:val="3"/>
            <w:vMerge w:val="restart"/>
            <w:shd w:val="clear" w:color="auto" w:fill="CFF0FC"/>
          </w:tcPr>
          <w:p>
            <w:pPr>
              <w:jc w:val="right"/>
              <w:ind w:right="138"/>
              <w:spacing w:after="0"/>
              <w:rPr>
                <w:sz w:val="20"/>
                <w:szCs w:val="20"/>
                <w:color w:val="auto"/>
              </w:rPr>
            </w:pPr>
            <w:r>
              <w:rPr>
                <w:rFonts w:ascii="Arial" w:cs="Arial" w:eastAsia="Arial" w:hAnsi="Arial"/>
                <w:sz w:val="13"/>
                <w:szCs w:val="13"/>
                <w:b w:val="1"/>
                <w:bCs w:val="1"/>
                <w:color w:val="auto"/>
              </w:rPr>
              <w:t>$ (75,568)</w:t>
            </w:r>
          </w:p>
        </w:tc>
        <w:tc>
          <w:tcPr>
            <w:tcW w:w="10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(930,171)</w:t>
            </w: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(880)</w:t>
            </w: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261,113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2025</w:t>
            </w:r>
          </w:p>
        </w:tc>
        <w:tc>
          <w:tcPr>
            <w:tcW w:w="18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7</w:t>
            </w:r>
          </w:p>
        </w:tc>
        <w:tc>
          <w:tcPr>
            <w:tcW w:w="240" w:type="dxa"/>
            <w:vAlign w:val="bottom"/>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320" w:type="dxa"/>
            <w:vAlign w:val="bottom"/>
            <w:vMerge w:val="continue"/>
            <w:shd w:val="clear" w:color="auto" w:fill="CFF0FC"/>
          </w:tcPr>
          <w:p>
            <w:pPr>
              <w:spacing w:after="0"/>
              <w:rPr>
                <w:sz w:val="13"/>
                <w:szCs w:val="13"/>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00</w:t>
            </w:r>
          </w:p>
        </w:tc>
        <w:tc>
          <w:tcPr>
            <w:tcW w:w="240" w:type="dxa"/>
            <w:vAlign w:val="bottom"/>
            <w:tcBorders>
              <w:right w:val="single" w:sz="8" w:color="CFF0FC"/>
            </w:tcBorders>
            <w:shd w:val="clear" w:color="auto" w:fill="CFF0FC"/>
          </w:tcPr>
          <w:p>
            <w:pPr>
              <w:spacing w:after="0"/>
              <w:rPr>
                <w:sz w:val="13"/>
                <w:szCs w:val="13"/>
                <w:color w:val="auto"/>
              </w:rPr>
            </w:pPr>
          </w:p>
        </w:tc>
        <w:tc>
          <w:tcPr>
            <w:tcW w:w="280" w:type="dxa"/>
            <w:vAlign w:val="bottom"/>
            <w:vMerge w:val="continue"/>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300" w:type="dxa"/>
            <w:vAlign w:val="bottom"/>
            <w:gridSpan w:val="2"/>
            <w:vMerge w:val="continue"/>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0</w:t>
            </w:r>
          </w:p>
        </w:tc>
        <w:tc>
          <w:tcPr>
            <w:tcW w:w="2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49)</w:t>
            </w:r>
          </w:p>
        </w:tc>
        <w:tc>
          <w:tcPr>
            <w:tcW w:w="860" w:type="dxa"/>
            <w:vAlign w:val="bottom"/>
            <w:gridSpan w:val="3"/>
            <w:vMerge w:val="continue"/>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700" w:type="dxa"/>
            <w:vAlign w:val="bottom"/>
            <w:gridSpan w:val="2"/>
            <w:vMerge w:val="continue"/>
            <w:shd w:val="clear" w:color="auto" w:fill="CFF0FC"/>
          </w:tcPr>
          <w:p>
            <w:pPr>
              <w:spacing w:after="0"/>
              <w:rPr>
                <w:sz w:val="13"/>
                <w:szCs w:val="13"/>
                <w:color w:val="auto"/>
              </w:rPr>
            </w:pPr>
          </w:p>
        </w:tc>
        <w:tc>
          <w:tcPr>
            <w:tcW w:w="180" w:type="dxa"/>
            <w:vAlign w:val="bottom"/>
            <w:gridSpan w:val="2"/>
            <w:vMerge w:val="continue"/>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180" w:type="dxa"/>
            <w:vAlign w:val="bottom"/>
            <w:gridSpan w:val="2"/>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18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(3,846)</w:t>
            </w:r>
          </w:p>
        </w:tc>
        <w:tc>
          <w:tcPr>
            <w:tcW w:w="10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(5,942)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(5,942)</w:t>
            </w:r>
          </w:p>
        </w:tc>
        <w:tc>
          <w:tcPr>
            <w:tcW w:w="0" w:type="dxa"/>
            <w:vAlign w:val="bottom"/>
          </w:tcPr>
          <w:p>
            <w:pPr>
              <w:spacing w:after="0"/>
              <w:rPr>
                <w:sz w:val="1"/>
                <w:szCs w:val="1"/>
                <w:color w:val="auto"/>
              </w:rPr>
            </w:pPr>
          </w:p>
        </w:tc>
      </w:tr>
      <w:tr>
        <w:trPr>
          <w:trHeight w:val="117"/>
        </w:trPr>
        <w:tc>
          <w:tcPr>
            <w:tcW w:w="166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Issuances of Class A</w:t>
            </w: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common stock</w:t>
            </w: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2,729,928</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tcPr>
          <w:p>
            <w:pPr>
              <w:spacing w:after="0" w:line="117" w:lineRule="exact"/>
              <w:rPr>
                <w:sz w:val="20"/>
                <w:szCs w:val="20"/>
                <w:color w:val="auto"/>
              </w:rPr>
            </w:pPr>
            <w:r>
              <w:rPr>
                <w:rFonts w:ascii="Arial" w:cs="Arial" w:eastAsia="Arial" w:hAnsi="Arial"/>
                <w:sz w:val="13"/>
                <w:szCs w:val="13"/>
                <w:color w:val="auto"/>
              </w:rPr>
              <w:t>Equity-based</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tcPr>
          <w:p>
            <w:pPr>
              <w:spacing w:after="0"/>
              <w:rPr>
                <w:sz w:val="20"/>
                <w:szCs w:val="20"/>
                <w:color w:val="auto"/>
              </w:rPr>
            </w:pPr>
            <w:r>
              <w:rPr>
                <w:rFonts w:ascii="Arial" w:cs="Arial" w:eastAsia="Arial" w:hAnsi="Arial"/>
                <w:sz w:val="13"/>
                <w:szCs w:val="13"/>
                <w:color w:val="auto"/>
              </w:rPr>
              <w:t>compensation</w:t>
            </w:r>
          </w:p>
        </w:tc>
        <w:tc>
          <w:tcPr>
            <w:tcW w:w="1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10,935</w:t>
            </w:r>
          </w:p>
        </w:tc>
        <w:tc>
          <w:tcPr>
            <w:tcW w:w="2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10,935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6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Repurchases of Class A</w:t>
            </w: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17" w:lineRule="exact"/>
              <w:rPr>
                <w:sz w:val="20"/>
                <w:szCs w:val="20"/>
                <w:color w:val="auto"/>
              </w:rPr>
            </w:pPr>
            <w:r>
              <w:rPr>
                <w:rFonts w:ascii="Arial" w:cs="Arial" w:eastAsia="Arial" w:hAnsi="Arial"/>
                <w:sz w:val="13"/>
                <w:szCs w:val="13"/>
                <w:color w:val="auto"/>
              </w:rPr>
              <w:t>(2,378,51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common stock</w:t>
            </w: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w:t>
            </w:r>
          </w:p>
        </w:tc>
        <w:tc>
          <w:tcPr>
            <w:tcW w:w="860" w:type="dxa"/>
            <w:vAlign w:val="bottom"/>
            <w:gridSpan w:val="3"/>
            <w:shd w:val="clear" w:color="auto" w:fill="CFF0FC"/>
          </w:tcPr>
          <w:p>
            <w:pPr>
              <w:jc w:val="right"/>
              <w:ind w:right="138"/>
              <w:spacing w:after="0"/>
              <w:rPr>
                <w:sz w:val="20"/>
                <w:szCs w:val="20"/>
                <w:color w:val="auto"/>
              </w:rPr>
            </w:pPr>
            <w:r>
              <w:rPr>
                <w:rFonts w:ascii="Arial" w:cs="Arial" w:eastAsia="Arial" w:hAnsi="Arial"/>
                <w:sz w:val="13"/>
                <w:szCs w:val="13"/>
                <w:color w:val="auto"/>
              </w:rPr>
              <w:t>(6,917)</w:t>
            </w: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(6,917)</w:t>
            </w:r>
          </w:p>
        </w:tc>
        <w:tc>
          <w:tcPr>
            <w:tcW w:w="0" w:type="dxa"/>
            <w:vAlign w:val="bottom"/>
          </w:tcPr>
          <w:p>
            <w:pPr>
              <w:spacing w:after="0"/>
              <w:rPr>
                <w:sz w:val="1"/>
                <w:szCs w:val="1"/>
                <w:color w:val="auto"/>
              </w:rPr>
            </w:pPr>
          </w:p>
        </w:tc>
      </w:tr>
      <w:tr>
        <w:trPr>
          <w:trHeight w:val="117"/>
        </w:trPr>
        <w:tc>
          <w:tcPr>
            <w:tcW w:w="1660" w:type="dxa"/>
            <w:vAlign w:val="bottom"/>
          </w:tcPr>
          <w:p>
            <w:pPr>
              <w:spacing w:after="0" w:line="117" w:lineRule="exact"/>
              <w:rPr>
                <w:sz w:val="20"/>
                <w:szCs w:val="20"/>
                <w:color w:val="auto"/>
              </w:rPr>
            </w:pPr>
            <w:r>
              <w:rPr>
                <w:rFonts w:ascii="Arial" w:cs="Arial" w:eastAsia="Arial" w:hAnsi="Arial"/>
                <w:sz w:val="13"/>
                <w:szCs w:val="13"/>
                <w:color w:val="auto"/>
              </w:rPr>
              <w:t>Tax distributions to</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line="135" w:lineRule="exact"/>
              <w:rPr>
                <w:sz w:val="20"/>
                <w:szCs w:val="20"/>
                <w:color w:val="auto"/>
              </w:rPr>
            </w:pPr>
            <w:r>
              <w:rPr>
                <w:rFonts w:ascii="Arial" w:cs="Arial" w:eastAsia="Arial" w:hAnsi="Arial"/>
                <w:sz w:val="13"/>
                <w:szCs w:val="13"/>
                <w:color w:val="auto"/>
              </w:rPr>
              <w:t>redeemable noncontrolling</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60" w:type="dxa"/>
            <w:vAlign w:val="bottom"/>
          </w:tcPr>
          <w:p>
            <w:pPr>
              <w:spacing w:after="0"/>
              <w:rPr>
                <w:sz w:val="20"/>
                <w:szCs w:val="20"/>
                <w:color w:val="auto"/>
              </w:rPr>
            </w:pPr>
            <w:r>
              <w:rPr>
                <w:rFonts w:ascii="Arial" w:cs="Arial" w:eastAsia="Arial" w:hAnsi="Arial"/>
                <w:sz w:val="13"/>
                <w:szCs w:val="13"/>
                <w:color w:val="auto"/>
              </w:rPr>
              <w:t>interests</w:t>
            </w:r>
          </w:p>
        </w:tc>
        <w:tc>
          <w:tcPr>
            <w:tcW w:w="18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(1,689)</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Other comprehensive</w:t>
            </w: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income</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747</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60" w:type="dxa"/>
            <w:vAlign w:val="bottom"/>
          </w:tcPr>
          <w:p>
            <w:pPr>
              <w:spacing w:after="0" w:line="117" w:lineRule="exact"/>
              <w:rPr>
                <w:sz w:val="20"/>
                <w:szCs w:val="20"/>
                <w:color w:val="auto"/>
              </w:rPr>
            </w:pPr>
            <w:r>
              <w:rPr>
                <w:rFonts w:ascii="Arial" w:cs="Arial" w:eastAsia="Arial" w:hAnsi="Arial"/>
                <w:sz w:val="13"/>
                <w:szCs w:val="13"/>
                <w:color w:val="auto"/>
              </w:rPr>
              <w:t>Net settlement of equity</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tcPr>
          <w:p>
            <w:pPr>
              <w:spacing w:after="0"/>
              <w:rPr>
                <w:sz w:val="20"/>
                <w:szCs w:val="20"/>
                <w:color w:val="auto"/>
              </w:rPr>
            </w:pPr>
            <w:r>
              <w:rPr>
                <w:rFonts w:ascii="Arial" w:cs="Arial" w:eastAsia="Arial" w:hAnsi="Arial"/>
                <w:sz w:val="13"/>
                <w:szCs w:val="13"/>
                <w:color w:val="auto"/>
              </w:rPr>
              <w:t>incentive awards</w:t>
            </w:r>
          </w:p>
        </w:tc>
        <w:tc>
          <w:tcPr>
            <w:tcW w:w="1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(318,445)</w:t>
            </w:r>
          </w:p>
        </w:tc>
        <w:tc>
          <w:tcPr>
            <w:tcW w:w="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(1,411)</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(1,411)</w:t>
            </w:r>
          </w:p>
        </w:tc>
        <w:tc>
          <w:tcPr>
            <w:tcW w:w="0" w:type="dxa"/>
            <w:vAlign w:val="bottom"/>
          </w:tcPr>
          <w:p>
            <w:pPr>
              <w:spacing w:after="0"/>
              <w:rPr>
                <w:sz w:val="1"/>
                <w:szCs w:val="1"/>
                <w:color w:val="auto"/>
              </w:rPr>
            </w:pPr>
          </w:p>
        </w:tc>
      </w:tr>
      <w:tr>
        <w:trPr>
          <w:trHeight w:val="117"/>
        </w:trPr>
        <w:tc>
          <w:tcPr>
            <w:tcW w:w="166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Subsequent</w:t>
            </w: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remeasurement of</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redeemable noncontrolling</w:t>
            </w:r>
          </w:p>
        </w:tc>
        <w:tc>
          <w:tcPr>
            <w:tcW w:w="18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(122,189)</w:t>
            </w:r>
          </w:p>
        </w:tc>
        <w:tc>
          <w:tcPr>
            <w:tcW w:w="104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9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122,189</w:t>
            </w:r>
          </w:p>
        </w:tc>
        <w:tc>
          <w:tcPr>
            <w:tcW w:w="220" w:type="dxa"/>
            <w:vAlign w:val="bottom"/>
            <w:shd w:val="clear" w:color="auto" w:fill="CFF0FC"/>
          </w:tcPr>
          <w:p>
            <w:pPr>
              <w:spacing w:after="0"/>
              <w:rPr>
                <w:sz w:val="11"/>
                <w:szCs w:val="11"/>
                <w:color w:val="auto"/>
              </w:rPr>
            </w:pPr>
          </w:p>
        </w:tc>
        <w:tc>
          <w:tcPr>
            <w:tcW w:w="7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122,189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660" w:type="dxa"/>
            <w:vAlign w:val="bottom"/>
            <w:shd w:val="clear" w:color="auto" w:fill="CFF0FC"/>
          </w:tcPr>
          <w:p>
            <w:pPr>
              <w:spacing w:after="0" w:line="139" w:lineRule="exact"/>
              <w:rPr>
                <w:sz w:val="20"/>
                <w:szCs w:val="20"/>
                <w:color w:val="auto"/>
              </w:rPr>
            </w:pPr>
            <w:r>
              <w:rPr>
                <w:rFonts w:ascii="Arial" w:cs="Arial" w:eastAsia="Arial" w:hAnsi="Arial"/>
                <w:sz w:val="13"/>
                <w:szCs w:val="13"/>
                <w:color w:val="auto"/>
              </w:rPr>
              <w:t>interests</w:t>
            </w:r>
          </w:p>
        </w:tc>
        <w:tc>
          <w:tcPr>
            <w:tcW w:w="180" w:type="dxa"/>
            <w:vAlign w:val="bottom"/>
            <w:shd w:val="clear" w:color="auto" w:fill="CFF0FC"/>
          </w:tcPr>
          <w:p>
            <w:pPr>
              <w:spacing w:after="0"/>
              <w:rPr>
                <w:sz w:val="12"/>
                <w:szCs w:val="12"/>
                <w:color w:val="auto"/>
              </w:rPr>
            </w:pPr>
          </w:p>
        </w:tc>
        <w:tc>
          <w:tcPr>
            <w:tcW w:w="860" w:type="dxa"/>
            <w:vAlign w:val="bottom"/>
            <w:gridSpan w:val="2"/>
            <w:vMerge w:val="continue"/>
            <w:shd w:val="clear" w:color="auto" w:fill="CFF0FC"/>
          </w:tcPr>
          <w:p>
            <w:pPr>
              <w:spacing w:after="0"/>
              <w:rPr>
                <w:sz w:val="12"/>
                <w:szCs w:val="12"/>
                <w:color w:val="auto"/>
              </w:rPr>
            </w:pPr>
          </w:p>
        </w:tc>
        <w:tc>
          <w:tcPr>
            <w:tcW w:w="104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tcBorders>
              <w:right w:val="single" w:sz="8" w:color="CFF0FC"/>
            </w:tcBorders>
            <w:gridSpan w:val="2"/>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660" w:type="dxa"/>
            <w:vAlign w:val="bottom"/>
          </w:tcPr>
          <w:p>
            <w:pPr>
              <w:spacing w:after="0" w:line="111" w:lineRule="exact"/>
              <w:rPr>
                <w:sz w:val="20"/>
                <w:szCs w:val="20"/>
                <w:color w:val="auto"/>
              </w:rPr>
            </w:pPr>
            <w:r>
              <w:rPr>
                <w:rFonts w:ascii="Arial" w:cs="Arial" w:eastAsia="Arial" w:hAnsi="Arial"/>
                <w:sz w:val="12"/>
                <w:szCs w:val="12"/>
                <w:b w:val="1"/>
                <w:bCs w:val="1"/>
                <w:color w:val="auto"/>
              </w:rPr>
              <w:t>Balances at March 31,</w:t>
            </w:r>
          </w:p>
        </w:tc>
        <w:tc>
          <w:tcPr>
            <w:tcW w:w="1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225,627</w:t>
            </w:r>
          </w:p>
        </w:tc>
        <w:tc>
          <w:tcPr>
            <w:tcW w:w="24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146,230,98</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14</w:t>
            </w:r>
          </w:p>
        </w:tc>
        <w:tc>
          <w:tcPr>
            <w:tcW w:w="24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76,225,0</w:t>
            </w: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1,399,42</w:t>
            </w:r>
          </w:p>
        </w:tc>
        <w:tc>
          <w:tcPr>
            <w:tcW w:w="22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(13,812,2</w:t>
            </w:r>
          </w:p>
        </w:tc>
        <w:tc>
          <w:tcPr>
            <w:tcW w:w="12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760" w:type="dxa"/>
            <w:vAlign w:val="bottom"/>
            <w:gridSpan w:val="2"/>
            <w:vMerge w:val="restart"/>
          </w:tcPr>
          <w:p>
            <w:pPr>
              <w:jc w:val="right"/>
              <w:ind w:right="138"/>
              <w:spacing w:after="0"/>
              <w:rPr>
                <w:sz w:val="20"/>
                <w:szCs w:val="20"/>
                <w:color w:val="auto"/>
              </w:rPr>
            </w:pPr>
            <w:r>
              <w:rPr>
                <w:rFonts w:ascii="Arial" w:cs="Arial" w:eastAsia="Arial" w:hAnsi="Arial"/>
                <w:sz w:val="13"/>
                <w:szCs w:val="13"/>
                <w:b w:val="1"/>
                <w:bCs w:val="1"/>
                <w:color w:val="auto"/>
              </w:rPr>
              <w:t>(82,485)</w:t>
            </w:r>
          </w:p>
        </w:tc>
        <w:tc>
          <w:tcPr>
            <w:tcW w:w="100" w:type="dxa"/>
            <w:vAlign w:val="bottom"/>
          </w:tcPr>
          <w:p>
            <w:pPr>
              <w:spacing w:after="0"/>
              <w:rPr>
                <w:sz w:val="9"/>
                <w:szCs w:val="9"/>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(936,113)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(133)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380,714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660" w:type="dxa"/>
            <w:vAlign w:val="bottom"/>
          </w:tcPr>
          <w:p>
            <w:pPr>
              <w:spacing w:after="0"/>
              <w:rPr>
                <w:sz w:val="20"/>
                <w:szCs w:val="20"/>
                <w:color w:val="auto"/>
              </w:rPr>
            </w:pPr>
            <w:r>
              <w:rPr>
                <w:rFonts w:ascii="Arial" w:cs="Arial" w:eastAsia="Arial" w:hAnsi="Arial"/>
                <w:sz w:val="13"/>
                <w:szCs w:val="13"/>
                <w:b w:val="1"/>
                <w:bCs w:val="1"/>
                <w:color w:val="auto"/>
              </w:rPr>
              <w:t>2025</w:t>
            </w:r>
          </w:p>
        </w:tc>
        <w:tc>
          <w:tcPr>
            <w:tcW w:w="1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rPr>
              <w:t>00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3</w:t>
            </w:r>
          </w:p>
        </w:tc>
        <w:tc>
          <w:tcPr>
            <w:tcW w:w="22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63)</w:t>
            </w:r>
          </w:p>
        </w:tc>
        <w:tc>
          <w:tcPr>
            <w:tcW w:w="10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17" w:lineRule="exact"/>
              <w:rPr>
                <w:sz w:val="20"/>
                <w:szCs w:val="20"/>
                <w:color w:val="auto"/>
              </w:rPr>
            </w:pPr>
            <w:r>
              <w:rPr>
                <w:rFonts w:ascii="Arial" w:cs="Arial" w:eastAsia="Arial" w:hAnsi="Arial"/>
                <w:sz w:val="13"/>
                <w:szCs w:val="13"/>
                <w:color w:val="auto"/>
              </w:rPr>
              <w:t>(139,67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(123,652)</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(139,675)</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17"/>
        </w:trPr>
        <w:tc>
          <w:tcPr>
            <w:tcW w:w="1660" w:type="dxa"/>
            <w:vAlign w:val="bottom"/>
          </w:tcPr>
          <w:p>
            <w:pPr>
              <w:spacing w:after="0" w:line="117" w:lineRule="exact"/>
              <w:rPr>
                <w:sz w:val="20"/>
                <w:szCs w:val="20"/>
                <w:color w:val="auto"/>
              </w:rPr>
            </w:pPr>
            <w:r>
              <w:rPr>
                <w:rFonts w:ascii="Arial" w:cs="Arial" w:eastAsia="Arial" w:hAnsi="Arial"/>
                <w:sz w:val="13"/>
                <w:szCs w:val="13"/>
                <w:color w:val="auto"/>
              </w:rPr>
              <w:t>Issuances of Class A</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tcPr>
          <w:p>
            <w:pPr>
              <w:spacing w:after="0"/>
              <w:rPr>
                <w:sz w:val="20"/>
                <w:szCs w:val="20"/>
                <w:color w:val="auto"/>
              </w:rPr>
            </w:pPr>
            <w:r>
              <w:rPr>
                <w:rFonts w:ascii="Arial" w:cs="Arial" w:eastAsia="Arial" w:hAnsi="Arial"/>
                <w:sz w:val="13"/>
                <w:szCs w:val="13"/>
                <w:color w:val="auto"/>
              </w:rPr>
              <w:t>common stock</w:t>
            </w:r>
          </w:p>
        </w:tc>
        <w:tc>
          <w:tcPr>
            <w:tcW w:w="1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2,008,200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Equity-based</w:t>
            </w: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compensation</w:t>
            </w: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11,838</w:t>
            </w:r>
          </w:p>
        </w:tc>
        <w:tc>
          <w:tcPr>
            <w:tcW w:w="2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11,838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60" w:type="dxa"/>
            <w:vAlign w:val="bottom"/>
          </w:tcPr>
          <w:p>
            <w:pPr>
              <w:spacing w:after="0" w:line="117" w:lineRule="exact"/>
              <w:rPr>
                <w:sz w:val="20"/>
                <w:szCs w:val="20"/>
                <w:color w:val="auto"/>
              </w:rPr>
            </w:pPr>
            <w:r>
              <w:rPr>
                <w:rFonts w:ascii="Arial" w:cs="Arial" w:eastAsia="Arial" w:hAnsi="Arial"/>
                <w:sz w:val="13"/>
                <w:szCs w:val="13"/>
                <w:color w:val="auto"/>
              </w:rPr>
              <w:t>Repurchases of Class A</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Arial" w:cs="Arial" w:eastAsia="Arial" w:hAnsi="Arial"/>
                <w:sz w:val="13"/>
                <w:szCs w:val="13"/>
                <w:color w:val="auto"/>
              </w:rPr>
              <w:t>(3,903,31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tcPr>
          <w:p>
            <w:pPr>
              <w:spacing w:after="0"/>
              <w:rPr>
                <w:sz w:val="20"/>
                <w:szCs w:val="20"/>
                <w:color w:val="auto"/>
              </w:rPr>
            </w:pPr>
            <w:r>
              <w:rPr>
                <w:rFonts w:ascii="Arial" w:cs="Arial" w:eastAsia="Arial" w:hAnsi="Arial"/>
                <w:sz w:val="13"/>
                <w:szCs w:val="13"/>
                <w:color w:val="auto"/>
              </w:rPr>
              <w:t>common stock</w:t>
            </w:r>
          </w:p>
        </w:tc>
        <w:tc>
          <w:tcPr>
            <w:tcW w:w="1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8)</w:t>
            </w:r>
          </w:p>
        </w:tc>
        <w:tc>
          <w:tcPr>
            <w:tcW w:w="860" w:type="dxa"/>
            <w:vAlign w:val="bottom"/>
            <w:gridSpan w:val="3"/>
          </w:tcPr>
          <w:p>
            <w:pPr>
              <w:jc w:val="right"/>
              <w:ind w:right="138"/>
              <w:spacing w:after="0"/>
              <w:rPr>
                <w:sz w:val="20"/>
                <w:szCs w:val="20"/>
                <w:color w:val="auto"/>
              </w:rPr>
            </w:pPr>
            <w:r>
              <w:rPr>
                <w:rFonts w:ascii="Arial" w:cs="Arial" w:eastAsia="Arial" w:hAnsi="Arial"/>
                <w:sz w:val="13"/>
                <w:szCs w:val="13"/>
                <w:color w:val="auto"/>
              </w:rPr>
              <w:t>(9,220)</w:t>
            </w: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(9,220)</w:t>
            </w:r>
          </w:p>
        </w:tc>
        <w:tc>
          <w:tcPr>
            <w:tcW w:w="0" w:type="dxa"/>
            <w:vAlign w:val="bottom"/>
          </w:tcPr>
          <w:p>
            <w:pPr>
              <w:spacing w:after="0"/>
              <w:rPr>
                <w:sz w:val="1"/>
                <w:szCs w:val="1"/>
                <w:color w:val="auto"/>
              </w:rPr>
            </w:pPr>
          </w:p>
        </w:tc>
      </w:tr>
      <w:tr>
        <w:trPr>
          <w:trHeight w:val="117"/>
        </w:trPr>
        <w:tc>
          <w:tcPr>
            <w:tcW w:w="166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Other comprehensive</w:t>
            </w: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income</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60" w:type="dxa"/>
            <w:vAlign w:val="bottom"/>
          </w:tcPr>
          <w:p>
            <w:pPr>
              <w:spacing w:after="0" w:line="117" w:lineRule="exact"/>
              <w:rPr>
                <w:sz w:val="20"/>
                <w:szCs w:val="20"/>
                <w:color w:val="auto"/>
              </w:rPr>
            </w:pPr>
            <w:r>
              <w:rPr>
                <w:rFonts w:ascii="Arial" w:cs="Arial" w:eastAsia="Arial" w:hAnsi="Arial"/>
                <w:sz w:val="13"/>
                <w:szCs w:val="13"/>
                <w:color w:val="auto"/>
              </w:rPr>
              <w:t>Net settlement of equity</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tcPr>
          <w:p>
            <w:pPr>
              <w:spacing w:after="0"/>
              <w:rPr>
                <w:sz w:val="20"/>
                <w:szCs w:val="20"/>
                <w:color w:val="auto"/>
              </w:rPr>
            </w:pPr>
            <w:r>
              <w:rPr>
                <w:rFonts w:ascii="Arial" w:cs="Arial" w:eastAsia="Arial" w:hAnsi="Arial"/>
                <w:sz w:val="13"/>
                <w:szCs w:val="13"/>
                <w:color w:val="auto"/>
              </w:rPr>
              <w:t>incentive awards</w:t>
            </w:r>
          </w:p>
        </w:tc>
        <w:tc>
          <w:tcPr>
            <w:tcW w:w="1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(178,315)</w:t>
            </w:r>
          </w:p>
        </w:tc>
        <w:tc>
          <w:tcPr>
            <w:tcW w:w="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(331)</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117"/>
        </w:trPr>
        <w:tc>
          <w:tcPr>
            <w:tcW w:w="166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Subsequent</w:t>
            </w: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remeasurement of</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redeemable noncontrolling</w:t>
            </w:r>
          </w:p>
        </w:tc>
        <w:tc>
          <w:tcPr>
            <w:tcW w:w="18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26,531</w:t>
            </w:r>
          </w:p>
        </w:tc>
        <w:tc>
          <w:tcPr>
            <w:tcW w:w="24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CFF0FC"/>
            </w:tcBorders>
            <w:vMerge w:val="restart"/>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(26,531)</w:t>
            </w:r>
          </w:p>
        </w:tc>
        <w:tc>
          <w:tcPr>
            <w:tcW w:w="7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(26,531)</w:t>
            </w:r>
          </w:p>
        </w:tc>
        <w:tc>
          <w:tcPr>
            <w:tcW w:w="0" w:type="dxa"/>
            <w:vAlign w:val="bottom"/>
          </w:tcPr>
          <w:p>
            <w:pPr>
              <w:spacing w:after="0"/>
              <w:rPr>
                <w:sz w:val="1"/>
                <w:szCs w:val="1"/>
                <w:color w:val="auto"/>
              </w:rPr>
            </w:pPr>
          </w:p>
        </w:tc>
      </w:tr>
      <w:tr>
        <w:trPr>
          <w:trHeight w:val="139"/>
        </w:trPr>
        <w:tc>
          <w:tcPr>
            <w:tcW w:w="1660" w:type="dxa"/>
            <w:vAlign w:val="bottom"/>
            <w:shd w:val="clear" w:color="auto" w:fill="CFF0FC"/>
          </w:tcPr>
          <w:p>
            <w:pPr>
              <w:spacing w:after="0" w:line="139" w:lineRule="exact"/>
              <w:rPr>
                <w:sz w:val="20"/>
                <w:szCs w:val="20"/>
                <w:color w:val="auto"/>
              </w:rPr>
            </w:pPr>
            <w:r>
              <w:rPr>
                <w:rFonts w:ascii="Arial" w:cs="Arial" w:eastAsia="Arial" w:hAnsi="Arial"/>
                <w:sz w:val="13"/>
                <w:szCs w:val="13"/>
                <w:color w:val="auto"/>
              </w:rPr>
              <w:t>interests</w:t>
            </w:r>
          </w:p>
        </w:tc>
        <w:tc>
          <w:tcPr>
            <w:tcW w:w="180" w:type="dxa"/>
            <w:vAlign w:val="bottom"/>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240" w:type="dxa"/>
            <w:vAlign w:val="bottom"/>
            <w:tcBorders>
              <w:right w:val="single" w:sz="8" w:color="CFF0FC"/>
            </w:tcBorders>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vMerge w:val="continue"/>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660" w:type="dxa"/>
            <w:vAlign w:val="bottom"/>
            <w:tcBorders>
              <w:top w:val="single" w:sz="8" w:color="CFF0FC"/>
            </w:tcBorders>
          </w:tcPr>
          <w:p>
            <w:pPr>
              <w:spacing w:after="0" w:line="123" w:lineRule="exact"/>
              <w:rPr>
                <w:sz w:val="20"/>
                <w:szCs w:val="20"/>
                <w:color w:val="auto"/>
              </w:rPr>
            </w:pPr>
            <w:r>
              <w:rPr>
                <w:rFonts w:ascii="Arial" w:cs="Arial" w:eastAsia="Arial" w:hAnsi="Arial"/>
                <w:sz w:val="13"/>
                <w:szCs w:val="13"/>
                <w:b w:val="1"/>
                <w:bCs w:val="1"/>
                <w:color w:val="auto"/>
              </w:rPr>
              <w:t>Balances at June 30,</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8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148,060,86</w:t>
            </w:r>
          </w:p>
        </w:tc>
        <w:tc>
          <w:tcPr>
            <w:tcW w:w="24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76,225,0</w:t>
            </w:r>
          </w:p>
        </w:tc>
        <w:tc>
          <w:tcPr>
            <w:tcW w:w="24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1,384,39</w:t>
            </w:r>
          </w:p>
        </w:tc>
        <w:tc>
          <w:tcPr>
            <w:tcW w:w="220" w:type="dxa"/>
            <w:vAlign w:val="bottom"/>
            <w:tcBorders>
              <w:top w:val="single" w:sz="8" w:color="CFF0FC"/>
            </w:tcBorders>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(17,715,5</w:t>
            </w: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98"/>
              </w:rPr>
              <w:t>(1,075,78</w:t>
            </w: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60" w:type="dxa"/>
            <w:vAlign w:val="bottom"/>
          </w:tcPr>
          <w:p>
            <w:pPr>
              <w:spacing w:after="0" w:line="134" w:lineRule="exact"/>
              <w:rPr>
                <w:sz w:val="20"/>
                <w:szCs w:val="20"/>
                <w:color w:val="auto"/>
              </w:rPr>
            </w:pPr>
            <w:r>
              <w:rPr>
                <w:rFonts w:ascii="Arial" w:cs="Arial" w:eastAsia="Arial" w:hAnsi="Arial"/>
                <w:sz w:val="13"/>
                <w:szCs w:val="13"/>
                <w:b w:val="1"/>
                <w:bCs w:val="1"/>
                <w:color w:val="auto"/>
              </w:rPr>
              <w:t>2025</w:t>
            </w:r>
          </w:p>
        </w:tc>
        <w:tc>
          <w:tcPr>
            <w:tcW w:w="180" w:type="dxa"/>
            <w:vAlign w:val="bottom"/>
          </w:tcPr>
          <w:p>
            <w:pPr>
              <w:spacing w:after="0" w:line="121"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128,822</w:t>
            </w:r>
          </w:p>
        </w:tc>
        <w:tc>
          <w:tcPr>
            <w:tcW w:w="240" w:type="dxa"/>
            <w:vAlign w:val="bottom"/>
          </w:tcPr>
          <w:p>
            <w:pPr>
              <w:spacing w:after="0"/>
              <w:rPr>
                <w:sz w:val="12"/>
                <w:szCs w:val="12"/>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5</w:t>
            </w:r>
          </w:p>
        </w:tc>
        <w:tc>
          <w:tcPr>
            <w:tcW w:w="240" w:type="dxa"/>
            <w:vAlign w:val="bottom"/>
          </w:tcPr>
          <w:p>
            <w:pPr>
              <w:spacing w:after="0"/>
              <w:rPr>
                <w:sz w:val="12"/>
                <w:szCs w:val="12"/>
                <w:color w:val="auto"/>
              </w:rPr>
            </w:pPr>
          </w:p>
        </w:tc>
        <w:tc>
          <w:tcPr>
            <w:tcW w:w="140" w:type="dxa"/>
            <w:vAlign w:val="bottom"/>
          </w:tcPr>
          <w:p>
            <w:pPr>
              <w:spacing w:after="0" w:line="121" w:lineRule="exact"/>
              <w:rPr>
                <w:sz w:val="20"/>
                <w:szCs w:val="20"/>
                <w:color w:val="auto"/>
              </w:rPr>
            </w:pPr>
            <w:r>
              <w:rPr>
                <w:rFonts w:ascii="Arial" w:cs="Arial" w:eastAsia="Arial" w:hAnsi="Arial"/>
                <w:sz w:val="13"/>
                <w:szCs w:val="13"/>
                <w:b w:val="1"/>
                <w:bCs w:val="1"/>
                <w:color w:val="auto"/>
              </w:rPr>
              <w:t>$</w:t>
            </w:r>
          </w:p>
        </w:tc>
        <w:tc>
          <w:tcPr>
            <w:tcW w:w="32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14</w:t>
            </w:r>
          </w:p>
        </w:tc>
        <w:tc>
          <w:tcPr>
            <w:tcW w:w="240" w:type="dxa"/>
            <w:vAlign w:val="bottom"/>
          </w:tcPr>
          <w:p>
            <w:pPr>
              <w:spacing w:after="0"/>
              <w:rPr>
                <w:sz w:val="12"/>
                <w:szCs w:val="12"/>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00</w:t>
            </w:r>
          </w:p>
        </w:tc>
        <w:tc>
          <w:tcPr>
            <w:tcW w:w="240" w:type="dxa"/>
            <w:vAlign w:val="bottom"/>
          </w:tcPr>
          <w:p>
            <w:pPr>
              <w:spacing w:after="0"/>
              <w:rPr>
                <w:sz w:val="12"/>
                <w:szCs w:val="12"/>
                <w:color w:val="auto"/>
              </w:rPr>
            </w:pPr>
          </w:p>
        </w:tc>
        <w:tc>
          <w:tcPr>
            <w:tcW w:w="280" w:type="dxa"/>
            <w:vAlign w:val="bottom"/>
          </w:tcPr>
          <w:p>
            <w:pPr>
              <w:jc w:val="right"/>
              <w:ind w:right="137"/>
              <w:spacing w:after="0" w:line="121" w:lineRule="exact"/>
              <w:rPr>
                <w:sz w:val="20"/>
                <w:szCs w:val="20"/>
                <w:color w:val="auto"/>
              </w:rPr>
            </w:pPr>
            <w:r>
              <w:rPr>
                <w:rFonts w:ascii="Arial" w:cs="Arial" w:eastAsia="Arial" w:hAnsi="Arial"/>
                <w:sz w:val="13"/>
                <w:szCs w:val="13"/>
                <w:b w:val="1"/>
                <w:bCs w:val="1"/>
                <w:color w:val="auto"/>
                <w:w w:val="82"/>
              </w:rPr>
              <w:t>$</w:t>
            </w:r>
          </w:p>
        </w:tc>
        <w:tc>
          <w:tcPr>
            <w:tcW w:w="16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8</w:t>
            </w:r>
          </w:p>
        </w:tc>
        <w:tc>
          <w:tcPr>
            <w:tcW w:w="220" w:type="dxa"/>
            <w:vAlign w:val="bottom"/>
          </w:tcPr>
          <w:p>
            <w:pPr>
              <w:spacing w:after="0"/>
              <w:rPr>
                <w:sz w:val="12"/>
                <w:szCs w:val="12"/>
                <w:color w:val="auto"/>
              </w:rPr>
            </w:pPr>
          </w:p>
        </w:tc>
        <w:tc>
          <w:tcPr>
            <w:tcW w:w="80" w:type="dxa"/>
            <w:vAlign w:val="bottom"/>
          </w:tcPr>
          <w:p>
            <w:pPr>
              <w:spacing w:after="0" w:line="121" w:lineRule="exact"/>
              <w:rPr>
                <w:sz w:val="20"/>
                <w:szCs w:val="20"/>
                <w:color w:val="auto"/>
              </w:rPr>
            </w:pPr>
            <w:r>
              <w:rPr>
                <w:rFonts w:ascii="Arial" w:cs="Arial" w:eastAsia="Arial" w:hAnsi="Arial"/>
                <w:sz w:val="13"/>
                <w:szCs w:val="13"/>
                <w:b w:val="1"/>
                <w:bCs w:val="1"/>
                <w:color w:val="auto"/>
                <w:w w:val="82"/>
              </w:rPr>
              <w:t>$</w:t>
            </w:r>
          </w:p>
        </w:tc>
        <w:tc>
          <w:tcPr>
            <w:tcW w:w="58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9</w:t>
            </w:r>
          </w:p>
        </w:tc>
        <w:tc>
          <w:tcPr>
            <w:tcW w:w="220" w:type="dxa"/>
            <w:vAlign w:val="bottom"/>
          </w:tcPr>
          <w:p>
            <w:pPr>
              <w:spacing w:after="0"/>
              <w:rPr>
                <w:sz w:val="12"/>
                <w:szCs w:val="12"/>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21" w:lineRule="exact"/>
              <w:rPr>
                <w:sz w:val="20"/>
                <w:szCs w:val="20"/>
                <w:color w:val="auto"/>
              </w:rPr>
            </w:pPr>
            <w:r>
              <w:rPr>
                <w:rFonts w:ascii="Arial" w:cs="Arial" w:eastAsia="Arial" w:hAnsi="Arial"/>
                <w:sz w:val="13"/>
                <w:szCs w:val="13"/>
                <w:b w:val="1"/>
                <w:bCs w:val="1"/>
                <w:color w:val="auto"/>
                <w:w w:val="94"/>
              </w:rPr>
              <w:t>$ (91,705</w:t>
            </w:r>
          </w:p>
        </w:tc>
        <w:tc>
          <w:tcPr>
            <w:tcW w:w="220" w:type="dxa"/>
            <w:vAlign w:val="bottom"/>
          </w:tcPr>
          <w:p>
            <w:pPr>
              <w:jc w:val="right"/>
              <w:ind w:right="138"/>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spacing w:after="0" w:line="121"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ind w:right="100"/>
              <w:spacing w:after="0" w:line="121" w:lineRule="exact"/>
              <w:rPr>
                <w:sz w:val="20"/>
                <w:szCs w:val="20"/>
                <w:color w:val="auto"/>
              </w:rPr>
            </w:pPr>
            <w:r>
              <w:rPr>
                <w:rFonts w:ascii="Arial" w:cs="Arial" w:eastAsia="Arial" w:hAnsi="Arial"/>
                <w:sz w:val="13"/>
                <w:szCs w:val="13"/>
                <w:b w:val="1"/>
                <w:bCs w:val="1"/>
                <w:color w:val="auto"/>
              </w:rPr>
              <w:t>8)</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409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line="121" w:lineRule="exact"/>
              <w:rPr>
                <w:sz w:val="20"/>
                <w:szCs w:val="20"/>
                <w:color w:val="auto"/>
              </w:rPr>
            </w:pPr>
            <w:r>
              <w:rPr>
                <w:rFonts w:ascii="Arial" w:cs="Arial" w:eastAsia="Arial" w:hAnsi="Arial"/>
                <w:sz w:val="13"/>
                <w:szCs w:val="13"/>
                <w:b w:val="1"/>
                <w:bCs w:val="1"/>
                <w:color w:val="auto"/>
                <w:w w:val="82"/>
              </w:rPr>
              <w:t>$</w:t>
            </w:r>
          </w:p>
        </w:tc>
        <w:tc>
          <w:tcPr>
            <w:tcW w:w="52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217,337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-1748155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-1748155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-1748155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-1748155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-1748155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-1748155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-1748155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-1748155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-1748155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-1748155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-205105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-205105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-205105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-205105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-205105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-205105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-205105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-205105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-205105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-205105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85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5"/>
        </w:trPr>
        <w:tc>
          <w:tcPr>
            <w:tcW w:w="85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(273,115)</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9,518</w:t>
            </w:r>
          </w:p>
        </w:tc>
        <w:tc>
          <w:tcPr>
            <w:tcW w:w="100" w:type="dxa"/>
            <w:vAlign w:val="bottom"/>
          </w:tcPr>
          <w:p>
            <w:pPr>
              <w:spacing w:after="0"/>
              <w:rPr>
                <w:sz w:val="14"/>
                <w:szCs w:val="14"/>
                <w:color w:val="auto"/>
              </w:rPr>
            </w:pP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540" w:type="dxa"/>
            <w:vAlign w:val="bottom"/>
          </w:tcPr>
          <w:p>
            <w:pPr>
              <w:ind w:left="8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23,966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20,985</w:t>
            </w:r>
          </w:p>
        </w:tc>
        <w:tc>
          <w:tcPr>
            <w:tcW w:w="100" w:type="dxa"/>
            <w:vAlign w:val="bottom"/>
          </w:tcPr>
          <w:p>
            <w:pPr>
              <w:spacing w:after="0"/>
              <w:rPr>
                <w:sz w:val="14"/>
                <w:szCs w:val="14"/>
                <w:color w:val="auto"/>
              </w:rPr>
            </w:pPr>
          </w:p>
        </w:tc>
      </w:tr>
      <w:tr>
        <w:trPr>
          <w:trHeight w:val="162"/>
        </w:trPr>
        <w:tc>
          <w:tcPr>
            <w:tcW w:w="8540" w:type="dxa"/>
            <w:vAlign w:val="bottom"/>
            <w:shd w:val="clear" w:color="auto" w:fill="CFF0FC"/>
          </w:tcPr>
          <w:p>
            <w:pPr>
              <w:ind w:left="80"/>
              <w:spacing w:after="0"/>
              <w:rPr>
                <w:sz w:val="20"/>
                <w:szCs w:val="20"/>
                <w:color w:val="auto"/>
              </w:rPr>
            </w:pPr>
            <w:r>
              <w:rPr>
                <w:rFonts w:ascii="Arial" w:cs="Arial" w:eastAsia="Arial" w:hAnsi="Arial"/>
                <w:sz w:val="14"/>
                <w:szCs w:val="14"/>
                <w:color w:val="auto"/>
              </w:rPr>
              <w:t>Amortization of leases</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843</w:t>
            </w:r>
          </w:p>
        </w:tc>
        <w:tc>
          <w:tcPr>
            <w:tcW w:w="100" w:type="dxa"/>
            <w:vAlign w:val="bottom"/>
            <w:shd w:val="clear" w:color="auto" w:fill="CFF0FC"/>
          </w:tcPr>
          <w:p>
            <w:pPr>
              <w:spacing w:after="0"/>
              <w:rPr>
                <w:sz w:val="14"/>
                <w:szCs w:val="14"/>
                <w:color w:val="auto"/>
              </w:rPr>
            </w:pPr>
          </w:p>
        </w:tc>
      </w:tr>
      <w:tr>
        <w:trPr>
          <w:trHeight w:val="162"/>
        </w:trPr>
        <w:tc>
          <w:tcPr>
            <w:tcW w:w="8540" w:type="dxa"/>
            <w:vAlign w:val="bottom"/>
          </w:tcPr>
          <w:p>
            <w:pPr>
              <w:ind w:left="80"/>
              <w:spacing w:after="0"/>
              <w:rPr>
                <w:sz w:val="20"/>
                <w:szCs w:val="20"/>
                <w:color w:val="auto"/>
              </w:rPr>
            </w:pPr>
            <w:r>
              <w:rPr>
                <w:rFonts w:ascii="Arial" w:cs="Arial" w:eastAsia="Arial" w:hAnsi="Arial"/>
                <w:sz w:val="14"/>
                <w:szCs w:val="14"/>
                <w:color w:val="auto"/>
              </w:rPr>
              <w:t>Amortization of deferred financing costs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4"/>
                <w:szCs w:val="14"/>
                <w:color w:val="auto"/>
              </w:rPr>
            </w:pPr>
          </w:p>
        </w:tc>
      </w:tr>
      <w:tr>
        <w:trPr>
          <w:trHeight w:val="162"/>
        </w:trPr>
        <w:tc>
          <w:tcPr>
            <w:tcW w:w="8540" w:type="dxa"/>
            <w:vAlign w:val="bottom"/>
            <w:shd w:val="clear" w:color="auto" w:fill="CFF0FC"/>
          </w:tcPr>
          <w:p>
            <w:pPr>
              <w:ind w:left="80"/>
              <w:spacing w:after="0"/>
              <w:rPr>
                <w:sz w:val="20"/>
                <w:szCs w:val="20"/>
                <w:color w:val="auto"/>
              </w:rPr>
            </w:pPr>
            <w:r>
              <w:rPr>
                <w:rFonts w:ascii="Arial" w:cs="Arial" w:eastAsia="Arial" w:hAnsi="Arial"/>
                <w:sz w:val="14"/>
                <w:szCs w:val="14"/>
                <w:color w:val="auto"/>
              </w:rPr>
              <w:t>Equity-based compensation</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22,403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27,600</w:t>
            </w:r>
          </w:p>
        </w:tc>
        <w:tc>
          <w:tcPr>
            <w:tcW w:w="100" w:type="dxa"/>
            <w:vAlign w:val="bottom"/>
            <w:shd w:val="clear" w:color="auto" w:fill="CFF0FC"/>
          </w:tcPr>
          <w:p>
            <w:pPr>
              <w:spacing w:after="0"/>
              <w:rPr>
                <w:sz w:val="14"/>
                <w:szCs w:val="14"/>
                <w:color w:val="auto"/>
              </w:rPr>
            </w:pPr>
          </w:p>
        </w:tc>
      </w:tr>
      <w:tr>
        <w:trPr>
          <w:trHeight w:val="162"/>
        </w:trPr>
        <w:tc>
          <w:tcPr>
            <w:tcW w:w="8540" w:type="dxa"/>
            <w:vAlign w:val="bottom"/>
          </w:tcPr>
          <w:p>
            <w:pPr>
              <w:ind w:left="80"/>
              <w:spacing w:after="0"/>
              <w:rPr>
                <w:sz w:val="20"/>
                <w:szCs w:val="20"/>
                <w:color w:val="auto"/>
              </w:rPr>
            </w:pPr>
            <w:r>
              <w:rPr>
                <w:rFonts w:ascii="Arial" w:cs="Arial" w:eastAsia="Arial" w:hAnsi="Arial"/>
                <w:sz w:val="14"/>
                <w:szCs w:val="14"/>
                <w:color w:val="auto"/>
              </w:rPr>
              <w:t>Change in fair value of Intermediate Warrants</w:t>
            </w:r>
          </w:p>
        </w:tc>
        <w:tc>
          <w:tcPr>
            <w:tcW w:w="2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(4,849)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(1,761)</w:t>
            </w:r>
          </w:p>
        </w:tc>
      </w:tr>
      <w:tr>
        <w:trPr>
          <w:trHeight w:val="162"/>
        </w:trPr>
        <w:tc>
          <w:tcPr>
            <w:tcW w:w="8540" w:type="dxa"/>
            <w:vAlign w:val="bottom"/>
            <w:shd w:val="clear" w:color="auto" w:fill="CFF0FC"/>
          </w:tcPr>
          <w:p>
            <w:pPr>
              <w:ind w:left="80"/>
              <w:spacing w:after="0"/>
              <w:rPr>
                <w:sz w:val="20"/>
                <w:szCs w:val="20"/>
                <w:color w:val="auto"/>
              </w:rPr>
            </w:pPr>
            <w:r>
              <w:rPr>
                <w:rFonts w:ascii="Arial" w:cs="Arial" w:eastAsia="Arial" w:hAnsi="Arial"/>
                <w:sz w:val="14"/>
                <w:szCs w:val="14"/>
                <w:color w:val="auto"/>
              </w:rPr>
              <w:t>Loss on asset disposals</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FF0FC"/>
          </w:tcPr>
          <w:p>
            <w:pPr>
              <w:spacing w:after="0"/>
              <w:rPr>
                <w:sz w:val="14"/>
                <w:szCs w:val="14"/>
                <w:color w:val="auto"/>
              </w:rPr>
            </w:pPr>
          </w:p>
        </w:tc>
      </w:tr>
      <w:tr>
        <w:trPr>
          <w:trHeight w:val="162"/>
        </w:trPr>
        <w:tc>
          <w:tcPr>
            <w:tcW w:w="8540" w:type="dxa"/>
            <w:vAlign w:val="bottom"/>
          </w:tcPr>
          <w:p>
            <w:pPr>
              <w:ind w:left="80"/>
              <w:spacing w:after="0"/>
              <w:rPr>
                <w:sz w:val="20"/>
                <w:szCs w:val="20"/>
                <w:color w:val="auto"/>
              </w:rPr>
            </w:pPr>
            <w:r>
              <w:rPr>
                <w:rFonts w:ascii="Arial" w:cs="Arial" w:eastAsia="Arial" w:hAnsi="Arial"/>
                <w:sz w:val="14"/>
                <w:szCs w:val="14"/>
                <w:color w:val="auto"/>
              </w:rPr>
              <w:t>Change in fair value of derivative asset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4"/>
                <w:szCs w:val="14"/>
                <w:color w:val="auto"/>
              </w:rPr>
            </w:pPr>
          </w:p>
        </w:tc>
      </w:tr>
      <w:tr>
        <w:trPr>
          <w:trHeight w:val="162"/>
        </w:trPr>
        <w:tc>
          <w:tcPr>
            <w:tcW w:w="8540" w:type="dxa"/>
            <w:vAlign w:val="bottom"/>
            <w:shd w:val="clear" w:color="auto" w:fill="CFF0FC"/>
          </w:tcPr>
          <w:p>
            <w:pPr>
              <w:ind w:left="80"/>
              <w:spacing w:after="0"/>
              <w:rPr>
                <w:sz w:val="20"/>
                <w:szCs w:val="20"/>
                <w:color w:val="auto"/>
              </w:rPr>
            </w:pPr>
            <w:r>
              <w:rPr>
                <w:rFonts w:ascii="Arial" w:cs="Arial" w:eastAsia="Arial" w:hAnsi="Arial"/>
                <w:sz w:val="14"/>
                <w:szCs w:val="14"/>
                <w:color w:val="auto"/>
              </w:rPr>
              <w:t>Deferred income tax expense</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76,707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FF0FC"/>
          </w:tcPr>
          <w:p>
            <w:pPr>
              <w:spacing w:after="0"/>
              <w:rPr>
                <w:sz w:val="14"/>
                <w:szCs w:val="14"/>
                <w:color w:val="auto"/>
              </w:rPr>
            </w:pPr>
          </w:p>
        </w:tc>
      </w:tr>
      <w:tr>
        <w:trPr>
          <w:trHeight w:val="162"/>
        </w:trPr>
        <w:tc>
          <w:tcPr>
            <w:tcW w:w="8540" w:type="dxa"/>
            <w:vAlign w:val="bottom"/>
          </w:tcPr>
          <w:p>
            <w:pPr>
              <w:ind w:left="80"/>
              <w:spacing w:after="0"/>
              <w:rPr>
                <w:sz w:val="20"/>
                <w:szCs w:val="20"/>
                <w:color w:val="auto"/>
              </w:rPr>
            </w:pPr>
            <w:r>
              <w:rPr>
                <w:rFonts w:ascii="Arial" w:cs="Arial" w:eastAsia="Arial" w:hAnsi="Arial"/>
                <w:sz w:val="14"/>
                <w:szCs w:val="14"/>
                <w:color w:val="auto"/>
              </w:rPr>
              <w:t>Non-cash interest expense (income) – net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(291)</w:t>
            </w:r>
          </w:p>
        </w:tc>
      </w:tr>
      <w:tr>
        <w:trPr>
          <w:trHeight w:val="162"/>
        </w:trPr>
        <w:tc>
          <w:tcPr>
            <w:tcW w:w="8540" w:type="dxa"/>
            <w:vAlign w:val="bottom"/>
            <w:shd w:val="clear" w:color="auto" w:fill="CFF0FC"/>
          </w:tcPr>
          <w:p>
            <w:pPr>
              <w:ind w:left="80"/>
              <w:spacing w:after="0"/>
              <w:rPr>
                <w:sz w:val="20"/>
                <w:szCs w:val="20"/>
                <w:color w:val="auto"/>
              </w:rPr>
            </w:pPr>
            <w:r>
              <w:rPr>
                <w:rFonts w:ascii="Arial" w:cs="Arial" w:eastAsia="Arial" w:hAnsi="Arial"/>
                <w:sz w:val="14"/>
                <w:szCs w:val="14"/>
                <w:color w:val="auto"/>
              </w:rPr>
              <w:t>Foreign currency loss (gain) – net</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(3,574)</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5,798</w:t>
            </w:r>
          </w:p>
        </w:tc>
        <w:tc>
          <w:tcPr>
            <w:tcW w:w="100" w:type="dxa"/>
            <w:vAlign w:val="bottom"/>
            <w:shd w:val="clear" w:color="auto" w:fill="CFF0FC"/>
          </w:tcPr>
          <w:p>
            <w:pPr>
              <w:spacing w:after="0"/>
              <w:rPr>
                <w:sz w:val="14"/>
                <w:szCs w:val="14"/>
                <w:color w:val="auto"/>
              </w:rPr>
            </w:pPr>
          </w:p>
        </w:tc>
      </w:tr>
      <w:tr>
        <w:trPr>
          <w:trHeight w:val="162"/>
        </w:trPr>
        <w:tc>
          <w:tcPr>
            <w:tcW w:w="8540" w:type="dxa"/>
            <w:vAlign w:val="bottom"/>
          </w:tcPr>
          <w:p>
            <w:pPr>
              <w:ind w:left="8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8540" w:type="dxa"/>
            <w:vAlign w:val="bottom"/>
            <w:shd w:val="clear" w:color="auto" w:fill="CFF0FC"/>
          </w:tcPr>
          <w:p>
            <w:pPr>
              <w:ind w:left="80"/>
              <w:spacing w:after="0"/>
              <w:rPr>
                <w:sz w:val="20"/>
                <w:szCs w:val="20"/>
                <w:color w:val="auto"/>
              </w:rPr>
            </w:pPr>
            <w:r>
              <w:rPr>
                <w:rFonts w:ascii="Arial" w:cs="Arial" w:eastAsia="Arial" w:hAnsi="Arial"/>
                <w:sz w:val="14"/>
                <w:szCs w:val="14"/>
                <w:color w:val="auto"/>
              </w:rPr>
              <w:t>Adjustment of liabilities under TRA</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(149,172)</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8540" w:type="dxa"/>
            <w:vAlign w:val="bottom"/>
          </w:tcPr>
          <w:p>
            <w:pPr>
              <w:ind w:left="80"/>
              <w:spacing w:after="0"/>
              <w:rPr>
                <w:sz w:val="20"/>
                <w:szCs w:val="20"/>
                <w:color w:val="auto"/>
              </w:rPr>
            </w:pPr>
            <w:r>
              <w:rPr>
                <w:rFonts w:ascii="Arial" w:cs="Arial" w:eastAsia="Arial" w:hAnsi="Arial"/>
                <w:sz w:val="14"/>
                <w:szCs w:val="14"/>
                <w:color w:val="auto"/>
              </w:rPr>
              <w:t>Impairment charges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320,449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8540" w:type="dxa"/>
            <w:vAlign w:val="bottom"/>
            <w:shd w:val="clear" w:color="auto" w:fill="CFF0FC"/>
          </w:tcPr>
          <w:p>
            <w:pPr>
              <w:ind w:left="80"/>
              <w:spacing w:after="0"/>
              <w:rPr>
                <w:sz w:val="20"/>
                <w:szCs w:val="20"/>
                <w:color w:val="auto"/>
              </w:rPr>
            </w:pPr>
            <w:r>
              <w:rPr>
                <w:rFonts w:ascii="Arial" w:cs="Arial" w:eastAsia="Arial" w:hAnsi="Arial"/>
                <w:sz w:val="14"/>
                <w:szCs w:val="14"/>
                <w:color w:val="auto"/>
              </w:rPr>
              <w:t>Write-off of 2024 Sponsorship Loan</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540" w:type="dxa"/>
            <w:vAlign w:val="bottom"/>
            <w:shd w:val="clear" w:color="auto" w:fill="CFF0FC"/>
          </w:tcPr>
          <w:p>
            <w:pPr>
              <w:ind w:left="80"/>
              <w:spacing w:after="0"/>
              <w:rPr>
                <w:sz w:val="20"/>
                <w:szCs w:val="20"/>
                <w:color w:val="auto"/>
              </w:rPr>
            </w:pPr>
            <w:r>
              <w:rPr>
                <w:rFonts w:ascii="Arial" w:cs="Arial" w:eastAsia="Arial" w:hAnsi="Arial"/>
                <w:sz w:val="14"/>
                <w:szCs w:val="14"/>
                <w:color w:val="auto"/>
              </w:rPr>
              <w:t>Accounts receivable – net</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(10,644)</w:t>
            </w:r>
          </w:p>
        </w:tc>
      </w:tr>
      <w:tr>
        <w:trPr>
          <w:trHeight w:val="162"/>
        </w:trPr>
        <w:tc>
          <w:tcPr>
            <w:tcW w:w="8540" w:type="dxa"/>
            <w:vAlign w:val="bottom"/>
          </w:tcPr>
          <w:p>
            <w:pPr>
              <w:ind w:left="80"/>
              <w:spacing w:after="0"/>
              <w:rPr>
                <w:sz w:val="20"/>
                <w:szCs w:val="20"/>
                <w:color w:val="auto"/>
              </w:rPr>
            </w:pPr>
            <w:r>
              <w:rPr>
                <w:rFonts w:ascii="Arial" w:cs="Arial" w:eastAsia="Arial" w:hAnsi="Arial"/>
                <w:sz w:val="14"/>
                <w:szCs w:val="14"/>
                <w:color w:val="auto"/>
              </w:rPr>
              <w:t>Inventory – net</w:t>
            </w:r>
          </w:p>
        </w:tc>
        <w:tc>
          <w:tcPr>
            <w:tcW w:w="2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(13,018)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(9,245)</w:t>
            </w:r>
          </w:p>
        </w:tc>
      </w:tr>
      <w:tr>
        <w:trPr>
          <w:trHeight w:val="162"/>
        </w:trPr>
        <w:tc>
          <w:tcPr>
            <w:tcW w:w="8540" w:type="dxa"/>
            <w:vAlign w:val="bottom"/>
            <w:shd w:val="clear" w:color="auto" w:fill="CFF0FC"/>
          </w:tcPr>
          <w:p>
            <w:pPr>
              <w:ind w:left="8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2,541</w:t>
            </w:r>
          </w:p>
        </w:tc>
        <w:tc>
          <w:tcPr>
            <w:tcW w:w="100" w:type="dxa"/>
            <w:vAlign w:val="bottom"/>
            <w:shd w:val="clear" w:color="auto" w:fill="CFF0FC"/>
          </w:tcPr>
          <w:p>
            <w:pPr>
              <w:spacing w:after="0"/>
              <w:rPr>
                <w:sz w:val="14"/>
                <w:szCs w:val="14"/>
                <w:color w:val="auto"/>
              </w:rPr>
            </w:pPr>
          </w:p>
        </w:tc>
      </w:tr>
      <w:tr>
        <w:trPr>
          <w:trHeight w:val="162"/>
        </w:trPr>
        <w:tc>
          <w:tcPr>
            <w:tcW w:w="8540" w:type="dxa"/>
            <w:vAlign w:val="bottom"/>
          </w:tcPr>
          <w:p>
            <w:pPr>
              <w:ind w:left="8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(29,394)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10,084</w:t>
            </w:r>
          </w:p>
        </w:tc>
        <w:tc>
          <w:tcPr>
            <w:tcW w:w="100" w:type="dxa"/>
            <w:vAlign w:val="bottom"/>
          </w:tcPr>
          <w:p>
            <w:pPr>
              <w:spacing w:after="0"/>
              <w:rPr>
                <w:sz w:val="14"/>
                <w:szCs w:val="14"/>
                <w:color w:val="auto"/>
              </w:rPr>
            </w:pPr>
          </w:p>
        </w:tc>
      </w:tr>
      <w:tr>
        <w:trPr>
          <w:trHeight w:val="162"/>
        </w:trPr>
        <w:tc>
          <w:tcPr>
            <w:tcW w:w="8540" w:type="dxa"/>
            <w:vAlign w:val="bottom"/>
            <w:shd w:val="clear" w:color="auto" w:fill="CFF0FC"/>
          </w:tcPr>
          <w:p>
            <w:pPr>
              <w:ind w:left="8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(28,104)</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(25,803)</w:t>
            </w:r>
          </w:p>
        </w:tc>
      </w:tr>
      <w:tr>
        <w:trPr>
          <w:trHeight w:val="162"/>
        </w:trPr>
        <w:tc>
          <w:tcPr>
            <w:tcW w:w="8540" w:type="dxa"/>
            <w:vAlign w:val="bottom"/>
          </w:tcPr>
          <w:p>
            <w:pPr>
              <w:ind w:left="8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(3,826)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(4,505)</w:t>
            </w:r>
          </w:p>
        </w:tc>
      </w:tr>
      <w:tr>
        <w:trPr>
          <w:trHeight w:val="162"/>
        </w:trPr>
        <w:tc>
          <w:tcPr>
            <w:tcW w:w="8540" w:type="dxa"/>
            <w:vAlign w:val="bottom"/>
            <w:shd w:val="clear" w:color="auto" w:fill="CFF0FC"/>
          </w:tcPr>
          <w:p>
            <w:pPr>
              <w:ind w:left="80"/>
              <w:spacing w:after="0"/>
              <w:rPr>
                <w:sz w:val="20"/>
                <w:szCs w:val="20"/>
                <w:color w:val="auto"/>
              </w:rPr>
            </w:pPr>
            <w:r>
              <w:rPr>
                <w:rFonts w:ascii="Arial" w:cs="Arial" w:eastAsia="Arial" w:hAnsi="Arial"/>
                <w:sz w:val="14"/>
                <w:szCs w:val="14"/>
                <w:color w:val="auto"/>
              </w:rPr>
              <w:t>Long-term lease liabilities</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(1,085)</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8540" w:type="dxa"/>
            <w:vAlign w:val="bottom"/>
          </w:tcPr>
          <w:p>
            <w:pPr>
              <w:ind w:left="80"/>
              <w:spacing w:after="0"/>
              <w:rPr>
                <w:sz w:val="20"/>
                <w:szCs w:val="20"/>
                <w:color w:val="auto"/>
              </w:rPr>
            </w:pPr>
            <w:r>
              <w:rPr>
                <w:rFonts w:ascii="Arial" w:cs="Arial" w:eastAsia="Arial" w:hAnsi="Arial"/>
                <w:sz w:val="14"/>
                <w:szCs w:val="14"/>
                <w:color w:val="auto"/>
              </w:rPr>
              <w:t>Other assets and liabilities – net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(573)</w:t>
            </w:r>
          </w:p>
        </w:tc>
      </w:tr>
      <w:tr>
        <w:trPr>
          <w:trHeight w:val="20"/>
        </w:trPr>
        <w:tc>
          <w:tcPr>
            <w:tcW w:w="8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54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Net cash provided by (used in) operating activities</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(53,908)</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25,359</w:t>
            </w:r>
          </w:p>
        </w:tc>
        <w:tc>
          <w:tcPr>
            <w:tcW w:w="100" w:type="dxa"/>
            <w:vAlign w:val="bottom"/>
            <w:shd w:val="clear" w:color="auto" w:fill="CFF0FC"/>
          </w:tcPr>
          <w:p>
            <w:pPr>
              <w:spacing w:after="0"/>
              <w:rPr>
                <w:sz w:val="13"/>
                <w:szCs w:val="13"/>
                <w:color w:val="auto"/>
              </w:rPr>
            </w:pPr>
          </w:p>
        </w:tc>
      </w:tr>
      <w:tr>
        <w:trPr>
          <w:trHeight w:val="162"/>
        </w:trPr>
        <w:tc>
          <w:tcPr>
            <w:tcW w:w="85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Purchases of property and equipment</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(2,043)</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(378)</w:t>
            </w: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Purchases of personal seat licenses</w:t>
            </w:r>
          </w:p>
        </w:tc>
        <w:tc>
          <w:tcPr>
            <w:tcW w:w="2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(737)</w:t>
            </w: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Investments in developed technology</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(8,341)</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(9,433)</w:t>
            </w: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Purchases of seat images</w:t>
            </w:r>
          </w:p>
        </w:tc>
        <w:tc>
          <w:tcPr>
            <w:tcW w:w="2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8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854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(11,665)</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b w:val="1"/>
                <w:bCs w:val="1"/>
                <w:color w:val="auto"/>
              </w:rPr>
              <w:t>(10,548)</w:t>
            </w:r>
          </w:p>
        </w:tc>
      </w:tr>
      <w:tr>
        <w:trPr>
          <w:trHeight w:val="162"/>
        </w:trPr>
        <w:tc>
          <w:tcPr>
            <w:tcW w:w="85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Payments of 2022 First Lien Loan</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(689)</w:t>
            </w: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Payments of Shoko Chukin Bank Loan</w:t>
            </w:r>
          </w:p>
        </w:tc>
        <w:tc>
          <w:tcPr>
            <w:tcW w:w="2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(2,655)</w:t>
            </w: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Proceeds from 2024 First Lien Loan</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125,500</w:t>
            </w:r>
          </w:p>
        </w:tc>
        <w:tc>
          <w:tcPr>
            <w:tcW w:w="100" w:type="dxa"/>
            <w:vAlign w:val="bottom"/>
            <w:shd w:val="clear" w:color="auto" w:fill="CFF0FC"/>
          </w:tcPr>
          <w:p>
            <w:pPr>
              <w:spacing w:after="0"/>
              <w:rPr>
                <w:sz w:val="14"/>
                <w:szCs w:val="14"/>
                <w:color w:val="auto"/>
              </w:rPr>
            </w:pP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Repurchases of Class A common stock</w:t>
            </w:r>
          </w:p>
        </w:tc>
        <w:tc>
          <w:tcPr>
            <w:tcW w:w="2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(15,862)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(20,069)</w:t>
            </w: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Payments of taxes related to net settlement of equity incentive awards</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(1,742)</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(565)</w:t>
            </w: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Tax distributions to redeemable noncontrolling interests</w:t>
            </w:r>
          </w:p>
        </w:tc>
        <w:tc>
          <w:tcPr>
            <w:tcW w:w="2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(1,689)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(6,414)</w:t>
            </w: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Payments of liabilities under TRA</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(4,005)</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(77)</w:t>
            </w: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Payments of deferred financing costs and other debt-related expenses</w:t>
            </w:r>
          </w:p>
        </w:tc>
        <w:tc>
          <w:tcPr>
            <w:tcW w:w="2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(315)</w:t>
            </w: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Payments of 2024 First Lien Loan</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(76,986)</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Proceeds from 2025 First Lien Loan</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76,986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8540" w:type="dxa"/>
            <w:vAlign w:val="bottom"/>
            <w:shd w:val="clear" w:color="auto" w:fill="CFF0FC"/>
          </w:tcPr>
          <w:p>
            <w:pPr>
              <w:spacing w:after="0"/>
              <w:rPr>
                <w:sz w:val="20"/>
                <w:szCs w:val="20"/>
                <w:color w:val="auto"/>
              </w:rPr>
            </w:pPr>
            <w:r>
              <w:rPr>
                <w:rFonts w:ascii="Arial" w:cs="Arial" w:eastAsia="Arial" w:hAnsi="Arial"/>
                <w:sz w:val="14"/>
                <w:szCs w:val="14"/>
                <w:color w:val="auto"/>
              </w:rPr>
              <w:t>Payments of 2025 First Lien Loan</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(983)</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Payments toward Acquired Domain Name Obligation</w:t>
            </w:r>
          </w:p>
        </w:tc>
        <w:tc>
          <w:tcPr>
            <w:tcW w:w="2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8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854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(25,443)</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94,716</w:t>
            </w:r>
          </w:p>
        </w:tc>
        <w:tc>
          <w:tcPr>
            <w:tcW w:w="100" w:type="dxa"/>
            <w:vAlign w:val="bottom"/>
            <w:shd w:val="clear" w:color="auto" w:fill="CFF0FC"/>
          </w:tcPr>
          <w:p>
            <w:pPr>
              <w:spacing w:after="0"/>
              <w:rPr>
                <w:sz w:val="13"/>
                <w:szCs w:val="13"/>
                <w:color w:val="auto"/>
              </w:rPr>
            </w:pPr>
          </w:p>
        </w:tc>
      </w:tr>
      <w:tr>
        <w:trPr>
          <w:trHeight w:val="162"/>
        </w:trPr>
        <w:tc>
          <w:tcPr>
            <w:tcW w:w="8540" w:type="dxa"/>
            <w:vAlign w:val="bottom"/>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(1,536)</w:t>
            </w:r>
          </w:p>
        </w:tc>
      </w:tr>
      <w:tr>
        <w:trPr>
          <w:trHeight w:val="20"/>
        </w:trPr>
        <w:tc>
          <w:tcPr>
            <w:tcW w:w="8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85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(90,662)</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107,991</w:t>
            </w:r>
          </w:p>
        </w:tc>
        <w:tc>
          <w:tcPr>
            <w:tcW w:w="100" w:type="dxa"/>
            <w:vAlign w:val="bottom"/>
            <w:shd w:val="clear" w:color="auto" w:fill="CFF0FC"/>
          </w:tcPr>
          <w:p>
            <w:pPr>
              <w:spacing w:after="0"/>
              <w:rPr>
                <w:sz w:val="13"/>
                <w:szCs w:val="13"/>
                <w:color w:val="auto"/>
              </w:rPr>
            </w:pPr>
          </w:p>
        </w:tc>
      </w:tr>
      <w:tr>
        <w:trPr>
          <w:trHeight w:val="156"/>
        </w:trPr>
        <w:tc>
          <w:tcPr>
            <w:tcW w:w="854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Cash, cash equivalents, and restricted cash – beginning of period</w:t>
            </w: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244,648</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132,434</w:t>
            </w:r>
          </w:p>
        </w:tc>
        <w:tc>
          <w:tcPr>
            <w:tcW w:w="100" w:type="dxa"/>
            <w:vAlign w:val="bottom"/>
            <w:tcBorders>
              <w:top w:val="single" w:sz="8" w:color="CFF0FC"/>
            </w:tcBorders>
          </w:tcPr>
          <w:p>
            <w:pPr>
              <w:spacing w:after="0"/>
              <w:rPr>
                <w:sz w:val="13"/>
                <w:szCs w:val="13"/>
                <w:color w:val="auto"/>
              </w:rPr>
            </w:pPr>
          </w:p>
        </w:tc>
      </w:tr>
      <w:tr>
        <w:trPr>
          <w:trHeight w:val="195"/>
        </w:trPr>
        <w:tc>
          <w:tcPr>
            <w:tcW w:w="85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cash equivalents, and restricted cash – end of period</w:t>
            </w:r>
          </w:p>
        </w:tc>
        <w:tc>
          <w:tcPr>
            <w:tcW w:w="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153,986</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240,425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540" w:type="dxa"/>
            <w:vAlign w:val="bottom"/>
          </w:tcPr>
          <w:p>
            <w:pPr>
              <w:spacing w:after="0" w:line="143"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85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paid for interest</w:t>
            </w:r>
          </w:p>
        </w:tc>
        <w:tc>
          <w:tcPr>
            <w:tcW w:w="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14,883</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16,108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540" w:type="dxa"/>
            <w:vAlign w:val="bottom"/>
          </w:tcPr>
          <w:p>
            <w:pPr>
              <w:spacing w:after="0" w:line="143" w:lineRule="exact"/>
              <w:rPr>
                <w:sz w:val="20"/>
                <w:szCs w:val="20"/>
                <w:color w:val="auto"/>
              </w:rPr>
            </w:pPr>
            <w:r>
              <w:rPr>
                <w:rFonts w:ascii="Arial" w:cs="Arial" w:eastAsia="Arial" w:hAnsi="Arial"/>
                <w:sz w:val="14"/>
                <w:szCs w:val="14"/>
                <w:color w:val="auto"/>
              </w:rPr>
              <w:t>Cash paid for income taxes</w:t>
            </w: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1,953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3,285</w:t>
            </w:r>
          </w:p>
        </w:tc>
        <w:tc>
          <w:tcPr>
            <w:tcW w:w="100" w:type="dxa"/>
            <w:vAlign w:val="bottom"/>
          </w:tcPr>
          <w:p>
            <w:pPr>
              <w:spacing w:after="0"/>
              <w:rPr>
                <w:sz w:val="12"/>
                <w:szCs w:val="12"/>
                <w:color w:val="auto"/>
              </w:rPr>
            </w:pPr>
          </w:p>
        </w:tc>
      </w:tr>
      <w:tr>
        <w:trPr>
          <w:trHeight w:val="20"/>
        </w:trPr>
        <w:tc>
          <w:tcPr>
            <w:tcW w:w="8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5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paid for operating lease liabilities</w:t>
            </w:r>
          </w:p>
        </w:tc>
        <w:tc>
          <w:tcPr>
            <w:tcW w:w="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1,706</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1,527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43"/>
        </w:trPr>
        <w:tc>
          <w:tcPr>
            <w:tcW w:w="8540" w:type="dxa"/>
            <w:vAlign w:val="bottom"/>
          </w:tcPr>
          <w:p>
            <w:pPr>
              <w:spacing w:after="0" w:line="143" w:lineRule="exact"/>
              <w:rPr>
                <w:sz w:val="20"/>
                <w:szCs w:val="20"/>
                <w:color w:val="auto"/>
              </w:rPr>
            </w:pPr>
            <w:r>
              <w:rPr>
                <w:rFonts w:ascii="Arial" w:cs="Arial" w:eastAsia="Arial" w:hAnsi="Arial"/>
                <w:sz w:val="14"/>
                <w:szCs w:val="14"/>
                <w:color w:val="auto"/>
              </w:rPr>
              <w:t>Right-of-use assets obtained in exchange for operating lease liabilities</w:t>
            </w: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935</w:t>
            </w:r>
          </w:p>
        </w:tc>
        <w:tc>
          <w:tcPr>
            <w:tcW w:w="100" w:type="dxa"/>
            <w:vAlign w:val="bottom"/>
          </w:tcPr>
          <w:p>
            <w:pPr>
              <w:spacing w:after="0"/>
              <w:rPr>
                <w:sz w:val="12"/>
                <w:szCs w:val="12"/>
                <w:color w:val="auto"/>
              </w:rPr>
            </w:pPr>
          </w:p>
        </w:tc>
      </w:tr>
      <w:tr>
        <w:trPr>
          <w:trHeight w:val="20"/>
        </w:trPr>
        <w:tc>
          <w:tcPr>
            <w:tcW w:w="8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54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disclosures of non-cash investing activities</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8540" w:type="dxa"/>
            <w:vAlign w:val="bottom"/>
          </w:tcPr>
          <w:p>
            <w:pPr>
              <w:spacing w:after="0" w:line="155" w:lineRule="exact"/>
              <w:rPr>
                <w:sz w:val="20"/>
                <w:szCs w:val="20"/>
                <w:color w:val="auto"/>
              </w:rPr>
            </w:pPr>
            <w:r>
              <w:rPr>
                <w:rFonts w:ascii="Arial" w:cs="Arial" w:eastAsia="Arial" w:hAnsi="Arial"/>
                <w:sz w:val="14"/>
                <w:szCs w:val="14"/>
                <w:color w:val="auto"/>
              </w:rPr>
              <w:t>Equity-based compensation expense related to capitalized development costs</w:t>
            </w: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20"/>
        </w:trPr>
        <w:tc>
          <w:tcPr>
            <w:tcW w:w="8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5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Repurchases of Class A common stock recorded in Accrued expenses and other current liabilities</w:t>
            </w:r>
          </w:p>
        </w:tc>
        <w:tc>
          <w:tcPr>
            <w:tcW w:w="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275</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-1224915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-1002030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-984885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-770890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-753745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-513715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-496570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ackground and</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asis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resentation</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Vivid Seats Inc. (“VSI”) and its subsidiaries, including Hoya Intermediate, LLC (“Hoya Intermediate”), Hoya Midco, LLC, and Vivid Seats LLC (collectively, “we,” “us,” and “our”), provide an online ticket marketplace that enables consumers to easily discover and purchase tickets to live events and attractions and book hotel rooms and packages. In our Marketplace segment, we primarily act as an intermediary between ticket buyers, sellers, and partners within our online ticket marketplace, while enabling ticket sellers and partners to seamlessly manage their operations. In our Resale segment, we primarily acquire tickets to resell on secondary ticket marketplaces, including our own.</w:t>
      </w:r>
    </w:p>
    <w:p>
      <w:pPr>
        <w:spacing w:after="0" w:line="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prepared these unaudited condensed consolidated financial statements in accordance with accounting principles generally accepted in the United States of America (“U.S. GAAP”) for interim financial information and Securities and Exchange Commission (“SEC”) rules that permit reduced disclosure for interim periods. Accordingly, they do not include all of the information and notes required by U.S. GAAP for comprehensive annual financial statements. In our opinion, these condensed consolidated financial statements include all adjustments that are necessary for a fair presentation of our financial position, results of operations, and cash flows for the periods presented and are of a normal, recurring nature. The results reflected in these condensed consolidated financial statements are not necessarily indicative of the results that may be expected for any other interim period or for the full year. These condensed consolidated financial statements should be read together with the audited annual consolidated financial statements and accompanying notes included in our Annual Report on Form 10-K for the fiscal year ended December 31, 2024, which was filed with the SEC on March 12, 2025. These condensed consolidated financial statements include all of our accounts, including those of our consolidated subsidiaries. All intercompany transactions and balances have been eliminated in consolidation.</w:t>
      </w:r>
    </w:p>
    <w:p>
      <w:pPr>
        <w:spacing w:after="0" w:line="78"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tandards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Accounting Standards Adopted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 - Improvements to Reportable Segment Disclosures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November 2023, the Financial Accounting Standards Board (the “FASB”) issued Accounting Standard Update (“ASU”) 2023-07,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 (Topic 280): Improvements to Reportable Segment Disclosures</w:t>
      </w:r>
      <w:r>
        <w:rPr>
          <w:rFonts w:ascii="Arial" w:cs="Arial" w:eastAsia="Arial" w:hAnsi="Arial"/>
          <w:sz w:val="18"/>
          <w:szCs w:val="18"/>
          <w:color w:val="auto"/>
        </w:rPr>
        <w:t>, which updates reportable segment disclosure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primarily through enhanced disclosures about significant segment expenses. The amendments are to be applied retrospectively to all prior reporting periods presented in an entity’s financial statements. We adopted these requirements during the year ended December 31, 2024 with no material impact on our consolidated financial statements, other than the impact thereof on our segment reporting footnote. See Note 4, </w:t>
      </w:r>
      <w:r>
        <w:rPr>
          <w:rFonts w:ascii="Arial" w:cs="Arial" w:eastAsia="Arial" w:hAnsi="Arial"/>
          <w:sz w:val="18"/>
          <w:szCs w:val="18"/>
          <w:i w:val="1"/>
          <w:iCs w:val="1"/>
          <w:color w:val="auto"/>
        </w:rPr>
        <w:t>Segment Reporting</w:t>
      </w:r>
      <w:r>
        <w:rPr>
          <w:rFonts w:ascii="Arial" w:cs="Arial" w:eastAsia="Arial" w:hAnsi="Arial"/>
          <w:sz w:val="18"/>
          <w:szCs w:val="18"/>
          <w:color w:val="auto"/>
        </w:rPr>
        <w:t>, for more information.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Accounting Standards Not Yet Adopted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December 2023</w:t>
      </w:r>
      <w:r>
        <w:rPr>
          <w:rFonts w:ascii="Arial" w:cs="Arial" w:eastAsia="Arial" w:hAnsi="Arial"/>
          <w:sz w:val="18"/>
          <w:szCs w:val="18"/>
          <w:i w:val="1"/>
          <w:iCs w:val="1"/>
          <w:color w:val="auto"/>
        </w:rPr>
        <w:t>,</w:t>
      </w:r>
      <w:r>
        <w:rPr>
          <w:rFonts w:ascii="Arial" w:cs="Arial" w:eastAsia="Arial" w:hAnsi="Arial"/>
          <w:sz w:val="18"/>
          <w:szCs w:val="18"/>
          <w:color w:val="auto"/>
        </w:rPr>
        <w:t xml:space="preserve"> the FASB issued ASU 2023-09</w:t>
      </w:r>
      <w:r>
        <w:rPr>
          <w:rFonts w:ascii="Arial" w:cs="Arial" w:eastAsia="Arial" w:hAnsi="Arial"/>
          <w:sz w:val="18"/>
          <w:szCs w:val="18"/>
          <w:i w:val="1"/>
          <w:iCs w:val="1"/>
          <w:color w:val="auto"/>
        </w:rPr>
        <w:t>, Income Taxes (Topic 740): Improvements to Income Tax Disclosures,</w:t>
      </w:r>
      <w:r>
        <w:rPr>
          <w:rFonts w:ascii="Arial" w:cs="Arial" w:eastAsia="Arial" w:hAnsi="Arial"/>
          <w:sz w:val="18"/>
          <w:szCs w:val="18"/>
          <w:color w:val="auto"/>
        </w:rPr>
        <w:t xml:space="preserve"> which requires that an entity, on an annual basis, disclose additional income tax information, primarily related to the rate reconciliation and income taxes paid. The amendments are intended to enhance the transparency and decision usefulness of income tax disclosures. The amendments will be effective beginning with the annual reporting period for the year ended December 31, 2025. We are currently evaluating the impact of adopting the amendments, which are expected to result in enhanced disclosures, on our future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Income Statement Expenses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Reporting—Comprehensive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The amendments improve the disclosures about a public</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entity’s expenses by requiring more detailed information about the types of expenses (including purchases of inventory, employee compensation, depreciation, and amortization) included within income statement expense captions. The amendments will be effective for annual reporting periods beginning after December 15, 2026 and interim reporting periods beginning after December 15, 2027. Early adoption is permitted for both interim and annual financial statements that have not yet been issued or made available for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issuance. The amendments are to be applied prospectively with the option for retrospective application. We are currently evaluating the impact of adopting the amendments on our future consolidated financial statements.</w:t>
      </w:r>
    </w:p>
    <w:p>
      <w:pPr>
        <w:spacing w:after="0" w:line="46"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ecognition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recognize revenue in accordance with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discussed in Note 4, </w:t>
      </w:r>
      <w:r>
        <w:rPr>
          <w:rFonts w:ascii="Arial" w:cs="Arial" w:eastAsia="Arial" w:hAnsi="Arial"/>
          <w:sz w:val="18"/>
          <w:szCs w:val="18"/>
          <w:i w:val="1"/>
          <w:iCs w:val="1"/>
          <w:color w:val="auto"/>
        </w:rPr>
        <w:t>Segment Reporting</w:t>
      </w:r>
      <w:r>
        <w:rPr>
          <w:rFonts w:ascii="Arial" w:cs="Arial" w:eastAsia="Arial" w:hAnsi="Arial"/>
          <w:sz w:val="18"/>
          <w:szCs w:val="18"/>
          <w:color w:val="auto"/>
        </w:rPr>
        <w:t>, we have two operating and reportable segments: Marketplace and Resale.</w:t>
      </w:r>
    </w:p>
    <w:p>
      <w:pPr>
        <w:spacing w:after="0" w:line="8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our Marketplace segment, we primarily act as an intermediary between ticket buyers, sellers, and partners within our online ticket marketplace, through which we earn revenue processing ticket sales for live events and attractions and from facilitating the booking of hotel rooms and packages.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tables present Marketplace revenues by business model and event category for the three and six months ended June 30, 2025 and 2024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5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4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5"/>
        </w:trPr>
        <w:tc>
          <w:tcPr>
            <w:tcW w:w="34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Owned Properties revenues</w:t>
            </w:r>
          </w:p>
        </w:tc>
        <w:tc>
          <w:tcPr>
            <w:tcW w:w="2240" w:type="dxa"/>
            <w:vAlign w:val="bottom"/>
            <w:gridSpan w:val="2"/>
            <w:shd w:val="clear" w:color="auto" w:fill="CFF0FC"/>
          </w:tcPr>
          <w:p>
            <w:pPr>
              <w:jc w:val="right"/>
              <w:ind w:right="708"/>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97,439</w:t>
            </w:r>
          </w:p>
        </w:tc>
        <w:tc>
          <w:tcPr>
            <w:tcW w:w="1160" w:type="dxa"/>
            <w:vAlign w:val="bottom"/>
            <w:gridSpan w:val="2"/>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8"/>
              </w:rPr>
              <w:t>138,587</w:t>
            </w:r>
          </w:p>
        </w:tc>
        <w:tc>
          <w:tcPr>
            <w:tcW w:w="50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206,671</w:t>
            </w:r>
          </w:p>
        </w:tc>
        <w:tc>
          <w:tcPr>
            <w:tcW w:w="56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265,158</w:t>
            </w:r>
          </w:p>
        </w:tc>
        <w:tc>
          <w:tcPr>
            <w:tcW w:w="100" w:type="dxa"/>
            <w:vAlign w:val="bottom"/>
            <w:shd w:val="clear" w:color="auto" w:fill="CFF0FC"/>
          </w:tcPr>
          <w:p>
            <w:pPr>
              <w:spacing w:after="0"/>
              <w:rPr>
                <w:sz w:val="13"/>
                <w:szCs w:val="13"/>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Private Label Offering revenues</w:t>
            </w:r>
          </w:p>
        </w:tc>
        <w:tc>
          <w:tcPr>
            <w:tcW w:w="13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17,039</w:t>
            </w:r>
          </w:p>
        </w:tc>
        <w:tc>
          <w:tcPr>
            <w:tcW w:w="3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31,459</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41,547</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64,900</w:t>
            </w:r>
          </w:p>
        </w:tc>
        <w:tc>
          <w:tcPr>
            <w:tcW w:w="100" w:type="dxa"/>
            <w:vAlign w:val="bottom"/>
          </w:tcPr>
          <w:p>
            <w:pPr>
              <w:spacing w:after="0"/>
              <w:rPr>
                <w:sz w:val="14"/>
                <w:szCs w:val="14"/>
                <w:color w:val="auto"/>
              </w:rPr>
            </w:pPr>
          </w:p>
        </w:tc>
      </w:tr>
      <w:tr>
        <w:trPr>
          <w:trHeight w:val="175"/>
        </w:trPr>
        <w:tc>
          <w:tcPr>
            <w:tcW w:w="34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Marketplace revenues</w:t>
            </w:r>
          </w:p>
        </w:tc>
        <w:tc>
          <w:tcPr>
            <w:tcW w:w="13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08"/>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114,478</w:t>
            </w:r>
          </w:p>
        </w:tc>
        <w:tc>
          <w:tcPr>
            <w:tcW w:w="1160" w:type="dxa"/>
            <w:vAlign w:val="bottom"/>
            <w:gridSpan w:val="2"/>
            <w:shd w:val="clear" w:color="auto" w:fill="CFF0FC"/>
          </w:tcPr>
          <w:p>
            <w:pPr>
              <w:jc w:val="right"/>
              <w:ind w:right="688"/>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8"/>
              </w:rPr>
              <w:t>170,046</w:t>
            </w:r>
          </w:p>
        </w:tc>
        <w:tc>
          <w:tcPr>
            <w:tcW w:w="50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248,218</w:t>
            </w:r>
          </w:p>
        </w:tc>
        <w:tc>
          <w:tcPr>
            <w:tcW w:w="56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330,058</w:t>
            </w:r>
          </w:p>
        </w:tc>
        <w:tc>
          <w:tcPr>
            <w:tcW w:w="100" w:type="dxa"/>
            <w:vAlign w:val="bottom"/>
            <w:shd w:val="clear" w:color="auto" w:fill="CFF0FC"/>
          </w:tcPr>
          <w:p>
            <w:pPr>
              <w:spacing w:after="0"/>
              <w:rPr>
                <w:sz w:val="15"/>
                <w:szCs w:val="15"/>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64"/>
        </w:trPr>
        <w:tc>
          <w:tcPr>
            <w:tcW w:w="3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5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4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5"/>
        </w:trPr>
        <w:tc>
          <w:tcPr>
            <w:tcW w:w="34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Concert revenues</w:t>
            </w:r>
          </w:p>
        </w:tc>
        <w:tc>
          <w:tcPr>
            <w:tcW w:w="2240" w:type="dxa"/>
            <w:vAlign w:val="bottom"/>
            <w:gridSpan w:val="2"/>
            <w:shd w:val="clear" w:color="auto" w:fill="CFF0FC"/>
          </w:tcPr>
          <w:p>
            <w:pPr>
              <w:jc w:val="right"/>
              <w:ind w:right="708"/>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50,586</w:t>
            </w:r>
          </w:p>
        </w:tc>
        <w:tc>
          <w:tcPr>
            <w:tcW w:w="1160" w:type="dxa"/>
            <w:vAlign w:val="bottom"/>
            <w:gridSpan w:val="2"/>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80,803</w:t>
            </w:r>
          </w:p>
        </w:tc>
        <w:tc>
          <w:tcPr>
            <w:tcW w:w="50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108,740</w:t>
            </w:r>
          </w:p>
        </w:tc>
        <w:tc>
          <w:tcPr>
            <w:tcW w:w="56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148,832</w:t>
            </w:r>
          </w:p>
        </w:tc>
        <w:tc>
          <w:tcPr>
            <w:tcW w:w="100" w:type="dxa"/>
            <w:vAlign w:val="bottom"/>
            <w:shd w:val="clear" w:color="auto" w:fill="CFF0FC"/>
          </w:tcPr>
          <w:p>
            <w:pPr>
              <w:spacing w:after="0"/>
              <w:rPr>
                <w:sz w:val="13"/>
                <w:szCs w:val="13"/>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Sport revenues</w:t>
            </w: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35,818</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51,457</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74,416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98,805</w:t>
            </w:r>
          </w:p>
        </w:tc>
        <w:tc>
          <w:tcPr>
            <w:tcW w:w="100" w:type="dxa"/>
            <w:vAlign w:val="bottom"/>
          </w:tcPr>
          <w:p>
            <w:pPr>
              <w:spacing w:after="0"/>
              <w:rPr>
                <w:sz w:val="14"/>
                <w:szCs w:val="14"/>
                <w:color w:val="auto"/>
              </w:rPr>
            </w:pPr>
          </w:p>
        </w:tc>
      </w:tr>
      <w:tr>
        <w:trPr>
          <w:trHeight w:val="162"/>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Theater revenues</w:t>
            </w:r>
          </w:p>
        </w:tc>
        <w:tc>
          <w:tcPr>
            <w:tcW w:w="13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23,744</w:t>
            </w:r>
          </w:p>
        </w:tc>
        <w:tc>
          <w:tcPr>
            <w:tcW w:w="3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30,932</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55,277</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68,839</w:t>
            </w:r>
          </w:p>
        </w:tc>
        <w:tc>
          <w:tcPr>
            <w:tcW w:w="100" w:type="dxa"/>
            <w:vAlign w:val="bottom"/>
            <w:shd w:val="clear" w:color="auto" w:fill="CFF0FC"/>
          </w:tcPr>
          <w:p>
            <w:pPr>
              <w:spacing w:after="0"/>
              <w:rPr>
                <w:sz w:val="14"/>
                <w:szCs w:val="14"/>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Other revenues</w:t>
            </w:r>
          </w:p>
        </w:tc>
        <w:tc>
          <w:tcPr>
            <w:tcW w:w="13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4,330</w:t>
            </w:r>
          </w:p>
        </w:tc>
        <w:tc>
          <w:tcPr>
            <w:tcW w:w="3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6,854</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9,785</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13,582</w:t>
            </w:r>
          </w:p>
        </w:tc>
        <w:tc>
          <w:tcPr>
            <w:tcW w:w="100" w:type="dxa"/>
            <w:vAlign w:val="bottom"/>
          </w:tcPr>
          <w:p>
            <w:pPr>
              <w:spacing w:after="0"/>
              <w:rPr>
                <w:sz w:val="14"/>
                <w:szCs w:val="14"/>
                <w:color w:val="auto"/>
              </w:rPr>
            </w:pPr>
          </w:p>
        </w:tc>
      </w:tr>
      <w:tr>
        <w:trPr>
          <w:trHeight w:val="176"/>
        </w:trPr>
        <w:tc>
          <w:tcPr>
            <w:tcW w:w="34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Marketplace revenues</w:t>
            </w:r>
          </w:p>
        </w:tc>
        <w:tc>
          <w:tcPr>
            <w:tcW w:w="13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08"/>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114,478</w:t>
            </w:r>
          </w:p>
        </w:tc>
        <w:tc>
          <w:tcPr>
            <w:tcW w:w="1160" w:type="dxa"/>
            <w:vAlign w:val="bottom"/>
            <w:gridSpan w:val="2"/>
            <w:shd w:val="clear" w:color="auto" w:fill="CFF0FC"/>
          </w:tcPr>
          <w:p>
            <w:pPr>
              <w:jc w:val="right"/>
              <w:ind w:right="688"/>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8"/>
              </w:rPr>
              <w:t>170,046</w:t>
            </w:r>
          </w:p>
        </w:tc>
        <w:tc>
          <w:tcPr>
            <w:tcW w:w="50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248,218</w:t>
            </w:r>
          </w:p>
        </w:tc>
        <w:tc>
          <w:tcPr>
            <w:tcW w:w="56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330,058</w:t>
            </w:r>
          </w:p>
        </w:tc>
        <w:tc>
          <w:tcPr>
            <w:tcW w:w="100" w:type="dxa"/>
            <w:vAlign w:val="bottom"/>
            <w:shd w:val="clear" w:color="auto" w:fill="CFF0FC"/>
          </w:tcPr>
          <w:p>
            <w:pPr>
              <w:spacing w:after="0"/>
              <w:rPr>
                <w:sz w:val="15"/>
                <w:szCs w:val="15"/>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-873760</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-856615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-873760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-856615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-873760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-856615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-25400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76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Resale segment, we primarily acquire tickets to resell on secondary ticket marketplaces, including our own. During the three and six months ended June 30, 2025, we recognized Resale revenues of $29.1 million and $59.4 million, respectively, compared to Resale revenues of $28.3 million and $59.1 million during the three and six months ended June 30, 2024, respectively.</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At June 30, 2025, Deferred revenue in the Condensed Consolidated Balance Sheets was $20.0 million, which primarily relates to our rewards loyalty program that allows enrolled ticket buyers on Vivid Seats-branded properties to earn reward credits to spend on future orders. Stamps earned under the program expire in two to three years, if not converted to credits, and credits expire in two to four years, if not redeemed. We expect to recognize all outstanding deferred revenue within the next seven years.</w:t>
      </w:r>
    </w:p>
    <w:p>
      <w:pPr>
        <w:spacing w:after="0" w:line="6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At December 31, 2024, $23.8 million was recorded as Deferred revenue in the Condensed Consolidated Balance Sheets, of which $4.5 million and $9.7 million was recognized as revenue during the three and six months ended June 30, 2025, respectively.</w:t>
      </w:r>
    </w:p>
    <w:p>
      <w:pPr>
        <w:spacing w:after="0" w:line="4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At December 31, 2023, $34.7 million was recorded as Deferred revenue in the Condensed Consolidated Balance Sheets, of which $5.6 million and $14.1 million was recognized as revenue during the three and six months ended June 30, 2024, respectively.</w:t>
      </w:r>
    </w:p>
    <w:p>
      <w:pPr>
        <w:spacing w:after="0" w:line="46"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egment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eporting</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segments are defined as components of an entity for which discrete financial information is available and is regularly reviewed by the Chief Operating Decision Maker (“CODM”) in making decisions regarding resource allocation and performance assessment. Our CODM is our Chief Executive Officer.</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determined that we have two operating and reportable segments: Marketplace and Resale. In our Marketplace segment, we primarily act as an intermediary between ticket buyers, sellers, and partners within our online ticket marketplace, through which we earn revenue processing ticket sales for live events and attractions and from facilitating the booking of hotel rooms and packages. In our Resale segment, we primarily acquire tickets to resell on secondary ticket marketplaces, including our own.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both segments, our CODM uses contribution margin (defined as revenues less cost of revenues and marketing and selling expenses) as a means to allocate resources, evaluate performance, and make strategic decisions during the annual budgeting and forecasting process.</w:t>
      </w:r>
    </w:p>
    <w:p>
      <w:pPr>
        <w:spacing w:after="0" w:line="4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Cost of revenues largely consist of payment processing fees for our Marketplace segment and ticket costs for our Resale segment. Marketing and selling expenses, which entirely relate to our Marketplace segment, almost entirely consist of advertising costs. Most advertising costs are aimed towards acquiring new customers online through paid search engine marketing, fees paid to our advertising affiliates and distributors, and other various digital marketing activities. However, to a lesser extent, advertising costs are also aimed towards acquiring new customers offline through traditional media channels, advertising agency costs, and partnership expenses with sports teams and other media partners.</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do not report our assets, capital expenditures, general and administrative expenses, or depreciation and amortization expenses by segment because our CODM does not use this information to evaluate the performance of our operating segments.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segment information for the three and six months ended June 30, 2025 and 2024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8"/>
          </w:tcPr>
          <w:p>
            <w:pPr>
              <w:jc w:val="right"/>
              <w:ind w:right="478"/>
              <w:spacing w:after="0"/>
              <w:rPr>
                <w:sz w:val="20"/>
                <w:szCs w:val="20"/>
                <w:color w:val="auto"/>
              </w:rPr>
            </w:pPr>
            <w:r>
              <w:rPr>
                <w:rFonts w:ascii="Arial" w:cs="Arial" w:eastAsia="Arial" w:hAnsi="Arial"/>
                <w:sz w:val="13"/>
                <w:szCs w:val="13"/>
                <w:b w:val="1"/>
                <w:bCs w:val="1"/>
                <w:color w:val="auto"/>
              </w:rPr>
              <w:t>Three Months Ended June 30, 2025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6"/>
          </w:tcPr>
          <w:p>
            <w:pPr>
              <w:jc w:val="right"/>
              <w:spacing w:after="0"/>
              <w:rPr>
                <w:sz w:val="20"/>
                <w:szCs w:val="20"/>
                <w:color w:val="auto"/>
              </w:rPr>
            </w:pPr>
            <w:r>
              <w:rPr>
                <w:rFonts w:ascii="Arial" w:cs="Arial" w:eastAsia="Arial" w:hAnsi="Arial"/>
                <w:sz w:val="13"/>
                <w:szCs w:val="13"/>
                <w:b w:val="1"/>
                <w:bCs w:val="1"/>
                <w:color w:val="auto"/>
              </w:rPr>
              <w:t>Six Months Ended June 30, 2025</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28"/>
        </w:trPr>
        <w:tc>
          <w:tcPr>
            <w:tcW w:w="4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95"/>
              </w:rPr>
              <w:t>Marketplace</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Resale</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8"/>
              </w:rPr>
              <w:t>Marketplace</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Resale</w:t>
            </w: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r>
      <w:tr>
        <w:trPr>
          <w:trHeight w:val="129"/>
        </w:trPr>
        <w:tc>
          <w:tcPr>
            <w:tcW w:w="490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Revenues</w:t>
            </w:r>
          </w:p>
        </w:tc>
        <w:tc>
          <w:tcPr>
            <w:tcW w:w="16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114,478</w:t>
            </w:r>
          </w:p>
        </w:tc>
        <w:tc>
          <w:tcPr>
            <w:tcW w:w="34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29,088</w:t>
            </w:r>
          </w:p>
        </w:tc>
        <w:tc>
          <w:tcPr>
            <w:tcW w:w="380" w:type="dxa"/>
            <w:vAlign w:val="bottom"/>
            <w:gridSpan w:val="2"/>
            <w:shd w:val="clear" w:color="auto" w:fill="CFF0FC"/>
          </w:tcPr>
          <w:p>
            <w:pPr>
              <w:jc w:val="right"/>
              <w:ind w:right="17"/>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143,566</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40"/>
              <w:spacing w:after="0" w:line="129" w:lineRule="exact"/>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248,218</w:t>
            </w:r>
          </w:p>
        </w:tc>
        <w:tc>
          <w:tcPr>
            <w:tcW w:w="36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59,371</w:t>
            </w:r>
          </w:p>
        </w:tc>
        <w:tc>
          <w:tcPr>
            <w:tcW w:w="460" w:type="dxa"/>
            <w:vAlign w:val="bottom"/>
            <w:gridSpan w:val="2"/>
            <w:shd w:val="clear" w:color="auto" w:fill="CFF0FC"/>
          </w:tcPr>
          <w:p>
            <w:pPr>
              <w:jc w:val="right"/>
              <w:ind w:right="77"/>
              <w:spacing w:after="0" w:line="129" w:lineRule="exact"/>
              <w:rPr>
                <w:sz w:val="20"/>
                <w:szCs w:val="20"/>
                <w:color w:val="auto"/>
              </w:rPr>
            </w:pPr>
            <w:r>
              <w:rPr>
                <w:rFonts w:ascii="Arial" w:cs="Arial" w:eastAsia="Arial" w:hAnsi="Arial"/>
                <w:sz w:val="13"/>
                <w:szCs w:val="13"/>
                <w:b w:val="1"/>
                <w:bCs w:val="1"/>
                <w:color w:val="auto"/>
              </w:rPr>
              <w:t>$</w:t>
            </w:r>
          </w:p>
        </w:tc>
        <w:tc>
          <w:tcPr>
            <w:tcW w:w="5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307,589</w:t>
            </w:r>
          </w:p>
        </w:tc>
        <w:tc>
          <w:tcPr>
            <w:tcW w:w="120" w:type="dxa"/>
            <w:vAlign w:val="bottom"/>
            <w:shd w:val="clear" w:color="auto" w:fill="CFF0FC"/>
          </w:tcPr>
          <w:p>
            <w:pPr>
              <w:spacing w:after="0"/>
              <w:rPr>
                <w:sz w:val="11"/>
                <w:szCs w:val="11"/>
                <w:color w:val="auto"/>
              </w:rPr>
            </w:pPr>
          </w:p>
        </w:tc>
      </w:tr>
      <w:tr>
        <w:trPr>
          <w:trHeight w:val="135"/>
        </w:trPr>
        <w:tc>
          <w:tcPr>
            <w:tcW w:w="4900" w:type="dxa"/>
            <w:vAlign w:val="bottom"/>
          </w:tcPr>
          <w:p>
            <w:pPr>
              <w:spacing w:after="0" w:line="135" w:lineRule="exact"/>
              <w:rPr>
                <w:sz w:val="20"/>
                <w:szCs w:val="20"/>
                <w:color w:val="auto"/>
              </w:rPr>
            </w:pPr>
            <w:r>
              <w:rPr>
                <w:rFonts w:ascii="Arial" w:cs="Arial" w:eastAsia="Arial" w:hAnsi="Arial"/>
                <w:sz w:val="13"/>
                <w:szCs w:val="13"/>
                <w:color w:val="auto"/>
                <w:w w:val="98"/>
              </w:rPr>
              <w:t>Cost of revenues (exclusive of depreciation and amortization shown separately below)</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18,162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24,267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42,429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39,161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47,793</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86,954</w:t>
            </w:r>
          </w:p>
        </w:tc>
        <w:tc>
          <w:tcPr>
            <w:tcW w:w="120" w:type="dxa"/>
            <w:vAlign w:val="bottom"/>
          </w:tcPr>
          <w:p>
            <w:pPr>
              <w:spacing w:after="0"/>
              <w:rPr>
                <w:sz w:val="11"/>
                <w:szCs w:val="11"/>
                <w:color w:val="auto"/>
              </w:rPr>
            </w:pPr>
          </w:p>
        </w:tc>
      </w:tr>
      <w:tr>
        <w:trPr>
          <w:trHeight w:val="135"/>
        </w:trPr>
        <w:tc>
          <w:tcPr>
            <w:tcW w:w="49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Marketing and selling:</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4900" w:type="dxa"/>
            <w:vAlign w:val="bottom"/>
          </w:tcPr>
          <w:p>
            <w:pPr>
              <w:ind w:left="40"/>
              <w:spacing w:after="0" w:line="135" w:lineRule="exact"/>
              <w:rPr>
                <w:sz w:val="20"/>
                <w:szCs w:val="20"/>
                <w:color w:val="auto"/>
              </w:rPr>
            </w:pPr>
            <w:r>
              <w:rPr>
                <w:rFonts w:ascii="Arial" w:cs="Arial" w:eastAsia="Arial" w:hAnsi="Arial"/>
                <w:sz w:val="13"/>
                <w:szCs w:val="13"/>
                <w:color w:val="auto"/>
              </w:rPr>
              <w:t>Online advertising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48,630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48,630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107,829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107,829</w:t>
            </w:r>
          </w:p>
        </w:tc>
        <w:tc>
          <w:tcPr>
            <w:tcW w:w="120" w:type="dxa"/>
            <w:vAlign w:val="bottom"/>
          </w:tcPr>
          <w:p>
            <w:pPr>
              <w:spacing w:after="0"/>
              <w:rPr>
                <w:sz w:val="11"/>
                <w:szCs w:val="11"/>
                <w:color w:val="auto"/>
              </w:rPr>
            </w:pPr>
          </w:p>
        </w:tc>
      </w:tr>
      <w:tr>
        <w:trPr>
          <w:trHeight w:val="135"/>
        </w:trPr>
        <w:tc>
          <w:tcPr>
            <w:tcW w:w="4900" w:type="dxa"/>
            <w:vAlign w:val="bottom"/>
            <w:tcBorders>
              <w:bottom w:val="single" w:sz="8" w:color="CFF0FC"/>
            </w:tcBorders>
            <w:shd w:val="clear" w:color="auto" w:fill="CFF0FC"/>
          </w:tcPr>
          <w:p>
            <w:pPr>
              <w:ind w:left="40"/>
              <w:spacing w:after="0" w:line="135" w:lineRule="exact"/>
              <w:rPr>
                <w:sz w:val="20"/>
                <w:szCs w:val="20"/>
                <w:color w:val="auto"/>
              </w:rPr>
            </w:pPr>
            <w:r>
              <w:rPr>
                <w:rFonts w:ascii="Arial" w:cs="Arial" w:eastAsia="Arial" w:hAnsi="Arial"/>
                <w:sz w:val="13"/>
                <w:szCs w:val="13"/>
                <w:color w:val="auto"/>
              </w:rPr>
              <w:t>Offline advertising</w:t>
            </w: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5,170</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5,170</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10,083</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10,083</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4900" w:type="dxa"/>
            <w:vAlign w:val="bottom"/>
          </w:tcPr>
          <w:p>
            <w:pPr>
              <w:ind w:left="80"/>
              <w:spacing w:after="0" w:line="129" w:lineRule="exact"/>
              <w:rPr>
                <w:sz w:val="20"/>
                <w:szCs w:val="20"/>
                <w:color w:val="auto"/>
              </w:rPr>
            </w:pPr>
            <w:r>
              <w:rPr>
                <w:rFonts w:ascii="Arial" w:cs="Arial" w:eastAsia="Arial" w:hAnsi="Arial"/>
                <w:sz w:val="13"/>
                <w:szCs w:val="13"/>
                <w:color w:val="auto"/>
              </w:rPr>
              <w:t>Total marketing and selling</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53,800</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53,800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117,912</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117,912</w:t>
            </w:r>
          </w:p>
        </w:tc>
        <w:tc>
          <w:tcPr>
            <w:tcW w:w="120" w:type="dxa"/>
            <w:vAlign w:val="bottom"/>
          </w:tcPr>
          <w:p>
            <w:pPr>
              <w:spacing w:after="0"/>
              <w:rPr>
                <w:sz w:val="11"/>
                <w:szCs w:val="11"/>
                <w:color w:val="auto"/>
              </w:rPr>
            </w:pPr>
          </w:p>
        </w:tc>
      </w:tr>
      <w:tr>
        <w:trPr>
          <w:trHeight w:val="128"/>
        </w:trPr>
        <w:tc>
          <w:tcPr>
            <w:tcW w:w="490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Contribution margin</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42,516</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4,821</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47,337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91,145</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11,578</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102,723</w:t>
            </w:r>
          </w:p>
        </w:tc>
        <w:tc>
          <w:tcPr>
            <w:tcW w:w="120" w:type="dxa"/>
            <w:vAlign w:val="bottom"/>
            <w:shd w:val="clear" w:color="auto" w:fill="CFF0FC"/>
          </w:tcPr>
          <w:p>
            <w:pPr>
              <w:spacing w:after="0"/>
              <w:rPr>
                <w:sz w:val="11"/>
                <w:szCs w:val="11"/>
                <w:color w:val="auto"/>
              </w:rPr>
            </w:pPr>
          </w:p>
        </w:tc>
      </w:tr>
      <w:tr>
        <w:trPr>
          <w:trHeight w:val="135"/>
        </w:trPr>
        <w:tc>
          <w:tcPr>
            <w:tcW w:w="4900" w:type="dxa"/>
            <w:vAlign w:val="bottom"/>
          </w:tcPr>
          <w:p>
            <w:pPr>
              <w:spacing w:after="0" w:line="135" w:lineRule="exact"/>
              <w:rPr>
                <w:sz w:val="20"/>
                <w:szCs w:val="20"/>
                <w:color w:val="auto"/>
              </w:rPr>
            </w:pPr>
            <w:r>
              <w:rPr>
                <w:rFonts w:ascii="Arial" w:cs="Arial" w:eastAsia="Arial" w:hAnsi="Arial"/>
                <w:sz w:val="13"/>
                <w:szCs w:val="13"/>
                <w:color w:val="auto"/>
              </w:rPr>
              <w:t>General and administrative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46,272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94,354</w:t>
            </w:r>
          </w:p>
        </w:tc>
        <w:tc>
          <w:tcPr>
            <w:tcW w:w="120" w:type="dxa"/>
            <w:vAlign w:val="bottom"/>
          </w:tcPr>
          <w:p>
            <w:pPr>
              <w:spacing w:after="0"/>
              <w:rPr>
                <w:sz w:val="11"/>
                <w:szCs w:val="11"/>
                <w:color w:val="auto"/>
              </w:rPr>
            </w:pPr>
          </w:p>
        </w:tc>
      </w:tr>
      <w:tr>
        <w:trPr>
          <w:trHeight w:val="135"/>
        </w:trPr>
        <w:tc>
          <w:tcPr>
            <w:tcW w:w="49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Depreciation and amortization</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12,341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23,966</w:t>
            </w:r>
          </w:p>
        </w:tc>
        <w:tc>
          <w:tcPr>
            <w:tcW w:w="120" w:type="dxa"/>
            <w:vAlign w:val="bottom"/>
            <w:shd w:val="clear" w:color="auto" w:fill="CFF0FC"/>
          </w:tcPr>
          <w:p>
            <w:pPr>
              <w:spacing w:after="0"/>
              <w:rPr>
                <w:sz w:val="11"/>
                <w:szCs w:val="11"/>
                <w:color w:val="auto"/>
              </w:rPr>
            </w:pPr>
          </w:p>
        </w:tc>
      </w:tr>
      <w:tr>
        <w:trPr>
          <w:trHeight w:val="135"/>
        </w:trPr>
        <w:tc>
          <w:tcPr>
            <w:tcW w:w="4900" w:type="dxa"/>
            <w:vAlign w:val="bottom"/>
          </w:tcPr>
          <w:p>
            <w:pPr>
              <w:spacing w:after="0" w:line="135" w:lineRule="exact"/>
              <w:rPr>
                <w:sz w:val="20"/>
                <w:szCs w:val="20"/>
                <w:color w:val="auto"/>
              </w:rPr>
            </w:pPr>
            <w:r>
              <w:rPr>
                <w:rFonts w:ascii="Arial" w:cs="Arial" w:eastAsia="Arial" w:hAnsi="Arial"/>
                <w:sz w:val="13"/>
                <w:szCs w:val="13"/>
                <w:color w:val="auto"/>
              </w:rPr>
              <w:t>Impairment charges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320,449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320,449</w:t>
            </w:r>
          </w:p>
        </w:tc>
        <w:tc>
          <w:tcPr>
            <w:tcW w:w="120" w:type="dxa"/>
            <w:vAlign w:val="bottom"/>
          </w:tcPr>
          <w:p>
            <w:pPr>
              <w:spacing w:after="0"/>
              <w:rPr>
                <w:sz w:val="11"/>
                <w:szCs w:val="11"/>
                <w:color w:val="auto"/>
              </w:rPr>
            </w:pPr>
          </w:p>
        </w:tc>
      </w:tr>
      <w:tr>
        <w:trPr>
          <w:trHeight w:val="128"/>
        </w:trPr>
        <w:tc>
          <w:tcPr>
            <w:tcW w:w="490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Loss from operations</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38"/>
              <w:spacing w:after="0" w:line="129" w:lineRule="exact"/>
              <w:rPr>
                <w:sz w:val="20"/>
                <w:szCs w:val="20"/>
                <w:color w:val="auto"/>
              </w:rPr>
            </w:pPr>
            <w:r>
              <w:rPr>
                <w:rFonts w:ascii="Arial" w:cs="Arial" w:eastAsia="Arial" w:hAnsi="Arial"/>
                <w:sz w:val="13"/>
                <w:szCs w:val="13"/>
                <w:b w:val="1"/>
                <w:bCs w:val="1"/>
                <w:color w:val="auto"/>
              </w:rPr>
              <w:t>(331,725)</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38"/>
              <w:spacing w:after="0" w:line="129" w:lineRule="exact"/>
              <w:rPr>
                <w:sz w:val="20"/>
                <w:szCs w:val="20"/>
                <w:color w:val="auto"/>
              </w:rPr>
            </w:pPr>
            <w:r>
              <w:rPr>
                <w:rFonts w:ascii="Arial" w:cs="Arial" w:eastAsia="Arial" w:hAnsi="Arial"/>
                <w:sz w:val="13"/>
                <w:szCs w:val="13"/>
                <w:b w:val="1"/>
                <w:bCs w:val="1"/>
                <w:color w:val="auto"/>
              </w:rPr>
              <w:t>(336,046)</w:t>
            </w:r>
          </w:p>
        </w:tc>
      </w:tr>
      <w:tr>
        <w:trPr>
          <w:trHeight w:val="135"/>
        </w:trPr>
        <w:tc>
          <w:tcPr>
            <w:tcW w:w="4900" w:type="dxa"/>
            <w:vAlign w:val="bottom"/>
          </w:tcPr>
          <w:p>
            <w:pPr>
              <w:spacing w:after="0" w:line="135" w:lineRule="exact"/>
              <w:rPr>
                <w:sz w:val="20"/>
                <w:szCs w:val="20"/>
                <w:color w:val="auto"/>
              </w:rPr>
            </w:pPr>
            <w:r>
              <w:rPr>
                <w:rFonts w:ascii="Arial" w:cs="Arial" w:eastAsia="Arial" w:hAnsi="Arial"/>
                <w:sz w:val="13"/>
                <w:szCs w:val="13"/>
                <w:color w:val="auto"/>
              </w:rPr>
              <w:t>Interest expense – net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5,634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11,299</w:t>
            </w:r>
          </w:p>
        </w:tc>
        <w:tc>
          <w:tcPr>
            <w:tcW w:w="120" w:type="dxa"/>
            <w:vAlign w:val="bottom"/>
          </w:tcPr>
          <w:p>
            <w:pPr>
              <w:spacing w:after="0"/>
              <w:rPr>
                <w:sz w:val="11"/>
                <w:szCs w:val="11"/>
                <w:color w:val="auto"/>
              </w:rPr>
            </w:pPr>
          </w:p>
        </w:tc>
      </w:tr>
      <w:tr>
        <w:trPr>
          <w:trHeight w:val="135"/>
        </w:trPr>
        <w:tc>
          <w:tcPr>
            <w:tcW w:w="49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Other income – net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38"/>
              <w:spacing w:after="0" w:line="135" w:lineRule="exact"/>
              <w:rPr>
                <w:sz w:val="20"/>
                <w:szCs w:val="20"/>
                <w:color w:val="auto"/>
              </w:rPr>
            </w:pPr>
            <w:r>
              <w:rPr>
                <w:rFonts w:ascii="Arial" w:cs="Arial" w:eastAsia="Arial" w:hAnsi="Arial"/>
                <w:sz w:val="13"/>
                <w:szCs w:val="13"/>
                <w:color w:val="auto"/>
              </w:rPr>
              <w:t>(150,197)</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38"/>
              <w:spacing w:after="0" w:line="135" w:lineRule="exact"/>
              <w:rPr>
                <w:sz w:val="20"/>
                <w:szCs w:val="20"/>
                <w:color w:val="auto"/>
              </w:rPr>
            </w:pPr>
            <w:r>
              <w:rPr>
                <w:rFonts w:ascii="Arial" w:cs="Arial" w:eastAsia="Arial" w:hAnsi="Arial"/>
                <w:sz w:val="13"/>
                <w:szCs w:val="13"/>
                <w:color w:val="auto"/>
              </w:rPr>
              <w:t>(154,351)</w:t>
            </w:r>
          </w:p>
        </w:tc>
      </w:tr>
      <w:tr>
        <w:trPr>
          <w:trHeight w:val="135"/>
        </w:trPr>
        <w:tc>
          <w:tcPr>
            <w:tcW w:w="4900" w:type="dxa"/>
            <w:vAlign w:val="bottom"/>
          </w:tcPr>
          <w:p>
            <w:pPr>
              <w:spacing w:after="0" w:line="135" w:lineRule="exact"/>
              <w:rPr>
                <w:sz w:val="20"/>
                <w:szCs w:val="20"/>
                <w:color w:val="auto"/>
              </w:rPr>
            </w:pPr>
            <w:r>
              <w:rPr>
                <w:rFonts w:ascii="Arial" w:cs="Arial" w:eastAsia="Arial" w:hAnsi="Arial"/>
                <w:sz w:val="13"/>
                <w:szCs w:val="13"/>
                <w:color w:val="auto"/>
              </w:rPr>
              <w:t>Loss on extinguishment of debt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801</w:t>
            </w:r>
          </w:p>
        </w:tc>
        <w:tc>
          <w:tcPr>
            <w:tcW w:w="120" w:type="dxa"/>
            <w:vAlign w:val="bottom"/>
          </w:tcPr>
          <w:p>
            <w:pPr>
              <w:spacing w:after="0"/>
              <w:rPr>
                <w:sz w:val="11"/>
                <w:szCs w:val="11"/>
                <w:color w:val="auto"/>
              </w:rPr>
            </w:pPr>
          </w:p>
        </w:tc>
      </w:tr>
      <w:tr>
        <w:trPr>
          <w:trHeight w:val="168"/>
        </w:trPr>
        <w:tc>
          <w:tcPr>
            <w:tcW w:w="490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Loss before income taxes</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17"/>
              <w:spacing w:after="0" w:line="115" w:lineRule="exact"/>
              <w:rPr>
                <w:sz w:val="20"/>
                <w:szCs w:val="20"/>
                <w:color w:val="auto"/>
              </w:rPr>
            </w:pPr>
            <w:r>
              <w:rPr>
                <w:rFonts w:ascii="Arial" w:cs="Arial" w:eastAsia="Arial" w:hAnsi="Arial"/>
                <w:sz w:val="13"/>
                <w:szCs w:val="13"/>
                <w:b w:val="1"/>
                <w:bCs w:val="1"/>
                <w:color w:val="auto"/>
                <w:w w:val="82"/>
              </w:rPr>
              <w:t>$</w:t>
            </w:r>
          </w:p>
        </w:tc>
        <w:tc>
          <w:tcPr>
            <w:tcW w:w="6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b w:val="1"/>
                <w:bCs w:val="1"/>
                <w:color w:val="auto"/>
              </w:rPr>
              <w:t>(187,162</w:t>
            </w:r>
          </w:p>
        </w:tc>
        <w:tc>
          <w:tcPr>
            <w:tcW w:w="12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77"/>
              <w:spacing w:after="0" w:line="115"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b w:val="1"/>
                <w:bCs w:val="1"/>
                <w:color w:val="auto"/>
                <w:w w:val="97"/>
              </w:rPr>
              <w:t>(193,795</w:t>
            </w:r>
          </w:p>
        </w:tc>
        <w:tc>
          <w:tcPr>
            <w:tcW w:w="12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8"/>
                <w:szCs w:val="8"/>
                <w:b w:val="1"/>
                <w:bCs w:val="1"/>
                <w:color w:val="auto"/>
                <w:w w:val="73"/>
              </w:rPr>
              <w:t>)</w:t>
            </w:r>
          </w:p>
        </w:tc>
      </w:tr>
      <w:tr>
        <w:trPr>
          <w:trHeight w:val="318"/>
        </w:trPr>
        <w:tc>
          <w:tcPr>
            <w:tcW w:w="4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gridSpan w:val="8"/>
          </w:tcPr>
          <w:p>
            <w:pPr>
              <w:jc w:val="right"/>
              <w:ind w:right="478"/>
              <w:spacing w:after="0"/>
              <w:rPr>
                <w:sz w:val="20"/>
                <w:szCs w:val="20"/>
                <w:color w:val="auto"/>
              </w:rPr>
            </w:pPr>
            <w:r>
              <w:rPr>
                <w:rFonts w:ascii="Arial" w:cs="Arial" w:eastAsia="Arial" w:hAnsi="Arial"/>
                <w:sz w:val="13"/>
                <w:szCs w:val="13"/>
                <w:b w:val="1"/>
                <w:bCs w:val="1"/>
                <w:color w:val="auto"/>
              </w:rPr>
              <w:t>Three Months Ended June 30, 2024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6"/>
          </w:tcPr>
          <w:p>
            <w:pPr>
              <w:jc w:val="right"/>
              <w:spacing w:after="0"/>
              <w:rPr>
                <w:sz w:val="20"/>
                <w:szCs w:val="20"/>
                <w:color w:val="auto"/>
              </w:rPr>
            </w:pPr>
            <w:r>
              <w:rPr>
                <w:rFonts w:ascii="Arial" w:cs="Arial" w:eastAsia="Arial" w:hAnsi="Arial"/>
                <w:sz w:val="13"/>
                <w:szCs w:val="13"/>
                <w:b w:val="1"/>
                <w:bCs w:val="1"/>
                <w:color w:val="auto"/>
              </w:rPr>
              <w:t>Six Months Ended June 30, 2024</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8"/>
        </w:trPr>
        <w:tc>
          <w:tcPr>
            <w:tcW w:w="4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95"/>
              </w:rPr>
              <w:t>Marketplace</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Resale</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8"/>
              </w:rPr>
              <w:t>Marketplace</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Resale</w:t>
            </w: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r>
      <w:tr>
        <w:trPr>
          <w:trHeight w:val="128"/>
        </w:trPr>
        <w:tc>
          <w:tcPr>
            <w:tcW w:w="490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Revenues</w:t>
            </w:r>
          </w:p>
        </w:tc>
        <w:tc>
          <w:tcPr>
            <w:tcW w:w="16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170,046</w:t>
            </w:r>
          </w:p>
        </w:tc>
        <w:tc>
          <w:tcPr>
            <w:tcW w:w="34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28,270</w:t>
            </w:r>
          </w:p>
        </w:tc>
        <w:tc>
          <w:tcPr>
            <w:tcW w:w="380" w:type="dxa"/>
            <w:vAlign w:val="bottom"/>
            <w:gridSpan w:val="2"/>
            <w:shd w:val="clear" w:color="auto" w:fill="CFF0FC"/>
          </w:tcPr>
          <w:p>
            <w:pPr>
              <w:jc w:val="right"/>
              <w:ind w:right="17"/>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198,316</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40"/>
              <w:spacing w:after="0" w:line="129" w:lineRule="exact"/>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330,058</w:t>
            </w:r>
          </w:p>
        </w:tc>
        <w:tc>
          <w:tcPr>
            <w:tcW w:w="36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59,110</w:t>
            </w:r>
          </w:p>
        </w:tc>
        <w:tc>
          <w:tcPr>
            <w:tcW w:w="460" w:type="dxa"/>
            <w:vAlign w:val="bottom"/>
            <w:gridSpan w:val="2"/>
            <w:shd w:val="clear" w:color="auto" w:fill="CFF0FC"/>
          </w:tcPr>
          <w:p>
            <w:pPr>
              <w:jc w:val="right"/>
              <w:ind w:right="77"/>
              <w:spacing w:after="0" w:line="129" w:lineRule="exact"/>
              <w:rPr>
                <w:sz w:val="20"/>
                <w:szCs w:val="20"/>
                <w:color w:val="auto"/>
              </w:rPr>
            </w:pPr>
            <w:r>
              <w:rPr>
                <w:rFonts w:ascii="Arial" w:cs="Arial" w:eastAsia="Arial" w:hAnsi="Arial"/>
                <w:sz w:val="13"/>
                <w:szCs w:val="13"/>
                <w:b w:val="1"/>
                <w:bCs w:val="1"/>
                <w:color w:val="auto"/>
              </w:rPr>
              <w:t>$</w:t>
            </w:r>
          </w:p>
        </w:tc>
        <w:tc>
          <w:tcPr>
            <w:tcW w:w="5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389,168</w:t>
            </w:r>
          </w:p>
        </w:tc>
        <w:tc>
          <w:tcPr>
            <w:tcW w:w="120" w:type="dxa"/>
            <w:vAlign w:val="bottom"/>
            <w:shd w:val="clear" w:color="auto" w:fill="CFF0FC"/>
          </w:tcPr>
          <w:p>
            <w:pPr>
              <w:spacing w:after="0"/>
              <w:rPr>
                <w:sz w:val="11"/>
                <w:szCs w:val="11"/>
                <w:color w:val="auto"/>
              </w:rPr>
            </w:pPr>
          </w:p>
        </w:tc>
      </w:tr>
      <w:tr>
        <w:trPr>
          <w:trHeight w:val="135"/>
        </w:trPr>
        <w:tc>
          <w:tcPr>
            <w:tcW w:w="4900" w:type="dxa"/>
            <w:vAlign w:val="bottom"/>
          </w:tcPr>
          <w:p>
            <w:pPr>
              <w:spacing w:after="0" w:line="135" w:lineRule="exact"/>
              <w:rPr>
                <w:sz w:val="20"/>
                <w:szCs w:val="20"/>
                <w:color w:val="auto"/>
              </w:rPr>
            </w:pPr>
            <w:r>
              <w:rPr>
                <w:rFonts w:ascii="Arial" w:cs="Arial" w:eastAsia="Arial" w:hAnsi="Arial"/>
                <w:sz w:val="13"/>
                <w:szCs w:val="13"/>
                <w:color w:val="auto"/>
                <w:w w:val="98"/>
              </w:rPr>
              <w:t>Cost of revenues (exclusive of depreciation and amortization shown separately below)</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25,163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23,602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48,765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51,304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47,044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98,348</w:t>
            </w:r>
          </w:p>
        </w:tc>
        <w:tc>
          <w:tcPr>
            <w:tcW w:w="120" w:type="dxa"/>
            <w:vAlign w:val="bottom"/>
          </w:tcPr>
          <w:p>
            <w:pPr>
              <w:spacing w:after="0"/>
              <w:rPr>
                <w:sz w:val="11"/>
                <w:szCs w:val="11"/>
                <w:color w:val="auto"/>
              </w:rPr>
            </w:pPr>
          </w:p>
        </w:tc>
      </w:tr>
      <w:tr>
        <w:trPr>
          <w:trHeight w:val="135"/>
        </w:trPr>
        <w:tc>
          <w:tcPr>
            <w:tcW w:w="49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Marketing and selling:</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4900" w:type="dxa"/>
            <w:vAlign w:val="bottom"/>
          </w:tcPr>
          <w:p>
            <w:pPr>
              <w:ind w:left="40"/>
              <w:spacing w:after="0" w:line="135" w:lineRule="exact"/>
              <w:rPr>
                <w:sz w:val="20"/>
                <w:szCs w:val="20"/>
                <w:color w:val="auto"/>
              </w:rPr>
            </w:pPr>
            <w:r>
              <w:rPr>
                <w:rFonts w:ascii="Arial" w:cs="Arial" w:eastAsia="Arial" w:hAnsi="Arial"/>
                <w:sz w:val="13"/>
                <w:szCs w:val="13"/>
                <w:color w:val="auto"/>
              </w:rPr>
              <w:t>Online advertising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63,905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63,905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125,811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125,811</w:t>
            </w:r>
          </w:p>
        </w:tc>
        <w:tc>
          <w:tcPr>
            <w:tcW w:w="120" w:type="dxa"/>
            <w:vAlign w:val="bottom"/>
          </w:tcPr>
          <w:p>
            <w:pPr>
              <w:spacing w:after="0"/>
              <w:rPr>
                <w:sz w:val="11"/>
                <w:szCs w:val="11"/>
                <w:color w:val="auto"/>
              </w:rPr>
            </w:pPr>
          </w:p>
        </w:tc>
      </w:tr>
      <w:tr>
        <w:trPr>
          <w:trHeight w:val="135"/>
        </w:trPr>
        <w:tc>
          <w:tcPr>
            <w:tcW w:w="4900" w:type="dxa"/>
            <w:vAlign w:val="bottom"/>
            <w:tcBorders>
              <w:bottom w:val="single" w:sz="8" w:color="CFF0FC"/>
            </w:tcBorders>
            <w:shd w:val="clear" w:color="auto" w:fill="CFF0FC"/>
          </w:tcPr>
          <w:p>
            <w:pPr>
              <w:ind w:left="40"/>
              <w:spacing w:after="0" w:line="135" w:lineRule="exact"/>
              <w:rPr>
                <w:sz w:val="20"/>
                <w:szCs w:val="20"/>
                <w:color w:val="auto"/>
              </w:rPr>
            </w:pPr>
            <w:r>
              <w:rPr>
                <w:rFonts w:ascii="Arial" w:cs="Arial" w:eastAsia="Arial" w:hAnsi="Arial"/>
                <w:sz w:val="13"/>
                <w:szCs w:val="13"/>
                <w:color w:val="auto"/>
              </w:rPr>
              <w:t>Offline advertising</w:t>
            </w: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6,209</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6,209</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12,050</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12,050</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9"/>
        </w:trPr>
        <w:tc>
          <w:tcPr>
            <w:tcW w:w="4900" w:type="dxa"/>
            <w:vAlign w:val="bottom"/>
          </w:tcPr>
          <w:p>
            <w:pPr>
              <w:ind w:left="80"/>
              <w:spacing w:after="0" w:line="129" w:lineRule="exact"/>
              <w:rPr>
                <w:sz w:val="20"/>
                <w:szCs w:val="20"/>
                <w:color w:val="auto"/>
              </w:rPr>
            </w:pPr>
            <w:r>
              <w:rPr>
                <w:rFonts w:ascii="Arial" w:cs="Arial" w:eastAsia="Arial" w:hAnsi="Arial"/>
                <w:sz w:val="13"/>
                <w:szCs w:val="13"/>
                <w:color w:val="auto"/>
              </w:rPr>
              <w:t>Total marketing and selling</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70,114</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70,114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137,861</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137,861</w:t>
            </w:r>
          </w:p>
        </w:tc>
        <w:tc>
          <w:tcPr>
            <w:tcW w:w="120" w:type="dxa"/>
            <w:vAlign w:val="bottom"/>
          </w:tcPr>
          <w:p>
            <w:pPr>
              <w:spacing w:after="0"/>
              <w:rPr>
                <w:sz w:val="11"/>
                <w:szCs w:val="11"/>
                <w:color w:val="auto"/>
              </w:rPr>
            </w:pPr>
          </w:p>
        </w:tc>
      </w:tr>
      <w:tr>
        <w:trPr>
          <w:trHeight w:val="128"/>
        </w:trPr>
        <w:tc>
          <w:tcPr>
            <w:tcW w:w="490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Contribution margin</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74,769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4,668</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79,437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140,893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12,066</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152,959</w:t>
            </w:r>
          </w:p>
        </w:tc>
        <w:tc>
          <w:tcPr>
            <w:tcW w:w="120" w:type="dxa"/>
            <w:vAlign w:val="bottom"/>
            <w:shd w:val="clear" w:color="auto" w:fill="CFF0FC"/>
          </w:tcPr>
          <w:p>
            <w:pPr>
              <w:spacing w:after="0"/>
              <w:rPr>
                <w:sz w:val="11"/>
                <w:szCs w:val="11"/>
                <w:color w:val="auto"/>
              </w:rPr>
            </w:pPr>
          </w:p>
        </w:tc>
      </w:tr>
      <w:tr>
        <w:trPr>
          <w:trHeight w:val="135"/>
        </w:trPr>
        <w:tc>
          <w:tcPr>
            <w:tcW w:w="4900" w:type="dxa"/>
            <w:vAlign w:val="bottom"/>
          </w:tcPr>
          <w:p>
            <w:pPr>
              <w:spacing w:after="0" w:line="135" w:lineRule="exact"/>
              <w:rPr>
                <w:sz w:val="20"/>
                <w:szCs w:val="20"/>
                <w:color w:val="auto"/>
              </w:rPr>
            </w:pPr>
            <w:r>
              <w:rPr>
                <w:rFonts w:ascii="Arial" w:cs="Arial" w:eastAsia="Arial" w:hAnsi="Arial"/>
                <w:sz w:val="13"/>
                <w:szCs w:val="13"/>
                <w:color w:val="auto"/>
              </w:rPr>
              <w:t>General and administrative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61,053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103,420</w:t>
            </w:r>
          </w:p>
        </w:tc>
        <w:tc>
          <w:tcPr>
            <w:tcW w:w="120" w:type="dxa"/>
            <w:vAlign w:val="bottom"/>
          </w:tcPr>
          <w:p>
            <w:pPr>
              <w:spacing w:after="0"/>
              <w:rPr>
                <w:sz w:val="11"/>
                <w:szCs w:val="11"/>
                <w:color w:val="auto"/>
              </w:rPr>
            </w:pPr>
          </w:p>
        </w:tc>
      </w:tr>
      <w:tr>
        <w:trPr>
          <w:trHeight w:val="135"/>
        </w:trPr>
        <w:tc>
          <w:tcPr>
            <w:tcW w:w="4900" w:type="dxa"/>
            <w:vAlign w:val="bottom"/>
            <w:tcBorders>
              <w:bottom w:val="single" w:sz="8" w:color="CFF0FC"/>
            </w:tcBorders>
            <w:shd w:val="clear" w:color="auto" w:fill="CFF0FC"/>
          </w:tcPr>
          <w:p>
            <w:pPr>
              <w:spacing w:after="0" w:line="135" w:lineRule="exact"/>
              <w:rPr>
                <w:sz w:val="20"/>
                <w:szCs w:val="20"/>
                <w:color w:val="auto"/>
              </w:rPr>
            </w:pPr>
            <w:r>
              <w:rPr>
                <w:rFonts w:ascii="Arial" w:cs="Arial" w:eastAsia="Arial" w:hAnsi="Arial"/>
                <w:sz w:val="13"/>
                <w:szCs w:val="13"/>
                <w:color w:val="auto"/>
              </w:rPr>
              <w:t>Depreciation and amortization</w:t>
            </w: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10,502</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20,985</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4900" w:type="dxa"/>
            <w:vAlign w:val="bottom"/>
          </w:tcPr>
          <w:p>
            <w:pPr>
              <w:spacing w:after="0" w:line="129" w:lineRule="exact"/>
              <w:rPr>
                <w:sz w:val="20"/>
                <w:szCs w:val="20"/>
                <w:color w:val="auto"/>
              </w:rPr>
            </w:pPr>
            <w:r>
              <w:rPr>
                <w:rFonts w:ascii="Arial" w:cs="Arial" w:eastAsia="Arial" w:hAnsi="Arial"/>
                <w:sz w:val="13"/>
                <w:szCs w:val="13"/>
                <w:b w:val="1"/>
                <w:bCs w:val="1"/>
                <w:color w:val="auto"/>
              </w:rPr>
              <w:t>Income from operations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7,882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28,554</w:t>
            </w:r>
          </w:p>
        </w:tc>
        <w:tc>
          <w:tcPr>
            <w:tcW w:w="120" w:type="dxa"/>
            <w:vAlign w:val="bottom"/>
          </w:tcPr>
          <w:p>
            <w:pPr>
              <w:spacing w:after="0"/>
              <w:rPr>
                <w:sz w:val="11"/>
                <w:szCs w:val="11"/>
                <w:color w:val="auto"/>
              </w:rPr>
            </w:pPr>
          </w:p>
        </w:tc>
      </w:tr>
      <w:tr>
        <w:trPr>
          <w:trHeight w:val="135"/>
        </w:trPr>
        <w:tc>
          <w:tcPr>
            <w:tcW w:w="49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Interest expense – net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5,324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10,406</w:t>
            </w:r>
          </w:p>
        </w:tc>
        <w:tc>
          <w:tcPr>
            <w:tcW w:w="120" w:type="dxa"/>
            <w:vAlign w:val="bottom"/>
            <w:shd w:val="clear" w:color="auto" w:fill="CFF0FC"/>
          </w:tcPr>
          <w:p>
            <w:pPr>
              <w:spacing w:after="0"/>
              <w:rPr>
                <w:sz w:val="11"/>
                <w:szCs w:val="11"/>
                <w:color w:val="auto"/>
              </w:rPr>
            </w:pPr>
          </w:p>
        </w:tc>
      </w:tr>
      <w:tr>
        <w:trPr>
          <w:trHeight w:val="135"/>
        </w:trPr>
        <w:tc>
          <w:tcPr>
            <w:tcW w:w="4900" w:type="dxa"/>
            <w:vAlign w:val="bottom"/>
          </w:tcPr>
          <w:p>
            <w:pPr>
              <w:spacing w:after="0" w:line="135" w:lineRule="exact"/>
              <w:rPr>
                <w:sz w:val="20"/>
                <w:szCs w:val="20"/>
                <w:color w:val="auto"/>
              </w:rPr>
            </w:pPr>
            <w:r>
              <w:rPr>
                <w:rFonts w:ascii="Arial" w:cs="Arial" w:eastAsia="Arial" w:hAnsi="Arial"/>
                <w:sz w:val="13"/>
                <w:szCs w:val="13"/>
                <w:color w:val="auto"/>
              </w:rPr>
              <w:t>Other expense – net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3,202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5,784</w:t>
            </w:r>
          </w:p>
        </w:tc>
        <w:tc>
          <w:tcPr>
            <w:tcW w:w="120" w:type="dxa"/>
            <w:vAlign w:val="bottom"/>
          </w:tcPr>
          <w:p>
            <w:pPr>
              <w:spacing w:after="0"/>
              <w:rPr>
                <w:sz w:val="11"/>
                <w:szCs w:val="11"/>
                <w:color w:val="auto"/>
              </w:rPr>
            </w:pPr>
          </w:p>
        </w:tc>
      </w:tr>
      <w:tr>
        <w:trPr>
          <w:trHeight w:val="169"/>
        </w:trPr>
        <w:tc>
          <w:tcPr>
            <w:tcW w:w="490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Income (loss) before income taxes</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17"/>
              <w:spacing w:after="0" w:line="115" w:lineRule="exact"/>
              <w:rPr>
                <w:sz w:val="20"/>
                <w:szCs w:val="20"/>
                <w:color w:val="auto"/>
              </w:rPr>
            </w:pPr>
            <w:r>
              <w:rPr>
                <w:rFonts w:ascii="Arial" w:cs="Arial" w:eastAsia="Arial" w:hAnsi="Arial"/>
                <w:sz w:val="13"/>
                <w:szCs w:val="13"/>
                <w:b w:val="1"/>
                <w:bCs w:val="1"/>
                <w:color w:val="auto"/>
                <w:w w:val="82"/>
              </w:rPr>
              <w:t>$</w:t>
            </w:r>
          </w:p>
        </w:tc>
        <w:tc>
          <w:tcPr>
            <w:tcW w:w="62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b w:val="1"/>
                <w:bCs w:val="1"/>
                <w:color w:val="auto"/>
              </w:rPr>
              <w:t>(644)</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77"/>
              <w:spacing w:after="0" w:line="115"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b w:val="1"/>
                <w:bCs w:val="1"/>
                <w:color w:val="auto"/>
              </w:rPr>
              <w:t>12,364</w:t>
            </w:r>
          </w:p>
        </w:tc>
        <w:tc>
          <w:tcPr>
            <w:tcW w:w="12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-2407920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-2407920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-2407920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-2407920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-2407920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-2407920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-1517015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-1499870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-1517015</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-1499870</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-745490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-745490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-745490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-745490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-745490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-745490</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-385445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-385445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sales occur and assets reside in the United States.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ccounts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eceivable</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major components of accounts receivable at June 30, 2025 and December 31, 2024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Uncollateralized payment processor obligations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27,584</w:t>
            </w:r>
          </w:p>
        </w:tc>
        <w:tc>
          <w:tcPr>
            <w:tcW w:w="5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28,740</w:t>
            </w:r>
          </w:p>
        </w:tc>
        <w:tc>
          <w:tcPr>
            <w:tcW w:w="10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Due from ticket sellers for cancellation charges</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7,980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6,835</w:t>
            </w:r>
          </w:p>
        </w:tc>
        <w:tc>
          <w:tcPr>
            <w:tcW w:w="100" w:type="dxa"/>
            <w:vAlign w:val="bottom"/>
          </w:tcPr>
          <w:p>
            <w:pPr>
              <w:spacing w:after="0"/>
              <w:rPr>
                <w:sz w:val="17"/>
                <w:szCs w:val="17"/>
                <w:color w:val="auto"/>
              </w:rPr>
            </w:pPr>
          </w:p>
        </w:tc>
      </w:tr>
      <w:tr>
        <w:trPr>
          <w:trHeight w:val="203"/>
        </w:trPr>
        <w:tc>
          <w:tcPr>
            <w:tcW w:w="7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Due from distribution partners for cancellation charges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14,026</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13,308</w:t>
            </w:r>
          </w:p>
        </w:tc>
        <w:tc>
          <w:tcPr>
            <w:tcW w:w="100" w:type="dxa"/>
            <w:vAlign w:val="bottom"/>
            <w:shd w:val="clear" w:color="auto" w:fill="CFF0FC"/>
          </w:tcPr>
          <w:p>
            <w:pPr>
              <w:spacing w:after="0"/>
              <w:rPr>
                <w:sz w:val="17"/>
                <w:szCs w:val="17"/>
                <w:color w:val="auto"/>
              </w:rPr>
            </w:pPr>
          </w:p>
        </w:tc>
      </w:tr>
      <w:tr>
        <w:trPr>
          <w:trHeight w:val="184"/>
        </w:trPr>
        <w:tc>
          <w:tcPr>
            <w:tcW w:w="7300" w:type="dxa"/>
            <w:vAlign w:val="bottom"/>
          </w:tcPr>
          <w:p>
            <w:pPr>
              <w:spacing w:after="0" w:line="183" w:lineRule="exact"/>
              <w:rPr>
                <w:sz w:val="20"/>
                <w:szCs w:val="20"/>
                <w:color w:val="auto"/>
              </w:rPr>
            </w:pPr>
            <w:r>
              <w:rPr>
                <w:rFonts w:ascii="Arial" w:cs="Arial" w:eastAsia="Arial" w:hAnsi="Arial"/>
                <w:sz w:val="18"/>
                <w:szCs w:val="18"/>
                <w:color w:val="auto"/>
              </w:rPr>
              <w:t>Event insurance and other commissions receivable</w:t>
            </w:r>
          </w:p>
        </w:tc>
        <w:tc>
          <w:tcPr>
            <w:tcW w:w="260" w:type="dxa"/>
            <w:vAlign w:val="bottom"/>
          </w:tcPr>
          <w:p>
            <w:pPr>
              <w:spacing w:after="0"/>
              <w:rPr>
                <w:sz w:val="15"/>
                <w:szCs w:val="15"/>
                <w:color w:val="auto"/>
              </w:rPr>
            </w:pPr>
          </w:p>
        </w:tc>
        <w:tc>
          <w:tcPr>
            <w:tcW w:w="1320" w:type="dxa"/>
            <w:vAlign w:val="bottom"/>
          </w:tcPr>
          <w:p>
            <w:pPr>
              <w:jc w:val="right"/>
              <w:spacing w:after="0" w:line="183" w:lineRule="exact"/>
              <w:rPr>
                <w:sz w:val="20"/>
                <w:szCs w:val="20"/>
                <w:color w:val="auto"/>
              </w:rPr>
            </w:pPr>
            <w:r>
              <w:rPr>
                <w:rFonts w:ascii="Arial" w:cs="Arial" w:eastAsia="Arial" w:hAnsi="Arial"/>
                <w:sz w:val="18"/>
                <w:szCs w:val="18"/>
                <w:color w:val="auto"/>
              </w:rPr>
              <w:t>4,256</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8"/>
                <w:szCs w:val="18"/>
                <w:color w:val="auto"/>
              </w:rPr>
              <w:t>4,980</w:t>
            </w:r>
          </w:p>
        </w:tc>
        <w:tc>
          <w:tcPr>
            <w:tcW w:w="100" w:type="dxa"/>
            <w:vAlign w:val="bottom"/>
          </w:tcPr>
          <w:p>
            <w:pPr>
              <w:spacing w:after="0"/>
              <w:rPr>
                <w:sz w:val="15"/>
                <w:szCs w:val="15"/>
                <w:color w:val="auto"/>
              </w:rPr>
            </w:pPr>
          </w:p>
        </w:tc>
      </w:tr>
      <w:tr>
        <w:trPr>
          <w:trHeight w:val="221"/>
        </w:trPr>
        <w:tc>
          <w:tcPr>
            <w:tcW w:w="7300" w:type="dxa"/>
            <w:vAlign w:val="bottom"/>
          </w:tcPr>
          <w:p>
            <w:pPr>
              <w:spacing w:after="0"/>
              <w:rPr>
                <w:sz w:val="20"/>
                <w:szCs w:val="20"/>
                <w:color w:val="auto"/>
              </w:rPr>
            </w:pPr>
            <w:r>
              <w:rPr>
                <w:rFonts w:ascii="Arial" w:cs="Arial" w:eastAsia="Arial" w:hAnsi="Arial"/>
                <w:sz w:val="18"/>
                <w:szCs w:val="18"/>
                <w:color w:val="auto"/>
              </w:rPr>
              <w:t>Other trade receivables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8,133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6,437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7300" w:type="dxa"/>
            <w:vAlign w:val="bottom"/>
          </w:tcPr>
          <w:p>
            <w:pPr>
              <w:spacing w:after="0" w:line="196" w:lineRule="exact"/>
              <w:rPr>
                <w:sz w:val="20"/>
                <w:szCs w:val="20"/>
                <w:color w:val="auto"/>
              </w:rPr>
            </w:pPr>
            <w:r>
              <w:rPr>
                <w:rFonts w:ascii="Arial" w:cs="Arial" w:eastAsia="Arial" w:hAnsi="Arial"/>
                <w:sz w:val="18"/>
                <w:szCs w:val="18"/>
                <w:b w:val="1"/>
                <w:bCs w:val="1"/>
                <w:color w:val="auto"/>
              </w:rPr>
              <w:t>Accounts receivable</w:t>
            </w:r>
          </w:p>
        </w:tc>
        <w:tc>
          <w:tcPr>
            <w:tcW w:w="5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61,979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60,300</w:t>
            </w:r>
          </w:p>
        </w:tc>
        <w:tc>
          <w:tcPr>
            <w:tcW w:w="100" w:type="dxa"/>
            <w:vAlign w:val="bottom"/>
          </w:tcPr>
          <w:p>
            <w:pPr>
              <w:spacing w:after="0"/>
              <w:rPr>
                <w:sz w:val="17"/>
                <w:szCs w:val="17"/>
                <w:color w:val="auto"/>
              </w:rPr>
            </w:pPr>
          </w:p>
        </w:tc>
      </w:tr>
      <w:tr>
        <w:trPr>
          <w:trHeight w:val="203"/>
        </w:trPr>
        <w:tc>
          <w:tcPr>
            <w:tcW w:w="7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allowance for credit losses</w:t>
            </w:r>
          </w:p>
        </w:tc>
        <w:tc>
          <w:tcPr>
            <w:tcW w:w="5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(12,449)</w:t>
            </w: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(11,985)</w:t>
            </w:r>
          </w:p>
        </w:tc>
      </w:tr>
      <w:tr>
        <w:trPr>
          <w:trHeight w:val="196"/>
        </w:trPr>
        <w:tc>
          <w:tcPr>
            <w:tcW w:w="73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Accounts receivable – net</w:t>
            </w:r>
          </w:p>
        </w:tc>
        <w:tc>
          <w:tcPr>
            <w:tcW w:w="52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49,530</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48,315</w:t>
            </w:r>
          </w:p>
        </w:tc>
        <w:tc>
          <w:tcPr>
            <w:tcW w:w="100" w:type="dxa"/>
            <w:vAlign w:val="bottom"/>
            <w:tcBorders>
              <w:top w:val="single" w:sz="8" w:color="CFF0FC"/>
            </w:tcBorders>
          </w:tcPr>
          <w:p>
            <w:pPr>
              <w:spacing w:after="0"/>
              <w:rPr>
                <w:sz w:val="17"/>
                <w:szCs w:val="17"/>
                <w:color w:val="auto"/>
              </w:rPr>
            </w:pPr>
          </w:p>
        </w:tc>
      </w:tr>
      <w:tr>
        <w:trPr>
          <w:trHeight w:val="20"/>
        </w:trPr>
        <w:tc>
          <w:tcPr>
            <w:tcW w:w="7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-162560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Accounts receivable is recorded net of our allowance for credit losses. As of June 30, 2025 and December 31, 2024, we had recorded a cumulative allowance for credit losses of $12.4 million and $12.0 million, respectively, to reflect potential challenges in collecting funds from distribution partners and ticket sellers, particularly for amounts due upon usage of store credit previously issued to buyers. The allowance for credit losses increased between December 31, 2024 and June 30, 2025 primarily due to an increase in amounts due from distribution partners that are unlikely to be collected based on actual store credit usage.</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wrote off $0.1 million for uncollectible accounts receivable balances during the three and six months ended June 30, 2025. There were no write offs for uncollectible accounts receivable balances during the three and six months ended June 30, 2024.</w:t>
      </w:r>
    </w:p>
    <w:p>
      <w:pPr>
        <w:spacing w:after="0" w:line="46"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repaid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urrent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major components of prepaid expenses and other current assets at June 30, 2025 and December 31, 2024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Recovery of future customer compensation</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17,221</w:t>
            </w:r>
          </w:p>
        </w:tc>
        <w:tc>
          <w:tcPr>
            <w:tcW w:w="5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20,335</w:t>
            </w:r>
          </w:p>
        </w:tc>
        <w:tc>
          <w:tcPr>
            <w:tcW w:w="100" w:type="dxa"/>
            <w:vAlign w:val="bottom"/>
            <w:shd w:val="clear" w:color="auto" w:fill="CFF0FC"/>
          </w:tcPr>
          <w:p>
            <w:pPr>
              <w:spacing w:after="0"/>
              <w:rPr>
                <w:sz w:val="17"/>
                <w:szCs w:val="17"/>
                <w:color w:val="auto"/>
              </w:rPr>
            </w:pP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8,243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7,388</w:t>
            </w:r>
          </w:p>
        </w:tc>
        <w:tc>
          <w:tcPr>
            <w:tcW w:w="100" w:type="dxa"/>
            <w:vAlign w:val="bottom"/>
          </w:tcPr>
          <w:p>
            <w:pPr>
              <w:spacing w:after="0"/>
              <w:rPr>
                <w:sz w:val="17"/>
                <w:szCs w:val="17"/>
                <w:color w:val="auto"/>
              </w:rPr>
            </w:pPr>
          </w:p>
        </w:tc>
      </w:tr>
      <w:tr>
        <w:trPr>
          <w:trHeight w:val="203"/>
        </w:trPr>
        <w:tc>
          <w:tcPr>
            <w:tcW w:w="72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3,332</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20" w:type="dxa"/>
            <w:vAlign w:val="bottom"/>
          </w:tcPr>
          <w:p>
            <w:pPr>
              <w:spacing w:after="0" w:line="182" w:lineRule="exact"/>
              <w:rPr>
                <w:sz w:val="20"/>
                <w:szCs w:val="20"/>
                <w:color w:val="auto"/>
              </w:rPr>
            </w:pPr>
            <w:r>
              <w:rPr>
                <w:rFonts w:ascii="Arial" w:cs="Arial" w:eastAsia="Arial" w:hAnsi="Arial"/>
                <w:sz w:val="18"/>
                <w:szCs w:val="18"/>
                <w:b w:val="1"/>
                <w:bCs w:val="1"/>
                <w:color w:val="auto"/>
              </w:rPr>
              <w:t>Prepaid expenses and other current assets</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28,796</w:t>
            </w:r>
          </w:p>
        </w:tc>
        <w:tc>
          <w:tcPr>
            <w:tcW w:w="560" w:type="dxa"/>
            <w:vAlign w:val="bottom"/>
            <w:gridSpan w:val="2"/>
          </w:tcPr>
          <w:p>
            <w:pPr>
              <w:jc w:val="right"/>
              <w:ind w:right="160"/>
              <w:spacing w:after="0" w:line="182" w:lineRule="exact"/>
              <w:rPr>
                <w:sz w:val="20"/>
                <w:szCs w:val="20"/>
                <w:color w:val="auto"/>
              </w:rPr>
            </w:pPr>
            <w:r>
              <w:rPr>
                <w:rFonts w:ascii="Arial" w:cs="Arial" w:eastAsia="Arial" w:hAnsi="Arial"/>
                <w:sz w:val="18"/>
                <w:szCs w:val="18"/>
                <w:b w:val="1"/>
                <w:bCs w:val="1"/>
                <w:color w:val="auto"/>
              </w:rPr>
              <w:t>$</w:t>
            </w:r>
          </w:p>
        </w:tc>
        <w:tc>
          <w:tcPr>
            <w:tcW w:w="17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32,607</w:t>
            </w:r>
          </w:p>
        </w:tc>
        <w:tc>
          <w:tcPr>
            <w:tcW w:w="100" w:type="dxa"/>
            <w:vAlign w:val="bottom"/>
          </w:tcPr>
          <w:p>
            <w:pPr>
              <w:spacing w:after="0"/>
              <w:rPr>
                <w:sz w:val="17"/>
                <w:szCs w:val="17"/>
                <w:color w:val="auto"/>
              </w:rPr>
            </w:pPr>
          </w:p>
        </w:tc>
      </w:tr>
      <w:tr>
        <w:trPr>
          <w:trHeight w:val="20"/>
        </w:trPr>
        <w:tc>
          <w:tcPr>
            <w:tcW w:w="7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-162560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Recovery of future customer compensation represents expected recoveries of compensation to be paid to customers for event cancellations or other service issues related to previously recorded sales transactions. Recovery of future customer compensation costs decreased by $3.1 million between December 31, 2024 and June 30, 2025 primarily due to a decrease in estimated future event cancellations. A related provision for expected compensation to customers is recorded in Accrued expenses and other current liabilities in the Condensed Consolidated Balance Sheets.</w:t>
      </w:r>
    </w:p>
    <w:p>
      <w:pPr>
        <w:spacing w:after="0" w:line="68"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oodwill</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ssets</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 Net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Goodwill, which derives from business combinations, is recorded net of foreign currency translation adjustments and accumulated impairment charges. Since our goodwill entirely relates to our Marketplace segment, there is only one reporting unit (the “Marketplace Reporting Unit”) that is relevant for the purpose of performing impairment assessments.</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At June 30, 2025, we performed a qualitative impairment assessment to determine if it was more likely than not that the fair value of the Marketplace Reporting Unit was less than its carrying value by evaluating relevant events and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circumstances. After considering recent declines in our financial performance, near-term outlook, and Class A common stock price, among other factors, we concluded that it was no longer more likely than not that the fair value of the Marketplace Reporting Unit exceeded its carrying value as of June 30, 2025. As a result, a triggering event had occurred and we performed a quantitative goodwill impairment test.</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fair value of goodwill in the impairment test was determined using a combination of an income approach, which estimates fair value based upon projections of future revenues, expenses, and cash flows discounted to their respective present values, and a market approach. The valuation methodology and underlying financial information included in our determination of fair value required significant judgments by management. The principal assumptions used in our discounted cash flow analysis were (i) long-term projections of our financial performance and (ii) the weighted-average cost of capital of market participants, adjusted for the risk attributable to our business and the industry in which we operate. Under the market approach, the principal assumption included an estimate of a market based multiple to determine estimated fair value.</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Based on our impairment analysis, we determined that the estimated fair value of the Marketplace Reporting Unit was lower than its carrying value, indicating that the goodwill within the Marketplace Reporting Unit had been impaired. Consequently, we recognized a non-cash impairment expense of $297.4 million related to our goodwill during the three and six months ended June 30, 2025, which is recorded in Impairment charges in the Consolidated Statements of Operations. The following table summarizes the change in the carrying amount of our goodwill during the six months ended June 30, 2025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goodwill balance at December 31, 2024</w:t>
            </w: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1,320,219</w:t>
            </w:r>
          </w:p>
        </w:tc>
        <w:tc>
          <w:tcPr>
            <w:tcW w:w="100" w:type="dxa"/>
            <w:vAlign w:val="bottom"/>
            <w:shd w:val="clear" w:color="auto" w:fill="CFF0FC"/>
          </w:tcPr>
          <w:p>
            <w:pPr>
              <w:spacing w:after="0"/>
              <w:rPr>
                <w:sz w:val="17"/>
                <w:szCs w:val="17"/>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Accumulated impairment charges</w:t>
            </w:r>
          </w:p>
        </w:tc>
        <w:tc>
          <w:tcPr>
            <w:tcW w:w="700" w:type="dxa"/>
            <w:vAlign w:val="bottom"/>
          </w:tcPr>
          <w:p>
            <w:pPr>
              <w:spacing w:after="0"/>
              <w:rPr>
                <w:sz w:val="17"/>
                <w:szCs w:val="17"/>
                <w:color w:val="auto"/>
              </w:rPr>
            </w:pPr>
          </w:p>
        </w:tc>
        <w:tc>
          <w:tcPr>
            <w:tcW w:w="1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(377,100)</w:t>
            </w:r>
          </w:p>
        </w:tc>
      </w:tr>
      <w:tr>
        <w:trPr>
          <w:trHeight w:val="196"/>
        </w:trPr>
        <w:tc>
          <w:tcPr>
            <w:tcW w:w="90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Goodwill – net balance at December 31, 2024</w:t>
            </w:r>
          </w:p>
        </w:tc>
        <w:tc>
          <w:tcPr>
            <w:tcW w:w="70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943,119</w:t>
            </w:r>
          </w:p>
        </w:tc>
        <w:tc>
          <w:tcPr>
            <w:tcW w:w="100" w:type="dxa"/>
            <w:vAlign w:val="bottom"/>
            <w:shd w:val="clear" w:color="auto" w:fill="CFF0FC"/>
          </w:tcPr>
          <w:p>
            <w:pPr>
              <w:spacing w:after="0"/>
              <w:rPr>
                <w:sz w:val="17"/>
                <w:szCs w:val="17"/>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7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3,711</w:t>
            </w:r>
          </w:p>
        </w:tc>
        <w:tc>
          <w:tcPr>
            <w:tcW w:w="100" w:type="dxa"/>
            <w:vAlign w:val="bottom"/>
          </w:tcPr>
          <w:p>
            <w:pPr>
              <w:spacing w:after="0"/>
              <w:rPr>
                <w:sz w:val="17"/>
                <w:szCs w:val="17"/>
                <w:color w:val="auto"/>
              </w:rPr>
            </w:pPr>
          </w:p>
        </w:tc>
      </w:tr>
      <w:tr>
        <w:trPr>
          <w:trHeight w:val="203"/>
        </w:trPr>
        <w:tc>
          <w:tcPr>
            <w:tcW w:w="9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Impairment charges</w:t>
            </w:r>
          </w:p>
        </w:tc>
        <w:tc>
          <w:tcPr>
            <w:tcW w:w="7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(297,412)</w:t>
            </w:r>
          </w:p>
        </w:tc>
      </w:tr>
      <w:tr>
        <w:trPr>
          <w:trHeight w:val="196"/>
        </w:trPr>
        <w:tc>
          <w:tcPr>
            <w:tcW w:w="90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Goodwill – net balance at June 30, 2025</w:t>
            </w:r>
          </w:p>
        </w:tc>
        <w:tc>
          <w:tcPr>
            <w:tcW w:w="70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649,418</w:t>
            </w:r>
          </w:p>
        </w:tc>
        <w:tc>
          <w:tcPr>
            <w:tcW w:w="100" w:type="dxa"/>
            <w:vAlign w:val="bottom"/>
            <w:tcBorders>
              <w:top w:val="single" w:sz="8" w:color="CFF0FC"/>
            </w:tcBorders>
          </w:tcPr>
          <w:p>
            <w:pPr>
              <w:spacing w:after="0"/>
              <w:rPr>
                <w:sz w:val="17"/>
                <w:szCs w:val="17"/>
                <w:color w:val="auto"/>
              </w:rPr>
            </w:pPr>
          </w:p>
        </w:tc>
      </w:tr>
      <w:tr>
        <w:trPr>
          <w:trHeight w:val="20"/>
        </w:trPr>
        <w:tc>
          <w:tcPr>
            <w:tcW w:w="9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June 30, 2025 and December 31, 2024, accumulated impairment charges related to our goodwill were $674.5 million and $377.1 million, respectively.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 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major classes of intangible assets at June 30, 2025 and December 31, 2024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7"/>
                <w:szCs w:val="17"/>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5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Definite-lived intangible assets</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Supplier relationships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57,123</w:t>
            </w:r>
          </w:p>
        </w:tc>
        <w:tc>
          <w:tcPr>
            <w:tcW w:w="3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57,123</w:t>
            </w:r>
          </w:p>
        </w:tc>
        <w:tc>
          <w:tcPr>
            <w:tcW w:w="100" w:type="dxa"/>
            <w:vAlign w:val="bottom"/>
          </w:tcPr>
          <w:p>
            <w:pPr>
              <w:spacing w:after="0"/>
              <w:rPr>
                <w:sz w:val="17"/>
                <w:szCs w:val="17"/>
                <w:color w:val="auto"/>
              </w:rPr>
            </w:pPr>
          </w:p>
        </w:tc>
      </w:tr>
      <w:tr>
        <w:trPr>
          <w:trHeight w:val="203"/>
        </w:trPr>
        <w:tc>
          <w:tcPr>
            <w:tcW w:w="75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34,620</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34,620</w:t>
            </w:r>
          </w:p>
        </w:tc>
        <w:tc>
          <w:tcPr>
            <w:tcW w:w="100" w:type="dxa"/>
            <w:vAlign w:val="bottom"/>
            <w:shd w:val="clear" w:color="auto" w:fill="CFF0FC"/>
          </w:tcPr>
          <w:p>
            <w:pPr>
              <w:spacing w:after="0"/>
              <w:rPr>
                <w:sz w:val="17"/>
                <w:szCs w:val="17"/>
                <w:color w:val="auto"/>
              </w:rPr>
            </w:pPr>
          </w:p>
        </w:tc>
      </w:tr>
      <w:tr>
        <w:trPr>
          <w:trHeight w:val="203"/>
        </w:trPr>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Acquired developed technology</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29,240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29,240</w:t>
            </w:r>
          </w:p>
        </w:tc>
        <w:tc>
          <w:tcPr>
            <w:tcW w:w="100" w:type="dxa"/>
            <w:vAlign w:val="bottom"/>
          </w:tcPr>
          <w:p>
            <w:pPr>
              <w:spacing w:after="0"/>
              <w:rPr>
                <w:sz w:val="17"/>
                <w:szCs w:val="17"/>
                <w:color w:val="auto"/>
              </w:rPr>
            </w:pPr>
          </w:p>
        </w:tc>
      </w:tr>
      <w:tr>
        <w:trPr>
          <w:trHeight w:val="203"/>
        </w:trPr>
        <w:tc>
          <w:tcPr>
            <w:tcW w:w="75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Capitalized development costs</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56,528</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46,293</w:t>
            </w:r>
          </w:p>
        </w:tc>
        <w:tc>
          <w:tcPr>
            <w:tcW w:w="100" w:type="dxa"/>
            <w:vAlign w:val="bottom"/>
            <w:shd w:val="clear" w:color="auto" w:fill="CFF0FC"/>
          </w:tcPr>
          <w:p>
            <w:pPr>
              <w:spacing w:after="0"/>
              <w:rPr>
                <w:sz w:val="17"/>
                <w:szCs w:val="17"/>
                <w:color w:val="auto"/>
              </w:rPr>
            </w:pPr>
          </w:p>
        </w:tc>
      </w:tr>
      <w:tr>
        <w:trPr>
          <w:trHeight w:val="203"/>
        </w:trPr>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Capitalized development costs – work in progress</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5,421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6,839</w:t>
            </w:r>
          </w:p>
        </w:tc>
        <w:tc>
          <w:tcPr>
            <w:tcW w:w="100" w:type="dxa"/>
            <w:vAlign w:val="bottom"/>
          </w:tcPr>
          <w:p>
            <w:pPr>
              <w:spacing w:after="0"/>
              <w:rPr>
                <w:sz w:val="17"/>
                <w:szCs w:val="17"/>
                <w:color w:val="auto"/>
              </w:rPr>
            </w:pPr>
          </w:p>
        </w:tc>
      </w:tr>
      <w:tr>
        <w:trPr>
          <w:trHeight w:val="203"/>
        </w:trPr>
        <w:tc>
          <w:tcPr>
            <w:tcW w:w="75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Acquired Domain Name</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17,348</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17,348</w:t>
            </w:r>
          </w:p>
        </w:tc>
        <w:tc>
          <w:tcPr>
            <w:tcW w:w="100" w:type="dxa"/>
            <w:vAlign w:val="bottom"/>
            <w:shd w:val="clear" w:color="auto" w:fill="CFF0FC"/>
          </w:tcPr>
          <w:p>
            <w:pPr>
              <w:spacing w:after="0"/>
              <w:rPr>
                <w:sz w:val="17"/>
                <w:szCs w:val="17"/>
                <w:color w:val="auto"/>
              </w:rPr>
            </w:pPr>
          </w:p>
        </w:tc>
      </w:tr>
      <w:tr>
        <w:trPr>
          <w:trHeight w:val="203"/>
        </w:trPr>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Seat images</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668</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347</w:t>
            </w:r>
          </w:p>
        </w:tc>
        <w:tc>
          <w:tcPr>
            <w:tcW w:w="100" w:type="dxa"/>
            <w:vAlign w:val="bottom"/>
          </w:tcPr>
          <w:p>
            <w:pPr>
              <w:spacing w:after="0"/>
              <w:rPr>
                <w:sz w:val="17"/>
                <w:szCs w:val="17"/>
                <w:color w:val="auto"/>
              </w:rPr>
            </w:pPr>
          </w:p>
        </w:tc>
      </w:tr>
      <w:tr>
        <w:trPr>
          <w:trHeight w:val="203"/>
        </w:trPr>
        <w:tc>
          <w:tcPr>
            <w:tcW w:w="75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720</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(1,891)</w:t>
            </w:r>
          </w:p>
        </w:tc>
      </w:tr>
      <w:tr>
        <w:trPr>
          <w:trHeight w:val="196"/>
        </w:trPr>
        <w:tc>
          <w:tcPr>
            <w:tcW w:w="7520" w:type="dxa"/>
            <w:vAlign w:val="bottom"/>
            <w:tcBorders>
              <w:top w:val="single" w:sz="8" w:color="CFF0FC"/>
            </w:tcBorders>
          </w:tcPr>
          <w:p>
            <w:pPr>
              <w:ind w:left="140"/>
              <w:spacing w:after="0" w:line="196" w:lineRule="exact"/>
              <w:rPr>
                <w:sz w:val="20"/>
                <w:szCs w:val="20"/>
                <w:color w:val="auto"/>
              </w:rPr>
            </w:pPr>
            <w:r>
              <w:rPr>
                <w:rFonts w:ascii="Arial" w:cs="Arial" w:eastAsia="Arial" w:hAnsi="Arial"/>
                <w:sz w:val="18"/>
                <w:szCs w:val="18"/>
                <w:b w:val="1"/>
                <w:bCs w:val="1"/>
                <w:color w:val="auto"/>
              </w:rPr>
              <w:t>Total gross book value</w:t>
            </w:r>
          </w:p>
        </w:tc>
        <w:tc>
          <w:tcPr>
            <w:tcW w:w="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201,668</w:t>
            </w:r>
          </w:p>
        </w:tc>
        <w:tc>
          <w:tcPr>
            <w:tcW w:w="3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189,919</w:t>
            </w:r>
          </w:p>
        </w:tc>
        <w:tc>
          <w:tcPr>
            <w:tcW w:w="100" w:type="dxa"/>
            <w:vAlign w:val="bottom"/>
            <w:tcBorders>
              <w:top w:val="single" w:sz="8" w:color="CFF0FC"/>
            </w:tcBorders>
          </w:tcPr>
          <w:p>
            <w:pPr>
              <w:spacing w:after="0"/>
              <w:rPr>
                <w:sz w:val="17"/>
                <w:szCs w:val="17"/>
                <w:color w:val="auto"/>
              </w:rPr>
            </w:pPr>
          </w:p>
        </w:tc>
      </w:tr>
      <w:tr>
        <w:trPr>
          <w:trHeight w:val="203"/>
        </w:trPr>
        <w:tc>
          <w:tcPr>
            <w:tcW w:w="75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Less: accumulated amortization</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Supplier relationships</w:t>
            </w:r>
          </w:p>
        </w:tc>
        <w:tc>
          <w:tcPr>
            <w:tcW w:w="280" w:type="dxa"/>
            <w:vAlign w:val="bottom"/>
          </w:tcPr>
          <w:p>
            <w:pPr>
              <w:spacing w:after="0"/>
              <w:rPr>
                <w:sz w:val="17"/>
                <w:szCs w:val="17"/>
                <w:color w:val="auto"/>
              </w:rPr>
            </w:pPr>
          </w:p>
        </w:tc>
        <w:tc>
          <w:tcPr>
            <w:tcW w:w="1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(22,686)</w:t>
            </w:r>
          </w:p>
        </w:tc>
        <w:tc>
          <w:tcPr>
            <w:tcW w:w="180" w:type="dxa"/>
            <w:vAlign w:val="bottom"/>
          </w:tcPr>
          <w:p>
            <w:pPr>
              <w:spacing w:after="0"/>
              <w:rPr>
                <w:sz w:val="17"/>
                <w:szCs w:val="17"/>
                <w:color w:val="auto"/>
              </w:rPr>
            </w:pPr>
          </w:p>
        </w:tc>
        <w:tc>
          <w:tcPr>
            <w:tcW w:w="1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(16,048)</w:t>
            </w:r>
          </w:p>
        </w:tc>
      </w:tr>
      <w:tr>
        <w:trPr>
          <w:trHeight w:val="203"/>
        </w:trPr>
        <w:tc>
          <w:tcPr>
            <w:tcW w:w="75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(19,338)</w:t>
            </w:r>
          </w:p>
        </w:tc>
        <w:tc>
          <w:tcPr>
            <w:tcW w:w="1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(14,053)</w:t>
            </w:r>
          </w:p>
        </w:tc>
      </w:tr>
      <w:tr>
        <w:trPr>
          <w:trHeight w:val="203"/>
        </w:trPr>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Acquired developed technology</w:t>
            </w:r>
          </w:p>
        </w:tc>
        <w:tc>
          <w:tcPr>
            <w:tcW w:w="280" w:type="dxa"/>
            <w:vAlign w:val="bottom"/>
          </w:tcPr>
          <w:p>
            <w:pPr>
              <w:spacing w:after="0"/>
              <w:rPr>
                <w:sz w:val="17"/>
                <w:szCs w:val="17"/>
                <w:color w:val="auto"/>
              </w:rPr>
            </w:pPr>
          </w:p>
        </w:tc>
        <w:tc>
          <w:tcPr>
            <w:tcW w:w="1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(13,782)</w:t>
            </w:r>
          </w:p>
        </w:tc>
        <w:tc>
          <w:tcPr>
            <w:tcW w:w="180" w:type="dxa"/>
            <w:vAlign w:val="bottom"/>
          </w:tcPr>
          <w:p>
            <w:pPr>
              <w:spacing w:after="0"/>
              <w:rPr>
                <w:sz w:val="17"/>
                <w:szCs w:val="17"/>
                <w:color w:val="auto"/>
              </w:rPr>
            </w:pPr>
          </w:p>
        </w:tc>
        <w:tc>
          <w:tcPr>
            <w:tcW w:w="1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(10,025)</w:t>
            </w:r>
          </w:p>
        </w:tc>
      </w:tr>
      <w:tr>
        <w:trPr>
          <w:trHeight w:val="203"/>
        </w:trPr>
        <w:tc>
          <w:tcPr>
            <w:tcW w:w="75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Capitalized development costs</w:t>
            </w:r>
          </w:p>
        </w:tc>
        <w:tc>
          <w:tcPr>
            <w:tcW w:w="2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(33,980)</w:t>
            </w:r>
          </w:p>
        </w:tc>
        <w:tc>
          <w:tcPr>
            <w:tcW w:w="1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(27,325)</w:t>
            </w:r>
          </w:p>
        </w:tc>
      </w:tr>
      <w:tr>
        <w:trPr>
          <w:trHeight w:val="203"/>
        </w:trPr>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Acquired Domain Name</w:t>
            </w:r>
          </w:p>
        </w:tc>
        <w:tc>
          <w:tcPr>
            <w:tcW w:w="280" w:type="dxa"/>
            <w:vAlign w:val="bottom"/>
          </w:tcPr>
          <w:p>
            <w:pPr>
              <w:spacing w:after="0"/>
              <w:rPr>
                <w:sz w:val="17"/>
                <w:szCs w:val="17"/>
                <w:color w:val="auto"/>
              </w:rPr>
            </w:pPr>
          </w:p>
        </w:tc>
        <w:tc>
          <w:tcPr>
            <w:tcW w:w="1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(738)</w:t>
            </w:r>
          </w:p>
        </w:tc>
        <w:tc>
          <w:tcPr>
            <w:tcW w:w="180" w:type="dxa"/>
            <w:vAlign w:val="bottom"/>
          </w:tcPr>
          <w:p>
            <w:pPr>
              <w:spacing w:after="0"/>
              <w:rPr>
                <w:sz w:val="17"/>
                <w:szCs w:val="17"/>
                <w:color w:val="auto"/>
              </w:rPr>
            </w:pPr>
          </w:p>
        </w:tc>
        <w:tc>
          <w:tcPr>
            <w:tcW w:w="1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(88)</w:t>
            </w:r>
          </w:p>
        </w:tc>
      </w:tr>
      <w:tr>
        <w:trPr>
          <w:trHeight w:val="203"/>
        </w:trPr>
        <w:tc>
          <w:tcPr>
            <w:tcW w:w="75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Seat images</w:t>
            </w:r>
          </w:p>
        </w:tc>
        <w:tc>
          <w:tcPr>
            <w:tcW w:w="2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(108)</w:t>
            </w:r>
          </w:p>
        </w:tc>
        <w:tc>
          <w:tcPr>
            <w:tcW w:w="1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(26)</w:t>
            </w:r>
          </w:p>
        </w:tc>
      </w:tr>
      <w:tr>
        <w:trPr>
          <w:trHeight w:val="203"/>
        </w:trPr>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spacing w:after="0"/>
              <w:rPr>
                <w:sz w:val="17"/>
                <w:szCs w:val="17"/>
                <w:color w:val="auto"/>
              </w:rPr>
            </w:pPr>
          </w:p>
        </w:tc>
        <w:tc>
          <w:tcPr>
            <w:tcW w:w="1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(430)</w:t>
            </w:r>
          </w:p>
        </w:tc>
        <w:tc>
          <w:tcPr>
            <w:tcW w:w="1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357</w:t>
            </w:r>
          </w:p>
        </w:tc>
        <w:tc>
          <w:tcPr>
            <w:tcW w:w="100" w:type="dxa"/>
            <w:vAlign w:val="bottom"/>
          </w:tcPr>
          <w:p>
            <w:pPr>
              <w:spacing w:after="0"/>
              <w:rPr>
                <w:sz w:val="17"/>
                <w:szCs w:val="17"/>
                <w:color w:val="auto"/>
              </w:rPr>
            </w:pPr>
          </w:p>
        </w:tc>
      </w:tr>
      <w:tr>
        <w:trPr>
          <w:trHeight w:val="20"/>
        </w:trPr>
        <w:tc>
          <w:tcPr>
            <w:tcW w:w="7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2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Total accumulated amortization</w:t>
            </w:r>
          </w:p>
        </w:tc>
        <w:tc>
          <w:tcPr>
            <w:tcW w:w="2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b w:val="1"/>
                <w:bCs w:val="1"/>
                <w:color w:val="auto"/>
              </w:rPr>
              <w:t>(91,062)</w:t>
            </w:r>
          </w:p>
        </w:tc>
        <w:tc>
          <w:tcPr>
            <w:tcW w:w="1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b w:val="1"/>
                <w:bCs w:val="1"/>
                <w:color w:val="auto"/>
              </w:rPr>
              <w:t>(67,208)</w:t>
            </w:r>
          </w:p>
        </w:tc>
      </w:tr>
      <w:tr>
        <w:trPr>
          <w:trHeight w:val="202"/>
        </w:trPr>
        <w:tc>
          <w:tcPr>
            <w:tcW w:w="7520" w:type="dxa"/>
            <w:vAlign w:val="bottom"/>
          </w:tcPr>
          <w:p>
            <w:pPr>
              <w:spacing w:after="0" w:line="202" w:lineRule="exact"/>
              <w:rPr>
                <w:sz w:val="20"/>
                <w:szCs w:val="20"/>
                <w:color w:val="auto"/>
              </w:rPr>
            </w:pPr>
            <w:r>
              <w:rPr>
                <w:rFonts w:ascii="Arial" w:cs="Arial" w:eastAsia="Arial" w:hAnsi="Arial"/>
                <w:sz w:val="18"/>
                <w:szCs w:val="18"/>
                <w:b w:val="1"/>
                <w:bCs w:val="1"/>
                <w:color w:val="auto"/>
              </w:rPr>
              <w:t>Indefinite-lived intangible assets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Trademarks</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110,538</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110,538</w:t>
            </w:r>
          </w:p>
        </w:tc>
        <w:tc>
          <w:tcPr>
            <w:tcW w:w="100" w:type="dxa"/>
            <w:vAlign w:val="bottom"/>
            <w:shd w:val="clear" w:color="auto" w:fill="CFF0FC"/>
          </w:tcPr>
          <w:p>
            <w:pPr>
              <w:spacing w:after="0"/>
              <w:rPr>
                <w:sz w:val="17"/>
                <w:szCs w:val="17"/>
                <w:color w:val="auto"/>
              </w:rPr>
            </w:pPr>
          </w:p>
        </w:tc>
      </w:tr>
      <w:tr>
        <w:trPr>
          <w:trHeight w:val="203"/>
        </w:trPr>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(133)</w:t>
            </w:r>
          </w:p>
        </w:tc>
      </w:tr>
      <w:tr>
        <w:trPr>
          <w:trHeight w:val="203"/>
        </w:trPr>
        <w:tc>
          <w:tcPr>
            <w:tcW w:w="75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Accumulated impairment charges</w:t>
            </w:r>
          </w:p>
        </w:tc>
        <w:tc>
          <w:tcPr>
            <w:tcW w:w="2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(23,037)</w:t>
            </w:r>
          </w:p>
        </w:tc>
        <w:tc>
          <w:tcPr>
            <w:tcW w:w="1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752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b w:val="1"/>
                <w:bCs w:val="1"/>
                <w:color w:val="auto"/>
              </w:rPr>
              <w:t>Intangible assets – net</w:t>
            </w:r>
          </w:p>
        </w:tc>
        <w:tc>
          <w:tcPr>
            <w:tcW w:w="280" w:type="dxa"/>
            <w:vAlign w:val="bottom"/>
            <w:tcBorders>
              <w:top w:val="single" w:sz="8" w:color="auto"/>
              <w:bottom w:val="single" w:sz="8" w:color="auto"/>
            </w:tcBorders>
          </w:tcPr>
          <w:p>
            <w:pPr>
              <w:jc w:val="right"/>
              <w:ind w:right="90"/>
              <w:spacing w:after="0" w:line="182" w:lineRule="exact"/>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198,152</w:t>
            </w:r>
          </w:p>
        </w:tc>
        <w:tc>
          <w:tcPr>
            <w:tcW w:w="3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233,116</w:t>
            </w:r>
          </w:p>
        </w:tc>
        <w:tc>
          <w:tcPr>
            <w:tcW w:w="100" w:type="dxa"/>
            <w:vAlign w:val="bottom"/>
            <w:tcBorders>
              <w:top w:val="single" w:sz="8" w:color="CFF0FC"/>
            </w:tcBorders>
          </w:tcPr>
          <w:p>
            <w:pPr>
              <w:spacing w:after="0"/>
              <w:rPr>
                <w:sz w:val="17"/>
                <w:szCs w:val="17"/>
                <w:color w:val="auto"/>
              </w:rPr>
            </w:pPr>
          </w:p>
        </w:tc>
      </w:tr>
      <w:tr>
        <w:trPr>
          <w:trHeight w:val="20"/>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-1979295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-161925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Definite-Lived Intangible Assets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Definite-lived intangible assets, which primarily derive from acquisitions and internal strategic investments, are recorded net of foreign currency translation adjustments and accumulated amortization.</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October 2024, we acquired a domain name we had previously licensed (the “Acquired Domain Name”). In exchange for the Acquired Domain Name, we are required to disburse monthly interest-free cash payments totaling $31.4 million through 2040 (the “Acquired Domain Name Obligation”).</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account for the Acquired Domain Name as a definite-lived intangible asset under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The purchase price of the Acquired Domain Name was $17.3 million, which will be amortized over a total period of 15.6 years (the “Acquired Domain Name Term”). As of June 30, 2025 and December 31, 2024, the Acquired Domain Name had a carrying value of $16.6 million and $17.3 million, respectively, which is recorded in Intangible assets – net in the Condensed Consolidated Balance Sheets.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account for the Acquired Domain Name Obligation as a liability for which interest will accrue over the Acquired Domain Name Term at an effective interest rate of 8.6% per annum. As of June 30, 2025 and December 31, 2024, the Acquired Domain Name Obligation had a carrying value of $16.9 million and $17.2 million, respectively, of which $0.6 million is recorded in Accrued expenses and other current liabilities in the Condensed Consolidated Balance Sheets and the remaining $16.3 million and $16.6 million, respectively, are recorded in Other liabilities in the Condensed Consolidated Balance Sheets. During the three and six months ended June 30, 2025, we recognized an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expense of $0.4 million and $0.8 million, respectively, for interest incurred in relation to the Acquired Domain Name Obligation, which is recorded in Interest expense – net in the Condensed Consolidated Statements of Operations.</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three and six months ended June 30, 2025, we recognized an expense of $11.7 million and $22.7 million, respectively, for amortization related to our definite-lived intangible assets. During the three and six months ended June 30, 2024, we recognized an expense of $10.1 million and $20.1 million, respectively, for amortization related to our definite-lived intangible assets. Amortization expenses related to our definite-lived intangible assets are recorded in Depreciation and amortization expenses in the Condensed Consolidated Statements of Operations.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and six months ended June 30, 2025, we recognized a loss of $0.1 million for asset disposals related to our definite-lived intangible assets. During the three and six months ended June 30, 2024, we recognized a loss of zero and $0.1 million, respectively, for asset disposals related to our definite-lived intangible assets. Losses on asset disposals are recorded in General and administrative expenses in the Condensed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Intangible Assets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At June 30, 2025, we performed a qualitative impairment assessment to determine if it was more likely than not that the fair value of certain indefinite-lived trademarks was less than their carrying value by evaluating relevant events and circumstances. After considering recent declines in our financial performance and near-term outlook, among other factors, we concluded that it was no longer more likely than not that the fair value of certain indefinite-lived trademarks exceeded their carrying value as of June 30, 2025. As a result, a triggering event had occurred and we performed a quantitative impairment test.</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fair value of certain indefinite-lived trademarks in the impairment test was determined using the relief-from-royalty method, a detailed valuation methodology that involves the application of reasonable royalty rates to a net sales stream using the discounted cash flow method.</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Based on our impairment analysis, we determined that the estimated fair value of certain indefinite-lived trademarks was lower than their carrying value, indicating that certain indefinite-lived trademarks had been impaired. Consequently, we recognized a non-cash impairment expense of $23.0 million related to certain indefinite-lived trademarks during the three and six months ended June 30, 2025, which is recorded in Impairment charges in the Consolidated Statements of Operations. At June 30, 2025 and December 31, 2024, accumulated impairment charges related to our indefinite-lived intangible assets were $101.7 million and $78.7 million, respectively.</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carrying value of our intangible assets decreased by $35.0 million between December 31, 2024 and June 30, 2025 primarily due to larger accumulated amortization balances for our definite-lived intangible assets and impairment charges related to certain indefinite-lived intangible assets.</w:t>
      </w:r>
    </w:p>
    <w:p>
      <w:pPr>
        <w:spacing w:after="0" w:line="61"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nvestments and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alue measurements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2023, we invested $6.0 million in a privately held company in the form of a convertible promissory note (the “Note”) and a warrant to purchase up to 1,874,933 shares of the company’s stock (the “Warrant”). Interest on the Note accrues at 8.0% per annum and outstanding principal and accrued interest is due and payable at the earlier of July 3, 2030 or a change in control of the company. The Warrant is exercisable until the date that is three years after the Note is repaid, subject to certain accelerating events.</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We account for the Note in accordance with ASC Topic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pursuant to which the Note is classified as an available-for-sale security and recognized at fair value with changes in unrealized gains and losses recorded as a separate component of Other comprehensive income (loss) in the Condensed Consolidated Statements of Comprehensive Income (Loss) on a recurring basis until realized. During the three and six months ended June 30, 2025, the Note had an gain of less than $0.1 million and an loss of less than $0.1 million, respectively. During the three and six months ended June 30, 2024, the Note had an gain of less than $0.1 million. The Note’s amortized cost was $3.6 million and $3.0 million at June 30, 2025 and December 31, 2024, respectively. We did not recognize any credit losses related to the Note during the three and six months ended June 30, 2025 and 2024.</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account for the Warrant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pursuant to which the Warrant is classified as a derivative instrument and recognized at fair value with changes in unrealized gains and losses recorded in Other expense (income) – net in the Condensed Consolidated Statements of Operations on a recurring basis until realized. The presentation of the derivative instrument, including whether it should be recorded as an asset or a liability, is evaluated at the end of each reporting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We measure certain financial assets (i.e., investments) and non-financial assets (i.e., goodwill, intangible assets, and long-lived assets) at fair value in accordance with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which defines fair value as the price that would be received to sell an asset or paid to transfer a liability in an orderly transaction between market participants at the measurement date, establishes a framework for measuring fair value in U.S. GAAP, and expands disclosures about fair value measurements. To increase consistency and comparability in fair value measurements, ASC 820 establishes a fair value hierarchy that prioritizes the inputs to valuation techniques used to measure fair value into three levels as follows:</w:t>
      </w:r>
    </w:p>
    <w:p>
      <w:pPr>
        <w:spacing w:after="0" w:line="71"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Measurements that reflect quoted prices (unadjusted) for identical assets or liabilities in active markets.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Measurements that include other inputs that are directly or indirectly observable in the marketplace.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Measurements derived from valuation techniques in which one or more significant inputs or significant value drivers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unobservable. These fair value measurements require significant judgment.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tables present the recurring fair value measurements of our financial assets by hierarchy level at June 30, 2025 and December 31, 2024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6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Fair Value Measurements Using</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3260" w:type="dxa"/>
            <w:vAlign w:val="bottom"/>
          </w:tcPr>
          <w:p>
            <w:pPr>
              <w:spacing w:after="0"/>
              <w:rPr>
                <w:sz w:val="17"/>
                <w:szCs w:val="17"/>
                <w:color w:val="auto"/>
              </w:rPr>
            </w:pPr>
          </w:p>
        </w:tc>
        <w:tc>
          <w:tcPr>
            <w:tcW w:w="13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Level 1</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b w:val="1"/>
                <w:bCs w:val="1"/>
                <w:color w:val="auto"/>
              </w:rPr>
              <w:t>Level 2</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Level 3</w:t>
            </w:r>
          </w:p>
        </w:tc>
        <w:tc>
          <w:tcPr>
            <w:tcW w:w="4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r>
      <w:tr>
        <w:trPr>
          <w:trHeight w:val="196"/>
        </w:trPr>
        <w:tc>
          <w:tcPr>
            <w:tcW w:w="32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June 30, 2025</w:t>
            </w: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Note</w:t>
            </w:r>
          </w:p>
        </w:tc>
        <w:tc>
          <w:tcPr>
            <w:tcW w:w="1340" w:type="dxa"/>
            <w:vAlign w:val="bottom"/>
          </w:tcPr>
          <w:p>
            <w:pPr>
              <w:jc w:val="right"/>
              <w:ind w:right="1150"/>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15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105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3,922</w:t>
            </w:r>
          </w:p>
        </w:tc>
        <w:tc>
          <w:tcPr>
            <w:tcW w:w="7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3,922</w:t>
            </w:r>
          </w:p>
        </w:tc>
        <w:tc>
          <w:tcPr>
            <w:tcW w:w="120" w:type="dxa"/>
            <w:vAlign w:val="bottom"/>
          </w:tcPr>
          <w:p>
            <w:pPr>
              <w:spacing w:after="0"/>
              <w:rPr>
                <w:sz w:val="17"/>
                <w:szCs w:val="17"/>
                <w:color w:val="auto"/>
              </w:rPr>
            </w:pPr>
          </w:p>
        </w:tc>
      </w:tr>
      <w:tr>
        <w:trPr>
          <w:trHeight w:val="203"/>
        </w:trPr>
        <w:tc>
          <w:tcPr>
            <w:tcW w:w="32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Warrant</w:t>
            </w:r>
          </w:p>
        </w:tc>
        <w:tc>
          <w:tcPr>
            <w:tcW w:w="13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2,752</w:t>
            </w:r>
          </w:p>
        </w:tc>
        <w:tc>
          <w:tcPr>
            <w:tcW w:w="3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2,752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3260" w:type="dxa"/>
            <w:vAlign w:val="bottom"/>
          </w:tcPr>
          <w:p>
            <w:pPr>
              <w:spacing w:after="0"/>
              <w:rPr>
                <w:sz w:val="17"/>
                <w:szCs w:val="17"/>
                <w:color w:val="auto"/>
              </w:rPr>
            </w:pPr>
          </w:p>
        </w:tc>
        <w:tc>
          <w:tcPr>
            <w:tcW w:w="1340" w:type="dxa"/>
            <w:vAlign w:val="bottom"/>
          </w:tcPr>
          <w:p>
            <w:pPr>
              <w:jc w:val="right"/>
              <w:ind w:right="1150"/>
              <w:spacing w:after="0" w:line="196"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17"/>
                <w:szCs w:val="17"/>
                <w:color w:val="auto"/>
              </w:rPr>
            </w:pPr>
          </w:p>
        </w:tc>
        <w:tc>
          <w:tcPr>
            <w:tcW w:w="1340" w:type="dxa"/>
            <w:vAlign w:val="bottom"/>
          </w:tcPr>
          <w:p>
            <w:pPr>
              <w:jc w:val="right"/>
              <w:ind w:right="1150"/>
              <w:spacing w:after="0" w:line="196"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9"/>
              </w:rPr>
              <w:t>—</w:t>
            </w:r>
          </w:p>
        </w:tc>
        <w:tc>
          <w:tcPr>
            <w:tcW w:w="1560" w:type="dxa"/>
            <w:vAlign w:val="bottom"/>
            <w:gridSpan w:val="2"/>
          </w:tcPr>
          <w:p>
            <w:pPr>
              <w:jc w:val="right"/>
              <w:ind w:right="1050"/>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6,674</w:t>
            </w:r>
          </w:p>
        </w:tc>
        <w:tc>
          <w:tcPr>
            <w:tcW w:w="700" w:type="dxa"/>
            <w:vAlign w:val="bottom"/>
            <w:gridSpan w:val="2"/>
          </w:tcPr>
          <w:p>
            <w:pPr>
              <w:jc w:val="right"/>
              <w:ind w:right="26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6,674</w:t>
            </w:r>
          </w:p>
        </w:tc>
        <w:tc>
          <w:tcPr>
            <w:tcW w:w="120" w:type="dxa"/>
            <w:vAlign w:val="bottom"/>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32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Fair Value Measurements Using</w:t>
            </w: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3260" w:type="dxa"/>
            <w:vAlign w:val="bottom"/>
          </w:tcPr>
          <w:p>
            <w:pPr>
              <w:spacing w:after="0"/>
              <w:rPr>
                <w:sz w:val="17"/>
                <w:szCs w:val="17"/>
                <w:color w:val="auto"/>
              </w:rPr>
            </w:pPr>
          </w:p>
        </w:tc>
        <w:tc>
          <w:tcPr>
            <w:tcW w:w="13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Level 1</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b w:val="1"/>
                <w:bCs w:val="1"/>
                <w:color w:val="auto"/>
              </w:rPr>
              <w:t>Level 2</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Level 3</w:t>
            </w:r>
          </w:p>
        </w:tc>
        <w:tc>
          <w:tcPr>
            <w:tcW w:w="4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r>
      <w:tr>
        <w:trPr>
          <w:trHeight w:val="196"/>
        </w:trPr>
        <w:tc>
          <w:tcPr>
            <w:tcW w:w="32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December 31, 2024</w:t>
            </w: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Note</w:t>
            </w:r>
          </w:p>
        </w:tc>
        <w:tc>
          <w:tcPr>
            <w:tcW w:w="1340" w:type="dxa"/>
            <w:vAlign w:val="bottom"/>
          </w:tcPr>
          <w:p>
            <w:pPr>
              <w:jc w:val="right"/>
              <w:ind w:right="1150"/>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15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105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3,604</w:t>
            </w:r>
          </w:p>
        </w:tc>
        <w:tc>
          <w:tcPr>
            <w:tcW w:w="7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3,604</w:t>
            </w:r>
          </w:p>
        </w:tc>
        <w:tc>
          <w:tcPr>
            <w:tcW w:w="120" w:type="dxa"/>
            <w:vAlign w:val="bottom"/>
          </w:tcPr>
          <w:p>
            <w:pPr>
              <w:spacing w:after="0"/>
              <w:rPr>
                <w:sz w:val="17"/>
                <w:szCs w:val="17"/>
                <w:color w:val="auto"/>
              </w:rPr>
            </w:pPr>
          </w:p>
        </w:tc>
      </w:tr>
      <w:tr>
        <w:trPr>
          <w:trHeight w:val="203"/>
        </w:trPr>
        <w:tc>
          <w:tcPr>
            <w:tcW w:w="32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Warrant</w:t>
            </w:r>
          </w:p>
        </w:tc>
        <w:tc>
          <w:tcPr>
            <w:tcW w:w="13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3,325</w:t>
            </w:r>
          </w:p>
        </w:tc>
        <w:tc>
          <w:tcPr>
            <w:tcW w:w="3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3,325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3260" w:type="dxa"/>
            <w:vAlign w:val="bottom"/>
          </w:tcPr>
          <w:p>
            <w:pPr>
              <w:spacing w:after="0"/>
              <w:rPr>
                <w:sz w:val="17"/>
                <w:szCs w:val="17"/>
                <w:color w:val="auto"/>
              </w:rPr>
            </w:pPr>
          </w:p>
        </w:tc>
        <w:tc>
          <w:tcPr>
            <w:tcW w:w="1340" w:type="dxa"/>
            <w:vAlign w:val="bottom"/>
          </w:tcPr>
          <w:p>
            <w:pPr>
              <w:jc w:val="right"/>
              <w:ind w:right="1150"/>
              <w:spacing w:after="0" w:line="196"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9"/>
              </w:rPr>
              <w:t>—</w:t>
            </w:r>
          </w:p>
        </w:tc>
        <w:tc>
          <w:tcPr>
            <w:tcW w:w="1660" w:type="dxa"/>
            <w:vAlign w:val="bottom"/>
            <w:gridSpan w:val="2"/>
          </w:tcPr>
          <w:p>
            <w:pPr>
              <w:jc w:val="right"/>
              <w:ind w:right="1150"/>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9"/>
              </w:rPr>
              <w:t>—</w:t>
            </w:r>
          </w:p>
        </w:tc>
        <w:tc>
          <w:tcPr>
            <w:tcW w:w="1560" w:type="dxa"/>
            <w:vAlign w:val="bottom"/>
            <w:gridSpan w:val="2"/>
          </w:tcPr>
          <w:p>
            <w:pPr>
              <w:jc w:val="right"/>
              <w:ind w:right="1050"/>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6,929</w:t>
            </w:r>
          </w:p>
        </w:tc>
        <w:tc>
          <w:tcPr>
            <w:tcW w:w="700" w:type="dxa"/>
            <w:vAlign w:val="bottom"/>
            <w:gridSpan w:val="2"/>
          </w:tcPr>
          <w:p>
            <w:pPr>
              <w:jc w:val="right"/>
              <w:ind w:right="26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6,929</w:t>
            </w:r>
          </w:p>
        </w:tc>
        <w:tc>
          <w:tcPr>
            <w:tcW w:w="120" w:type="dxa"/>
            <w:vAlign w:val="bottom"/>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-1113790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-1113790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-1113790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-1113790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-161925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-161925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-161925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fair value of the Note is determined using the income approach, which consists entirely of Level 3 inputs. The estimated fair value of the Warrant is determined using the Black-Scholes option pricing model, which requires us to make assumptions and judgments about the variables used in the calculation related to the expected term, the expected volatility, the risk-free rate of interest, and the expected dividend yield. Because of the inherent uncertainty of these valuations, the estimated fair values of the Note and the Warrant may differ significantly from the fair values that would have been used had a ready market for the investments existed, the effects of which could be material.</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presents quantitative information about the significant unobservable inputs applied to the recurring Level 3 fair value measurements of our financial assets: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ind w:left="62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7"/>
                <w:szCs w:val="17"/>
                <w:color w:val="auto"/>
              </w:rPr>
            </w:pPr>
          </w:p>
        </w:tc>
        <w:tc>
          <w:tcPr>
            <w:tcW w:w="1980" w:type="dxa"/>
            <w:vAlign w:val="bottom"/>
          </w:tcPr>
          <w:p>
            <w:pPr>
              <w:ind w:left="4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Asset</w:t>
            </w:r>
          </w:p>
        </w:tc>
        <w:tc>
          <w:tcPr>
            <w:tcW w:w="200" w:type="dxa"/>
            <w:vAlign w:val="bottom"/>
          </w:tcPr>
          <w:p>
            <w:pPr>
              <w:spacing w:after="0"/>
              <w:rPr>
                <w:sz w:val="19"/>
                <w:szCs w:val="19"/>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Significant Unobservable Inputs</w:t>
            </w:r>
          </w:p>
        </w:tc>
        <w:tc>
          <w:tcPr>
            <w:tcW w:w="20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2025</w:t>
            </w:r>
          </w:p>
        </w:tc>
        <w:tc>
          <w:tcPr>
            <w:tcW w:w="26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r>
      <w:tr>
        <w:trPr>
          <w:trHeight w:val="196"/>
        </w:trPr>
        <w:tc>
          <w:tcPr>
            <w:tcW w:w="17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Note</w:t>
            </w:r>
          </w:p>
        </w:tc>
        <w:tc>
          <w:tcPr>
            <w:tcW w:w="20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Expected term (years)</w:t>
            </w:r>
          </w:p>
        </w:tc>
        <w:tc>
          <w:tcPr>
            <w:tcW w:w="2160" w:type="dxa"/>
            <w:vAlign w:val="bottom"/>
            <w:gridSpan w:val="2"/>
            <w:shd w:val="clear" w:color="auto" w:fill="CFF0FC"/>
          </w:tcPr>
          <w:p>
            <w:pPr>
              <w:jc w:val="center"/>
              <w:ind w:left="90"/>
              <w:spacing w:after="0" w:line="196" w:lineRule="exact"/>
              <w:rPr>
                <w:sz w:val="20"/>
                <w:szCs w:val="20"/>
                <w:color w:val="auto"/>
              </w:rPr>
            </w:pPr>
            <w:r>
              <w:rPr>
                <w:rFonts w:ascii="Arial" w:cs="Arial" w:eastAsia="Arial" w:hAnsi="Arial"/>
                <w:sz w:val="18"/>
                <w:szCs w:val="18"/>
                <w:color w:val="auto"/>
              </w:rPr>
              <w:t>5.0</w:t>
            </w:r>
          </w:p>
        </w:tc>
        <w:tc>
          <w:tcPr>
            <w:tcW w:w="2240" w:type="dxa"/>
            <w:vAlign w:val="bottom"/>
            <w:gridSpan w:val="2"/>
            <w:shd w:val="clear" w:color="auto" w:fill="CFF0FC"/>
          </w:tcPr>
          <w:p>
            <w:pPr>
              <w:jc w:val="center"/>
              <w:ind w:left="150"/>
              <w:spacing w:after="0" w:line="196" w:lineRule="exact"/>
              <w:rPr>
                <w:sz w:val="20"/>
                <w:szCs w:val="20"/>
                <w:color w:val="auto"/>
              </w:rPr>
            </w:pPr>
            <w:r>
              <w:rPr>
                <w:rFonts w:ascii="Arial" w:cs="Arial" w:eastAsia="Arial" w:hAnsi="Arial"/>
                <w:sz w:val="18"/>
                <w:szCs w:val="18"/>
                <w:color w:val="auto"/>
                <w:w w:val="95"/>
              </w:rPr>
              <w:t>5.5</w:t>
            </w:r>
          </w:p>
        </w:tc>
      </w:tr>
      <w:tr>
        <w:trPr>
          <w:trHeight w:val="203"/>
        </w:trPr>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40" w:type="dxa"/>
            <w:vAlign w:val="bottom"/>
          </w:tcPr>
          <w:p>
            <w:pPr>
              <w:jc w:val="center"/>
              <w:spacing w:after="0" w:line="202" w:lineRule="exact"/>
              <w:rPr>
                <w:sz w:val="20"/>
                <w:szCs w:val="20"/>
                <w:color w:val="auto"/>
              </w:rPr>
            </w:pPr>
            <w:r>
              <w:rPr>
                <w:rFonts w:ascii="Arial" w:cs="Arial" w:eastAsia="Arial" w:hAnsi="Arial"/>
                <w:sz w:val="18"/>
                <w:szCs w:val="18"/>
                <w:color w:val="auto"/>
                <w:w w:val="99"/>
              </w:rPr>
              <w:t>Implied yield</w:t>
            </w:r>
          </w:p>
        </w:tc>
        <w:tc>
          <w:tcPr>
            <w:tcW w:w="216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7"/>
              </w:rPr>
              <w:t>21.2%</w:t>
            </w:r>
          </w:p>
        </w:tc>
        <w:tc>
          <w:tcPr>
            <w:tcW w:w="22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rPr>
              <w:t>21.0%</w:t>
            </w:r>
          </w:p>
        </w:tc>
      </w:tr>
      <w:tr>
        <w:trPr>
          <w:trHeight w:val="203"/>
        </w:trPr>
        <w:tc>
          <w:tcPr>
            <w:tcW w:w="17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Warrant</w:t>
            </w:r>
          </w:p>
        </w:tc>
        <w:tc>
          <w:tcPr>
            <w:tcW w:w="20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Expected term (years)</w:t>
            </w:r>
          </w:p>
        </w:tc>
        <w:tc>
          <w:tcPr>
            <w:tcW w:w="216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rPr>
              <w:t>5.0</w:t>
            </w:r>
          </w:p>
        </w:tc>
        <w:tc>
          <w:tcPr>
            <w:tcW w:w="224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w w:val="95"/>
              </w:rPr>
              <w:t>5.5</w:t>
            </w:r>
          </w:p>
        </w:tc>
      </w:tr>
      <w:tr>
        <w:trPr>
          <w:trHeight w:val="203"/>
        </w:trPr>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40" w:type="dxa"/>
            <w:vAlign w:val="bottom"/>
          </w:tcPr>
          <w:p>
            <w:pPr>
              <w:jc w:val="center"/>
              <w:spacing w:after="0" w:line="202" w:lineRule="exact"/>
              <w:rPr>
                <w:sz w:val="20"/>
                <w:szCs w:val="20"/>
                <w:color w:val="auto"/>
              </w:rPr>
            </w:pPr>
            <w:r>
              <w:rPr>
                <w:rFonts w:ascii="Arial" w:cs="Arial" w:eastAsia="Arial" w:hAnsi="Arial"/>
                <w:sz w:val="18"/>
                <w:szCs w:val="18"/>
                <w:color w:val="auto"/>
                <w:w w:val="99"/>
              </w:rPr>
              <w:t>Expected volatility</w:t>
            </w:r>
          </w:p>
        </w:tc>
        <w:tc>
          <w:tcPr>
            <w:tcW w:w="216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7"/>
              </w:rPr>
              <w:t>55.3%</w:t>
            </w:r>
          </w:p>
        </w:tc>
        <w:tc>
          <w:tcPr>
            <w:tcW w:w="22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rPr>
              <w:t>59.0%</w:t>
            </w:r>
          </w:p>
        </w:tc>
      </w:tr>
      <w:tr>
        <w:trPr>
          <w:trHeight w:val="203"/>
        </w:trPr>
        <w:tc>
          <w:tcPr>
            <w:tcW w:w="1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Risk-free rate</w:t>
            </w:r>
          </w:p>
        </w:tc>
        <w:tc>
          <w:tcPr>
            <w:tcW w:w="216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rPr>
              <w:t>4.0%</w:t>
            </w:r>
          </w:p>
        </w:tc>
        <w:tc>
          <w:tcPr>
            <w:tcW w:w="224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w w:val="97"/>
              </w:rPr>
              <w:t>4.4%</w:t>
            </w:r>
          </w:p>
        </w:tc>
      </w:tr>
      <w:tr>
        <w:trPr>
          <w:trHeight w:val="239"/>
        </w:trPr>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Expected dividend yield</w:t>
            </w:r>
          </w:p>
        </w:tc>
        <w:tc>
          <w:tcPr>
            <w:tcW w:w="2160" w:type="dxa"/>
            <w:vAlign w:val="bottom"/>
            <w:gridSpan w:val="2"/>
          </w:tcPr>
          <w:p>
            <w:pPr>
              <w:jc w:val="center"/>
              <w:ind w:left="90"/>
              <w:spacing w:after="0"/>
              <w:rPr>
                <w:sz w:val="20"/>
                <w:szCs w:val="20"/>
                <w:color w:val="auto"/>
              </w:rPr>
            </w:pPr>
            <w:r>
              <w:rPr>
                <w:rFonts w:ascii="Arial" w:cs="Arial" w:eastAsia="Arial" w:hAnsi="Arial"/>
                <w:sz w:val="18"/>
                <w:szCs w:val="18"/>
                <w:color w:val="auto"/>
              </w:rPr>
              <w:t>0.0%</w:t>
            </w:r>
          </w:p>
        </w:tc>
        <w:tc>
          <w:tcPr>
            <w:tcW w:w="224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0.0%</w:t>
            </w:r>
          </w:p>
        </w:tc>
      </w:tr>
    </w:tbl>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the changes in the carrying amounts of the Note and the Warrant (both of which are measured at fair value using Level 3 significant unobservable inputs) during the six months ended June 30, 2025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4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rPr>
              <w:t>Note</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Warrant</w:t>
            </w: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Balances at January 1, 2025</w:t>
            </w:r>
          </w:p>
        </w:tc>
        <w:tc>
          <w:tcPr>
            <w:tcW w:w="1400" w:type="dxa"/>
            <w:vAlign w:val="bottom"/>
            <w:tcBorders>
              <w:top w:val="single" w:sz="8" w:color="auto"/>
            </w:tcBorders>
            <w:shd w:val="clear" w:color="auto" w:fill="CFF0FC"/>
          </w:tcPr>
          <w:p>
            <w:pPr>
              <w:jc w:val="right"/>
              <w:ind w:right="1190"/>
              <w:spacing w:after="0" w:line="196" w:lineRule="exact"/>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3,604</w:t>
            </w:r>
          </w:p>
        </w:tc>
        <w:tc>
          <w:tcPr>
            <w:tcW w:w="40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3,325</w:t>
            </w:r>
          </w:p>
        </w:tc>
        <w:tc>
          <w:tcPr>
            <w:tcW w:w="12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Accretion of discount</w:t>
            </w:r>
          </w:p>
        </w:tc>
        <w:tc>
          <w:tcPr>
            <w:tcW w:w="1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paid-in-kind</w:t>
            </w:r>
          </w:p>
        </w:tc>
        <w:tc>
          <w:tcPr>
            <w:tcW w:w="14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w:t>
            </w: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Unrealized losses:</w:t>
            </w:r>
          </w:p>
        </w:tc>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4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Recorded in Net income (loss)</w:t>
            </w:r>
          </w:p>
        </w:tc>
        <w:tc>
          <w:tcPr>
            <w:tcW w:w="1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(573)</w:t>
            </w:r>
          </w:p>
        </w:tc>
      </w:tr>
      <w:tr>
        <w:trPr>
          <w:trHeight w:val="203"/>
        </w:trPr>
        <w:tc>
          <w:tcPr>
            <w:tcW w:w="6640" w:type="dxa"/>
            <w:vAlign w:val="bottom"/>
          </w:tcPr>
          <w:p>
            <w:pPr>
              <w:ind w:left="60"/>
              <w:spacing w:after="0" w:line="202" w:lineRule="exact"/>
              <w:rPr>
                <w:sz w:val="20"/>
                <w:szCs w:val="20"/>
                <w:color w:val="auto"/>
              </w:rPr>
            </w:pPr>
            <w:r>
              <w:rPr>
                <w:rFonts w:ascii="Arial" w:cs="Arial" w:eastAsia="Arial" w:hAnsi="Arial"/>
                <w:sz w:val="18"/>
                <w:szCs w:val="18"/>
                <w:color w:val="auto"/>
              </w:rPr>
              <w:t>Recorded in Other comprehensive income (loss)</w:t>
            </w:r>
          </w:p>
        </w:tc>
        <w:tc>
          <w:tcPr>
            <w:tcW w:w="1400" w:type="dxa"/>
            <w:vAlign w:val="bottom"/>
          </w:tcPr>
          <w:p>
            <w:pPr>
              <w:spacing w:after="0"/>
              <w:rPr>
                <w:sz w:val="17"/>
                <w:szCs w:val="17"/>
                <w:color w:val="auto"/>
              </w:rPr>
            </w:pP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(38)</w:t>
            </w:r>
          </w:p>
        </w:tc>
        <w:tc>
          <w:tcPr>
            <w:tcW w:w="380" w:type="dxa"/>
            <w:vAlign w:val="bottom"/>
          </w:tcPr>
          <w:p>
            <w:pPr>
              <w:spacing w:after="0"/>
              <w:rPr>
                <w:sz w:val="17"/>
                <w:szCs w:val="17"/>
                <w:color w:val="auto"/>
              </w:rPr>
            </w:pPr>
          </w:p>
        </w:tc>
        <w:tc>
          <w:tcPr>
            <w:tcW w:w="1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
        </w:trPr>
        <w:tc>
          <w:tcPr>
            <w:tcW w:w="66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unrealized losses</w:t>
            </w:r>
          </w:p>
        </w:tc>
        <w:tc>
          <w:tcPr>
            <w:tcW w:w="1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340"/>
              <w:spacing w:after="0" w:line="196" w:lineRule="exact"/>
              <w:rPr>
                <w:sz w:val="20"/>
                <w:szCs w:val="20"/>
                <w:color w:val="auto"/>
              </w:rPr>
            </w:pPr>
            <w:r>
              <w:rPr>
                <w:rFonts w:ascii="Arial" w:cs="Arial" w:eastAsia="Arial" w:hAnsi="Arial"/>
                <w:sz w:val="18"/>
                <w:szCs w:val="18"/>
                <w:color w:val="auto"/>
              </w:rPr>
              <w:t>(38)</w:t>
            </w:r>
          </w:p>
        </w:tc>
        <w:tc>
          <w:tcPr>
            <w:tcW w:w="3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(573)</w:t>
            </w:r>
          </w:p>
        </w:tc>
      </w:tr>
      <w:tr>
        <w:trPr>
          <w:trHeight w:val="196"/>
        </w:trPr>
        <w:tc>
          <w:tcPr>
            <w:tcW w:w="664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b w:val="1"/>
                <w:bCs w:val="1"/>
                <w:color w:val="auto"/>
              </w:rPr>
              <w:t>Balances at June 30, 2025</w:t>
            </w:r>
          </w:p>
        </w:tc>
        <w:tc>
          <w:tcPr>
            <w:tcW w:w="1400" w:type="dxa"/>
            <w:vAlign w:val="bottom"/>
            <w:tcBorders>
              <w:top w:val="single" w:sz="8" w:color="auto"/>
              <w:bottom w:val="single" w:sz="8" w:color="auto"/>
            </w:tcBorders>
          </w:tcPr>
          <w:p>
            <w:pPr>
              <w:jc w:val="right"/>
              <w:ind w:right="1190"/>
              <w:spacing w:after="0" w:line="182" w:lineRule="exact"/>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3,922</w:t>
            </w:r>
          </w:p>
        </w:tc>
        <w:tc>
          <w:tcPr>
            <w:tcW w:w="40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2,752</w:t>
            </w:r>
          </w:p>
        </w:tc>
        <w:tc>
          <w:tcPr>
            <w:tcW w:w="120" w:type="dxa"/>
            <w:vAlign w:val="bottom"/>
            <w:tcBorders>
              <w:top w:val="single" w:sz="8" w:color="CFF0FC"/>
            </w:tcBorders>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-162560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quantitative information about the significant unobservable inputs applied to the nonrecurring Level 3 fair value measurements of our non-financial assets: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Asset</w:t>
            </w:r>
          </w:p>
        </w:tc>
        <w:tc>
          <w:tcPr>
            <w:tcW w:w="220" w:type="dxa"/>
            <w:vAlign w:val="bottom"/>
          </w:tcPr>
          <w:p>
            <w:pPr>
              <w:spacing w:after="0"/>
              <w:rPr>
                <w:sz w:val="19"/>
                <w:szCs w:val="19"/>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Significant Unobservable Inputs</w:t>
            </w:r>
          </w:p>
        </w:tc>
        <w:tc>
          <w:tcPr>
            <w:tcW w:w="200" w:type="dxa"/>
            <w:vAlign w:val="bottom"/>
          </w:tcPr>
          <w:p>
            <w:pPr>
              <w:spacing w:after="0"/>
              <w:rPr>
                <w:sz w:val="19"/>
                <w:szCs w:val="19"/>
                <w:color w:val="auto"/>
              </w:rPr>
            </w:pPr>
          </w:p>
        </w:tc>
        <w:tc>
          <w:tcPr>
            <w:tcW w:w="418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Range (Weighted Average)</w:t>
            </w:r>
          </w:p>
        </w:tc>
      </w:tr>
      <w:tr>
        <w:trPr>
          <w:trHeight w:val="196"/>
        </w:trPr>
        <w:tc>
          <w:tcPr>
            <w:tcW w:w="17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Discount rate</w:t>
            </w:r>
          </w:p>
        </w:tc>
        <w:tc>
          <w:tcPr>
            <w:tcW w:w="4380" w:type="dxa"/>
            <w:vAlign w:val="bottom"/>
            <w:gridSpan w:val="2"/>
            <w:shd w:val="clear" w:color="auto" w:fill="CFF0FC"/>
          </w:tcPr>
          <w:p>
            <w:pPr>
              <w:jc w:val="center"/>
              <w:ind w:left="110"/>
              <w:spacing w:after="0" w:line="196" w:lineRule="exact"/>
              <w:rPr>
                <w:sz w:val="20"/>
                <w:szCs w:val="20"/>
                <w:color w:val="auto"/>
              </w:rPr>
            </w:pPr>
            <w:r>
              <w:rPr>
                <w:rFonts w:ascii="Arial" w:cs="Arial" w:eastAsia="Arial" w:hAnsi="Arial"/>
                <w:sz w:val="18"/>
                <w:szCs w:val="18"/>
                <w:color w:val="auto"/>
                <w:w w:val="99"/>
              </w:rPr>
              <w:t>12.7% - 14.7% (13.7%)</w:t>
            </w:r>
          </w:p>
        </w:tc>
      </w:tr>
      <w:tr>
        <w:trPr>
          <w:trHeight w:val="203"/>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tcPr>
          <w:p>
            <w:pPr>
              <w:jc w:val="center"/>
              <w:spacing w:after="0" w:line="202" w:lineRule="exact"/>
              <w:rPr>
                <w:sz w:val="20"/>
                <w:szCs w:val="20"/>
                <w:color w:val="auto"/>
              </w:rPr>
            </w:pPr>
            <w:r>
              <w:rPr>
                <w:rFonts w:ascii="Arial" w:cs="Arial" w:eastAsia="Arial" w:hAnsi="Arial"/>
                <w:sz w:val="18"/>
                <w:szCs w:val="18"/>
                <w:color w:val="auto"/>
                <w:w w:val="99"/>
              </w:rPr>
              <w:t>Long-term growth rate</w:t>
            </w:r>
          </w:p>
        </w:tc>
        <w:tc>
          <w:tcPr>
            <w:tcW w:w="438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9"/>
              </w:rPr>
              <w:t>2.0% - 4.0% (3.0%)</w:t>
            </w:r>
          </w:p>
        </w:tc>
      </w:tr>
      <w:tr>
        <w:trPr>
          <w:trHeight w:val="203"/>
        </w:trPr>
        <w:tc>
          <w:tcPr>
            <w:tcW w:w="17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Trademarks</w:t>
            </w:r>
          </w:p>
        </w:tc>
        <w:tc>
          <w:tcPr>
            <w:tcW w:w="22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Discount rate</w:t>
            </w:r>
          </w:p>
        </w:tc>
        <w:tc>
          <w:tcPr>
            <w:tcW w:w="4380" w:type="dxa"/>
            <w:vAlign w:val="bottom"/>
            <w:gridSpan w:val="2"/>
            <w:shd w:val="clear" w:color="auto" w:fill="CFF0FC"/>
          </w:tcPr>
          <w:p>
            <w:pPr>
              <w:jc w:val="center"/>
              <w:ind w:left="110"/>
              <w:spacing w:after="0" w:line="202" w:lineRule="exact"/>
              <w:rPr>
                <w:sz w:val="20"/>
                <w:szCs w:val="20"/>
                <w:color w:val="auto"/>
              </w:rPr>
            </w:pPr>
            <w:r>
              <w:rPr>
                <w:rFonts w:ascii="Arial" w:cs="Arial" w:eastAsia="Arial" w:hAnsi="Arial"/>
                <w:sz w:val="18"/>
                <w:szCs w:val="18"/>
                <w:color w:val="auto"/>
                <w:w w:val="99"/>
              </w:rPr>
              <w:t>12.0% - 17.3% (13.3%)</w:t>
            </w:r>
          </w:p>
        </w:tc>
      </w:tr>
      <w:tr>
        <w:trPr>
          <w:trHeight w:val="203"/>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tcPr>
          <w:p>
            <w:pPr>
              <w:jc w:val="center"/>
              <w:spacing w:after="0" w:line="202" w:lineRule="exact"/>
              <w:rPr>
                <w:sz w:val="20"/>
                <w:szCs w:val="20"/>
                <w:color w:val="auto"/>
              </w:rPr>
            </w:pPr>
            <w:r>
              <w:rPr>
                <w:rFonts w:ascii="Arial" w:cs="Arial" w:eastAsia="Arial" w:hAnsi="Arial"/>
                <w:sz w:val="18"/>
                <w:szCs w:val="18"/>
                <w:color w:val="auto"/>
                <w:w w:val="99"/>
              </w:rPr>
              <w:t>Long-term growth rate</w:t>
            </w:r>
          </w:p>
        </w:tc>
        <w:tc>
          <w:tcPr>
            <w:tcW w:w="438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9"/>
              </w:rPr>
              <w:t>3.0% - 3.0% (3.0%)</w:t>
            </w:r>
          </w:p>
        </w:tc>
      </w:tr>
      <w:tr>
        <w:trPr>
          <w:trHeight w:val="203"/>
        </w:trPr>
        <w:tc>
          <w:tcPr>
            <w:tcW w:w="1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Royalty rate</w:t>
            </w:r>
          </w:p>
        </w:tc>
        <w:tc>
          <w:tcPr>
            <w:tcW w:w="438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99"/>
              </w:rPr>
              <w:t>1.5% - 5.0% (2.4%)</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sensitivities to changes in the significant unobservable inputs above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Goodwill</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Trademarks</w:t>
            </w:r>
          </w:p>
        </w:tc>
        <w:tc>
          <w:tcPr>
            <w:tcW w:w="100" w:type="dxa"/>
            <w:vAlign w:val="bottom"/>
          </w:tcPr>
          <w:p>
            <w:pPr>
              <w:spacing w:after="0"/>
              <w:rPr>
                <w:sz w:val="19"/>
                <w:szCs w:val="19"/>
                <w:color w:val="auto"/>
              </w:rPr>
            </w:pPr>
          </w:p>
        </w:tc>
      </w:tr>
      <w:tr>
        <w:trPr>
          <w:trHeight w:val="196"/>
        </w:trPr>
        <w:tc>
          <w:tcPr>
            <w:tcW w:w="5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50 basis point increase in discount rate</w:t>
            </w:r>
          </w:p>
        </w:tc>
        <w:tc>
          <w:tcPr>
            <w:tcW w:w="19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(18,056)</w:t>
            </w:r>
          </w:p>
        </w:tc>
        <w:tc>
          <w:tcPr>
            <w:tcW w:w="4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(2,194)</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50 basis point decrease in long-term growth rate</w:t>
            </w: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(7,696)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(1,263)</w:t>
            </w: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50 basis point decrease in royalty rate</w:t>
            </w:r>
          </w:p>
        </w:tc>
        <w:tc>
          <w:tcPr>
            <w:tcW w:w="16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(20,275)</w:t>
            </w:r>
          </w:p>
        </w:tc>
      </w:tr>
    </w:tbl>
    <w:p>
      <w:pPr>
        <w:spacing w:after="0" w:line="8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Goodwill – Net and Intangible Assets – Net</w:t>
      </w:r>
      <w:r>
        <w:rPr>
          <w:rFonts w:ascii="Arial" w:cs="Arial" w:eastAsia="Arial" w:hAnsi="Arial"/>
          <w:sz w:val="18"/>
          <w:szCs w:val="18"/>
          <w:color w:val="auto"/>
        </w:rPr>
        <w:t>, for more information regarding the fair value methodologies for our non-financial assets.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ccrued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urrent</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iabilities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presents the major components of accrued expenses and other current liabilities at June 30, 2025 and December 31, 2024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5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marketing expense</w:t>
            </w:r>
          </w:p>
        </w:tc>
        <w:tc>
          <w:tcPr>
            <w:tcW w:w="20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21,542</w:t>
            </w:r>
          </w:p>
        </w:tc>
        <w:tc>
          <w:tcPr>
            <w:tcW w:w="4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30,573</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Accrued customer credits</w:t>
            </w: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54,439</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55,785</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future customer compensation</w:t>
            </w:r>
          </w:p>
        </w:tc>
        <w:tc>
          <w:tcPr>
            <w:tcW w:w="1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21,461</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26,614</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Accrued payroll</w:t>
            </w: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9,003</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10,128</w:t>
            </w:r>
          </w:p>
        </w:tc>
        <w:tc>
          <w:tcPr>
            <w:tcW w:w="100" w:type="dxa"/>
            <w:vAlign w:val="bottom"/>
          </w:tcPr>
          <w:p>
            <w:pPr>
              <w:spacing w:after="0"/>
              <w:rPr>
                <w:sz w:val="17"/>
                <w:szCs w:val="17"/>
                <w:color w:val="auto"/>
              </w:rPr>
            </w:pPr>
          </w:p>
        </w:tc>
      </w:tr>
      <w:tr>
        <w:trPr>
          <w:trHeight w:val="202"/>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operating expenses</w:t>
            </w:r>
          </w:p>
        </w:tc>
        <w:tc>
          <w:tcPr>
            <w:tcW w:w="1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11,280</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16,193</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Other current liabilities</w:t>
            </w:r>
          </w:p>
        </w:tc>
        <w:tc>
          <w:tcPr>
            <w:tcW w:w="1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21,187</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25,754</w:t>
            </w:r>
          </w:p>
        </w:tc>
        <w:tc>
          <w:tcPr>
            <w:tcW w:w="100" w:type="dxa"/>
            <w:vAlign w:val="bottom"/>
          </w:tcPr>
          <w:p>
            <w:pPr>
              <w:spacing w:after="0"/>
              <w:rPr>
                <w:sz w:val="17"/>
                <w:szCs w:val="17"/>
                <w:color w:val="auto"/>
              </w:rPr>
            </w:pPr>
          </w:p>
        </w:tc>
      </w:tr>
      <w:tr>
        <w:trPr>
          <w:trHeight w:val="216"/>
        </w:trPr>
        <w:tc>
          <w:tcPr>
            <w:tcW w:w="576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Accrued expenses and other current liabilities</w:t>
            </w:r>
          </w:p>
        </w:tc>
        <w:tc>
          <w:tcPr>
            <w:tcW w:w="206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138,912</w:t>
            </w:r>
          </w:p>
        </w:tc>
        <w:tc>
          <w:tcPr>
            <w:tcW w:w="48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165,047</w:t>
            </w:r>
          </w:p>
        </w:tc>
        <w:tc>
          <w:tcPr>
            <w:tcW w:w="100" w:type="dxa"/>
            <w:vAlign w:val="bottom"/>
            <w:shd w:val="clear" w:color="auto" w:fill="CFF0FC"/>
          </w:tcPr>
          <w:p>
            <w:pPr>
              <w:spacing w:after="0"/>
              <w:rPr>
                <w:sz w:val="18"/>
                <w:szCs w:val="18"/>
                <w:color w:val="auto"/>
              </w:rPr>
            </w:pP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Accrued customer credits represent credits issued and outstanding for event cancellations or other service issues related to recorded sales transactions. The accrued amount is reduced by the amount of credits estimated to go unused, or breakage, provided that the credits are not subject to escheatment. We estimate breakage based on historical usage trends and available data on comparable programs, and we recognize breakage in proportion to the pattern of redemption for customer credits. Our breakage estimates could be impacted by future activity differing from our estimates, the effects of which could be material.</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three and six months ended June 30, 2025, $1.7 million and $3.2 million of accrued customer credits were redeemed, respectively, and we recognized revenue from breakage of $1.0 million and $2.6 million, respectively. During the three and six months ended June 30, 2024, $1.5 million and $3.0 million of accrued customer credits were redeemed, respectively, and we recognized revenue from breakage of $4.5 million and $6.5 million, respectively. Breakage amounts are recorded net of reductions in associated accounts receivable balances.</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Accrued future customer compensation represents an estimate of the amount of customer compensation due from event cancellation charges in the future. These provisions, which are based on historic experience, revenue volumes for future events, and our estimate of the likelihood of future event cancellations, are recognized as a component of Revenues in the Condensed Consolidated Statements of Operations. The expected recoveries of these obligations are recorded in Prepaid expenses and other current assets in the Condensed Consolidated Balance Sheets. This estimated accrual could be impacted by future activity that differs from our estimates, the effects of which could be material.</w:t>
      </w:r>
    </w:p>
    <w:p>
      <w:pPr>
        <w:spacing w:after="0" w:line="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the three and six months ended June 30, 2025, we recognized a net decrease in revenue of less than $0.1 million and a net increase in revenue of less than $0.1 million, respectively, from reversals of previously recorded revenue and changes to accrued future customer compensation related to event cancellations where the performance obligations were satisfied in prior periods. During the three and six months ended June 30, 2024, we recognized a net increase in revenue of $0.6 million and $0.3 million, respectively, from reversals of previously recorded revenue and changes to accrued future customer compensation related to event cancellations where the performance obligations were satisfied in prior periods.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Accrued future customer compensation decreased by $5.2 million between December 31, 2024 and June 30, 2025 primarily due to a decrease in estimated future event cancellations. A related provision for expected recovery of compensation from customers is recorded in Prepaid expenses and other current assets in the Condensed Consolidated Balance Sheets.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ong</w:t>
      </w: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ebt</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major components of long-term debt, net of unamortized debt issuance costs and current maturities, at June 30, 2025 and December 31, 2024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7"/>
                <w:szCs w:val="17"/>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44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2024</w:t>
            </w:r>
          </w:p>
        </w:tc>
        <w:tc>
          <w:tcPr>
            <w:tcW w:w="6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First Lien Loan</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76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393,025</w:t>
            </w:r>
          </w:p>
        </w:tc>
        <w:tc>
          <w:tcPr>
            <w:tcW w:w="100" w:type="dxa"/>
            <w:vAlign w:val="bottom"/>
            <w:shd w:val="clear" w:color="auto" w:fill="CFF0FC"/>
          </w:tcPr>
          <w:p>
            <w:pPr>
              <w:spacing w:after="0"/>
              <w:rPr>
                <w:sz w:val="17"/>
                <w:szCs w:val="17"/>
                <w:color w:val="auto"/>
              </w:rPr>
            </w:pPr>
          </w:p>
        </w:tc>
      </w:tr>
      <w:tr>
        <w:trPr>
          <w:trHeight w:val="203"/>
        </w:trPr>
        <w:tc>
          <w:tcPr>
            <w:tcW w:w="4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6800" w:type="dxa"/>
            <w:vAlign w:val="bottom"/>
          </w:tcPr>
          <w:p>
            <w:pPr>
              <w:ind w:left="20"/>
              <w:spacing w:after="0" w:line="202" w:lineRule="exact"/>
              <w:rPr>
                <w:sz w:val="20"/>
                <w:szCs w:val="20"/>
                <w:color w:val="auto"/>
              </w:rPr>
            </w:pPr>
            <w:r>
              <w:rPr>
                <w:rFonts w:ascii="Arial" w:cs="Arial" w:eastAsia="Arial" w:hAnsi="Arial"/>
                <w:sz w:val="18"/>
                <w:szCs w:val="18"/>
                <w:color w:val="auto"/>
              </w:rPr>
              <w:t>First Lien Loan</w:t>
            </w:r>
          </w:p>
        </w:tc>
        <w:tc>
          <w:tcPr>
            <w:tcW w:w="3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392,043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72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debt</w:t>
            </w:r>
          </w:p>
        </w:tc>
        <w:tc>
          <w:tcPr>
            <w:tcW w:w="32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392,043</w:t>
            </w: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393,025</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320" w:type="dxa"/>
            <w:vAlign w:val="bottom"/>
          </w:tcPr>
          <w:p>
            <w:pPr>
              <w:spacing w:after="0"/>
              <w:rPr>
                <w:sz w:val="17"/>
                <w:szCs w:val="17"/>
                <w:color w:val="auto"/>
              </w:rPr>
            </w:pPr>
          </w:p>
        </w:tc>
        <w:tc>
          <w:tcPr>
            <w:tcW w:w="1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(3,095)</w:t>
            </w:r>
          </w:p>
        </w:tc>
        <w:tc>
          <w:tcPr>
            <w:tcW w:w="200" w:type="dxa"/>
            <w:vAlign w:val="bottom"/>
          </w:tcPr>
          <w:p>
            <w:pPr>
              <w:spacing w:after="0"/>
              <w:rPr>
                <w:sz w:val="17"/>
                <w:szCs w:val="17"/>
                <w:color w:val="auto"/>
              </w:rPr>
            </w:pPr>
          </w:p>
        </w:tc>
        <w:tc>
          <w:tcPr>
            <w:tcW w:w="1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(4,115)</w:t>
            </w:r>
          </w:p>
        </w:tc>
      </w:tr>
      <w:tr>
        <w:trPr>
          <w:trHeight w:val="196"/>
        </w:trPr>
        <w:tc>
          <w:tcPr>
            <w:tcW w:w="72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Long-term debt</w:t>
            </w:r>
          </w:p>
        </w:tc>
        <w:tc>
          <w:tcPr>
            <w:tcW w:w="32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388,948</w:t>
            </w: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388,910</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320" w:type="dxa"/>
            <w:vAlign w:val="bottom"/>
          </w:tcPr>
          <w:p>
            <w:pPr>
              <w:spacing w:after="0"/>
              <w:rPr>
                <w:sz w:val="17"/>
                <w:szCs w:val="17"/>
                <w:color w:val="auto"/>
              </w:rPr>
            </w:pPr>
          </w:p>
        </w:tc>
        <w:tc>
          <w:tcPr>
            <w:tcW w:w="1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(3,950)</w:t>
            </w:r>
          </w:p>
        </w:tc>
        <w:tc>
          <w:tcPr>
            <w:tcW w:w="200" w:type="dxa"/>
            <w:vAlign w:val="bottom"/>
          </w:tcPr>
          <w:p>
            <w:pPr>
              <w:spacing w:after="0"/>
              <w:rPr>
                <w:sz w:val="17"/>
                <w:szCs w:val="17"/>
                <w:color w:val="auto"/>
              </w:rPr>
            </w:pPr>
          </w:p>
        </w:tc>
        <w:tc>
          <w:tcPr>
            <w:tcW w:w="1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(3,950)</w:t>
            </w:r>
          </w:p>
        </w:tc>
      </w:tr>
      <w:tr>
        <w:trPr>
          <w:trHeight w:val="236"/>
        </w:trPr>
        <w:tc>
          <w:tcPr>
            <w:tcW w:w="7240" w:type="dxa"/>
            <w:vAlign w:val="bottom"/>
            <w:tcBorders>
              <w:bottom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Long-term debt – net</w:t>
            </w: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384,998</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384,960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17"/>
        </w:trPr>
        <w:tc>
          <w:tcPr>
            <w:tcW w:w="44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First Lien Loan</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-238760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-221615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-238760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-221615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February 2022, we refinanced the outstanding balance of our former first lien debt facility with a $275.0 million term loan (the “2022 First Lien Loan”) and a $100.0 million revolving credit facility with a maturity date of February 3, 2027 (the “Revolving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First Lien Loan</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June 14, 2024, we refinanced the outstanding balance of the 2022 First Lien Loan with a $395.0 million term loan with a maturity date of February 3, 2029 (the “2024 First Lien Loan”). The Revolving Facility was not impacted by the refinancing.</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2024 First Lien Loan carried an interest rate equal to the secured overnight financing rate (“SOFR”) (subject to a 0.5% floor) plus a margin of 3.00%. The effective interest rate on the 2024 First Lien Loan was 7.9% per annum at December 31, 2024. Other than with respect to the interest rate, the 2024 First Lien Loan had the same material terms (including with respect to maturity, prepayment, security, covenants, and events of default) as the 2025 First Lien Term Loan (as defined in the “2025 First Lien Loan” section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2024, the fair value of the 2024 First Lien Loan approximated its carrying value.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First Lien Loan</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February 5, 2025, we refinanced the outstanding balance of the 2024 First Lien Loan with a $393.0 million term loan with a maturity date of February 3, 2029 (the “2025 First Lien Loan”). The Revolving Facility was not impacted by the refinancing.</w:t>
      </w:r>
    </w:p>
    <w:p>
      <w:pPr>
        <w:spacing w:after="0" w:line="4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terms of the 2025 First Lien Loan specify a SOFR-based floating interest rate and contain a springing financial covenant that requires compliance with a first lien net leverage ratio when borrowings under the Revolving Facility exceed certain levels. All obligations under the 2025 First Lien Loan are unconditionally guaranteed by Hoya Intermediate and substantially all of Hoya Intermediate’s existing and future direct and indirect wholly owned domestic subsidiaries (collectively, the “Guarantors”). The 2025 First Lien Loan requires quarterly principal payments of $1.0 million. All obligations under the 2025 First Lien Loan are secured, subject to permitted liens and other exceptions, by first-priority perfected security interests in substantially all of our and the Guarantors’ assets.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2025 First Lien Loan carries an interest rate equal to SOFR (subject to a 0.5% floor) plus a margin of 2.25%; provided that such margin may be reduced to 2.00% if the corporate rating assigned to us by Moody’s Investors Service, Inc. and S&amp;P Global Ratings is at least Ba3/BB- (in each case, stable or better). The effective interest rate on the 2025 First Lien Loan was 6.8% per annum at June 30, 2025.</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2025 First Lien Loan is held by third-party financial institutions and is carried at the outstanding principal balance, less debt issuance costs and any unamortized discount or premium. At June 30, 2025, the fair value of the 2025 First Lien Loan was estimated at $337.2 million, as compared with its carrying value of $388.9 million. If measured at fair value, the 2025 First Lien Loan would be classified as Level 2 within the fair value hierarchy because its fair value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would be estimated using quoted market prices that are directly observable in the marketplace. See Note 8, </w:t>
      </w:r>
      <w:r>
        <w:rPr>
          <w:rFonts w:ascii="Arial" w:cs="Arial" w:eastAsia="Arial" w:hAnsi="Arial"/>
          <w:sz w:val="18"/>
          <w:szCs w:val="18"/>
          <w:i w:val="1"/>
          <w:iCs w:val="1"/>
          <w:color w:val="auto"/>
        </w:rPr>
        <w:t>Investments and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for more information regarding our approach and accounting treatment of recurring and nonrecurring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subject to certain reporting and compliance-related covenants to remain in good standing under the 2025 First Lien Loan. These covenants, among other things, limit our ability to incur additional indebtedness and, in certain circumstances, to enter into transactions with affiliates, create liens, merge or consolidate, and make certain payments. Non-compliance with these covenants and failure to remedy could result in the acceleration of the loans or foreclosure on the collateral. As of June 30, 2025 and December 31, 2024, we were in compliance with all debt covenants related to the 2025 First Lien Loan and the 2024 First Lien Loan, respectively, and had no outstanding borrowings under the Revolving Facility.</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accordance with ASC Topic 470, </w:t>
      </w:r>
      <w:r>
        <w:rPr>
          <w:rFonts w:ascii="Arial" w:cs="Arial" w:eastAsia="Arial" w:hAnsi="Arial"/>
          <w:sz w:val="18"/>
          <w:szCs w:val="18"/>
          <w:i w:val="1"/>
          <w:iCs w:val="1"/>
          <w:color w:val="auto"/>
        </w:rPr>
        <w:t>Debt</w:t>
      </w:r>
      <w:r>
        <w:rPr>
          <w:rFonts w:ascii="Arial" w:cs="Arial" w:eastAsia="Arial" w:hAnsi="Arial"/>
          <w:sz w:val="18"/>
          <w:szCs w:val="18"/>
          <w:color w:val="auto"/>
        </w:rPr>
        <w:t>, we analyzed our outstanding balances with each lender both immediately before and after the repricing and determined that the refinancing of the 2024 First Lien Loan with the 2025 First Lien Loan is partly accounted for as a debt modification (the “First Lien Loan Modification”), partly accounted for as a debt extinguishment (the “First Lien Loan Extinguishment”), and partly accounted for as an issuance of new debt (the “First Lien Loan Issuance”).</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the three and six months ended June 30, 2025, we (i) recognized an expense of zero and $0.6 million, respectively, for third-party fees incurred in relation to the First Lien Loan Modification, which is recorded in Other expense (income) – net in the Condensed Consolidated Statements of Operations; (ii) recognized an expense of zero and $0.8 million, respectively, for losses incurred in relation to the First Lien Loan Extinguishment, which is recorded in Loss on extinguishment of debt in the Condensed Consolidated Statements of Operations; and (iii) capitalized zero and $0.2 million of third-party fees incurred in relation to the First Lien Loan Issuance, which is recorded in Long-term debt – net in the Condensed Consolidated Balance Sheets.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Shoko Chukin Bank Loan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acquisition of Wavedash Co., Ltd., we assumed long-term debt owed to Shoko Chukin Bank (the “Shoko Chukin Bank Loan”) of JPY 458.3 million (approximately $3.1 million), which had an original maturity date of June 24, 2026 and was subject to a fixed interest rate of 1.3% per annum. On April 4, 2024, we paid off the Shoko Chukin Bank Loan balance in its entirety.</w:t>
      </w:r>
    </w:p>
    <w:p>
      <w:pPr>
        <w:spacing w:after="0" w:line="61"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nstruments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Warrants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October 2021 transaction pursuant to which Horizon Acquisition Corporation (“Horizon”) merged with and into VSI (the “Merger Transaction”), we issued to former warrant holders of Horizon warrants to purchase 18,132,776 shares of our Class A common stock at an exercise price of $11.50 per share (the “Public Warrants”), 5,166,666 of which were issued to Horizon Sponsor, LLC (“Horizon Sponsor”). The Public Warrants are traded on the Nasdaq Stock Market under the symbol “SEATW.”</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in our sole discretion, reduce the exercise price of the Public Warrants to induce early exercise, provided that we provide at least five days’ advance notice. The exercise price and number of shares of Class A common stock issuable upon exercise of the Public Warrants may also be adjusted in certain circumstances, including in the event of a share dividend, recapitalization, reorganization, merger, or consolidation. In no event are we required to net cash settle the Public Warrants.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Public Warrants became exercisable 30 days following the Merger Transaction and expire at the earliest of the date that is five years following the Merger Transaction, the date of our liquidation, or the date of our optional redemption thereof provided that the value of the Class A common stock exceeds $18.00 per share. There is an effective registration statement and prospectus relating to the shares of Class A common stock issuable upon exercise of the Public Warrants.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certain circumstances, we may elect to redeem the Public Warrants at a redemption price of $0.01 per Public Warrant at any time during the term of the Public Warrants in which the trading price of the Class A common stock has been at least $18.00 per share for 20 trading days within a 30 trading-day period. If we elect to redeem the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Public Warrants, we must notify the Public Warrant holders in advance, who would then have at least 30 days from the date of such notification to exercise their respective Public Warrants. Any Public Warrants not exercised within that 30-day period will be redeemed pursuant to this provision.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and December 31, 2024, there were 6,766,853 Public Warrants outstanding.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Warrants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Merger Transaction, we issued to Horizon Sponsor warrants to purchase 6,519,791 shares of our Class A common stock at an exercise price of $11.50 per share (the “Private Warrants”).</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Private Warrants have similar terms to the Public Warrants, with the most notable difference being that we are unable to redeem the Private Warrants.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and December 31, 2024, there were 6,519,791 Private Warrants outstanding.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Warrants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Merger Transaction, we issued to Horizon Sponsor warrants to purchase (i) 17,000,000 shares of our Class A common stock at an exercise price of $10.00 per share (the “$10 Exercise Warrants”) and (ii) 17,000,000 shares of our Class A common stock at an exercise of $15.00 per share (the “$15 Exercise Warrants” and, together with the $10 Exercise Warrants, the “Exercise Warrants”).</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Exercise Warrants have similar terms to the Public Warrants, except that they have different exercise prices, an initial term of 10 years, are not redeemable by us, and are fully transferable.</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June 30, 2025 and December 31, 2024, there were 34,000,000 Exercise Warrants outstanding (comprised of 17,000,000 $10 Exercise Warrants and 17,000,000 $15 Exercise Warrants).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Mirror Warrants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Merger Transaction, Hoya Intermediate issued to us warrants to purchase (i) 17,000,000 of its common units (“Intermediate Units”) at an exercise price of $10.00 per unit (the “$10 Mirror Warrants”); (ii) 17,000,000 Intermediate Units at an exercise of $15.00 per unit (the “$15 Mirror Warrants”); and (iii) 24,652,557 Intermediate Units at an exercise price of $11.50 per unit (the “$11.50 Mirror Warrants” and, together with the $10 Mirror Warrants and the $15 Mirror Warrants, the “Mirror Warrants”).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Mirror Warrants have nearly identical terms to the Public, Private, and Exercise Warrants. Upon the valid exercise of a Public, Private, or Exercise Warrant, Hoya Intermediate will issue to us an equivalent number of Intermediate Units. Similarly, if a Public, Private, or Exercise Warrant is tendered, an equivalent number of Mirror Warrants will be tendered.</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Because the Public, Private, and Exercise Warrants are indexed to our equity and meet the equity classification guidance of ASC Topic 815-40,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they are accounted for as a component of Shareholders' equity and recorded in Additional paid-in capital in the Condensed Consolidated Balance Sheets. The Mirror Warrants eliminate in consolidation and do not impact the presentation of our condensed consolidated financial statements.</w:t>
      </w:r>
    </w:p>
    <w:p>
      <w:pPr>
        <w:spacing w:after="0" w:line="6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June 30, 2025 and December 31, 2024, there were 47,286,644 Mirror Warrants outstanding (comprised of 17,000,000 $10 Mirror Warrants, 17,000,000 $15 Mirror Warrants, and 13,286,644 $11.50 Mirror Warrants).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Intermediate Warrants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Merger Transaction, Hoya Intermediate issued to Hoya Topco, LLC (“Hoya Topco”) warrants to purchase (i) 3,000,000 Intermediate Units at an exercise price of $10.00 per unit (the “$10 Intermediate Warrants”) and (ii) 3,000,000 Intermediate Units at an exercise of $15.00 per unit (the “$15 Intermediate Warrants” and, together with the $10 Intermediate Warrants, the “Intermediate Warrants”).</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Upon the valid exercise of an Intermediate Warrant for Intermediate Units, we will issue an equivalent number of shares of our Class B common stock to Hoya Topco. Because the Intermediate Warrants allow for cash redemption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at the option of the warrant holder, they are recorded in Other liabilities in the Condensed Consolidated Balance Sheets.</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June 30, 2025 and December 31, 2024, there were 4,000,000 Intermediate Warrants outstanding (comprised of 2,000,000 $10 Intermediate Warrants and 2,000,000 $15 Intermediate Warrants).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quantitative information about the significant unobservable inputs applied to the fair value measurement of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Intermediate Warrants at June 30, 2025 and December 31, 2024: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tcPr>
          <w:p>
            <w:pPr>
              <w:ind w:left="1140"/>
              <w:spacing w:after="0"/>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7"/>
                <w:szCs w:val="17"/>
                <w:color w:val="auto"/>
              </w:rPr>
            </w:pPr>
          </w:p>
        </w:tc>
        <w:tc>
          <w:tcPr>
            <w:tcW w:w="3060" w:type="dxa"/>
            <w:vAlign w:val="bottom"/>
          </w:tcPr>
          <w:p>
            <w:pPr>
              <w:ind w:left="9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Significant Unobservable Inputs</w:t>
            </w:r>
          </w:p>
        </w:tc>
        <w:tc>
          <w:tcPr>
            <w:tcW w:w="360" w:type="dxa"/>
            <w:vAlign w:val="bottom"/>
          </w:tcPr>
          <w:p>
            <w:pPr>
              <w:spacing w:after="0"/>
              <w:rPr>
                <w:sz w:val="19"/>
                <w:szCs w:val="19"/>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2025</w:t>
            </w:r>
          </w:p>
        </w:tc>
        <w:tc>
          <w:tcPr>
            <w:tcW w:w="360" w:type="dxa"/>
            <w:vAlign w:val="bottom"/>
          </w:tcPr>
          <w:p>
            <w:pPr>
              <w:spacing w:after="0"/>
              <w:rPr>
                <w:sz w:val="19"/>
                <w:szCs w:val="19"/>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r>
      <w:tr>
        <w:trPr>
          <w:trHeight w:val="196"/>
        </w:trPr>
        <w:tc>
          <w:tcPr>
            <w:tcW w:w="44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Expected term (years)</w:t>
            </w:r>
          </w:p>
        </w:tc>
        <w:tc>
          <w:tcPr>
            <w:tcW w:w="3380" w:type="dxa"/>
            <w:vAlign w:val="bottom"/>
            <w:gridSpan w:val="2"/>
            <w:shd w:val="clear" w:color="auto" w:fill="CFF0FC"/>
          </w:tcPr>
          <w:p>
            <w:pPr>
              <w:jc w:val="center"/>
              <w:ind w:left="270"/>
              <w:spacing w:after="0" w:line="196" w:lineRule="exact"/>
              <w:rPr>
                <w:sz w:val="20"/>
                <w:szCs w:val="20"/>
                <w:color w:val="auto"/>
              </w:rPr>
            </w:pPr>
            <w:r>
              <w:rPr>
                <w:rFonts w:ascii="Arial" w:cs="Arial" w:eastAsia="Arial" w:hAnsi="Arial"/>
                <w:sz w:val="18"/>
                <w:szCs w:val="18"/>
                <w:color w:val="auto"/>
              </w:rPr>
              <w:t>6.3</w:t>
            </w:r>
          </w:p>
        </w:tc>
        <w:tc>
          <w:tcPr>
            <w:tcW w:w="3420" w:type="dxa"/>
            <w:vAlign w:val="bottom"/>
            <w:gridSpan w:val="2"/>
            <w:shd w:val="clear" w:color="auto" w:fill="CFF0FC"/>
          </w:tcPr>
          <w:p>
            <w:pPr>
              <w:jc w:val="center"/>
              <w:ind w:left="270"/>
              <w:spacing w:after="0" w:line="196" w:lineRule="exact"/>
              <w:rPr>
                <w:sz w:val="20"/>
                <w:szCs w:val="20"/>
                <w:color w:val="auto"/>
              </w:rPr>
            </w:pPr>
            <w:r>
              <w:rPr>
                <w:rFonts w:ascii="Arial" w:cs="Arial" w:eastAsia="Arial" w:hAnsi="Arial"/>
                <w:sz w:val="18"/>
                <w:szCs w:val="18"/>
                <w:color w:val="auto"/>
              </w:rPr>
              <w:t>6.8</w:t>
            </w:r>
          </w:p>
        </w:tc>
      </w:tr>
      <w:tr>
        <w:trPr>
          <w:trHeight w:val="203"/>
        </w:trPr>
        <w:tc>
          <w:tcPr>
            <w:tcW w:w="4440" w:type="dxa"/>
            <w:vAlign w:val="bottom"/>
          </w:tcPr>
          <w:p>
            <w:pPr>
              <w:jc w:val="center"/>
              <w:spacing w:after="0" w:line="202" w:lineRule="exact"/>
              <w:rPr>
                <w:sz w:val="20"/>
                <w:szCs w:val="20"/>
                <w:color w:val="auto"/>
              </w:rPr>
            </w:pPr>
            <w:r>
              <w:rPr>
                <w:rFonts w:ascii="Arial" w:cs="Arial" w:eastAsia="Arial" w:hAnsi="Arial"/>
                <w:sz w:val="18"/>
                <w:szCs w:val="18"/>
                <w:color w:val="auto"/>
                <w:w w:val="99"/>
              </w:rPr>
              <w:t>Expected volatility</w:t>
            </w:r>
          </w:p>
        </w:tc>
        <w:tc>
          <w:tcPr>
            <w:tcW w:w="338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7"/>
              </w:rPr>
              <w:t>62.0%</w:t>
            </w:r>
          </w:p>
        </w:tc>
        <w:tc>
          <w:tcPr>
            <w:tcW w:w="342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7"/>
              </w:rPr>
              <w:t>52.0%</w:t>
            </w:r>
          </w:p>
        </w:tc>
      </w:tr>
      <w:tr>
        <w:trPr>
          <w:trHeight w:val="203"/>
        </w:trPr>
        <w:tc>
          <w:tcPr>
            <w:tcW w:w="44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Risk-free rate</w:t>
            </w:r>
          </w:p>
        </w:tc>
        <w:tc>
          <w:tcPr>
            <w:tcW w:w="3380" w:type="dxa"/>
            <w:vAlign w:val="bottom"/>
            <w:gridSpan w:val="2"/>
            <w:shd w:val="clear" w:color="auto" w:fill="CFF0FC"/>
          </w:tcPr>
          <w:p>
            <w:pPr>
              <w:jc w:val="center"/>
              <w:ind w:left="270"/>
              <w:spacing w:after="0" w:line="202" w:lineRule="exact"/>
              <w:rPr>
                <w:sz w:val="20"/>
                <w:szCs w:val="20"/>
                <w:color w:val="auto"/>
              </w:rPr>
            </w:pPr>
            <w:r>
              <w:rPr>
                <w:rFonts w:ascii="Arial" w:cs="Arial" w:eastAsia="Arial" w:hAnsi="Arial"/>
                <w:sz w:val="18"/>
                <w:szCs w:val="18"/>
                <w:color w:val="auto"/>
              </w:rPr>
              <w:t>4.0%</w:t>
            </w:r>
          </w:p>
        </w:tc>
        <w:tc>
          <w:tcPr>
            <w:tcW w:w="3420" w:type="dxa"/>
            <w:vAlign w:val="bottom"/>
            <w:gridSpan w:val="2"/>
            <w:shd w:val="clear" w:color="auto" w:fill="CFF0FC"/>
          </w:tcPr>
          <w:p>
            <w:pPr>
              <w:jc w:val="center"/>
              <w:ind w:left="270"/>
              <w:spacing w:after="0" w:line="202" w:lineRule="exact"/>
              <w:rPr>
                <w:sz w:val="20"/>
                <w:szCs w:val="20"/>
                <w:color w:val="auto"/>
              </w:rPr>
            </w:pPr>
            <w:r>
              <w:rPr>
                <w:rFonts w:ascii="Arial" w:cs="Arial" w:eastAsia="Arial" w:hAnsi="Arial"/>
                <w:sz w:val="18"/>
                <w:szCs w:val="18"/>
                <w:color w:val="auto"/>
              </w:rPr>
              <w:t>4.5%</w:t>
            </w:r>
          </w:p>
        </w:tc>
      </w:tr>
      <w:tr>
        <w:trPr>
          <w:trHeight w:val="239"/>
        </w:trPr>
        <w:tc>
          <w:tcPr>
            <w:tcW w:w="4440" w:type="dxa"/>
            <w:vAlign w:val="bottom"/>
          </w:tcPr>
          <w:p>
            <w:pPr>
              <w:jc w:val="center"/>
              <w:spacing w:after="0"/>
              <w:rPr>
                <w:sz w:val="20"/>
                <w:szCs w:val="20"/>
                <w:color w:val="auto"/>
              </w:rPr>
            </w:pPr>
            <w:r>
              <w:rPr>
                <w:rFonts w:ascii="Arial" w:cs="Arial" w:eastAsia="Arial" w:hAnsi="Arial"/>
                <w:sz w:val="18"/>
                <w:szCs w:val="18"/>
                <w:color w:val="auto"/>
                <w:w w:val="99"/>
              </w:rPr>
              <w:t>Expected dividend yield</w:t>
            </w:r>
          </w:p>
        </w:tc>
        <w:tc>
          <w:tcPr>
            <w:tcW w:w="3380" w:type="dxa"/>
            <w:vAlign w:val="bottom"/>
            <w:gridSpan w:val="2"/>
          </w:tcPr>
          <w:p>
            <w:pPr>
              <w:jc w:val="center"/>
              <w:ind w:left="270"/>
              <w:spacing w:after="0"/>
              <w:rPr>
                <w:sz w:val="20"/>
                <w:szCs w:val="20"/>
                <w:color w:val="auto"/>
              </w:rPr>
            </w:pPr>
            <w:r>
              <w:rPr>
                <w:rFonts w:ascii="Arial" w:cs="Arial" w:eastAsia="Arial" w:hAnsi="Arial"/>
                <w:sz w:val="18"/>
                <w:szCs w:val="18"/>
                <w:color w:val="auto"/>
              </w:rPr>
              <w:t>0.0%</w:t>
            </w:r>
          </w:p>
        </w:tc>
        <w:tc>
          <w:tcPr>
            <w:tcW w:w="3420" w:type="dxa"/>
            <w:vAlign w:val="bottom"/>
            <w:gridSpan w:val="2"/>
          </w:tcPr>
          <w:p>
            <w:pPr>
              <w:jc w:val="center"/>
              <w:ind w:left="270"/>
              <w:spacing w:after="0"/>
              <w:rPr>
                <w:sz w:val="20"/>
                <w:szCs w:val="20"/>
                <w:color w:val="auto"/>
              </w:rPr>
            </w:pPr>
            <w:r>
              <w:rPr>
                <w:rFonts w:ascii="Arial" w:cs="Arial" w:eastAsia="Arial" w:hAnsi="Arial"/>
                <w:sz w:val="18"/>
                <w:szCs w:val="18"/>
                <w:color w:val="auto"/>
              </w:rPr>
              <w:t>0.0%</w:t>
            </w:r>
          </w:p>
        </w:tc>
      </w:tr>
    </w:tbl>
    <w:p>
      <w:pPr>
        <w:spacing w:after="0" w:line="5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and six months ended June 30, 2025 and 2024 the fair value of the Intermediate Warrants decreased by $1.7 million, $4.8 million, $1.3 million, and $1.8 million, respectively, for which we recognized a gain in all four periods. Gains and losses related to the change in fair value of the Intermediate Warrants are recorded in Other expense (income) – net in the Condensed Consolidated Statements of Operations.</w:t>
      </w:r>
    </w:p>
    <w:p>
      <w:pPr>
        <w:spacing w:after="0" w:line="66"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29, 2024, our Board of Directors (our “Board”) authorized a share repurchase program for up to $100.0 million of our Class A common stock (the “Share Repurchase Program”). The Share Repurchase Program was publicly announced on March 5, 2024 and does not have a fixed expiration date.</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and six months ended June 30, 2025, we repurchased 3.9 million and 6.3 million shares of our Class A common stock, respectively, under the Share Repurchase Program, for which we paid $9.1 million and $15.7 million, respectively, and incurred commissions and excise taxes of $0.1 million. As of June 30, 2025, we recognized a liability of $0.3 million related to unpaid share repurchases, which is recorded in Accrued expenses and other current liabilities in the Condensed Consolidated Balance Sheets.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Cumulatively as of June 30, 2025, we have repurchased 10.4 million shares of our Class A common stock under the Share Repurchase Program, for which we have paid $38.5 million and incurred commissions and excise taxes of $0.2 million. As of June 30, 2025, $61.2 million remained available for future repurchases under the Share Repurchase Program.</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each major component of Accumulated other comprehensive income (loss) attributable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stockholders during the six months ended June 30, 2025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Accumulated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Accumulated Foreign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Accumulated Other</w:t>
            </w:r>
          </w:p>
        </w:tc>
      </w:tr>
      <w:tr>
        <w:trPr>
          <w:trHeight w:val="203"/>
        </w:trPr>
        <w:tc>
          <w:tcPr>
            <w:tcW w:w="4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6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Unrealized Gain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Currency Translation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Comprehensive</w:t>
            </w:r>
          </w:p>
        </w:tc>
      </w:tr>
      <w:tr>
        <w:trPr>
          <w:trHeight w:val="221"/>
        </w:trPr>
        <w:tc>
          <w:tcPr>
            <w:tcW w:w="4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on Note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Adjustment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Income (Loss)</w:t>
            </w:r>
          </w:p>
        </w:tc>
        <w:tc>
          <w:tcPr>
            <w:tcW w:w="100" w:type="dxa"/>
            <w:vAlign w:val="bottom"/>
          </w:tcPr>
          <w:p>
            <w:pPr>
              <w:spacing w:after="0"/>
              <w:rPr>
                <w:sz w:val="19"/>
                <w:szCs w:val="19"/>
                <w:color w:val="auto"/>
              </w:rPr>
            </w:pPr>
          </w:p>
        </w:tc>
      </w:tr>
      <w:tr>
        <w:trPr>
          <w:trHeight w:val="196"/>
        </w:trPr>
        <w:tc>
          <w:tcPr>
            <w:tcW w:w="44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Balances at January 1, 2025</w:t>
            </w:r>
          </w:p>
        </w:tc>
        <w:tc>
          <w:tcPr>
            <w:tcW w:w="660" w:type="dxa"/>
            <w:vAlign w:val="bottom"/>
            <w:gridSpan w:val="2"/>
            <w:shd w:val="clear" w:color="auto" w:fill="CFF0FC"/>
          </w:tcPr>
          <w:p>
            <w:pPr>
              <w:ind w:left="540"/>
              <w:spacing w:after="0" w:line="196" w:lineRule="exact"/>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181</w:t>
            </w:r>
          </w:p>
        </w:tc>
        <w:tc>
          <w:tcPr>
            <w:tcW w:w="2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2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(1,061)</w:t>
            </w:r>
          </w:p>
        </w:tc>
        <w:tc>
          <w:tcPr>
            <w:tcW w:w="1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9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b w:val="1"/>
                <w:bCs w:val="1"/>
                <w:color w:val="auto"/>
              </w:rPr>
              <w:t>(880)</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Recorded in Other comprehensive income (loss)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1,313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1,289</w:t>
            </w:r>
          </w:p>
        </w:tc>
        <w:tc>
          <w:tcPr>
            <w:tcW w:w="100" w:type="dxa"/>
            <w:vAlign w:val="bottom"/>
          </w:tcPr>
          <w:p>
            <w:pPr>
              <w:spacing w:after="0"/>
              <w:rPr>
                <w:sz w:val="17"/>
                <w:szCs w:val="17"/>
                <w:color w:val="auto"/>
              </w:rPr>
            </w:pPr>
          </w:p>
        </w:tc>
      </w:tr>
      <w:tr>
        <w:trPr>
          <w:trHeight w:val="20"/>
        </w:trPr>
        <w:tc>
          <w:tcPr>
            <w:tcW w:w="4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42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Balances at June 30, 2025</w:t>
            </w: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157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20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252</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1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409</w:t>
            </w:r>
          </w:p>
        </w:tc>
        <w:tc>
          <w:tcPr>
            <w:tcW w:w="100" w:type="dxa"/>
            <w:vAlign w:val="bottom"/>
            <w:shd w:val="clear" w:color="auto" w:fill="CFF0FC"/>
          </w:tcPr>
          <w:p>
            <w:pPr>
              <w:spacing w:after="0"/>
              <w:rPr>
                <w:sz w:val="20"/>
                <w:szCs w:val="20"/>
                <w:color w:val="auto"/>
              </w:rPr>
            </w:pPr>
          </w:p>
        </w:tc>
      </w:tr>
      <w:tr>
        <w:trPr>
          <w:trHeight w:val="862"/>
        </w:trPr>
        <w:tc>
          <w:tcPr>
            <w:tcW w:w="4420" w:type="dxa"/>
            <w:vAlign w:val="bottom"/>
            <w:tcBorders>
              <w:top w:val="single" w:sz="8" w:color="CFF0FC"/>
            </w:tcBorders>
          </w:tcPr>
          <w:p>
            <w:pPr>
              <w:spacing w:after="0"/>
              <w:rPr>
                <w:sz w:val="24"/>
                <w:szCs w:val="24"/>
                <w:color w:val="auto"/>
              </w:rPr>
            </w:pPr>
          </w:p>
        </w:tc>
        <w:tc>
          <w:tcPr>
            <w:tcW w:w="5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6"/>
        </w:trPr>
        <w:tc>
          <w:tcPr>
            <w:tcW w:w="4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-1070610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-1053465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-1070610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-1053465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are involved in various claims and legal actions arising in the ordinary course of business, none of which, in management’s opinion, could have a material effect on our business, financial position, or results of operations other than those matters discussed below.</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were a co-defendant in a class action lawsuit in Canada alleging a failure to disclose service fees prior to checkout. A final order approving the settlement of this lawsuit was entered by the court in August 2020. In 2022, certain class members were issued coupons and other class members were notified that they were eligible to submit a claim for a coupon. As of June 30, 2025 and December 31, 2024, a liability of $0.9 million was recorded in Accrued expenses and other current liabilities in the Condensed Consolidated Balance Sheets related to expected claim submissions and credit redemptions as of the measurement date.</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were a defendant in a lawsuit related to an alleged violation of the Illinois Biometric Information Privacy Act. A final order approving the settlement of this lawsuit was entered by the court on January 29, 2025, pursuant to which $0.3 million was paid to cover approved claims and legal and administrative fees. This amount, which was covered in full by insurance, was paid on March 28, 2025. As of June 30, 2025, we had no accrued liability related to this matter. As of December 31, 2024, a liability of $0.3 million was recorded in Accrued expenses and other current liabilities in the Condensed Consolidated Balance Sheets related to this matter.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Indirect Taxes</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In 2018, the U.S. Supreme Court issued its decision in </w:t>
      </w:r>
      <w:r>
        <w:rPr>
          <w:rFonts w:ascii="Arial" w:cs="Arial" w:eastAsia="Arial" w:hAnsi="Arial"/>
          <w:sz w:val="18"/>
          <w:szCs w:val="18"/>
          <w:i w:val="1"/>
          <w:iCs w:val="1"/>
          <w:color w:val="auto"/>
        </w:rPr>
        <w:t>South Dakota v. Wayfair Inc.</w:t>
      </w:r>
      <w:r>
        <w:rPr>
          <w:rFonts w:ascii="Arial" w:cs="Arial" w:eastAsia="Arial" w:hAnsi="Arial"/>
          <w:sz w:val="18"/>
          <w:szCs w:val="18"/>
          <w:color w:val="auto"/>
        </w:rPr>
        <w:t>, which overturned previous case law that had precluded state and local governments from imposing sales tax collection requirements on retailers without a physical presence. In response, most jurisdictions have adopted laws that attempt to impose tax collection obligations on out-of-state companies, and we have registered and begun collecting tax where required by statute. It is reasonably possible that state or local governments will continue to adopt or interpret laws such that we will be required to calculate, collect, and remit taxes on sales in their jurisdictions. A successful assertion by one or more jurisdictions could result in material tax liabilities, including uncollected taxes on past sales, as well as penalties and interest. Based on our analysis of certain state and local regulations, specifically related to marketplace facilitators and event ticket sales, we have recorded liabilities in all jurisdictions where we believe a risk of loss is probable and reasonably estimable. We will continuously monitor state and local regulations and will implement required collection and remittance procedures if and when we are subject thereto.</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the extent we have sales for international events, we may be required to register with various foreign jurisdictions and to collect and remit indirect taxes. It is reasonably possible that foreign jurisdictions may continue to adopt or interpret laws that impact the amount we are required to collect and remit. A successful assertion by one or more such jurisdictions could result in material tax liabilities, including uncollected taxes on past sales, as well as penalties and interest. Based on our analysis of certain foreign indirect tax regulations, specifically related to marketplace facilitators and event ticket sales, we have recorded liabilities in the jurisdictions where we believe a risk of loss is probable and reasonably estimable. We will continuously monitor foreign regulations and will implement required collection and remittance procedures if and when we are subject thereto.</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June 30, 2025 and December 31, 2024, we recognized a liability of $3.4 million and $7.5 million, respectively, related to uncollected indirect taxes (including sales taxes). This uncollected indirect tax liability, which is recorded in Accrued expenses and other current liabilities in the Condensed Consolidated Balance Sheets increases when accruals are made in jurisdictions where we expect to remit payment to U.S. and foreign governmental tax authorities before all required amounts are collected from the customer and decreases when we receive abatements and/or recognize other reductions to the balance.</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and six months ended June 30, 2025, we recognized a net expense of $0.4 million and a net benefit of $1.4 million, respectively, related to the liability for uncollected indirect taxes (including sales taxes). During the three and six months ended June 30, 2024, we recognized a net expense of $2.3 million and a net benefit of $0.4 million, respectively, related to the liability for uncollected indirect taxes (including sales taxes). The net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expense/benefit recognized in relation to the liability for uncollected indirect taxes (including sales taxes) is recorded in General and administrative expenses in the Condensed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Loan</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August 2024, we and a privately held company entered into a sponsorship and custom content partnership agreement providing us with various marketing services in exchange for our issuance of an interest-free loan payable in installments that could total a maximum of $5.0 million (the “Sponsorship Loan”). We account for the Sponsorship Loan as a note receivable in accordance with ASC Topic 310, </w:t>
      </w:r>
      <w:r>
        <w:rPr>
          <w:rFonts w:ascii="Arial" w:cs="Arial" w:eastAsia="Arial" w:hAnsi="Arial"/>
          <w:sz w:val="18"/>
          <w:szCs w:val="18"/>
          <w:i w:val="1"/>
          <w:iCs w:val="1"/>
          <w:color w:val="auto"/>
        </w:rPr>
        <w:t>Receivables</w:t>
      </w:r>
      <w:r>
        <w:rPr>
          <w:rFonts w:ascii="Arial" w:cs="Arial" w:eastAsia="Arial" w:hAnsi="Arial"/>
          <w:sz w:val="18"/>
          <w:szCs w:val="18"/>
          <w:color w:val="auto"/>
        </w:rPr>
        <w:t>. In August 2024, we disbursed $2.0 million of the Sponsorship Loan (the “2024 Sponsorship Loan”). While there is no stated</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date for the 2024 Sponsorship Loan, we are entitled to a portion of advertising revenue received by the counterparty until it is repaid in full.</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During the three and six months ended June 30, 2025, we recorded a full write-off on the outstanding balance of the 2024 Sponsorship Loan because the counterparty filed for bankruptcy. The Sponsorship Loan’s carrying amount was written down to zero, reflecting the expectation of no recoverable amount under ASC Topic 326,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During the three and six months ended June 30, 2025, we recognized a loss of $2.0 million in connection to the write-off of the Sponsorship Loan, which is recorded in Other expense (income) – net in the Condensed Consolidated Statements of Operations.</w:t>
      </w:r>
    </w:p>
    <w:p>
      <w:pPr>
        <w:spacing w:after="0" w:line="68"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elated</w:t>
      </w:r>
      <w:r>
        <w:rPr>
          <w:rFonts w:ascii="Arial" w:cs="Arial" w:eastAsia="Arial" w:hAnsi="Arial"/>
          <w:sz w:val="18"/>
          <w:szCs w:val="18"/>
          <w:b w:val="1"/>
          <w:bCs w:val="1"/>
          <w:color w:val="auto"/>
        </w:rPr>
        <w:t>-P</w:t>
      </w:r>
      <w:r>
        <w:rPr>
          <w:rFonts w:ascii="Arial" w:cs="Arial" w:eastAsia="Arial" w:hAnsi="Arial"/>
          <w:sz w:val="12"/>
          <w:szCs w:val="12"/>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Viral Nation</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Viral Nation Inc. (“Viral Nation”) is a marketing agency that creates viral and social media influencer campaigns and provides advertising, marketing, and technology services. Todd Boehly, a member of our Board, serves on the board of directors of Viral Nation and is the Co-Founder, Chairman, and Chief Executive Officer of Eldridge Industries, LLC (“Eldridge”), which owns greater than 10% of Viral Nation. For Viral Nation’s services, we incurred an expense of zero and $0.3 million during the three and six months ended June 30, 2024, respectively, which is recorded in Marketing and selling expenses in the Condensed Consolidated Statements of Operations. We did not incur an expense for Viral Nation’s services during the three and six months ended June 30, 2025.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 Angeles Dodgers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Los Angeles Dodgers are a Major League Baseball (“MLB”) team based in Los Angeles, California. Todd Boehly, a member of our Board, owns greater than 10% of the Los Angeles Dodgers. In relation to a strategic partnership with the Los Angeles Dodgers, including our designation as the official ticket marketplace of the Los Angeles Dodgers and certain other advertising, marketing, promotional, and sponsorship benefits, we recognized an expense of $1.1 million during the three and six months ended June 30, 2024, which is recorded in Marketing and selling expenses in the Consolidated Statements of Operations. We did not incur an expense in relation to the strategic partnership with the Los Angeles Dodgers during the three and six months ended June 30, 2025.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In connection with the Merger Transaction, we entered into a Tax Receivable Agreement (the “TRA”) with the existing Hoya Intermediate unitholders. For more information, see “Tax Receivable Agreement” in Note 15,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46"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and six months ended June 30, 2025, we recognized an income tax expense of $76.1 million and $79.3 million, respectively, which are recorded in Income tax expense in the Condensed Consolidated Statements of Operations. Our effective income tax rate differed from the 21% U.S. federal statutory rate primarily due to an increase in valuation allowance, reduction in TRA liability, and impairment charges in foreign jurisdictions.</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three and six months ended June 30, 2024, we recognized an income tax expense of $0.6 million and $2.9 million, respectively, which are recorded in Income tax expense in the Condensed Consolidated Statements of</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Operations. Our effective income tax rate differed from the 21% U.S. federal statutory rate due to a redeemable noncontrolling interests adjustment for VSI’s allocable share of Hoya Intermediate’s income (loss), state taxes, equity-based compensation, and limitations on compensation deductions.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 Net</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regularly assess the need for a valuation allowance against our deferred tax assets. As of each reporting date, we consider new evidence, both positive and negative, that could affect our view of the future realization of deferred tax assets. As of June 30, 2025, in part because during the three months ended June 30, 2025 we recorded a significant impairment of our goodwill and certain indefinite-lived intangible assets, entered into a cumulative loss position, and had a negative trend in earnings in the U.S. federal tax jurisdiction, we determined that there is sufficient negative evidence to conclude that it is more likely than not that deferred tax assets of $76.5 million associated with our investment in partnership, TRA, U.S. net operating losses, interest expense limitations, and tax credit carryforwards are not realizable. We therefore increased the valuation allowance accordingly. We continue to monitor the need for a valuation allowance against our deferred tax assets at each reporting date.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connection with the Merger Transaction, we entered into the TRA with the existing Hoya Intermediate unitholders that provides for our payment to such unitholders of 85% of the amount of any tax savings that we realize (or, under certain circumstances, are deemed to realize) as a result of, or attributable to: (i) increases in the tax basis of assets owned directly or indirectly by Hoya Intermediate or its subsidiaries from, among other things, any redemptions or exchanges of Intermediate Units; (ii) existing tax basis (including depreciation and amortization deductions arising from such tax basis) in long-lived assets owned directly or indirectly by Hoya Intermediate or its subsidiaries; and (iii) certain other tax benefits (including deductions in respect of imputed interest) related to us making payments under the TRA.</w:t>
      </w:r>
    </w:p>
    <w:p>
      <w:pPr>
        <w:spacing w:after="0" w:line="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Amounts payable under the TRA are contingent upon the generation of future taxable income over the term of the TRA and future changes in tax laws. If we do not generate sufficient taxable income in the aggregate over the term of the TRA to utilize the tax benefits, then we would not be required to make the related payments. We account for amounts payable under the TRA in accordance with Accounting Standards Codification (“ASC”) Topic 450, Contingencies. Amounts payable under the TRA are recorded when it is probable that TRA payments will be incurred and the amount is estimable. As of June 30, 2025, we believe, based on applicable accounting standards, that it is no longer probable that we will generate sufficient future taxable income to support a significant amount of the balance of the TRA liability previously recorded as of March 31, 2025. As of June 30, 2025, after evaluating all available positive and negative evidence, we determined that significant negative objective and verifiable evidence in the form of cumulative losses by our domestic operations exists to change our conclusion regarding the future realization of our deferred tax assets, which therefore significantly impacts the amount of future TRA payments that are probable to be made. As of June 30, 2025, we estimate that a $6.5 million TRA liability is probable, of which $5.8 million is due within the next 12 months. During the three and six months ended June 30, 2025, we recorded income of $149.2 million for the change in the TRA liability, which is recorded in Other income – net in the Condensed Consolidated Statements of Operations. The total TRA payment obligation, if there is sufficient taxable income to recognize all TRA attributes, was $155.7 million and $159.7 million as of June 30, 2025 and December 31, 2024, respectively. During the three and six months ended June 30, 2025, we made payments of zero and $4.0 million, respectively, pursuant to the TRA. Both the TRA-related deferred tax assets and the TRA obligation are estimates that are subject to change. If utilization of the deferred tax assets subject to the TRA becomes more likely than not in the future, we expect to record a liability related to the TRA which will be recognized as an expense and recorded in Other income – net in the Condensed Consolidated Statements of Operations.</w:t>
      </w:r>
    </w:p>
    <w:p>
      <w:pPr>
        <w:spacing w:after="0" w:line="74"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-B</w:t>
      </w:r>
      <w:r>
        <w:rPr>
          <w:rFonts w:ascii="Arial" w:cs="Arial" w:eastAsia="Arial" w:hAnsi="Arial"/>
          <w:sz w:val="12"/>
          <w:szCs w:val="12"/>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2021 Incentive Award Plan (as amended, the “2021 Plan”) was approved and adopted in order to facilitate the grant of equity incentive awards to our employees, directors, non-employee directors, and consultants. The 2021 Plan became effective in October 2021 upon consummation of the Merger Transaction, and the First Amendment thereto became effective on February 5, 2024.</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Restricted stock units (“RSUs”) are awards that are denominated in a hypothetical equivalent number of shares of our Class A common stock. The value of each RSU is equal to the fair value of our Class A common stock on the grant date. Each RSU converts into shares of our Class A Common stock upon vesting.</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six months ended June 30, 2025 and 2024, we granted to certain employees 12.9 million and 10.7 million RSUs, respectively, at a weighted average grant date fair value of $2.79 per share and $5.35 per share, respectively. RSUs granted to employees vest over three years, with one-third vesting on the first anniversary of the grant date and the remaining portion vesting on a quarterly basis thereafter, subject to the employee’s continued employment through the applicable vesting date.</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six months ended June 30, 2025 and 2024, we granted to our directors 0.9 million and 0.3 million RSUs, respectively, at a weighted average grant date fair value of $1.52 per share and $5.24 per share, respectively. Annual RSU awards granted to directors fully vest on the earlier of (i) one day prior to the date of our first annual meeting of stockholders following the grant date and (ii) the one-year anniversary of the grant date, subject to the director’s continued service on our Board.</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six months ended June 30, 2025, we granted less than 0.1 million RSUs to certain consultants at a weighted average grant date fair value of $2.81 per share. We did not grant any RSUs to consultants during the six months ended June 30, 2024. RSUs granted to consultants either fully vest on the first anniversary of the grant date or in equal annual installments over three years, in each case subject to the consultant’s continued service through the applicable vesting date.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total activity for RSUs during the six months ended June 30, 2025 and 2024 (in thousands, except per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RSU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gridSpan w:val="4"/>
          </w:tcPr>
          <w:p>
            <w:pPr>
              <w:spacing w:after="0"/>
              <w:rPr>
                <w:sz w:val="20"/>
                <w:szCs w:val="20"/>
                <w:color w:val="auto"/>
              </w:rPr>
            </w:pPr>
            <w:r>
              <w:rPr>
                <w:rFonts w:ascii="Arial" w:cs="Arial" w:eastAsia="Arial" w:hAnsi="Arial"/>
                <w:sz w:val="18"/>
                <w:szCs w:val="18"/>
                <w:b w:val="1"/>
                <w:bCs w:val="1"/>
                <w:color w:val="auto"/>
              </w:rPr>
              <w:t>Weighted Average Grant Date</w:t>
            </w:r>
          </w:p>
        </w:tc>
      </w:tr>
      <w:tr>
        <w:trPr>
          <w:trHeight w:val="221"/>
        </w:trPr>
        <w:tc>
          <w:tcPr>
            <w:tcW w:w="6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RSUs</w:t>
            </w: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Fair Value Per RSU</w:t>
            </w:r>
          </w:p>
        </w:tc>
        <w:tc>
          <w:tcPr>
            <w:tcW w:w="100" w:type="dxa"/>
            <w:vAlign w:val="bottom"/>
          </w:tcPr>
          <w:p>
            <w:pPr>
              <w:spacing w:after="0"/>
              <w:rPr>
                <w:sz w:val="19"/>
                <w:szCs w:val="19"/>
                <w:color w:val="auto"/>
              </w:rPr>
            </w:pPr>
          </w:p>
        </w:tc>
      </w:tr>
      <w:tr>
        <w:trPr>
          <w:trHeight w:val="196"/>
        </w:trPr>
        <w:tc>
          <w:tcPr>
            <w:tcW w:w="7580" w:type="dxa"/>
            <w:vAlign w:val="bottom"/>
            <w:gridSpan w:val="3"/>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December 31, 2024</w:t>
            </w: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11,777</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FF0FC"/>
          </w:tcPr>
          <w:p>
            <w:pPr>
              <w:spacing w:after="0"/>
              <w:rPr>
                <w:sz w:val="17"/>
                <w:szCs w:val="17"/>
                <w:color w:val="auto"/>
              </w:rPr>
            </w:pPr>
          </w:p>
        </w:tc>
        <w:tc>
          <w:tcPr>
            <w:tcW w:w="2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5.61</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gridSpan w:val="3"/>
          </w:tcPr>
          <w:p>
            <w:pPr>
              <w:spacing w:after="0" w:line="202" w:lineRule="exact"/>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13,826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100" w:type="dxa"/>
            <w:vAlign w:val="bottom"/>
          </w:tcPr>
          <w:p>
            <w:pPr>
              <w:spacing w:after="0"/>
              <w:rPr>
                <w:sz w:val="17"/>
                <w:szCs w:val="17"/>
                <w:color w:val="auto"/>
              </w:rPr>
            </w:pPr>
          </w:p>
        </w:tc>
      </w:tr>
      <w:tr>
        <w:trPr>
          <w:trHeight w:val="203"/>
        </w:trPr>
        <w:tc>
          <w:tcPr>
            <w:tcW w:w="75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Forfeited</w:t>
            </w:r>
          </w:p>
        </w:tc>
        <w:tc>
          <w:tcPr>
            <w:tcW w:w="7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(508)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Vested</w:t>
            </w:r>
          </w:p>
        </w:tc>
        <w:tc>
          <w:tcPr>
            <w:tcW w:w="138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(4,723)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5.72</w:t>
            </w:r>
          </w:p>
        </w:tc>
        <w:tc>
          <w:tcPr>
            <w:tcW w:w="100" w:type="dxa"/>
            <w:vAlign w:val="bottom"/>
          </w:tcPr>
          <w:p>
            <w:pPr>
              <w:spacing w:after="0"/>
              <w:rPr>
                <w:sz w:val="17"/>
                <w:szCs w:val="17"/>
                <w:color w:val="auto"/>
              </w:rPr>
            </w:pPr>
          </w:p>
        </w:tc>
      </w:tr>
      <w:tr>
        <w:trPr>
          <w:trHeight w:val="236"/>
        </w:trPr>
        <w:tc>
          <w:tcPr>
            <w:tcW w:w="620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June 30, 2025</w:t>
            </w:r>
          </w:p>
        </w:tc>
        <w:tc>
          <w:tcPr>
            <w:tcW w:w="138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20,372</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2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3.66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67"/>
        </w:trPr>
        <w:tc>
          <w:tcPr>
            <w:tcW w:w="6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Grant</w:t>
            </w:r>
          </w:p>
        </w:tc>
      </w:tr>
      <w:tr>
        <w:trPr>
          <w:trHeight w:val="221"/>
        </w:trPr>
        <w:tc>
          <w:tcPr>
            <w:tcW w:w="6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RSUs</w:t>
            </w: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Date Fair Value Per RSU</w:t>
            </w:r>
          </w:p>
        </w:tc>
        <w:tc>
          <w:tcPr>
            <w:tcW w:w="100" w:type="dxa"/>
            <w:vAlign w:val="bottom"/>
          </w:tcPr>
          <w:p>
            <w:pPr>
              <w:spacing w:after="0"/>
              <w:rPr>
                <w:sz w:val="19"/>
                <w:szCs w:val="19"/>
                <w:color w:val="auto"/>
              </w:rPr>
            </w:pPr>
          </w:p>
        </w:tc>
      </w:tr>
      <w:tr>
        <w:trPr>
          <w:trHeight w:val="196"/>
        </w:trPr>
        <w:tc>
          <w:tcPr>
            <w:tcW w:w="7580" w:type="dxa"/>
            <w:vAlign w:val="bottom"/>
            <w:gridSpan w:val="3"/>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December 31, 2023</w:t>
            </w:r>
          </w:p>
        </w:tc>
        <w:tc>
          <w:tcPr>
            <w:tcW w:w="7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3,866</w:t>
            </w: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2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8.35</w:t>
            </w:r>
          </w:p>
        </w:tc>
        <w:tc>
          <w:tcPr>
            <w:tcW w:w="100" w:type="dxa"/>
            <w:vAlign w:val="bottom"/>
            <w:shd w:val="clear" w:color="auto" w:fill="CFF0FC"/>
          </w:tcPr>
          <w:p>
            <w:pPr>
              <w:spacing w:after="0"/>
              <w:rPr>
                <w:sz w:val="17"/>
                <w:szCs w:val="17"/>
                <w:color w:val="auto"/>
              </w:rPr>
            </w:pPr>
          </w:p>
        </w:tc>
      </w:tr>
      <w:tr>
        <w:trPr>
          <w:trHeight w:val="202"/>
        </w:trPr>
        <w:tc>
          <w:tcPr>
            <w:tcW w:w="7580" w:type="dxa"/>
            <w:vAlign w:val="bottom"/>
            <w:gridSpan w:val="3"/>
          </w:tcPr>
          <w:p>
            <w:pPr>
              <w:spacing w:after="0" w:line="202" w:lineRule="exact"/>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10,940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5.34</w:t>
            </w:r>
          </w:p>
        </w:tc>
        <w:tc>
          <w:tcPr>
            <w:tcW w:w="100" w:type="dxa"/>
            <w:vAlign w:val="bottom"/>
          </w:tcPr>
          <w:p>
            <w:pPr>
              <w:spacing w:after="0"/>
              <w:rPr>
                <w:sz w:val="17"/>
                <w:szCs w:val="17"/>
                <w:color w:val="auto"/>
              </w:rPr>
            </w:pPr>
          </w:p>
        </w:tc>
      </w:tr>
      <w:tr>
        <w:trPr>
          <w:trHeight w:val="203"/>
        </w:trPr>
        <w:tc>
          <w:tcPr>
            <w:tcW w:w="75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Forfeited</w:t>
            </w:r>
          </w:p>
        </w:tc>
        <w:tc>
          <w:tcPr>
            <w:tcW w:w="980" w:type="dxa"/>
            <w:vAlign w:val="bottom"/>
            <w:gridSpan w:val="3"/>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(225)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7.37</w:t>
            </w:r>
          </w:p>
        </w:tc>
        <w:tc>
          <w:tcPr>
            <w:tcW w:w="100" w:type="dxa"/>
            <w:vAlign w:val="bottom"/>
            <w:shd w:val="clear" w:color="auto" w:fill="CFF0FC"/>
          </w:tcPr>
          <w:p>
            <w:pPr>
              <w:spacing w:after="0"/>
              <w:rPr>
                <w:sz w:val="17"/>
                <w:szCs w:val="17"/>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1460" w:type="dxa"/>
            <w:vAlign w:val="bottom"/>
            <w:gridSpan w:val="2"/>
          </w:tcPr>
          <w:p>
            <w:pPr>
              <w:spacing w:after="0"/>
              <w:rPr>
                <w:sz w:val="17"/>
                <w:szCs w:val="17"/>
                <w:color w:val="auto"/>
              </w:rPr>
            </w:pPr>
          </w:p>
        </w:tc>
        <w:tc>
          <w:tcPr>
            <w:tcW w:w="9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(1,486)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8.14</w:t>
            </w:r>
          </w:p>
        </w:tc>
        <w:tc>
          <w:tcPr>
            <w:tcW w:w="100" w:type="dxa"/>
            <w:vAlign w:val="bottom"/>
          </w:tcPr>
          <w:p>
            <w:pPr>
              <w:spacing w:after="0"/>
              <w:rPr>
                <w:sz w:val="17"/>
                <w:szCs w:val="17"/>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1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June 30, 2024</w:t>
            </w:r>
          </w:p>
        </w:tc>
        <w:tc>
          <w:tcPr>
            <w:tcW w:w="1460" w:type="dxa"/>
            <w:vAlign w:val="bottom"/>
            <w:gridSpan w:val="2"/>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13,095</w:t>
            </w:r>
          </w:p>
        </w:tc>
        <w:tc>
          <w:tcPr>
            <w:tcW w:w="2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2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5.88</w:t>
            </w:r>
          </w:p>
        </w:tc>
        <w:tc>
          <w:tcPr>
            <w:tcW w:w="100" w:type="dxa"/>
            <w:vAlign w:val="bottom"/>
            <w:shd w:val="clear" w:color="auto" w:fill="CFF0FC"/>
          </w:tcPr>
          <w:p>
            <w:pPr>
              <w:spacing w:after="0"/>
              <w:rPr>
                <w:sz w:val="18"/>
                <w:szCs w:val="18"/>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-1096645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-1079500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Stock options provide for the purchase of shares of our Class A common stock in the future at an exercise price set on the grant (or modification) date. Our stock option awards vest over three years, with one-third vesting on the first anniversary of the grant date and the remaining options vesting on a quarterly basis thereafter. Stock options granted to employees have a contractual term of ten years from the grant date, subject to the employee’s continued service through the applicable vesting date. Stock options granted to consultants have a contractual term of seven years from the grant date, subject to the consultant’s continued service through the applicable vesting date.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tables summarize the total activity for stock options during the six months ended June 30, 2025 and 2024 (in thousands, except price per stock option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Weighted Average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rPr>
              <w:t>Weighted Average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rPr>
              <w:t>Exercise Price Per</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 Life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21"/>
        </w:trPr>
        <w:tc>
          <w:tcPr>
            <w:tcW w:w="4160" w:type="dxa"/>
            <w:vAlign w:val="bottom"/>
          </w:tcPr>
          <w:p>
            <w:pPr>
              <w:spacing w:after="0"/>
              <w:rPr>
                <w:sz w:val="19"/>
                <w:szCs w:val="19"/>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9"/>
              </w:rPr>
              <w:t>Stock Options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9"/>
              </w:rPr>
              <w:t>Stock Option</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(Years)</w:t>
            </w:r>
          </w:p>
        </w:tc>
        <w:tc>
          <w:tcPr>
            <w:tcW w:w="160" w:type="dxa"/>
            <w:vAlign w:val="bottom"/>
          </w:tcPr>
          <w:p>
            <w:pPr>
              <w:spacing w:after="0"/>
              <w:rPr>
                <w:sz w:val="19"/>
                <w:szCs w:val="19"/>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Intrinsic Value</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at December 31, 2024</w:t>
            </w:r>
          </w:p>
        </w:tc>
        <w:tc>
          <w:tcPr>
            <w:tcW w:w="1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8,102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7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8.11</w:t>
            </w:r>
          </w:p>
        </w:tc>
        <w:tc>
          <w:tcPr>
            <w:tcW w:w="2120" w:type="dxa"/>
            <w:vAlign w:val="bottom"/>
            <w:gridSpan w:val="3"/>
            <w:shd w:val="clear" w:color="auto" w:fill="CFF0FC"/>
          </w:tcPr>
          <w:p>
            <w:pPr>
              <w:jc w:val="center"/>
              <w:ind w:left="110"/>
              <w:spacing w:after="0" w:line="196" w:lineRule="exact"/>
              <w:rPr>
                <w:sz w:val="20"/>
                <w:szCs w:val="20"/>
                <w:color w:val="auto"/>
              </w:rPr>
            </w:pPr>
            <w:r>
              <w:rPr>
                <w:rFonts w:ascii="Arial" w:cs="Arial" w:eastAsia="Arial" w:hAnsi="Arial"/>
                <w:sz w:val="18"/>
                <w:szCs w:val="18"/>
                <w:b w:val="1"/>
                <w:bCs w:val="1"/>
                <w:color w:val="auto"/>
                <w:w w:val="95"/>
              </w:rPr>
              <w:t>7.7</w:t>
            </w:r>
          </w:p>
        </w:tc>
        <w:tc>
          <w:tcPr>
            <w:tcW w:w="34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gridSpan w:val="3"/>
            <w:shd w:val="clear" w:color="auto" w:fill="CFF0FC"/>
          </w:tcPr>
          <w:p>
            <w:pPr>
              <w:ind w:left="94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3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7.17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at June 30, 2025</w:t>
            </w:r>
          </w:p>
        </w:tc>
        <w:tc>
          <w:tcPr>
            <w:tcW w:w="128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8,087</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76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8.11</w:t>
            </w:r>
          </w:p>
        </w:tc>
        <w:tc>
          <w:tcPr>
            <w:tcW w:w="2120" w:type="dxa"/>
            <w:vAlign w:val="bottom"/>
            <w:tcBorders>
              <w:bottom w:val="single" w:sz="8" w:color="CFF0FC"/>
            </w:tcBorders>
            <w:gridSpan w:val="3"/>
            <w:shd w:val="clear" w:color="auto" w:fill="CFF0FC"/>
          </w:tcPr>
          <w:p>
            <w:pPr>
              <w:jc w:val="center"/>
              <w:ind w:left="110"/>
              <w:spacing w:after="0" w:line="196" w:lineRule="exact"/>
              <w:rPr>
                <w:sz w:val="20"/>
                <w:szCs w:val="20"/>
                <w:color w:val="auto"/>
              </w:rPr>
            </w:pPr>
            <w:r>
              <w:rPr>
                <w:rFonts w:ascii="Arial" w:cs="Arial" w:eastAsia="Arial" w:hAnsi="Arial"/>
                <w:sz w:val="18"/>
                <w:szCs w:val="18"/>
                <w:b w:val="1"/>
                <w:bCs w:val="1"/>
                <w:color w:val="auto"/>
                <w:w w:val="95"/>
              </w:rPr>
              <w:t>7.2</w:t>
            </w:r>
          </w:p>
        </w:tc>
        <w:tc>
          <w:tcPr>
            <w:tcW w:w="340" w:type="dxa"/>
            <w:vAlign w:val="bottom"/>
            <w:tcBorders>
              <w:bottom w:val="single" w:sz="8" w:color="CFF0FC"/>
            </w:tcBorders>
            <w:gridSpan w:val="3"/>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FF0FC"/>
            </w:tcBorders>
            <w:gridSpan w:val="3"/>
            <w:shd w:val="clear" w:color="auto" w:fill="CFF0FC"/>
          </w:tcPr>
          <w:p>
            <w:pPr>
              <w:ind w:left="94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4160" w:type="dxa"/>
            <w:vAlign w:val="bottom"/>
          </w:tcPr>
          <w:p>
            <w:pPr>
              <w:spacing w:after="0" w:line="196" w:lineRule="exact"/>
              <w:rPr>
                <w:sz w:val="20"/>
                <w:szCs w:val="20"/>
                <w:color w:val="auto"/>
              </w:rPr>
            </w:pPr>
            <w:r>
              <w:rPr>
                <w:rFonts w:ascii="Arial" w:cs="Arial" w:eastAsia="Arial" w:hAnsi="Arial"/>
                <w:sz w:val="18"/>
                <w:szCs w:val="18"/>
                <w:b w:val="1"/>
                <w:bCs w:val="1"/>
                <w:color w:val="auto"/>
              </w:rPr>
              <w:t>Vested and exercisable at June 30, 2025</w:t>
            </w:r>
          </w:p>
        </w:tc>
        <w:tc>
          <w:tcPr>
            <w:tcW w:w="12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6,833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7.85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Weighted Average</w:t>
            </w: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Weighted Average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380" w:type="dxa"/>
            <w:vAlign w:val="bottom"/>
            <w:gridSpan w:val="3"/>
          </w:tcPr>
          <w:p>
            <w:pPr>
              <w:jc w:val="right"/>
              <w:ind w:right="580"/>
              <w:spacing w:after="0" w:line="202" w:lineRule="exact"/>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17"/>
                <w:szCs w:val="17"/>
                <w:color w:val="auto"/>
              </w:rPr>
            </w:pPr>
          </w:p>
        </w:tc>
        <w:tc>
          <w:tcPr>
            <w:tcW w:w="186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Exercise Price Per</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 Life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21"/>
        </w:trPr>
        <w:tc>
          <w:tcPr>
            <w:tcW w:w="4160" w:type="dxa"/>
            <w:vAlign w:val="bottom"/>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Options</w:t>
            </w:r>
          </w:p>
        </w:tc>
        <w:tc>
          <w:tcPr>
            <w:tcW w:w="22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Stock Option</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Intrinsic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at December 31, 2023</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8,807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8.02</w:t>
            </w:r>
          </w:p>
        </w:tc>
        <w:tc>
          <w:tcPr>
            <w:tcW w:w="40" w:type="dxa"/>
            <w:vAlign w:val="bottom"/>
            <w:shd w:val="clear" w:color="auto" w:fill="CFF0FC"/>
          </w:tcPr>
          <w:p>
            <w:pPr>
              <w:spacing w:after="0"/>
              <w:rPr>
                <w:sz w:val="17"/>
                <w:szCs w:val="17"/>
                <w:color w:val="auto"/>
              </w:rPr>
            </w:pPr>
          </w:p>
        </w:tc>
        <w:tc>
          <w:tcPr>
            <w:tcW w:w="21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9.0</w:t>
            </w:r>
          </w:p>
        </w:tc>
        <w:tc>
          <w:tcPr>
            <w:tcW w:w="34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b w:val="1"/>
                <w:bCs w:val="1"/>
                <w:color w:val="auto"/>
                <w:w w:val="99"/>
              </w:rPr>
              <w:t>$</w:t>
            </w:r>
          </w:p>
        </w:tc>
        <w:tc>
          <w:tcPr>
            <w:tcW w:w="1260" w:type="dxa"/>
            <w:vAlign w:val="bottom"/>
            <w:gridSpan w:val="3"/>
            <w:shd w:val="clear" w:color="auto" w:fill="CFF0FC"/>
          </w:tcPr>
          <w:p>
            <w:pPr>
              <w:ind w:left="96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7.01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Expired</w:t>
            </w:r>
          </w:p>
        </w:tc>
        <w:tc>
          <w:tcPr>
            <w:tcW w:w="12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6.90</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Outstanding at June 30, 2024</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8,545</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8.05</w:t>
            </w:r>
          </w:p>
        </w:tc>
        <w:tc>
          <w:tcPr>
            <w:tcW w:w="40" w:type="dxa"/>
            <w:vAlign w:val="bottom"/>
            <w:tcBorders>
              <w:top w:val="single" w:sz="8" w:color="CFF0FC"/>
            </w:tcBorders>
          </w:tcPr>
          <w:p>
            <w:pPr>
              <w:spacing w:after="0"/>
              <w:rPr>
                <w:sz w:val="17"/>
                <w:szCs w:val="17"/>
                <w:color w:val="auto"/>
              </w:rPr>
            </w:pPr>
          </w:p>
        </w:tc>
        <w:tc>
          <w:tcPr>
            <w:tcW w:w="2120" w:type="dxa"/>
            <w:vAlign w:val="bottom"/>
            <w:tcBorders>
              <w:top w:val="single" w:sz="8" w:color="CFF0FC"/>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8.0</w:t>
            </w:r>
          </w:p>
        </w:tc>
        <w:tc>
          <w:tcPr>
            <w:tcW w:w="340" w:type="dxa"/>
            <w:vAlign w:val="bottom"/>
            <w:tcBorders>
              <w:top w:val="single" w:sz="8" w:color="CFF0FC"/>
            </w:tcBorders>
            <w:gridSpan w:val="3"/>
          </w:tcPr>
          <w:p>
            <w:pPr>
              <w:ind w:left="220"/>
              <w:spacing w:after="0" w:line="196" w:lineRule="exact"/>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CFF0FC"/>
            </w:tcBorders>
            <w:gridSpan w:val="3"/>
          </w:tcPr>
          <w:p>
            <w:pPr>
              <w:ind w:left="96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4160" w:type="dxa"/>
            <w:vAlign w:val="bottom"/>
          </w:tcPr>
          <w:p>
            <w:pPr>
              <w:spacing w:after="0" w:line="196" w:lineRule="exact"/>
              <w:rPr>
                <w:sz w:val="20"/>
                <w:szCs w:val="20"/>
                <w:color w:val="auto"/>
              </w:rPr>
            </w:pPr>
            <w:r>
              <w:rPr>
                <w:rFonts w:ascii="Arial" w:cs="Arial" w:eastAsia="Arial" w:hAnsi="Arial"/>
                <w:sz w:val="18"/>
                <w:szCs w:val="18"/>
                <w:b w:val="1"/>
                <w:bCs w:val="1"/>
                <w:color w:val="auto"/>
              </w:rPr>
              <w:t>Vested and exercisable at June 30, 2024</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4,622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7.58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-1499870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-1499870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-299720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-299720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Hoya Topco Profits Interests and Phantom Units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the Merger Transaction, certain members of management received equity-based compensation awards for profits interests in Hoya Topco in the form of incentive units, phantom units, Class D Units, and Class E Units. Each incentive unit vests ratably over five years and accelerates upon a change in control of Hoya Topco.</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June 10, 2024, the Board of Managers of Hoya Topco approved (i) the redemption, repurchase, and cancellation by Hoya Topco of all of its outstanding profits interests held by our current employees and (ii) the repurchase and cancellation by Hoya Topco of all of its outstanding phantom units held by our employees. There was no equity-based compensation expense previously recognized related to the phantom units.</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Hoya Topco had no outstanding profits interests or phantom units held by our current employees, and we had no unrecognized equity-based compensation expense related thereto, as of June 30,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 Expense</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and six months ended June 30, 2025, equity-based compensation expense related to RSUs was $10.4 million and $19.2 million, respectively, compared to $8.4 million and $13.9 million during the three and six months ended June 30, 2024, respectively. Unrecognized equity-based compensation expense relating to unvested RSUs as of June 30, 2025 was approximately $67.6 million, which is expected to be recognized over a weighted average period of approximately one year.</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and six months ended June 30, 2025, equity-based compensation expense related to stock options was $1.5 million and $3.7 million, respectively, compared to $2.9 million and $5.8 million during the three and six months ended June 30, 2024, respectively. Unrecognized equity-based compensation expense relating to unvested stock options as of June 30, 2025 was $3.6 million, which is expected to be recognized over a weighted average period of approximately one year.</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and six months ended June 30, 2024, equity-based compensation expense related to profits interests was $3.1 million and $3.3 million, respectively. We did not recognize any equity-based compensation expense related to profits interests during the three and six months ended June 30, 2025 and there was no unrecognized equity-based compensation expense relating to profits interests as of June 30, 2025.</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Equity-based compensation expense for the three and six months ended June 30, 2025 and 2024 excludes capitalized development costs of $0.2 million and $0.4 million, respectively.</w:t>
      </w:r>
    </w:p>
    <w:p>
      <w:pPr>
        <w:spacing w:after="0" w:line="46"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arnings per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We calculate basic and diluted net income (loss) per share of our Class A common stock in accordance with ASC Topic 260, </w:t>
      </w:r>
      <w:r>
        <w:rPr>
          <w:rFonts w:ascii="Arial" w:cs="Arial" w:eastAsia="Arial" w:hAnsi="Arial"/>
          <w:sz w:val="18"/>
          <w:szCs w:val="18"/>
          <w:i w:val="1"/>
          <w:iCs w:val="1"/>
          <w:color w:val="auto"/>
        </w:rPr>
        <w:t>Earnings per</w:t>
      </w:r>
      <w:r>
        <w:rPr>
          <w:rFonts w:ascii="Arial" w:cs="Arial" w:eastAsia="Arial" w:hAnsi="Arial"/>
          <w:sz w:val="18"/>
          <w:szCs w:val="18"/>
          <w:color w:val="auto"/>
        </w:rPr>
        <w:t xml:space="preserve"> </w:t>
      </w:r>
      <w:r>
        <w:rPr>
          <w:rFonts w:ascii="Arial" w:cs="Arial" w:eastAsia="Arial" w:hAnsi="Arial"/>
          <w:sz w:val="18"/>
          <w:szCs w:val="18"/>
          <w:i w:val="1"/>
          <w:iCs w:val="1"/>
          <w:color w:val="auto"/>
        </w:rPr>
        <w:t>Share</w:t>
      </w:r>
      <w:r>
        <w:rPr>
          <w:rFonts w:ascii="Arial" w:cs="Arial" w:eastAsia="Arial" w:hAnsi="Arial"/>
          <w:sz w:val="18"/>
          <w:szCs w:val="18"/>
          <w:color w:val="auto"/>
        </w:rPr>
        <w:t>. Because our Class B common stock does not have economic rights in VSI, it is not considered a participating security for basic and</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net income (loss) per share, and we do not present basic and diluted net income (loss) per share of Class B common stock. However, holders of our Class B common stock are allocated income (loss) from Hoya Intermediate (our operating entity) according to their weighted average percentage ownership of Intermediate Units during each quarter.</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income (loss) attributable to redeemable noncontrolling interests is calculated by multiplying Hoya Intermediate’s net income (loss) in each quarterly period by Hoya Topco’s weighted average percentage ownership of Intermediate Units during the period. Hoya Topco has the right to exchange its Intermediate Units for shares of our Class A common stock on a one-to-one basis or cash proceeds of equal value at the time of redemption. The option to redeem Intermediate Units for cash proceeds must be approved by our Board, which as of June 30, 2025 consisted of a majority of directors nominated by affiliates of Hoya Topco and GTCR, LLC pursuant to our stockholders’ agreement. The ability to put Intermediate Units is solely within the control of the holder of the redeemable noncontrolling interests. If Hoya Topco elects the redemption to be settled in cash, the cash used to settle the redemption must be funded through a private or public offering of our Class A common stock and is subject to our Board’s approval.</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net income (loss) attributable to Hoya Topco’s redeemable noncontrolling interests for the three and six months ended June 30, 2025 and 2024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23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r>
      <w:tr>
        <w:trPr>
          <w:trHeight w:val="156"/>
        </w:trPr>
        <w:tc>
          <w:tcPr>
            <w:tcW w:w="58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income (loss)—Hoya Intermediate</w:t>
            </w:r>
          </w:p>
        </w:tc>
        <w:tc>
          <w:tcPr>
            <w:tcW w:w="30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(335,411)</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(437)</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(345,964)</w:t>
            </w:r>
          </w:p>
        </w:tc>
        <w:tc>
          <w:tcPr>
            <w:tcW w:w="2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12,433</w:t>
            </w:r>
          </w:p>
        </w:tc>
        <w:tc>
          <w:tcPr>
            <w:tcW w:w="140" w:type="dxa"/>
            <w:vAlign w:val="bottom"/>
            <w:shd w:val="clear" w:color="auto" w:fill="CFF0FC"/>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Hoya Topco’s weighted average % allocation of Hoya Intermediate's net income (loss)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36.9%</w:t>
            </w:r>
          </w:p>
        </w:tc>
        <w:tc>
          <w:tcPr>
            <w:tcW w:w="26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36.6%</w:t>
            </w:r>
          </w:p>
        </w:tc>
        <w:tc>
          <w:tcPr>
            <w:tcW w:w="1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36.9%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36.2%</w:t>
            </w:r>
          </w:p>
        </w:tc>
      </w:tr>
      <w:tr>
        <w:trPr>
          <w:trHeight w:val="20"/>
        </w:trPr>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58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 attributable to Hoya Topco's redeemable noncontrolling interests</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b w:val="1"/>
                <w:bCs w:val="1"/>
                <w:color w:val="auto"/>
              </w:rPr>
              <w:t>(123,652)</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b w:val="1"/>
                <w:bCs w:val="1"/>
                <w:color w:val="auto"/>
                <w:w w:val="76"/>
              </w:rPr>
              <w:t>$</w:t>
            </w:r>
          </w:p>
        </w:tc>
        <w:tc>
          <w:tcPr>
            <w:tcW w:w="122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b w:val="1"/>
                <w:bCs w:val="1"/>
                <w:color w:val="auto"/>
              </w:rPr>
              <w:t>(160)</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12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b w:val="1"/>
                <w:bCs w:val="1"/>
                <w:color w:val="auto"/>
              </w:rPr>
              <w:t>(127,498)</w:t>
            </w:r>
          </w:p>
        </w:tc>
        <w:tc>
          <w:tcPr>
            <w:tcW w:w="2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4,505</w:t>
            </w:r>
          </w:p>
        </w:tc>
        <w:tc>
          <w:tcPr>
            <w:tcW w:w="140" w:type="dxa"/>
            <w:vAlign w:val="bottom"/>
            <w:shd w:val="clear" w:color="auto" w:fill="CFF0FC"/>
          </w:tcPr>
          <w:p>
            <w:pPr>
              <w:spacing w:after="0"/>
              <w:rPr>
                <w:sz w:val="15"/>
                <w:szCs w:val="15"/>
                <w:color w:val="auto"/>
              </w:rPr>
            </w:pP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939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939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946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9461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939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939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-8255</wp:posOffset>
            </wp:positionV>
            <wp:extent cx="93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income (loss) attributable to Class A common stockholders–basic is calculated by subtracting the portion of Hoya Intermediate’s net income (loss) attributable to redeemable noncontrolling interests from our total net income (loss), which includes our net income (loss) for activities outside of our investment in Hoya Intermediate, including income tax expense for VSI’s portion of income (loss), as well as the full results of Hoya Intermediate on a consolidated basis.</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Net income (loss) per Class A common stock–diluted is based on the average number of shares of our Class A common stock used for the basic earnings per share calculation, adjusted for the weighted average number of Class A common share equivalents outstanding for the period determined using the treasury stock and if-converted methods, as applicable. Net income (loss) attributable to Class A common stockholders–diluted is adjusted for (i) our share of Hoya Intermediate’s consolidated net income (loss) after giving effect to Intermediate Units that convert into potential shares of our Class A common stock, to the extent it is dilutive, and (ii) the impact of changes in the fair value of the Intermediate Warrants, to the extent they are dilutive.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computation of basic and diluted net income (loss) per share of Class A common stock for the three and six months ended June 30, 2025 and 2024 (in thousands, except share and per share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5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6"/>
        </w:trPr>
        <w:tc>
          <w:tcPr>
            <w:tcW w:w="51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Numerator—basic</w:t>
            </w: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5120" w:type="dxa"/>
            <w:vAlign w:val="bottom"/>
          </w:tcPr>
          <w:p>
            <w:pPr>
              <w:spacing w:after="0"/>
              <w:rPr>
                <w:sz w:val="20"/>
                <w:szCs w:val="20"/>
                <w:color w:val="auto"/>
              </w:rPr>
            </w:pPr>
            <w:r>
              <w:rPr>
                <w:rFonts w:ascii="Arial" w:cs="Arial" w:eastAsia="Arial" w:hAnsi="Arial"/>
                <w:sz w:val="14"/>
                <w:szCs w:val="14"/>
                <w:color w:val="auto"/>
              </w:rPr>
              <w:t>Net income (loss)</w:t>
            </w: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(263,327)</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(1,221)</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(273,115)</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9,518</w:t>
            </w:r>
          </w:p>
        </w:tc>
        <w:tc>
          <w:tcPr>
            <w:tcW w:w="100" w:type="dxa"/>
            <w:vAlign w:val="bottom"/>
          </w:tcPr>
          <w:p>
            <w:pPr>
              <w:spacing w:after="0"/>
              <w:rPr>
                <w:sz w:val="14"/>
                <w:szCs w:val="14"/>
                <w:color w:val="auto"/>
              </w:rPr>
            </w:pPr>
          </w:p>
        </w:tc>
      </w:tr>
      <w:tr>
        <w:trPr>
          <w:trHeight w:val="162"/>
        </w:trPr>
        <w:tc>
          <w:tcPr>
            <w:tcW w:w="5120" w:type="dxa"/>
            <w:vAlign w:val="bottom"/>
            <w:shd w:val="clear" w:color="auto" w:fill="CFF0FC"/>
          </w:tcPr>
          <w:p>
            <w:pPr>
              <w:spacing w:after="0"/>
              <w:rPr>
                <w:sz w:val="20"/>
                <w:szCs w:val="20"/>
                <w:color w:val="auto"/>
              </w:rPr>
            </w:pPr>
            <w:r>
              <w:rPr>
                <w:rFonts w:ascii="Arial" w:cs="Arial" w:eastAsia="Arial" w:hAnsi="Arial"/>
                <w:sz w:val="14"/>
                <w:szCs w:val="14"/>
                <w:color w:val="auto"/>
              </w:rPr>
              <w:t>Less: net (income) loss attributable to redeemable noncontrolling interests</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123,652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127,498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(4,505)</w:t>
            </w:r>
          </w:p>
        </w:tc>
      </w:tr>
      <w:tr>
        <w:trPr>
          <w:trHeight w:val="20"/>
        </w:trPr>
        <w:tc>
          <w:tcPr>
            <w:tcW w:w="51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5120" w:type="dxa"/>
            <w:vAlign w:val="bottom"/>
          </w:tcPr>
          <w:p>
            <w:pPr>
              <w:spacing w:after="0" w:line="155" w:lineRule="exact"/>
              <w:rPr>
                <w:sz w:val="20"/>
                <w:szCs w:val="20"/>
                <w:color w:val="auto"/>
              </w:rPr>
            </w:pPr>
            <w:r>
              <w:rPr>
                <w:rFonts w:ascii="Arial" w:cs="Arial" w:eastAsia="Arial" w:hAnsi="Arial"/>
                <w:sz w:val="14"/>
                <w:szCs w:val="14"/>
                <w:color w:val="auto"/>
              </w:rPr>
              <w:t>Net income (loss) attributable to Class A common stockholders—basic</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(139,675)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(1,061)</w:t>
            </w:r>
          </w:p>
        </w:tc>
        <w:tc>
          <w:tcPr>
            <w:tcW w:w="240" w:type="dxa"/>
            <w:vAlign w:val="bottom"/>
          </w:tcPr>
          <w:p>
            <w:pPr>
              <w:spacing w:after="0"/>
              <w:rPr>
                <w:sz w:val="13"/>
                <w:szCs w:val="13"/>
                <w:color w:val="auto"/>
              </w:rPr>
            </w:pPr>
          </w:p>
        </w:tc>
        <w:tc>
          <w:tcPr>
            <w:tcW w:w="11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(145,617)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5,013</w:t>
            </w:r>
          </w:p>
        </w:tc>
        <w:tc>
          <w:tcPr>
            <w:tcW w:w="100" w:type="dxa"/>
            <w:vAlign w:val="bottom"/>
          </w:tcPr>
          <w:p>
            <w:pPr>
              <w:spacing w:after="0"/>
              <w:rPr>
                <w:sz w:val="13"/>
                <w:szCs w:val="13"/>
                <w:color w:val="auto"/>
              </w:rPr>
            </w:pPr>
          </w:p>
        </w:tc>
      </w:tr>
      <w:tr>
        <w:trPr>
          <w:trHeight w:val="162"/>
        </w:trPr>
        <w:tc>
          <w:tcPr>
            <w:tcW w:w="51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Denominator—basic</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120" w:type="dxa"/>
            <w:vAlign w:val="bottom"/>
          </w:tcPr>
          <w:p>
            <w:pPr>
              <w:spacing w:after="0"/>
              <w:rPr>
                <w:sz w:val="20"/>
                <w:szCs w:val="20"/>
                <w:color w:val="auto"/>
              </w:rPr>
            </w:pPr>
            <w:r>
              <w:rPr>
                <w:rFonts w:ascii="Arial" w:cs="Arial" w:eastAsia="Arial" w:hAnsi="Arial"/>
                <w:sz w:val="14"/>
                <w:szCs w:val="14"/>
                <w:color w:val="auto"/>
              </w:rPr>
              <w:t>Weighted average Class A common stock outstanding—basic</w:t>
            </w: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130,537,970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131,802,620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131,712,573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132,935,446</w:t>
            </w:r>
          </w:p>
        </w:tc>
        <w:tc>
          <w:tcPr>
            <w:tcW w:w="100" w:type="dxa"/>
            <w:vAlign w:val="bottom"/>
          </w:tcPr>
          <w:p>
            <w:pPr>
              <w:spacing w:after="0"/>
              <w:rPr>
                <w:sz w:val="14"/>
                <w:szCs w:val="14"/>
                <w:color w:val="auto"/>
              </w:rPr>
            </w:pPr>
          </w:p>
        </w:tc>
      </w:tr>
      <w:tr>
        <w:trPr>
          <w:trHeight w:val="195"/>
        </w:trPr>
        <w:tc>
          <w:tcPr>
            <w:tcW w:w="51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 per Class A common stock—basic</w:t>
            </w:r>
          </w:p>
        </w:tc>
        <w:tc>
          <w:tcPr>
            <w:tcW w:w="620" w:type="dxa"/>
            <w:vAlign w:val="bottom"/>
            <w:gridSpan w:val="2"/>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(1.07)</w:t>
            </w:r>
          </w:p>
        </w:tc>
        <w:tc>
          <w:tcPr>
            <w:tcW w:w="34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120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b w:val="1"/>
                <w:bCs w:val="1"/>
                <w:color w:val="auto"/>
              </w:rPr>
              <w:t>(0.01)</w:t>
            </w: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76"/>
              </w:rPr>
              <w:t>$</w:t>
            </w:r>
          </w:p>
        </w:tc>
        <w:tc>
          <w:tcPr>
            <w:tcW w:w="112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(1.11)</w:t>
            </w:r>
          </w:p>
        </w:tc>
        <w:tc>
          <w:tcPr>
            <w:tcW w:w="3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0.04</w:t>
            </w:r>
          </w:p>
        </w:tc>
        <w:tc>
          <w:tcPr>
            <w:tcW w:w="100" w:type="dxa"/>
            <w:vAlign w:val="bottom"/>
            <w:shd w:val="clear" w:color="auto" w:fill="CFF0FC"/>
          </w:tcPr>
          <w:p>
            <w:pPr>
              <w:spacing w:after="0"/>
              <w:rPr>
                <w:sz w:val="17"/>
                <w:szCs w:val="17"/>
                <w:color w:val="auto"/>
              </w:rPr>
            </w:pPr>
          </w:p>
        </w:tc>
      </w:tr>
      <w:tr>
        <w:trPr>
          <w:trHeight w:val="143"/>
        </w:trPr>
        <w:tc>
          <w:tcPr>
            <w:tcW w:w="5120" w:type="dxa"/>
            <w:vAlign w:val="bottom"/>
            <w:tcBorders>
              <w:top w:val="single" w:sz="8" w:color="CFF0FC"/>
            </w:tcBorders>
          </w:tcPr>
          <w:p>
            <w:pPr>
              <w:spacing w:after="0"/>
              <w:rPr>
                <w:sz w:val="12"/>
                <w:szCs w:val="12"/>
                <w:color w:val="auto"/>
              </w:rPr>
            </w:pPr>
          </w:p>
        </w:tc>
        <w:tc>
          <w:tcPr>
            <w:tcW w:w="40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62"/>
        </w:trPr>
        <w:tc>
          <w:tcPr>
            <w:tcW w:w="51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Numerator—diluted</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120" w:type="dxa"/>
            <w:vAlign w:val="bottom"/>
          </w:tcPr>
          <w:p>
            <w:pPr>
              <w:spacing w:after="0"/>
              <w:rPr>
                <w:sz w:val="20"/>
                <w:szCs w:val="20"/>
                <w:color w:val="auto"/>
              </w:rPr>
            </w:pPr>
            <w:r>
              <w:rPr>
                <w:rFonts w:ascii="Arial" w:cs="Arial" w:eastAsia="Arial" w:hAnsi="Arial"/>
                <w:sz w:val="14"/>
                <w:szCs w:val="14"/>
                <w:color w:val="auto"/>
              </w:rPr>
              <w:t>Net income (loss) attributable to Class A common stockholders—basic</w:t>
            </w: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(139,675)</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(1,061)</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(145,617)</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5,013</w:t>
            </w:r>
          </w:p>
        </w:tc>
        <w:tc>
          <w:tcPr>
            <w:tcW w:w="100" w:type="dxa"/>
            <w:vAlign w:val="bottom"/>
          </w:tcPr>
          <w:p>
            <w:pPr>
              <w:spacing w:after="0"/>
              <w:rPr>
                <w:sz w:val="14"/>
                <w:szCs w:val="14"/>
                <w:color w:val="auto"/>
              </w:rPr>
            </w:pPr>
          </w:p>
        </w:tc>
      </w:tr>
      <w:tr>
        <w:trPr>
          <w:trHeight w:val="162"/>
        </w:trPr>
        <w:tc>
          <w:tcPr>
            <w:tcW w:w="5120" w:type="dxa"/>
            <w:vAlign w:val="bottom"/>
            <w:shd w:val="clear" w:color="auto" w:fill="CFF0FC"/>
          </w:tcPr>
          <w:p>
            <w:pPr>
              <w:spacing w:after="0"/>
              <w:rPr>
                <w:sz w:val="20"/>
                <w:szCs w:val="20"/>
                <w:color w:val="auto"/>
              </w:rPr>
            </w:pPr>
            <w:r>
              <w:rPr>
                <w:rFonts w:ascii="Arial" w:cs="Arial" w:eastAsia="Arial" w:hAnsi="Arial"/>
                <w:sz w:val="14"/>
                <w:szCs w:val="14"/>
                <w:color w:val="auto"/>
              </w:rPr>
              <w:t>Weighted average effect of dilutive securities:</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12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(123,583)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(814)</w:t>
            </w:r>
          </w:p>
        </w:tc>
        <w:tc>
          <w:tcPr>
            <w:tcW w:w="2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(127,499)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2,434</w:t>
            </w:r>
          </w:p>
        </w:tc>
        <w:tc>
          <w:tcPr>
            <w:tcW w:w="100" w:type="dxa"/>
            <w:vAlign w:val="bottom"/>
          </w:tcPr>
          <w:p>
            <w:pPr>
              <w:spacing w:after="0"/>
              <w:rPr>
                <w:sz w:val="14"/>
                <w:szCs w:val="14"/>
                <w:color w:val="auto"/>
              </w:rPr>
            </w:pPr>
          </w:p>
        </w:tc>
      </w:tr>
      <w:tr>
        <w:trPr>
          <w:trHeight w:val="162"/>
        </w:trPr>
        <w:tc>
          <w:tcPr>
            <w:tcW w:w="5120" w:type="dxa"/>
            <w:vAlign w:val="bottom"/>
            <w:shd w:val="clear" w:color="auto" w:fill="CFF0FC"/>
          </w:tcPr>
          <w:p>
            <w:pPr>
              <w:ind w:left="40"/>
              <w:spacing w:after="0"/>
              <w:rPr>
                <w:sz w:val="20"/>
                <w:szCs w:val="20"/>
                <w:color w:val="auto"/>
              </w:rPr>
            </w:pPr>
            <w:r>
              <w:rPr>
                <w:rFonts w:ascii="Arial" w:cs="Arial" w:eastAsia="Arial" w:hAnsi="Arial"/>
                <w:sz w:val="14"/>
                <w:szCs w:val="14"/>
                <w:color w:val="auto"/>
              </w:rPr>
              <w:t>RSUs</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5120" w:type="dxa"/>
            <w:vAlign w:val="bottom"/>
          </w:tcPr>
          <w:p>
            <w:pPr>
              <w:spacing w:after="0" w:line="155" w:lineRule="exact"/>
              <w:rPr>
                <w:sz w:val="20"/>
                <w:szCs w:val="20"/>
                <w:color w:val="auto"/>
              </w:rPr>
            </w:pPr>
            <w:r>
              <w:rPr>
                <w:rFonts w:ascii="Arial" w:cs="Arial" w:eastAsia="Arial" w:hAnsi="Arial"/>
                <w:sz w:val="14"/>
                <w:szCs w:val="14"/>
                <w:color w:val="auto"/>
              </w:rPr>
              <w:t>Net income (loss) attributable to Class A common stockholders—diluted</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(263,526)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(1,875)</w:t>
            </w:r>
          </w:p>
        </w:tc>
        <w:tc>
          <w:tcPr>
            <w:tcW w:w="240" w:type="dxa"/>
            <w:vAlign w:val="bottom"/>
          </w:tcPr>
          <w:p>
            <w:pPr>
              <w:spacing w:after="0"/>
              <w:rPr>
                <w:sz w:val="13"/>
                <w:szCs w:val="13"/>
                <w:color w:val="auto"/>
              </w:rPr>
            </w:pPr>
          </w:p>
        </w:tc>
        <w:tc>
          <w:tcPr>
            <w:tcW w:w="11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(273,116)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7,450</w:t>
            </w:r>
          </w:p>
        </w:tc>
        <w:tc>
          <w:tcPr>
            <w:tcW w:w="100" w:type="dxa"/>
            <w:vAlign w:val="bottom"/>
          </w:tcPr>
          <w:p>
            <w:pPr>
              <w:spacing w:after="0"/>
              <w:rPr>
                <w:sz w:val="13"/>
                <w:szCs w:val="13"/>
                <w:color w:val="auto"/>
              </w:rPr>
            </w:pPr>
          </w:p>
        </w:tc>
      </w:tr>
      <w:tr>
        <w:trPr>
          <w:trHeight w:val="162"/>
        </w:trPr>
        <w:tc>
          <w:tcPr>
            <w:tcW w:w="51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Denominator—diluted</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120" w:type="dxa"/>
            <w:vAlign w:val="bottom"/>
          </w:tcPr>
          <w:p>
            <w:pPr>
              <w:spacing w:after="0"/>
              <w:rPr>
                <w:sz w:val="20"/>
                <w:szCs w:val="20"/>
                <w:color w:val="auto"/>
              </w:rPr>
            </w:pPr>
            <w:r>
              <w:rPr>
                <w:rFonts w:ascii="Arial" w:cs="Arial" w:eastAsia="Arial" w:hAnsi="Arial"/>
                <w:sz w:val="14"/>
                <w:szCs w:val="14"/>
                <w:color w:val="auto"/>
              </w:rPr>
              <w:t>Weighted average Class A common stock outstanding—basic</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130,537,970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131,802,620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131,712,573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132,935,446</w:t>
            </w:r>
          </w:p>
        </w:tc>
        <w:tc>
          <w:tcPr>
            <w:tcW w:w="100" w:type="dxa"/>
            <w:vAlign w:val="bottom"/>
          </w:tcPr>
          <w:p>
            <w:pPr>
              <w:spacing w:after="0"/>
              <w:rPr>
                <w:sz w:val="14"/>
                <w:szCs w:val="14"/>
                <w:color w:val="auto"/>
              </w:rPr>
            </w:pPr>
          </w:p>
        </w:tc>
      </w:tr>
      <w:tr>
        <w:trPr>
          <w:trHeight w:val="162"/>
        </w:trPr>
        <w:tc>
          <w:tcPr>
            <w:tcW w:w="5120" w:type="dxa"/>
            <w:vAlign w:val="bottom"/>
            <w:shd w:val="clear" w:color="auto" w:fill="CFF0FC"/>
          </w:tcPr>
          <w:p>
            <w:pPr>
              <w:spacing w:after="0"/>
              <w:rPr>
                <w:sz w:val="20"/>
                <w:szCs w:val="20"/>
                <w:color w:val="auto"/>
              </w:rPr>
            </w:pPr>
            <w:r>
              <w:rPr>
                <w:rFonts w:ascii="Arial" w:cs="Arial" w:eastAsia="Arial" w:hAnsi="Arial"/>
                <w:sz w:val="14"/>
                <w:szCs w:val="14"/>
                <w:color w:val="auto"/>
              </w:rPr>
              <w:t>Weighted average effect of dilutive securities:</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12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76,225,000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76,225,000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76,225,000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76,225,000</w:t>
            </w:r>
          </w:p>
        </w:tc>
        <w:tc>
          <w:tcPr>
            <w:tcW w:w="100" w:type="dxa"/>
            <w:vAlign w:val="bottom"/>
          </w:tcPr>
          <w:p>
            <w:pPr>
              <w:spacing w:after="0"/>
              <w:rPr>
                <w:sz w:val="14"/>
                <w:szCs w:val="14"/>
                <w:color w:val="auto"/>
              </w:rPr>
            </w:pPr>
          </w:p>
        </w:tc>
      </w:tr>
      <w:tr>
        <w:trPr>
          <w:trHeight w:val="162"/>
        </w:trPr>
        <w:tc>
          <w:tcPr>
            <w:tcW w:w="5120" w:type="dxa"/>
            <w:vAlign w:val="bottom"/>
            <w:shd w:val="clear" w:color="auto" w:fill="CFF0FC"/>
          </w:tcPr>
          <w:p>
            <w:pPr>
              <w:ind w:left="40"/>
              <w:spacing w:after="0"/>
              <w:rPr>
                <w:sz w:val="20"/>
                <w:szCs w:val="20"/>
                <w:color w:val="auto"/>
              </w:rPr>
            </w:pPr>
            <w:r>
              <w:rPr>
                <w:rFonts w:ascii="Arial" w:cs="Arial" w:eastAsia="Arial" w:hAnsi="Arial"/>
                <w:sz w:val="14"/>
                <w:szCs w:val="14"/>
                <w:color w:val="auto"/>
              </w:rPr>
              <w:t>RSUs</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199,664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199,664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777,264</w:t>
            </w:r>
          </w:p>
        </w:tc>
        <w:tc>
          <w:tcPr>
            <w:tcW w:w="100" w:type="dxa"/>
            <w:vAlign w:val="bottom"/>
            <w:shd w:val="clear" w:color="auto" w:fill="CFF0FC"/>
          </w:tcPr>
          <w:p>
            <w:pPr>
              <w:spacing w:after="0"/>
              <w:rPr>
                <w:sz w:val="14"/>
                <w:szCs w:val="14"/>
                <w:color w:val="auto"/>
              </w:rPr>
            </w:pPr>
          </w:p>
        </w:tc>
      </w:tr>
      <w:tr>
        <w:trPr>
          <w:trHeight w:val="155"/>
        </w:trPr>
        <w:tc>
          <w:tcPr>
            <w:tcW w:w="512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color w:val="auto"/>
              </w:rPr>
              <w:t>Weighted average Class A common stock outstanding—diluted</w:t>
            </w:r>
          </w:p>
        </w:tc>
        <w:tc>
          <w:tcPr>
            <w:tcW w:w="400" w:type="dxa"/>
            <w:vAlign w:val="bottom"/>
            <w:tcBorders>
              <w:top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206,962,634</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208,027,620</w:t>
            </w:r>
          </w:p>
        </w:tc>
        <w:tc>
          <w:tcPr>
            <w:tcW w:w="220" w:type="dxa"/>
            <w:vAlign w:val="bottom"/>
            <w:tcBorders>
              <w:top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208,137,237</w:t>
            </w: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209,937,710</w:t>
            </w:r>
          </w:p>
        </w:tc>
        <w:tc>
          <w:tcPr>
            <w:tcW w:w="100" w:type="dxa"/>
            <w:vAlign w:val="bottom"/>
            <w:tcBorders>
              <w:top w:val="single" w:sz="8" w:color="CFF0FC"/>
            </w:tcBorders>
          </w:tcPr>
          <w:p>
            <w:pPr>
              <w:spacing w:after="0"/>
              <w:rPr>
                <w:sz w:val="13"/>
                <w:szCs w:val="13"/>
                <w:color w:val="auto"/>
              </w:rPr>
            </w:pPr>
          </w:p>
        </w:tc>
      </w:tr>
      <w:tr>
        <w:trPr>
          <w:trHeight w:val="176"/>
        </w:trPr>
        <w:tc>
          <w:tcPr>
            <w:tcW w:w="51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 per Class A common stock—diluted</w:t>
            </w: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1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(1.27)</w:t>
            </w:r>
          </w:p>
        </w:tc>
        <w:tc>
          <w:tcPr>
            <w:tcW w:w="34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120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b w:val="1"/>
                <w:bCs w:val="1"/>
                <w:color w:val="auto"/>
              </w:rPr>
              <w:t>(0.01)</w:t>
            </w: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76"/>
              </w:rPr>
              <w:t>$</w:t>
            </w:r>
          </w:p>
        </w:tc>
        <w:tc>
          <w:tcPr>
            <w:tcW w:w="112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(1.31)</w:t>
            </w:r>
          </w:p>
        </w:tc>
        <w:tc>
          <w:tcPr>
            <w:tcW w:w="3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0.04</w:t>
            </w:r>
          </w:p>
        </w:tc>
        <w:tc>
          <w:tcPr>
            <w:tcW w:w="100" w:type="dxa"/>
            <w:vAlign w:val="bottom"/>
            <w:shd w:val="clear" w:color="auto" w:fill="CFF0FC"/>
          </w:tcPr>
          <w:p>
            <w:pPr>
              <w:spacing w:after="0"/>
              <w:rPr>
                <w:sz w:val="15"/>
                <w:szCs w:val="15"/>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-1945005</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-1945005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-1945005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-1517015</wp:posOffset>
            </wp:positionV>
            <wp:extent cx="768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-1499870</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-1517015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-1499870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-1517015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-1499870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-1517015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-873760</wp:posOffset>
            </wp:positionV>
            <wp:extent cx="768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-873760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-873760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-248285</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-248285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-248285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-25400</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768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Potential shares of our Class A common stock are excluded from the computation of diluted net income (loss) per share of Class A common stock if their effect would have been anti-dilutive for the three and six months ended June 30, 2025 and 2024 or if the issuance of shares is contingent upon events that did not occur by the end of the three and six months ended June 30, 2025 and 2024.</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presents potentially dilutive securities that are excluded from the computation of diluted net income (loss) per share of Class A common stock for the three and six months ended June 30, 2025 and 2024 that could potentially dilute earnings per share in the future: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2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234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644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r>
      <w:tr>
        <w:trPr>
          <w:trHeight w:val="155"/>
        </w:trPr>
        <w:tc>
          <w:tcPr>
            <w:tcW w:w="64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RSUs</w:t>
            </w: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21,394,947</w:t>
            </w:r>
          </w:p>
        </w:tc>
        <w:tc>
          <w:tcPr>
            <w:tcW w:w="1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2,526,153</w:t>
            </w:r>
          </w:p>
        </w:tc>
        <w:tc>
          <w:tcPr>
            <w:tcW w:w="12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1,459,723</w:t>
            </w:r>
          </w:p>
        </w:tc>
        <w:tc>
          <w:tcPr>
            <w:tcW w:w="12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1,030,298</w:t>
            </w:r>
          </w:p>
        </w:tc>
        <w:tc>
          <w:tcPr>
            <w:tcW w:w="120" w:type="dxa"/>
            <w:vAlign w:val="bottom"/>
            <w:shd w:val="clear" w:color="auto" w:fill="CFF0FC"/>
          </w:tcPr>
          <w:p>
            <w:pPr>
              <w:spacing w:after="0"/>
              <w:rPr>
                <w:sz w:val="13"/>
                <w:szCs w:val="13"/>
                <w:color w:val="auto"/>
              </w:rPr>
            </w:pPr>
          </w:p>
        </w:tc>
      </w:tr>
      <w:tr>
        <w:trPr>
          <w:trHeight w:val="162"/>
        </w:trPr>
        <w:tc>
          <w:tcPr>
            <w:tcW w:w="6440" w:type="dxa"/>
            <w:vAlign w:val="bottom"/>
          </w:tcPr>
          <w:p>
            <w:pPr>
              <w:spacing w:after="0"/>
              <w:rPr>
                <w:sz w:val="20"/>
                <w:szCs w:val="20"/>
                <w:color w:val="auto"/>
              </w:rPr>
            </w:pPr>
            <w:r>
              <w:rPr>
                <w:rFonts w:ascii="Arial" w:cs="Arial" w:eastAsia="Arial" w:hAnsi="Arial"/>
                <w:sz w:val="14"/>
                <w:szCs w:val="14"/>
                <w:color w:val="auto"/>
              </w:rPr>
              <w:t>Stock Options</w:t>
            </w:r>
          </w:p>
        </w:tc>
        <w:tc>
          <w:tcPr>
            <w:tcW w:w="1020" w:type="dxa"/>
            <w:vAlign w:val="bottom"/>
          </w:tcPr>
          <w:p>
            <w:pPr>
              <w:jc w:val="right"/>
              <w:spacing w:after="0"/>
              <w:rPr>
                <w:sz w:val="20"/>
                <w:szCs w:val="20"/>
                <w:color w:val="auto"/>
              </w:rPr>
            </w:pPr>
            <w:r>
              <w:rPr>
                <w:rFonts w:ascii="Arial" w:cs="Arial" w:eastAsia="Arial" w:hAnsi="Arial"/>
                <w:sz w:val="14"/>
                <w:szCs w:val="14"/>
                <w:color w:val="auto"/>
              </w:rPr>
              <w:t>7,512,056</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8,545,136</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7,512,056</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8,545,136</w:t>
            </w:r>
          </w:p>
        </w:tc>
        <w:tc>
          <w:tcPr>
            <w:tcW w:w="120" w:type="dxa"/>
            <w:vAlign w:val="bottom"/>
          </w:tcPr>
          <w:p>
            <w:pPr>
              <w:spacing w:after="0"/>
              <w:rPr>
                <w:sz w:val="14"/>
                <w:szCs w:val="14"/>
                <w:color w:val="auto"/>
              </w:rPr>
            </w:pPr>
          </w:p>
        </w:tc>
      </w:tr>
      <w:tr>
        <w:trPr>
          <w:trHeight w:val="162"/>
        </w:trPr>
        <w:tc>
          <w:tcPr>
            <w:tcW w:w="6440" w:type="dxa"/>
            <w:vAlign w:val="bottom"/>
            <w:shd w:val="clear" w:color="auto" w:fill="CFF0FC"/>
          </w:tcPr>
          <w:p>
            <w:pPr>
              <w:spacing w:after="0"/>
              <w:rPr>
                <w:sz w:val="20"/>
                <w:szCs w:val="20"/>
                <w:color w:val="auto"/>
              </w:rPr>
            </w:pPr>
            <w:r>
              <w:rPr>
                <w:rFonts w:ascii="Arial" w:cs="Arial" w:eastAsia="Arial" w:hAnsi="Arial"/>
                <w:sz w:val="14"/>
                <w:szCs w:val="14"/>
                <w:color w:val="auto"/>
              </w:rPr>
              <w:t>Public Warrants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6,766,853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6,766,853</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6,766,853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6,766,853</w:t>
            </w:r>
          </w:p>
        </w:tc>
        <w:tc>
          <w:tcPr>
            <w:tcW w:w="120" w:type="dxa"/>
            <w:vAlign w:val="bottom"/>
            <w:shd w:val="clear" w:color="auto" w:fill="CFF0FC"/>
          </w:tcPr>
          <w:p>
            <w:pPr>
              <w:spacing w:after="0"/>
              <w:rPr>
                <w:sz w:val="14"/>
                <w:szCs w:val="14"/>
                <w:color w:val="auto"/>
              </w:rPr>
            </w:pPr>
          </w:p>
        </w:tc>
      </w:tr>
      <w:tr>
        <w:trPr>
          <w:trHeight w:val="162"/>
        </w:trPr>
        <w:tc>
          <w:tcPr>
            <w:tcW w:w="6440" w:type="dxa"/>
            <w:vAlign w:val="bottom"/>
          </w:tcPr>
          <w:p>
            <w:pPr>
              <w:spacing w:after="0"/>
              <w:rPr>
                <w:sz w:val="20"/>
                <w:szCs w:val="20"/>
                <w:color w:val="auto"/>
              </w:rPr>
            </w:pPr>
            <w:r>
              <w:rPr>
                <w:rFonts w:ascii="Arial" w:cs="Arial" w:eastAsia="Arial" w:hAnsi="Arial"/>
                <w:sz w:val="14"/>
                <w:szCs w:val="14"/>
                <w:color w:val="auto"/>
              </w:rPr>
              <w:t>Private Warrants</w:t>
            </w:r>
          </w:p>
        </w:tc>
        <w:tc>
          <w:tcPr>
            <w:tcW w:w="1020" w:type="dxa"/>
            <w:vAlign w:val="bottom"/>
          </w:tcPr>
          <w:p>
            <w:pPr>
              <w:jc w:val="right"/>
              <w:spacing w:after="0"/>
              <w:rPr>
                <w:sz w:val="20"/>
                <w:szCs w:val="20"/>
                <w:color w:val="auto"/>
              </w:rPr>
            </w:pPr>
            <w:r>
              <w:rPr>
                <w:rFonts w:ascii="Arial" w:cs="Arial" w:eastAsia="Arial" w:hAnsi="Arial"/>
                <w:sz w:val="14"/>
                <w:szCs w:val="14"/>
                <w:color w:val="auto"/>
              </w:rPr>
              <w:t>6,519,791</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6,519,791</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6,519,791</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6,519,791</w:t>
            </w:r>
          </w:p>
        </w:tc>
        <w:tc>
          <w:tcPr>
            <w:tcW w:w="120" w:type="dxa"/>
            <w:vAlign w:val="bottom"/>
          </w:tcPr>
          <w:p>
            <w:pPr>
              <w:spacing w:after="0"/>
              <w:rPr>
                <w:sz w:val="14"/>
                <w:szCs w:val="14"/>
                <w:color w:val="auto"/>
              </w:rPr>
            </w:pPr>
          </w:p>
        </w:tc>
      </w:tr>
      <w:tr>
        <w:trPr>
          <w:trHeight w:val="162"/>
        </w:trPr>
        <w:tc>
          <w:tcPr>
            <w:tcW w:w="6440" w:type="dxa"/>
            <w:vAlign w:val="bottom"/>
            <w:shd w:val="clear" w:color="auto" w:fill="CFF0FC"/>
          </w:tcPr>
          <w:p>
            <w:pPr>
              <w:spacing w:after="0"/>
              <w:rPr>
                <w:sz w:val="20"/>
                <w:szCs w:val="20"/>
                <w:color w:val="auto"/>
              </w:rPr>
            </w:pPr>
            <w:r>
              <w:rPr>
                <w:rFonts w:ascii="Arial" w:cs="Arial" w:eastAsia="Arial" w:hAnsi="Arial"/>
                <w:sz w:val="14"/>
                <w:szCs w:val="14"/>
                <w:color w:val="auto"/>
              </w:rPr>
              <w:t>Exercise Warrants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34,000,000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34,000,000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34,000,000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34,000,000</w:t>
            </w:r>
          </w:p>
        </w:tc>
        <w:tc>
          <w:tcPr>
            <w:tcW w:w="120" w:type="dxa"/>
            <w:vAlign w:val="bottom"/>
            <w:shd w:val="clear" w:color="auto" w:fill="CFF0FC"/>
          </w:tcPr>
          <w:p>
            <w:pPr>
              <w:spacing w:after="0"/>
              <w:rPr>
                <w:sz w:val="14"/>
                <w:szCs w:val="14"/>
                <w:color w:val="auto"/>
              </w:rPr>
            </w:pPr>
          </w:p>
        </w:tc>
      </w:tr>
      <w:tr>
        <w:trPr>
          <w:trHeight w:val="190"/>
        </w:trPr>
        <w:tc>
          <w:tcPr>
            <w:tcW w:w="6440" w:type="dxa"/>
            <w:vAlign w:val="bottom"/>
          </w:tcPr>
          <w:p>
            <w:pPr>
              <w:spacing w:after="0"/>
              <w:rPr>
                <w:sz w:val="20"/>
                <w:szCs w:val="20"/>
                <w:color w:val="auto"/>
              </w:rPr>
            </w:pPr>
            <w:r>
              <w:rPr>
                <w:rFonts w:ascii="Arial" w:cs="Arial" w:eastAsia="Arial" w:hAnsi="Arial"/>
                <w:sz w:val="14"/>
                <w:szCs w:val="14"/>
                <w:color w:val="auto"/>
              </w:rPr>
              <w:t>Intermediate Warrants</w:t>
            </w:r>
          </w:p>
        </w:tc>
        <w:tc>
          <w:tcPr>
            <w:tcW w:w="1020" w:type="dxa"/>
            <w:vAlign w:val="bottom"/>
          </w:tcPr>
          <w:p>
            <w:pPr>
              <w:jc w:val="right"/>
              <w:spacing w:after="0"/>
              <w:rPr>
                <w:sz w:val="20"/>
                <w:szCs w:val="20"/>
                <w:color w:val="auto"/>
              </w:rPr>
            </w:pPr>
            <w:r>
              <w:rPr>
                <w:rFonts w:ascii="Arial" w:cs="Arial" w:eastAsia="Arial" w:hAnsi="Arial"/>
                <w:sz w:val="14"/>
                <w:szCs w:val="14"/>
                <w:color w:val="auto"/>
              </w:rPr>
              <w:t>4,000,000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4,000,000</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4,000,000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6"/>
                <w:szCs w:val="16"/>
                <w:color w:val="auto"/>
              </w:rPr>
            </w:pPr>
          </w:p>
        </w:tc>
      </w:tr>
    </w:tbl>
    <w:p>
      <w:pPr>
        <w:spacing w:after="0" w:line="155" w:lineRule="exact"/>
        <w:rPr>
          <w:sz w:val="20"/>
          <w:szCs w:val="20"/>
          <w:color w:val="auto"/>
        </w:rPr>
      </w:pPr>
    </w:p>
    <w:p>
      <w:pPr>
        <w:ind w:left="300" w:hanging="292"/>
        <w:spacing w:after="0"/>
        <w:tabs>
          <w:tab w:leader="none" w:pos="3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ubsequent</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vents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July 21, 2025, our stockholders approved an amendment to our Amended and Restated Certificate of Incorporation (our “Charter”) to effect, at the option of our Board, a reverse stock split of our common stock at a ratio in the range of 1-for-5 to 1-for-30, inclusive, with such ratio to be determined by our Board. Subsequently, our Board approved a 1-for-20 reverse stock split of our common stock, pursuant to which every 20 shares of Class A and Class B common stock will be combined into one share of Class A and Class B common stock, respectively (the “Reverse Stock Split”). We will implement the Reverse Stock Split by filing an amendment to our Charter with the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Secretary of State of the State of Delaware that will become effective at 5:00 p.m. Eastern Time on August 5, 2025, and our Class A common stock will begin trading on a split-adjusted basis at the open of trading on August 6, 2025. The Reverse Stock Split will affect all holders of our common stock uniformly and will not affect any such holder’s percentage ownership interest in our company or proportionate voting power (subject, in each case, to our payment of cash in lieu of any fractional shares of Class A common stock resulting from the Reverse Stock Split). The Reverse Stock Split will not affect the number of authorized shares or the par value of our common stock.</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share and per share amounts included in these condensed consolidated financial statements and accompanying notes have not been adjusted to account for the anticipated Reverse Stock Split. The following table reflects the pro forma effect of the Reverse Stock Split on our earnings per share computation: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62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4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5"/>
        </w:trPr>
        <w:tc>
          <w:tcPr>
            <w:tcW w:w="54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Numerator—basic</w:t>
            </w: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5400" w:type="dxa"/>
            <w:vAlign w:val="bottom"/>
          </w:tcPr>
          <w:p>
            <w:pPr>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(263,327)</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(1,221)</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(273,115)</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9,518</w:t>
            </w:r>
          </w:p>
        </w:tc>
        <w:tc>
          <w:tcPr>
            <w:tcW w:w="100" w:type="dxa"/>
            <w:vAlign w:val="bottom"/>
          </w:tcPr>
          <w:p>
            <w:pPr>
              <w:spacing w:after="0"/>
              <w:rPr>
                <w:sz w:val="14"/>
                <w:szCs w:val="14"/>
                <w:color w:val="auto"/>
              </w:rPr>
            </w:pPr>
          </w:p>
        </w:tc>
      </w:tr>
      <w:tr>
        <w:trPr>
          <w:trHeight w:val="162"/>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Less: net (income) loss attributable to redeemable noncontrolling interests</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123,652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127,498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(4,505)</w:t>
            </w:r>
          </w:p>
        </w:tc>
      </w:tr>
      <w:tr>
        <w:trPr>
          <w:trHeight w:val="20"/>
        </w:trPr>
        <w:tc>
          <w:tcPr>
            <w:tcW w:w="5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5400" w:type="dxa"/>
            <w:vAlign w:val="bottom"/>
          </w:tcPr>
          <w:p>
            <w:pPr>
              <w:spacing w:after="0" w:line="155" w:lineRule="exact"/>
              <w:rPr>
                <w:sz w:val="20"/>
                <w:szCs w:val="20"/>
                <w:color w:val="auto"/>
              </w:rPr>
            </w:pPr>
            <w:r>
              <w:rPr>
                <w:rFonts w:ascii="Arial" w:cs="Arial" w:eastAsia="Arial" w:hAnsi="Arial"/>
                <w:sz w:val="14"/>
                <w:szCs w:val="14"/>
                <w:color w:val="auto"/>
              </w:rPr>
              <w:t>Net income (loss) attributable to Class A common stockholders—basic</w:t>
            </w:r>
          </w:p>
        </w:tc>
        <w:tc>
          <w:tcPr>
            <w:tcW w:w="220" w:type="dxa"/>
            <w:vAlign w:val="bottom"/>
          </w:tcPr>
          <w:p>
            <w:pPr>
              <w:spacing w:after="0"/>
              <w:rPr>
                <w:sz w:val="13"/>
                <w:szCs w:val="13"/>
                <w:color w:val="auto"/>
              </w:rPr>
            </w:pPr>
          </w:p>
        </w:tc>
        <w:tc>
          <w:tcPr>
            <w:tcW w:w="11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(139,675)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(1,061)</w:t>
            </w:r>
          </w:p>
        </w:tc>
        <w:tc>
          <w:tcPr>
            <w:tcW w:w="260" w:type="dxa"/>
            <w:vAlign w:val="bottom"/>
          </w:tcPr>
          <w:p>
            <w:pPr>
              <w:spacing w:after="0"/>
              <w:rPr>
                <w:sz w:val="13"/>
                <w:szCs w:val="13"/>
                <w:color w:val="auto"/>
              </w:rPr>
            </w:pPr>
          </w:p>
        </w:tc>
        <w:tc>
          <w:tcPr>
            <w:tcW w:w="11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(145,617)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5,013</w:t>
            </w:r>
          </w:p>
        </w:tc>
        <w:tc>
          <w:tcPr>
            <w:tcW w:w="100" w:type="dxa"/>
            <w:vAlign w:val="bottom"/>
          </w:tcPr>
          <w:p>
            <w:pPr>
              <w:spacing w:after="0"/>
              <w:rPr>
                <w:sz w:val="13"/>
                <w:szCs w:val="13"/>
                <w:color w:val="auto"/>
              </w:rPr>
            </w:pPr>
          </w:p>
        </w:tc>
      </w:tr>
      <w:tr>
        <w:trPr>
          <w:trHeight w:val="162"/>
        </w:trPr>
        <w:tc>
          <w:tcPr>
            <w:tcW w:w="54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Denominator—basic</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400" w:type="dxa"/>
            <w:vAlign w:val="bottom"/>
          </w:tcPr>
          <w:p>
            <w:pPr>
              <w:spacing w:after="0"/>
              <w:rPr>
                <w:sz w:val="20"/>
                <w:szCs w:val="20"/>
                <w:color w:val="auto"/>
              </w:rPr>
            </w:pPr>
            <w:r>
              <w:rPr>
                <w:rFonts w:ascii="Arial" w:cs="Arial" w:eastAsia="Arial" w:hAnsi="Arial"/>
                <w:sz w:val="14"/>
                <w:szCs w:val="14"/>
                <w:color w:val="auto"/>
              </w:rPr>
              <w:t>Weighted average Class A common stock outstanding—basic</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6,526,899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6,590,131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6,585,629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6,646,772</w:t>
            </w:r>
          </w:p>
        </w:tc>
        <w:tc>
          <w:tcPr>
            <w:tcW w:w="100" w:type="dxa"/>
            <w:vAlign w:val="bottom"/>
          </w:tcPr>
          <w:p>
            <w:pPr>
              <w:spacing w:after="0"/>
              <w:rPr>
                <w:sz w:val="14"/>
                <w:szCs w:val="14"/>
                <w:color w:val="auto"/>
              </w:rPr>
            </w:pPr>
          </w:p>
        </w:tc>
      </w:tr>
      <w:tr>
        <w:trPr>
          <w:trHeight w:val="196"/>
        </w:trPr>
        <w:tc>
          <w:tcPr>
            <w:tcW w:w="54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 per Class A common stock—basic</w:t>
            </w:r>
          </w:p>
        </w:tc>
        <w:tc>
          <w:tcPr>
            <w:tcW w:w="2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1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(21.40)</w:t>
            </w:r>
          </w:p>
        </w:tc>
        <w:tc>
          <w:tcPr>
            <w:tcW w:w="38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(0.16)</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(22.13)</w:t>
            </w:r>
          </w:p>
        </w:tc>
        <w:tc>
          <w:tcPr>
            <w:tcW w:w="36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0.75</w:t>
            </w:r>
          </w:p>
        </w:tc>
        <w:tc>
          <w:tcPr>
            <w:tcW w:w="100" w:type="dxa"/>
            <w:vAlign w:val="bottom"/>
            <w:shd w:val="clear" w:color="auto" w:fill="CFF0FC"/>
          </w:tcPr>
          <w:p>
            <w:pPr>
              <w:spacing w:after="0"/>
              <w:rPr>
                <w:sz w:val="17"/>
                <w:szCs w:val="17"/>
                <w:color w:val="auto"/>
              </w:rPr>
            </w:pPr>
          </w:p>
        </w:tc>
      </w:tr>
      <w:tr>
        <w:trPr>
          <w:trHeight w:val="143"/>
        </w:trPr>
        <w:tc>
          <w:tcPr>
            <w:tcW w:w="540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62"/>
        </w:trPr>
        <w:tc>
          <w:tcPr>
            <w:tcW w:w="54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Numerator—diluted</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400" w:type="dxa"/>
            <w:vAlign w:val="bottom"/>
          </w:tcPr>
          <w:p>
            <w:pPr>
              <w:spacing w:after="0"/>
              <w:rPr>
                <w:sz w:val="20"/>
                <w:szCs w:val="20"/>
                <w:color w:val="auto"/>
              </w:rPr>
            </w:pPr>
            <w:r>
              <w:rPr>
                <w:rFonts w:ascii="Arial" w:cs="Arial" w:eastAsia="Arial" w:hAnsi="Arial"/>
                <w:sz w:val="14"/>
                <w:szCs w:val="14"/>
                <w:color w:val="auto"/>
              </w:rPr>
              <w:t>Net income (loss) attributable to Class A common stockholders—basic</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(139,675)</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(1,061)</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(145,617)</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5,013</w:t>
            </w:r>
          </w:p>
        </w:tc>
        <w:tc>
          <w:tcPr>
            <w:tcW w:w="100" w:type="dxa"/>
            <w:vAlign w:val="bottom"/>
          </w:tcPr>
          <w:p>
            <w:pPr>
              <w:spacing w:after="0"/>
              <w:rPr>
                <w:sz w:val="14"/>
                <w:szCs w:val="14"/>
                <w:color w:val="auto"/>
              </w:rPr>
            </w:pPr>
          </w:p>
        </w:tc>
      </w:tr>
      <w:tr>
        <w:trPr>
          <w:trHeight w:val="162"/>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Weighted average effect of dilutive securities:</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40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22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(123,583)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(814)</w:t>
            </w: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(127,499)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2,434</w:t>
            </w:r>
          </w:p>
        </w:tc>
        <w:tc>
          <w:tcPr>
            <w:tcW w:w="100" w:type="dxa"/>
            <w:vAlign w:val="bottom"/>
          </w:tcPr>
          <w:p>
            <w:pPr>
              <w:spacing w:after="0"/>
              <w:rPr>
                <w:sz w:val="14"/>
                <w:szCs w:val="14"/>
                <w:color w:val="auto"/>
              </w:rPr>
            </w:pPr>
          </w:p>
        </w:tc>
      </w:tr>
      <w:tr>
        <w:trPr>
          <w:trHeight w:val="162"/>
        </w:trPr>
        <w:tc>
          <w:tcPr>
            <w:tcW w:w="5400" w:type="dxa"/>
            <w:vAlign w:val="bottom"/>
            <w:shd w:val="clear" w:color="auto" w:fill="CFF0FC"/>
          </w:tcPr>
          <w:p>
            <w:pPr>
              <w:ind w:left="40"/>
              <w:spacing w:after="0"/>
              <w:rPr>
                <w:sz w:val="20"/>
                <w:szCs w:val="20"/>
                <w:color w:val="auto"/>
              </w:rPr>
            </w:pPr>
            <w:r>
              <w:rPr>
                <w:rFonts w:ascii="Arial" w:cs="Arial" w:eastAsia="Arial" w:hAnsi="Arial"/>
                <w:sz w:val="14"/>
                <w:szCs w:val="14"/>
                <w:color w:val="auto"/>
              </w:rPr>
              <w:t>RSUs</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5400" w:type="dxa"/>
            <w:vAlign w:val="bottom"/>
          </w:tcPr>
          <w:p>
            <w:pPr>
              <w:spacing w:after="0" w:line="155" w:lineRule="exact"/>
              <w:rPr>
                <w:sz w:val="20"/>
                <w:szCs w:val="20"/>
                <w:color w:val="auto"/>
              </w:rPr>
            </w:pPr>
            <w:r>
              <w:rPr>
                <w:rFonts w:ascii="Arial" w:cs="Arial" w:eastAsia="Arial" w:hAnsi="Arial"/>
                <w:sz w:val="14"/>
                <w:szCs w:val="14"/>
                <w:color w:val="auto"/>
              </w:rPr>
              <w:t>Net income (loss) attributable to Class A common stockholders—diluted</w:t>
            </w:r>
          </w:p>
        </w:tc>
        <w:tc>
          <w:tcPr>
            <w:tcW w:w="220" w:type="dxa"/>
            <w:vAlign w:val="bottom"/>
          </w:tcPr>
          <w:p>
            <w:pPr>
              <w:spacing w:after="0"/>
              <w:rPr>
                <w:sz w:val="13"/>
                <w:szCs w:val="13"/>
                <w:color w:val="auto"/>
              </w:rPr>
            </w:pPr>
          </w:p>
        </w:tc>
        <w:tc>
          <w:tcPr>
            <w:tcW w:w="11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(263,526)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(1,875)</w:t>
            </w:r>
          </w:p>
        </w:tc>
        <w:tc>
          <w:tcPr>
            <w:tcW w:w="260" w:type="dxa"/>
            <w:vAlign w:val="bottom"/>
          </w:tcPr>
          <w:p>
            <w:pPr>
              <w:spacing w:after="0"/>
              <w:rPr>
                <w:sz w:val="13"/>
                <w:szCs w:val="13"/>
                <w:color w:val="auto"/>
              </w:rPr>
            </w:pPr>
          </w:p>
        </w:tc>
        <w:tc>
          <w:tcPr>
            <w:tcW w:w="11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(273,116)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7,450</w:t>
            </w:r>
          </w:p>
        </w:tc>
        <w:tc>
          <w:tcPr>
            <w:tcW w:w="100" w:type="dxa"/>
            <w:vAlign w:val="bottom"/>
          </w:tcPr>
          <w:p>
            <w:pPr>
              <w:spacing w:after="0"/>
              <w:rPr>
                <w:sz w:val="13"/>
                <w:szCs w:val="13"/>
                <w:color w:val="auto"/>
              </w:rPr>
            </w:pPr>
          </w:p>
        </w:tc>
      </w:tr>
      <w:tr>
        <w:trPr>
          <w:trHeight w:val="162"/>
        </w:trPr>
        <w:tc>
          <w:tcPr>
            <w:tcW w:w="54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Denominator—diluted</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400" w:type="dxa"/>
            <w:vAlign w:val="bottom"/>
          </w:tcPr>
          <w:p>
            <w:pPr>
              <w:spacing w:after="0"/>
              <w:rPr>
                <w:sz w:val="20"/>
                <w:szCs w:val="20"/>
                <w:color w:val="auto"/>
              </w:rPr>
            </w:pPr>
            <w:r>
              <w:rPr>
                <w:rFonts w:ascii="Arial" w:cs="Arial" w:eastAsia="Arial" w:hAnsi="Arial"/>
                <w:sz w:val="14"/>
                <w:szCs w:val="14"/>
                <w:color w:val="auto"/>
              </w:rPr>
              <w:t>Weighted average Class A common stock outstanding—basic</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6,526,899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6,590,131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6,585,629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6,646,772</w:t>
            </w:r>
          </w:p>
        </w:tc>
        <w:tc>
          <w:tcPr>
            <w:tcW w:w="100" w:type="dxa"/>
            <w:vAlign w:val="bottom"/>
          </w:tcPr>
          <w:p>
            <w:pPr>
              <w:spacing w:after="0"/>
              <w:rPr>
                <w:sz w:val="14"/>
                <w:szCs w:val="14"/>
                <w:color w:val="auto"/>
              </w:rPr>
            </w:pPr>
          </w:p>
        </w:tc>
      </w:tr>
      <w:tr>
        <w:trPr>
          <w:trHeight w:val="162"/>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Weighted average effect of dilutive securities:</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40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3,811,250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3,811,250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3,811,250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3,811,250</w:t>
            </w:r>
          </w:p>
        </w:tc>
        <w:tc>
          <w:tcPr>
            <w:tcW w:w="100" w:type="dxa"/>
            <w:vAlign w:val="bottom"/>
          </w:tcPr>
          <w:p>
            <w:pPr>
              <w:spacing w:after="0"/>
              <w:rPr>
                <w:sz w:val="14"/>
                <w:szCs w:val="14"/>
                <w:color w:val="auto"/>
              </w:rPr>
            </w:pPr>
          </w:p>
        </w:tc>
      </w:tr>
      <w:tr>
        <w:trPr>
          <w:trHeight w:val="162"/>
        </w:trPr>
        <w:tc>
          <w:tcPr>
            <w:tcW w:w="5400" w:type="dxa"/>
            <w:vAlign w:val="bottom"/>
            <w:shd w:val="clear" w:color="auto" w:fill="CFF0FC"/>
          </w:tcPr>
          <w:p>
            <w:pPr>
              <w:ind w:left="40"/>
              <w:spacing w:after="0"/>
              <w:rPr>
                <w:sz w:val="20"/>
                <w:szCs w:val="20"/>
                <w:color w:val="auto"/>
              </w:rPr>
            </w:pPr>
            <w:r>
              <w:rPr>
                <w:rFonts w:ascii="Arial" w:cs="Arial" w:eastAsia="Arial" w:hAnsi="Arial"/>
                <w:sz w:val="14"/>
                <w:szCs w:val="14"/>
                <w:color w:val="auto"/>
              </w:rPr>
              <w:t>RSUs</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9,983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9,983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38,863</w:t>
            </w:r>
          </w:p>
        </w:tc>
        <w:tc>
          <w:tcPr>
            <w:tcW w:w="100" w:type="dxa"/>
            <w:vAlign w:val="bottom"/>
            <w:shd w:val="clear" w:color="auto" w:fill="CFF0FC"/>
          </w:tcPr>
          <w:p>
            <w:pPr>
              <w:spacing w:after="0"/>
              <w:rPr>
                <w:sz w:val="14"/>
                <w:szCs w:val="14"/>
                <w:color w:val="auto"/>
              </w:rPr>
            </w:pPr>
          </w:p>
        </w:tc>
      </w:tr>
      <w:tr>
        <w:trPr>
          <w:trHeight w:val="155"/>
        </w:trPr>
        <w:tc>
          <w:tcPr>
            <w:tcW w:w="540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color w:val="auto"/>
              </w:rPr>
              <w:t>Weighted average Class A common stock outstanding—diluted</w:t>
            </w: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10,348,132</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10,401,381</w:t>
            </w:r>
          </w:p>
        </w:tc>
        <w:tc>
          <w:tcPr>
            <w:tcW w:w="22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10,406,862</w:t>
            </w: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10,496,886</w:t>
            </w:r>
          </w:p>
        </w:tc>
        <w:tc>
          <w:tcPr>
            <w:tcW w:w="100" w:type="dxa"/>
            <w:vAlign w:val="bottom"/>
            <w:tcBorders>
              <w:top w:val="single" w:sz="8" w:color="CFF0FC"/>
            </w:tcBorders>
          </w:tcPr>
          <w:p>
            <w:pPr>
              <w:spacing w:after="0"/>
              <w:rPr>
                <w:sz w:val="13"/>
                <w:szCs w:val="13"/>
                <w:color w:val="auto"/>
              </w:rPr>
            </w:pPr>
          </w:p>
        </w:tc>
      </w:tr>
      <w:tr>
        <w:trPr>
          <w:trHeight w:val="175"/>
        </w:trPr>
        <w:tc>
          <w:tcPr>
            <w:tcW w:w="54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 per Class A common stock—diluted</w:t>
            </w:r>
          </w:p>
        </w:tc>
        <w:tc>
          <w:tcPr>
            <w:tcW w:w="2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1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(25.47)</w:t>
            </w:r>
          </w:p>
        </w:tc>
        <w:tc>
          <w:tcPr>
            <w:tcW w:w="38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(0.18)</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(26.24)</w:t>
            </w:r>
          </w:p>
        </w:tc>
        <w:tc>
          <w:tcPr>
            <w:tcW w:w="36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0.71</w:t>
            </w:r>
          </w:p>
        </w:tc>
        <w:tc>
          <w:tcPr>
            <w:tcW w:w="100" w:type="dxa"/>
            <w:vAlign w:val="bottom"/>
            <w:shd w:val="clear" w:color="auto" w:fill="CFF0FC"/>
          </w:tcPr>
          <w:p>
            <w:pPr>
              <w:spacing w:after="0"/>
              <w:rPr>
                <w:sz w:val="15"/>
                <w:szCs w:val="15"/>
                <w:color w:val="auto"/>
              </w:rPr>
            </w:pP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-1945005</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-1945005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-1945005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-1516380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-1499870</wp:posOffset>
            </wp:positionV>
            <wp:extent cx="774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-1516380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-1499870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-1516380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-1499870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-873760</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-873760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-873760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774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OBBB Act</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July 4, 2025, a reconciliation bill commonly referred to as the One Big Beautiful Bill Act (the “OBBB Act”) was signed into law, which includes a broad range of tax reform provisions that may affect our financial results. The OBBB Act allows an elective deduction for domestic research and development, a reinstatement of elective 100% first-year bonus depreciation, and modifications to the calculation for excess business interest expense limitation under Section 163(j) of the Internal Revenue Code. We are currently evaluating the impact of these provisions, which could affect our effective tax rate and deferred tax assets in 2025 and future periods. While we do not believe the OBBB Act will have a material impact on our condensed consolidated financial statements given the recorded valuation allowance, the evaluation of the impact is ongoing due to the complexity of the provisions within the OBBB Act. The impact of the OBBB Act on our condensed consolidated financial statements will depend on the specific facts in each year and anticipated guidance from the U.S. Department of the Treasury.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ind w:left="18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This discussion should be read together with our condensed consolidated financial statements and accompanying notes included elsewhere in this Report, as well as our audited consolidated financial statements and accompanying notes contained in our 2024 Form 10-K. This discussion contains forward-looking statements, which are subject to a number of risks and uncertainties, including those discussed in the “Risk Factors” and “Forward-Looking Statements” sections of this Report and our 2024 Form 10-K.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We are an online ticket marketplace that utilizes our technology platform to connect fans of live events seamlessly with ticket sellers. Our mission is to empower and enable fans to </w:t>
      </w:r>
      <w:r>
        <w:rPr>
          <w:rFonts w:ascii="Arial" w:cs="Arial" w:eastAsia="Arial" w:hAnsi="Arial"/>
          <w:sz w:val="18"/>
          <w:szCs w:val="18"/>
          <w:i w:val="1"/>
          <w:iCs w:val="1"/>
          <w:color w:val="auto"/>
        </w:rPr>
        <w:t>Experience It Live</w:t>
      </w:r>
      <w:r>
        <w:rPr>
          <w:rFonts w:ascii="Arial" w:cs="Arial" w:eastAsia="Arial" w:hAnsi="Arial"/>
          <w:sz w:val="18"/>
          <w:szCs w:val="18"/>
          <w:color w:val="auto"/>
        </w:rPr>
        <w:t>. We believe in the power of shared experiences to connect people with live events that deliver some of life’s most exciting moments. We operate a technology platform and marketplace that enables consumers to easily discover and purchase tickets to live events and book hotel rooms and packages while enabling ticket sellers and partners to seamlessly manage their operations. We differentiate from competitors by offering an extensive breadth and depth of ticket listings at a competitive value.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Marketplace Gross Order Value (“Marketplace GOV”), revenues, net income (loss), and adjusted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EBITDA for the three and six months ended June 30, 2025 and 2024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6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4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5"/>
        </w:trPr>
        <w:tc>
          <w:tcPr>
            <w:tcW w:w="46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Marketplace GOV*</w:t>
            </w:r>
          </w:p>
        </w:tc>
        <w:tc>
          <w:tcPr>
            <w:tcW w:w="300" w:type="dxa"/>
            <w:vAlign w:val="bottom"/>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685,488</w:t>
            </w:r>
          </w:p>
        </w:tc>
        <w:tc>
          <w:tcPr>
            <w:tcW w:w="32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8"/>
              </w:rPr>
              <w:t>998,065</w:t>
            </w:r>
          </w:p>
        </w:tc>
        <w:tc>
          <w:tcPr>
            <w:tcW w:w="16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1,505,847</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2,026,543</w:t>
            </w:r>
          </w:p>
        </w:tc>
        <w:tc>
          <w:tcPr>
            <w:tcW w:w="100" w:type="dxa"/>
            <w:vAlign w:val="bottom"/>
            <w:shd w:val="clear" w:color="auto" w:fill="CFF0FC"/>
          </w:tcPr>
          <w:p>
            <w:pPr>
              <w:spacing w:after="0"/>
              <w:rPr>
                <w:sz w:val="13"/>
                <w:szCs w:val="13"/>
                <w:color w:val="auto"/>
              </w:rPr>
            </w:pP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Revenues</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143,566</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198,316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307,589</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389,168</w:t>
            </w:r>
          </w:p>
        </w:tc>
        <w:tc>
          <w:tcPr>
            <w:tcW w:w="100" w:type="dxa"/>
            <w:vAlign w:val="bottom"/>
          </w:tcPr>
          <w:p>
            <w:pPr>
              <w:spacing w:after="0"/>
              <w:rPr>
                <w:sz w:val="14"/>
                <w:szCs w:val="14"/>
                <w:color w:val="auto"/>
              </w:rPr>
            </w:pPr>
          </w:p>
        </w:tc>
      </w:tr>
      <w:tr>
        <w:trPr>
          <w:trHeight w:val="162"/>
        </w:trPr>
        <w:tc>
          <w:tcPr>
            <w:tcW w:w="468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w:t>
            </w:r>
          </w:p>
        </w:tc>
        <w:tc>
          <w:tcPr>
            <w:tcW w:w="30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(263,327)</w:t>
            </w:r>
          </w:p>
        </w:tc>
        <w:tc>
          <w:tcPr>
            <w:tcW w:w="8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(1,221)</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(273,115)</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9,518</w:t>
            </w:r>
          </w:p>
        </w:tc>
        <w:tc>
          <w:tcPr>
            <w:tcW w:w="100" w:type="dxa"/>
            <w:vAlign w:val="bottom"/>
            <w:shd w:val="clear" w:color="auto" w:fill="CFF0FC"/>
          </w:tcPr>
          <w:p>
            <w:pPr>
              <w:spacing w:after="0"/>
              <w:rPr>
                <w:sz w:val="14"/>
                <w:szCs w:val="14"/>
                <w:color w:val="auto"/>
              </w:rPr>
            </w:pPr>
          </w:p>
        </w:tc>
      </w:tr>
      <w:tr>
        <w:trPr>
          <w:trHeight w:val="190"/>
        </w:trPr>
        <w:tc>
          <w:tcPr>
            <w:tcW w:w="4680" w:type="dxa"/>
            <w:vAlign w:val="bottom"/>
          </w:tcPr>
          <w:p>
            <w:pPr>
              <w:spacing w:after="0"/>
              <w:rPr>
                <w:sz w:val="20"/>
                <w:szCs w:val="20"/>
                <w:color w:val="auto"/>
              </w:rPr>
            </w:pPr>
            <w:r>
              <w:rPr>
                <w:rFonts w:ascii="Arial" w:cs="Arial" w:eastAsia="Arial" w:hAnsi="Arial"/>
                <w:sz w:val="14"/>
                <w:szCs w:val="14"/>
                <w:color w:val="auto"/>
              </w:rPr>
              <w:t>Adjusted EBITDA*</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14,356</w:t>
            </w:r>
          </w:p>
        </w:tc>
        <w:tc>
          <w:tcPr>
            <w:tcW w:w="320" w:type="dxa"/>
            <w:vAlign w:val="bottom"/>
          </w:tcPr>
          <w:p>
            <w:pPr>
              <w:spacing w:after="0"/>
              <w:rPr>
                <w:sz w:val="16"/>
                <w:szCs w:val="16"/>
                <w:color w:val="auto"/>
              </w:rPr>
            </w:pP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44,178</w:t>
            </w:r>
          </w:p>
        </w:tc>
        <w:tc>
          <w:tcPr>
            <w:tcW w:w="16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36,077</w:t>
            </w:r>
          </w:p>
        </w:tc>
        <w:tc>
          <w:tcPr>
            <w:tcW w:w="28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83,096</w:t>
            </w:r>
          </w:p>
        </w:tc>
        <w:tc>
          <w:tcPr>
            <w:tcW w:w="100" w:type="dxa"/>
            <w:vAlign w:val="bottom"/>
          </w:tcPr>
          <w:p>
            <w:pPr>
              <w:spacing w:after="0"/>
              <w:rPr>
                <w:sz w:val="16"/>
                <w:szCs w:val="16"/>
                <w:color w:val="auto"/>
              </w:rPr>
            </w:pPr>
          </w:p>
        </w:tc>
      </w:tr>
    </w:tbl>
    <w:p>
      <w:pPr>
        <w:spacing w:after="0" w:line="61" w:lineRule="exact"/>
        <w:rPr>
          <w:sz w:val="20"/>
          <w:szCs w:val="20"/>
          <w:color w:val="auto"/>
        </w:rPr>
      </w:pPr>
    </w:p>
    <w:p>
      <w:pPr>
        <w:jc w:val="both"/>
        <w:ind w:left="300" w:hanging="292"/>
        <w:spacing w:after="0" w:line="253" w:lineRule="auto"/>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the “Key Business Metrics and Non-U.S. GAAP Financial Measure” section below for more information on Marketplace GOV and adjusted EBITDA, which is a financial measure not defined under accounting principles generally accepted in the United States of America (“U.S. GAAP”).</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two segments: Marketplace and Resale.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Segment</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our Marketplace segment, we primarily act as an intermediary between ticket buyers, sellers, and partners, for which we earn revenue from processing ticket sales for live events and facilitating the booking of hotel rooms and packages through our Owned Properties, which consists of (i) Vivid Seats; (ii) Wavedash Co., Ltd. (“Wavedash”), an online ticket marketplace headquartered in Tokyo, Japan, which we acquired in September 2023; (iii) Vegas.com, LLC, an online ticket marketplace for live event enthusiasts exploring shows, attractions, tours, flights, and hotels in Las Vegas, which we acquired in November 2023; and (iv) until it ceased operations in July 2025, Vivid Picks, a real-money daily fantasy sports mobile application where users partook in contests by making player picks from a wide selection of individual and player matchup projections across a variety of sports, and through our Private Label Offering, which consists of numerous distribution partners. To a lesser extent, we also earn revenue from offering event insurance to ticket buyers. Using our online platform, we facilitate customer payments, deposits and withdrawals, coordinate ticket deliveries, and provide customer service. We do not hold ticket inventory in our Marketplace segment.</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amount of Marketplace revenue earned in a given period is primarily represented by service and delivery fees charged to ticket buyers. For Vivid Picks, the amount of Marketplace revenue earned in a given period is represented by the difference between cash entry fees collected and cash amounts paid out to users for winning picks, less customer promotions and incentives. For event insurance, the amount of Marketplace revenue earned in a given period is represented by referral fees charged to third-party insurance providers.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jc w:val="both"/>
        <w:spacing w:after="0" w:line="253" w:lineRule="auto"/>
        <w:rPr>
          <w:sz w:val="20"/>
          <w:szCs w:val="20"/>
          <w:color w:val="auto"/>
        </w:rPr>
      </w:pPr>
      <w:r>
        <w:rPr>
          <w:rFonts w:ascii="Arial" w:cs="Arial" w:eastAsia="Arial" w:hAnsi="Arial"/>
          <w:sz w:val="18"/>
          <w:szCs w:val="18"/>
          <w:color w:val="auto"/>
        </w:rPr>
        <w:t>The main costs we incur in our Marketplace segment relate to developing and maintaining our online platform, providing back-office support and customer service, facilitating payments and deposits, and shipping non-electronic tickets. We also incur substantial marketing costs, primarily related to online advertising.</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key component of our online platform is Skybox, a proprietary enterprise resource planning (“ERP”) tool that is used by the majority of ticket sellers. Skybox is a free-to-use system that helps ticket sellers manage ticket inventories, adjust pricing, and fulfill orders across multiple ticket resale marketplaces. Professional ticket sellers use ERPs to manage their operations, and Skybox is their most widely adopted ERP.</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Segment</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Resale segment, we primarily acquire tickets to resell on secondary ticketing marketplaces, including our own. Our Resale segment also provides internal research and development support for Skybox and supplements our ongoing efforts to deliver industry-leading seller software and tools.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July 21, 2025, our stockholders approved an amendment to our Amended and Restated Certificate of Incorporation (our “Charter”) to effect, at the option of our Board of Directors (our “Board”), a reverse stock split of our common stock at a ratio in the range of 1-for-5 to 1-for-30, inclusive, with such ratio to be determined by our Board. Subsequently, our Board approved a 1-for-20 reverse stock split of our common stock, pursuant to which every 20 shares of Class A and Class B common stock will be combined into one share of Class A and Class B common stock, respectively (the “Reverse Stock Split”). We will implement the Reverse Stock Split by filing an amendment to our Charter with the Secretary of State of the State of Delaware that will become effective at 5:00 p.m. Eastern Time on August 5, 2025, and our Class A common stock will begin trading on a split-adjusted basis at the open of trading on August 6, 2025. The Reverse Stock Split will affect all holders of our common stock uniformly and will not affect any such holder’s percentage ownership interest in our company or proportionate voting power (subject, in each case, to our payment of cash in lieu of any fractional shares of Class A common stock resulting from the Reverse Stock Split). The Reverse Stock Split will not affect the number of authorized shares or the par value of our common stock.</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See Note 18, </w:t>
      </w:r>
      <w:r>
        <w:rPr>
          <w:rFonts w:ascii="Arial" w:cs="Arial" w:eastAsia="Arial" w:hAnsi="Arial"/>
          <w:sz w:val="18"/>
          <w:szCs w:val="18"/>
          <w:i w:val="1"/>
          <w:iCs w:val="1"/>
          <w:color w:val="auto"/>
        </w:rPr>
        <w:t>Subsequent Events</w:t>
      </w:r>
      <w:r>
        <w:rPr>
          <w:rFonts w:ascii="Arial" w:cs="Arial" w:eastAsia="Arial" w:hAnsi="Arial"/>
          <w:sz w:val="18"/>
          <w:szCs w:val="18"/>
          <w:color w:val="auto"/>
        </w:rPr>
        <w:t>, to our unaudited condensed consolidated financial statements included elsewhere in this Report, and the “Risk Factors” section of this Report, for additional information regarding the Reverse Stock Split. The share and per share amounts included in this Report have not been adjusted to account for the anticipated Reverse Stock Split.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 and Cost Reduction Program</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While we continue to view live events as an attractive long-term opportunity supported by durable supply and demand tailwinds, recent industry trends have been challenging and our Marketplace Order volumes have been under pressure thus far in 2025. We attribute this to a combination of economic uncertainty affecting discretionary consumer spending and competitive intensity in performance marketing channels. In response to this evolving industry landscape, during the three months ending June 30, 2025 we began to implement a cost reduction program designed to right-size our business for the current environment and drive enhanced long-term efficiency.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OBBB Act</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July 4, 2025, a reconciliation bill commonly referred to as the One Big Beautiful Bill Act (the “OBBB Act”) was signed into law, which includes a broad range of tax reform provisions that may affect our financial results. The OBBB Act allows an elective deduction for domestic research and development, a reinstatement of elective 100% first-year bonus depreciation, and modifications to the calculation for excess business interest expense limitation under Section 163(j) of the Internal Revenue Code. We are currently evaluating the impact of these provisions, which could affect our effective tax rate and deferred tax assets in 2025 and future periods. A quantitative estimate of the specific financial effects cannot be reasonably determined at this time due to the complexity of the changes in the reforms.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jc w:val="both"/>
        <w:spacing w:after="0" w:line="271" w:lineRule="auto"/>
        <w:rPr>
          <w:sz w:val="20"/>
          <w:szCs w:val="20"/>
          <w:color w:val="auto"/>
        </w:rPr>
      </w:pPr>
      <w:r>
        <w:rPr>
          <w:rFonts w:ascii="Arial" w:cs="Arial" w:eastAsia="Arial" w:hAnsi="Arial"/>
          <w:sz w:val="18"/>
          <w:szCs w:val="18"/>
          <w:color w:val="auto"/>
        </w:rPr>
        <w:t>The impact of the tax provisions in the OBBB Act will depend on our facts in each year and anticipated guidance from the U.S. Department of the Treasury.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 and Non-U.S. GAAP Financial Measure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the following metrics to evaluate our performance, identify trends, formulate financial projections, and make strategic decisions. We believe these metrics provide useful information to investors and others in understanding and evaluating our results of operations in the same manner as management.</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our key business metrics and non-U.S. GAAP financial measure for the three and six months ended June 30, 2025 and 2024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4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6"/>
        </w:trPr>
        <w:tc>
          <w:tcPr>
            <w:tcW w:w="546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Marketplace GOV</w:t>
            </w:r>
            <w:r>
              <w:rPr>
                <w:rFonts w:ascii="Arial" w:cs="Arial" w:eastAsia="Arial" w:hAnsi="Arial"/>
                <w:sz w:val="18"/>
                <w:szCs w:val="18"/>
                <w:color w:val="auto"/>
                <w:vertAlign w:val="superscript"/>
              </w:rPr>
              <w:t>(1)</w:t>
            </w: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685,488</w:t>
            </w:r>
          </w:p>
        </w:tc>
        <w:tc>
          <w:tcPr>
            <w:tcW w:w="52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998,065</w:t>
            </w:r>
          </w:p>
        </w:tc>
        <w:tc>
          <w:tcPr>
            <w:tcW w:w="50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1,505,847</w:t>
            </w:r>
          </w:p>
        </w:tc>
        <w:tc>
          <w:tcPr>
            <w:tcW w:w="5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2,026,543</w:t>
            </w:r>
          </w:p>
        </w:tc>
        <w:tc>
          <w:tcPr>
            <w:tcW w:w="100" w:type="dxa"/>
            <w:vAlign w:val="bottom"/>
            <w:shd w:val="clear" w:color="auto" w:fill="CFF0FC"/>
          </w:tcPr>
          <w:p>
            <w:pPr>
              <w:spacing w:after="0"/>
              <w:rPr>
                <w:sz w:val="13"/>
                <w:szCs w:val="13"/>
                <w:color w:val="auto"/>
              </w:rPr>
            </w:pPr>
          </w:p>
        </w:tc>
      </w:tr>
      <w:tr>
        <w:trPr>
          <w:trHeight w:val="162"/>
        </w:trPr>
        <w:tc>
          <w:tcPr>
            <w:tcW w:w="5460" w:type="dxa"/>
            <w:vAlign w:val="bottom"/>
          </w:tcPr>
          <w:p>
            <w:pPr>
              <w:spacing w:after="0" w:line="162" w:lineRule="exact"/>
              <w:rPr>
                <w:sz w:val="20"/>
                <w:szCs w:val="20"/>
                <w:color w:val="auto"/>
              </w:rPr>
            </w:pPr>
            <w:r>
              <w:rPr>
                <w:rFonts w:ascii="Arial" w:cs="Arial" w:eastAsia="Arial" w:hAnsi="Arial"/>
                <w:sz w:val="14"/>
                <w:szCs w:val="14"/>
                <w:color w:val="auto"/>
              </w:rPr>
              <w:t>Marketplace orders</w:t>
            </w:r>
            <w:r>
              <w:rPr>
                <w:rFonts w:ascii="Arial" w:cs="Arial" w:eastAsia="Arial" w:hAnsi="Arial"/>
                <w:sz w:val="18"/>
                <w:szCs w:val="18"/>
                <w:color w:val="auto"/>
                <w:vertAlign w:val="superscript"/>
              </w:rPr>
              <w:t>(2)</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2,173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3,097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4,469</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5,974</w:t>
            </w:r>
          </w:p>
        </w:tc>
        <w:tc>
          <w:tcPr>
            <w:tcW w:w="100" w:type="dxa"/>
            <w:vAlign w:val="bottom"/>
          </w:tcPr>
          <w:p>
            <w:pPr>
              <w:spacing w:after="0"/>
              <w:rPr>
                <w:sz w:val="14"/>
                <w:szCs w:val="14"/>
                <w:color w:val="auto"/>
              </w:rPr>
            </w:pPr>
          </w:p>
        </w:tc>
      </w:tr>
      <w:tr>
        <w:trPr>
          <w:trHeight w:val="162"/>
        </w:trPr>
        <w:tc>
          <w:tcPr>
            <w:tcW w:w="5460" w:type="dxa"/>
            <w:vAlign w:val="bottom"/>
            <w:shd w:val="clear" w:color="auto" w:fill="CFF0FC"/>
          </w:tcPr>
          <w:p>
            <w:pPr>
              <w:spacing w:after="0" w:line="162" w:lineRule="exact"/>
              <w:rPr>
                <w:sz w:val="20"/>
                <w:szCs w:val="20"/>
                <w:color w:val="auto"/>
              </w:rPr>
            </w:pPr>
            <w:r>
              <w:rPr>
                <w:rFonts w:ascii="Arial" w:cs="Arial" w:eastAsia="Arial" w:hAnsi="Arial"/>
                <w:sz w:val="14"/>
                <w:szCs w:val="14"/>
                <w:color w:val="auto"/>
              </w:rPr>
              <w:t>Resale orders</w:t>
            </w:r>
            <w:r>
              <w:rPr>
                <w:rFonts w:ascii="Arial" w:cs="Arial" w:eastAsia="Arial" w:hAnsi="Arial"/>
                <w:sz w:val="18"/>
                <w:szCs w:val="18"/>
                <w:color w:val="auto"/>
                <w:vertAlign w:val="superscript"/>
              </w:rPr>
              <w:t>(3)</w:t>
            </w: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FF0FC"/>
          </w:tcPr>
          <w:p>
            <w:pPr>
              <w:spacing w:after="0"/>
              <w:rPr>
                <w:sz w:val="14"/>
                <w:szCs w:val="14"/>
                <w:color w:val="auto"/>
              </w:rPr>
            </w:pPr>
          </w:p>
        </w:tc>
      </w:tr>
      <w:tr>
        <w:trPr>
          <w:trHeight w:val="256"/>
        </w:trPr>
        <w:tc>
          <w:tcPr>
            <w:tcW w:w="5460" w:type="dxa"/>
            <w:vAlign w:val="bottom"/>
          </w:tcPr>
          <w:p>
            <w:pPr>
              <w:spacing w:after="0"/>
              <w:rPr>
                <w:sz w:val="20"/>
                <w:szCs w:val="20"/>
                <w:color w:val="auto"/>
              </w:rPr>
            </w:pPr>
            <w:r>
              <w:rPr>
                <w:rFonts w:ascii="Arial" w:cs="Arial" w:eastAsia="Arial" w:hAnsi="Arial"/>
                <w:sz w:val="14"/>
                <w:szCs w:val="14"/>
                <w:color w:val="auto"/>
              </w:rPr>
              <w:t>Adjusted EBITDA</w:t>
            </w:r>
            <w:r>
              <w:rPr>
                <w:rFonts w:ascii="Arial" w:cs="Arial" w:eastAsia="Arial" w:hAnsi="Arial"/>
                <w:sz w:val="19"/>
                <w:szCs w:val="19"/>
                <w:color w:val="auto"/>
                <w:vertAlign w:val="superscript"/>
              </w:rPr>
              <w:t>(4)</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14,356</w:t>
            </w: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44,178</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36,077</w:t>
            </w: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83,096</w:t>
            </w:r>
          </w:p>
        </w:tc>
        <w:tc>
          <w:tcPr>
            <w:tcW w:w="100" w:type="dxa"/>
            <w:vAlign w:val="bottom"/>
          </w:tcPr>
          <w:p>
            <w:pPr>
              <w:spacing w:after="0"/>
              <w:rPr>
                <w:sz w:val="22"/>
                <w:szCs w:val="22"/>
                <w:color w:val="auto"/>
              </w:rPr>
            </w:pPr>
          </w:p>
        </w:tc>
      </w:tr>
    </w:tbl>
    <w:p>
      <w:pPr>
        <w:jc w:val="both"/>
        <w:ind w:left="460" w:hanging="452"/>
        <w:spacing w:after="0"/>
        <w:tabs>
          <w:tab w:leader="none" w:pos="460" w:val="left"/>
        </w:tabs>
        <w:numPr>
          <w:ilvl w:val="0"/>
          <w:numId w:val="24"/>
        </w:numPr>
        <w:rPr>
          <w:rFonts w:ascii="Calibri" w:cs="Calibri" w:eastAsia="Calibri" w:hAnsi="Calibri"/>
          <w:sz w:val="18"/>
          <w:szCs w:val="18"/>
          <w:color w:val="auto"/>
        </w:rPr>
      </w:pPr>
      <w:r>
        <w:rPr>
          <w:rFonts w:ascii="Arial" w:cs="Arial" w:eastAsia="Arial" w:hAnsi="Arial"/>
          <w:sz w:val="18"/>
          <w:szCs w:val="18"/>
          <w:color w:val="auto"/>
        </w:rPr>
        <w:t>Marketplace GOV represents the total transactional amount of Marketplace orders processed on our online platform during a period, inclusive of fees, exclusive of taxes, and net of event cancellations. During the three and six months ended June 30, 2025, event cancellations negatively impacted our Marketplace GOV by $20.3 million and $35.8 million, respectively, compared to $21.2 million and $39.4 million during the three and six months ended June 30, 2024, respectively.</w:t>
      </w:r>
    </w:p>
    <w:p>
      <w:pPr>
        <w:spacing w:after="0" w:line="72" w:lineRule="exact"/>
        <w:rPr>
          <w:rFonts w:ascii="Calibri" w:cs="Calibri" w:eastAsia="Calibri" w:hAnsi="Calibri"/>
          <w:sz w:val="18"/>
          <w:szCs w:val="18"/>
          <w:color w:val="auto"/>
        </w:rPr>
      </w:pPr>
    </w:p>
    <w:p>
      <w:pPr>
        <w:jc w:val="both"/>
        <w:ind w:left="460" w:hanging="452"/>
        <w:spacing w:after="0" w:line="242" w:lineRule="auto"/>
        <w:tabs>
          <w:tab w:leader="none" w:pos="460" w:val="left"/>
        </w:tabs>
        <w:numPr>
          <w:ilvl w:val="0"/>
          <w:numId w:val="24"/>
        </w:numPr>
        <w:rPr>
          <w:rFonts w:ascii="Calibri" w:cs="Calibri" w:eastAsia="Calibri" w:hAnsi="Calibri"/>
          <w:sz w:val="18"/>
          <w:szCs w:val="18"/>
          <w:color w:val="auto"/>
        </w:rPr>
      </w:pPr>
      <w:r>
        <w:rPr>
          <w:rFonts w:ascii="Arial" w:cs="Arial" w:eastAsia="Arial" w:hAnsi="Arial"/>
          <w:sz w:val="18"/>
          <w:szCs w:val="18"/>
          <w:color w:val="auto"/>
        </w:rPr>
        <w:t>Marketplace orders represent the total volume of Marketplace segment transactions processed on our online platform during a period, net of event cancellations. During the three and six months ended June 30, 2025, our Marketplace segment experienced 47,845 and 90,198 event cancellations, respectively, compared to 52,392 and 102,441 event cancellations during the three and six months ended June 30, 2024, respectively.</w:t>
      </w:r>
    </w:p>
    <w:p>
      <w:pPr>
        <w:spacing w:after="0" w:line="70" w:lineRule="exact"/>
        <w:rPr>
          <w:rFonts w:ascii="Calibri" w:cs="Calibri" w:eastAsia="Calibri" w:hAnsi="Calibri"/>
          <w:sz w:val="18"/>
          <w:szCs w:val="18"/>
          <w:color w:val="auto"/>
        </w:rPr>
      </w:pPr>
    </w:p>
    <w:p>
      <w:pPr>
        <w:jc w:val="both"/>
        <w:ind w:left="460" w:hanging="452"/>
        <w:spacing w:after="0" w:line="242" w:lineRule="auto"/>
        <w:tabs>
          <w:tab w:leader="none" w:pos="460" w:val="left"/>
        </w:tabs>
        <w:numPr>
          <w:ilvl w:val="0"/>
          <w:numId w:val="24"/>
        </w:numPr>
        <w:rPr>
          <w:rFonts w:ascii="Calibri" w:cs="Calibri" w:eastAsia="Calibri" w:hAnsi="Calibri"/>
          <w:sz w:val="18"/>
          <w:szCs w:val="18"/>
          <w:color w:val="auto"/>
        </w:rPr>
      </w:pPr>
      <w:r>
        <w:rPr>
          <w:rFonts w:ascii="Arial" w:cs="Arial" w:eastAsia="Arial" w:hAnsi="Arial"/>
          <w:sz w:val="18"/>
          <w:szCs w:val="18"/>
          <w:color w:val="auto"/>
        </w:rPr>
        <w:t>Resale orders represent the total volume of Resale segment transactions processed on a given platform (including our own) during a period, net of event cancellations. During the three and six months ended June 30, 2025, our Resale segment experienced 1,276 and 2,161 event cancellations, respectively, compared to 1,211 and 2,083 event cancellations during the three and six months ended June 30, 2024, respectively.</w:t>
      </w:r>
    </w:p>
    <w:p>
      <w:pPr>
        <w:spacing w:after="0" w:line="70" w:lineRule="exact"/>
        <w:rPr>
          <w:rFonts w:ascii="Calibri" w:cs="Calibri" w:eastAsia="Calibri" w:hAnsi="Calibri"/>
          <w:sz w:val="18"/>
          <w:szCs w:val="18"/>
          <w:color w:val="auto"/>
        </w:rPr>
      </w:pPr>
    </w:p>
    <w:p>
      <w:pPr>
        <w:jc w:val="both"/>
        <w:ind w:left="460" w:hanging="452"/>
        <w:spacing w:after="0" w:line="242" w:lineRule="auto"/>
        <w:tabs>
          <w:tab w:leader="none" w:pos="460" w:val="left"/>
        </w:tabs>
        <w:numPr>
          <w:ilvl w:val="0"/>
          <w:numId w:val="24"/>
        </w:numPr>
        <w:rPr>
          <w:rFonts w:ascii="Calibri" w:cs="Calibri" w:eastAsia="Calibri" w:hAnsi="Calibri"/>
          <w:sz w:val="18"/>
          <w:szCs w:val="18"/>
          <w:color w:val="auto"/>
        </w:rPr>
      </w:pPr>
      <w:r>
        <w:rPr>
          <w:rFonts w:ascii="Arial" w:cs="Arial" w:eastAsia="Arial" w:hAnsi="Arial"/>
          <w:sz w:val="18"/>
          <w:szCs w:val="18"/>
          <w:color w:val="auto"/>
        </w:rPr>
        <w:t>Adjusted EBITDA is a non-U.S. GAAP financial measure that we believe provides useful information to investors and others in understanding and evaluating our results of operations and serves as a useful measure for making period-to-period comparisons of our business performance. See the “Adjusted EBITDA” section below for more information, including a reconciliation of adjusted EBITDA to net income (loss), the most directly comparable U.S. GAAP financial measure.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GOV</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GOV is a key driver of Marketplace revenue. Marketplace GOV represents the total transactional amount of Marketplace orders processed on our online platform in a period, inclusive of fees, exclusive of taxes, and net of event cancellations. Marketplace GOV reflects our ability to attract and retain customers and provides insight into the overall health of the industry.</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GOV can be impacted by seasonality. Typically, we experience slightly increased activity in the fourth quarter when all major sports leagues are in season, concert on-sales begin for the following year, and theater event orders increase during the holiday season. Quarterly fluctuations in Marketplace GOV can result from, among other things:</w:t>
      </w:r>
    </w:p>
    <w:p>
      <w:pPr>
        <w:spacing w:after="0" w:line="61"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Event supply;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popularity of and demand for certain artists, sports teams, tours, and events;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concert venue types between stadiums, arenas, and amphitheaters;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length and team composition of sports playoff series and championship games;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Event cancellations.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Marketplace GOV decreased by $312.6 million, or 31%, during the three months ended June 30, 2025 compared to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2024 and decreased by $520.7 million, or 26%, during the six months ended June 30, 2025 compared to the six months ended</w:t>
      </w:r>
    </w:p>
    <w:p>
      <w:pPr>
        <w:spacing w:after="0"/>
        <w:rPr>
          <w:sz w:val="20"/>
          <w:szCs w:val="20"/>
          <w:color w:val="auto"/>
        </w:rPr>
      </w:pPr>
      <w:r>
        <w:rPr>
          <w:rFonts w:ascii="Arial" w:cs="Arial" w:eastAsia="Arial" w:hAnsi="Arial"/>
          <w:sz w:val="18"/>
          <w:szCs w:val="18"/>
          <w:color w:val="auto"/>
        </w:rPr>
        <w:t>June 30, 2024. The decrease resulted primarily from lower order volumes in our Marketplace segment.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Orders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orders represent the volume of Marketplace-related transactions processed on our online platform in a period, net of event cancellations. A Marketplace order can include one or more tickets, hotel rooms, or parking passes. Marketplace orders allow us to monitor transaction volume and better identify trends within our Marketplace segment.</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orders decreased by 0.9 million, or 30%, during the three months ended June 30, 2025 compared to the three months ended June 30, 2024 and decreased by 1.5 million, or 25%, during the six months ended June 30, 2025 compared to the six months ended June 30, 2024. The decrease resulted primarily from lower activity in our Marketplace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Orders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Resale orders represent the volume of Resale-related transactions processed on a given platform (including our own) in a period, net of event cancellations. A Resale order can include one or more tickets or parking passes. Resale orders allow us to monitor transaction volume and better identify trends within our Resale segment.</w:t>
      </w:r>
    </w:p>
    <w:p>
      <w:pPr>
        <w:spacing w:after="0" w:line="6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Resale orders decreased by less than 0.1 million, or 4%, during the three months ended June 30, 2025 compared to the three months ended June 30, 2024. The decrease resulted primarily from lower activity in our Resale segment. Resale orders increased by less than 0.1 million, or 1%, during the six months ended June 30, 2025 compared to the six months ended June 30, 2024.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present adjusted EBITDA, which is a non-U.S. GAAP financial measure, because it is a key measure used by analysts, investors, and others to evaluate companies in our industry. Adjusted EBITDA is also used by management to make operating decisions, including those related to analyzing operating expenses, evaluating performance, and performing strategic planning and annual budgeting.</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adjusted EBITDA is a useful measure for understanding, evaluating, and highlighting trends in our operating results and for making period-to-period comparisons of our business performance because it excludes the impact of items that are outside of our control and/or not reflective of ongoing performance related directly to the operation of our business.</w:t>
      </w:r>
    </w:p>
    <w:p>
      <w:pPr>
        <w:spacing w:after="0" w:line="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Adjusted EBITDA is not based on any comprehensive set of accounting rules or principles and should not be considered a substitute for, or superior to, financial measures calculated in accordance with U.S. GAAP. Adjusted EBITDA does not reflect all amounts associated with our operating results as determined in accordance with U.S. GAAP and specifically excludes certain recurring costs such as income tax expense, interest expense – net, depreciation and amortization, sales tax liabilities, transaction costs, equity-based compensation, litigation, settlements, and related costs, change in fair value of warrants, loss on asset disposals, change in fair value of derivative asset, foreign currency loss (gain) – net, loss on extinguishment of debt, adjustment of liabilities under our TRA (as defined herein), impairment charges, and severance compensation. In addition, other companies may calculate adjusted EBITDA differently than we do, thereby limiting its usefulness as a comparative tool. We compensate for these limitations by providing specific information regarding the U.S. GAAP amounts that are excluded from our presentation of adjusted EBITDA.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ind w:right="20"/>
        <w:spacing w:after="0" w:line="271" w:lineRule="auto"/>
        <w:rPr>
          <w:sz w:val="20"/>
          <w:szCs w:val="20"/>
          <w:color w:val="auto"/>
        </w:rPr>
      </w:pPr>
      <w:r>
        <w:rPr>
          <w:rFonts w:ascii="Arial" w:cs="Arial" w:eastAsia="Arial" w:hAnsi="Arial"/>
          <w:sz w:val="18"/>
          <w:szCs w:val="18"/>
          <w:color w:val="auto"/>
        </w:rPr>
        <w:t>The following table presents a reconciliation of adjusted EBITDA to net income (loss), the most directly comparable U.S. GAAP financial measure, for the three and six months ended June 30, 2025 and 2024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6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r>
      <w:tr>
        <w:trPr>
          <w:trHeight w:val="155"/>
        </w:trPr>
        <w:tc>
          <w:tcPr>
            <w:tcW w:w="56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16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b w:val="1"/>
                <w:bCs w:val="1"/>
                <w:color w:val="auto"/>
              </w:rPr>
              <w:t>(263,327)</w:t>
            </w:r>
          </w:p>
        </w:tc>
        <w:tc>
          <w:tcPr>
            <w:tcW w:w="36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(1,221)</w:t>
            </w:r>
          </w:p>
        </w:tc>
        <w:tc>
          <w:tcPr>
            <w:tcW w:w="340" w:type="dxa"/>
            <w:vAlign w:val="bottom"/>
            <w:gridSpan w:val="2"/>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(273,115)</w:t>
            </w:r>
          </w:p>
        </w:tc>
        <w:tc>
          <w:tcPr>
            <w:tcW w:w="36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9,518</w:t>
            </w:r>
          </w:p>
        </w:tc>
        <w:tc>
          <w:tcPr>
            <w:tcW w:w="120" w:type="dxa"/>
            <w:vAlign w:val="bottom"/>
            <w:shd w:val="clear" w:color="auto" w:fill="CFF0FC"/>
          </w:tcPr>
          <w:p>
            <w:pPr>
              <w:spacing w:after="0"/>
              <w:rPr>
                <w:sz w:val="13"/>
                <w:szCs w:val="13"/>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Adjustments to reconcile net income (loss) to adjusted EBITDA:</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600" w:type="dxa"/>
            <w:vAlign w:val="bottom"/>
            <w:shd w:val="clear" w:color="auto" w:fill="CFF0FC"/>
          </w:tcPr>
          <w:p>
            <w:pPr>
              <w:ind w:left="40"/>
              <w:spacing w:after="0"/>
              <w:rPr>
                <w:sz w:val="20"/>
                <w:szCs w:val="20"/>
                <w:color w:val="auto"/>
              </w:rPr>
            </w:pPr>
            <w:r>
              <w:rPr>
                <w:rFonts w:ascii="Arial" w:cs="Arial" w:eastAsia="Arial" w:hAnsi="Arial"/>
                <w:sz w:val="14"/>
                <w:szCs w:val="14"/>
                <w:color w:val="auto"/>
              </w:rPr>
              <w:t>Income tax expense</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76,165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79,320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2,846</w:t>
            </w:r>
          </w:p>
        </w:tc>
        <w:tc>
          <w:tcPr>
            <w:tcW w:w="120" w:type="dxa"/>
            <w:vAlign w:val="bottom"/>
            <w:shd w:val="clear" w:color="auto" w:fill="CFF0FC"/>
          </w:tcPr>
          <w:p>
            <w:pPr>
              <w:spacing w:after="0"/>
              <w:rPr>
                <w:sz w:val="14"/>
                <w:szCs w:val="14"/>
                <w:color w:val="auto"/>
              </w:rPr>
            </w:pPr>
          </w:p>
        </w:tc>
      </w:tr>
      <w:tr>
        <w:trPr>
          <w:trHeight w:val="162"/>
        </w:trPr>
        <w:tc>
          <w:tcPr>
            <w:tcW w:w="5600" w:type="dxa"/>
            <w:vAlign w:val="bottom"/>
          </w:tcPr>
          <w:p>
            <w:pPr>
              <w:ind w:left="40"/>
              <w:spacing w:after="0"/>
              <w:rPr>
                <w:sz w:val="20"/>
                <w:szCs w:val="20"/>
                <w:color w:val="auto"/>
              </w:rPr>
            </w:pPr>
            <w:r>
              <w:rPr>
                <w:rFonts w:ascii="Arial" w:cs="Arial" w:eastAsia="Arial" w:hAnsi="Arial"/>
                <w:sz w:val="14"/>
                <w:szCs w:val="14"/>
                <w:color w:val="auto"/>
              </w:rPr>
              <w:t>Interest expense – net</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5,324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11,299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10,406</w:t>
            </w:r>
          </w:p>
        </w:tc>
        <w:tc>
          <w:tcPr>
            <w:tcW w:w="120" w:type="dxa"/>
            <w:vAlign w:val="bottom"/>
          </w:tcPr>
          <w:p>
            <w:pPr>
              <w:spacing w:after="0"/>
              <w:rPr>
                <w:sz w:val="14"/>
                <w:szCs w:val="14"/>
                <w:color w:val="auto"/>
              </w:rPr>
            </w:pPr>
          </w:p>
        </w:tc>
      </w:tr>
      <w:tr>
        <w:trPr>
          <w:trHeight w:val="162"/>
        </w:trPr>
        <w:tc>
          <w:tcPr>
            <w:tcW w:w="5600" w:type="dxa"/>
            <w:vAlign w:val="bottom"/>
            <w:shd w:val="clear" w:color="auto" w:fill="CFF0FC"/>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12,341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10,502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23,966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20,985</w:t>
            </w:r>
          </w:p>
        </w:tc>
        <w:tc>
          <w:tcPr>
            <w:tcW w:w="120" w:type="dxa"/>
            <w:vAlign w:val="bottom"/>
            <w:shd w:val="clear" w:color="auto" w:fill="CFF0FC"/>
          </w:tcPr>
          <w:p>
            <w:pPr>
              <w:spacing w:after="0"/>
              <w:rPr>
                <w:sz w:val="14"/>
                <w:szCs w:val="14"/>
                <w:color w:val="auto"/>
              </w:rPr>
            </w:pPr>
          </w:p>
        </w:tc>
      </w:tr>
      <w:tr>
        <w:trPr>
          <w:trHeight w:val="162"/>
        </w:trPr>
        <w:tc>
          <w:tcPr>
            <w:tcW w:w="5600" w:type="dxa"/>
            <w:vAlign w:val="bottom"/>
          </w:tcPr>
          <w:p>
            <w:pPr>
              <w:ind w:left="40"/>
              <w:spacing w:after="0" w:line="162" w:lineRule="exact"/>
              <w:rPr>
                <w:sz w:val="20"/>
                <w:szCs w:val="20"/>
                <w:color w:val="auto"/>
              </w:rPr>
            </w:pPr>
            <w:r>
              <w:rPr>
                <w:rFonts w:ascii="Arial" w:cs="Arial" w:eastAsia="Arial" w:hAnsi="Arial"/>
                <w:sz w:val="14"/>
                <w:szCs w:val="14"/>
                <w:color w:val="auto"/>
              </w:rPr>
              <w:t>Sales tax liability</w:t>
            </w:r>
            <w:r>
              <w:rPr>
                <w:rFonts w:ascii="Arial" w:cs="Arial" w:eastAsia="Arial" w:hAnsi="Arial"/>
                <w:sz w:val="18"/>
                <w:szCs w:val="18"/>
                <w:color w:val="auto"/>
                <w:vertAlign w:val="superscript"/>
              </w:rPr>
              <w:t>(1)</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(1,360)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2,088</w:t>
            </w:r>
          </w:p>
        </w:tc>
        <w:tc>
          <w:tcPr>
            <w:tcW w:w="120" w:type="dxa"/>
            <w:vAlign w:val="bottom"/>
          </w:tcPr>
          <w:p>
            <w:pPr>
              <w:spacing w:after="0"/>
              <w:rPr>
                <w:sz w:val="14"/>
                <w:szCs w:val="14"/>
                <w:color w:val="auto"/>
              </w:rPr>
            </w:pPr>
          </w:p>
        </w:tc>
      </w:tr>
      <w:tr>
        <w:trPr>
          <w:trHeight w:val="162"/>
        </w:trPr>
        <w:tc>
          <w:tcPr>
            <w:tcW w:w="5600" w:type="dxa"/>
            <w:vAlign w:val="bottom"/>
            <w:shd w:val="clear" w:color="auto" w:fill="CFF0FC"/>
          </w:tcPr>
          <w:p>
            <w:pPr>
              <w:ind w:left="40"/>
              <w:spacing w:after="0" w:line="162" w:lineRule="exact"/>
              <w:rPr>
                <w:sz w:val="20"/>
                <w:szCs w:val="20"/>
                <w:color w:val="auto"/>
              </w:rPr>
            </w:pPr>
            <w:r>
              <w:rPr>
                <w:rFonts w:ascii="Arial" w:cs="Arial" w:eastAsia="Arial" w:hAnsi="Arial"/>
                <w:sz w:val="14"/>
                <w:szCs w:val="14"/>
                <w:color w:val="auto"/>
              </w:rPr>
              <w:t>Transaction costs</w:t>
            </w:r>
            <w:r>
              <w:rPr>
                <w:rFonts w:ascii="Arial" w:cs="Arial" w:eastAsia="Arial" w:hAnsi="Arial"/>
                <w:sz w:val="18"/>
                <w:szCs w:val="18"/>
                <w:color w:val="auto"/>
                <w:vertAlign w:val="superscript"/>
              </w:rPr>
              <w:t>(2)</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7,881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5,406</w:t>
            </w:r>
          </w:p>
        </w:tc>
        <w:tc>
          <w:tcPr>
            <w:tcW w:w="120" w:type="dxa"/>
            <w:vAlign w:val="bottom"/>
            <w:shd w:val="clear" w:color="auto" w:fill="CFF0FC"/>
          </w:tcPr>
          <w:p>
            <w:pPr>
              <w:spacing w:after="0"/>
              <w:rPr>
                <w:sz w:val="14"/>
                <w:szCs w:val="14"/>
                <w:color w:val="auto"/>
              </w:rPr>
            </w:pPr>
          </w:p>
        </w:tc>
      </w:tr>
      <w:tr>
        <w:trPr>
          <w:trHeight w:val="162"/>
        </w:trPr>
        <w:tc>
          <w:tcPr>
            <w:tcW w:w="5600" w:type="dxa"/>
            <w:vAlign w:val="bottom"/>
          </w:tcPr>
          <w:p>
            <w:pPr>
              <w:ind w:left="40"/>
              <w:spacing w:after="0" w:line="162" w:lineRule="exact"/>
              <w:rPr>
                <w:sz w:val="20"/>
                <w:szCs w:val="20"/>
                <w:color w:val="auto"/>
              </w:rPr>
            </w:pPr>
            <w:r>
              <w:rPr>
                <w:rFonts w:ascii="Arial" w:cs="Arial" w:eastAsia="Arial" w:hAnsi="Arial"/>
                <w:sz w:val="14"/>
                <w:szCs w:val="14"/>
                <w:color w:val="auto"/>
              </w:rPr>
              <w:t>Equity-based compensation</w:t>
            </w:r>
            <w:r>
              <w:rPr>
                <w:rFonts w:ascii="Arial" w:cs="Arial" w:eastAsia="Arial" w:hAnsi="Arial"/>
                <w:sz w:val="18"/>
                <w:szCs w:val="18"/>
                <w:color w:val="auto"/>
                <w:vertAlign w:val="superscript"/>
              </w:rPr>
              <w:t>(3)</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11,652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19,112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22,403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27,600</w:t>
            </w:r>
          </w:p>
        </w:tc>
        <w:tc>
          <w:tcPr>
            <w:tcW w:w="120" w:type="dxa"/>
            <w:vAlign w:val="bottom"/>
          </w:tcPr>
          <w:p>
            <w:pPr>
              <w:spacing w:after="0"/>
              <w:rPr>
                <w:sz w:val="14"/>
                <w:szCs w:val="14"/>
                <w:color w:val="auto"/>
              </w:rPr>
            </w:pPr>
          </w:p>
        </w:tc>
      </w:tr>
      <w:tr>
        <w:trPr>
          <w:trHeight w:val="162"/>
        </w:trPr>
        <w:tc>
          <w:tcPr>
            <w:tcW w:w="5600" w:type="dxa"/>
            <w:vAlign w:val="bottom"/>
            <w:shd w:val="clear" w:color="auto" w:fill="CFF0FC"/>
          </w:tcPr>
          <w:p>
            <w:pPr>
              <w:ind w:left="40"/>
              <w:spacing w:after="0" w:line="162" w:lineRule="exact"/>
              <w:rPr>
                <w:sz w:val="20"/>
                <w:szCs w:val="20"/>
                <w:color w:val="auto"/>
              </w:rPr>
            </w:pPr>
            <w:r>
              <w:rPr>
                <w:rFonts w:ascii="Arial" w:cs="Arial" w:eastAsia="Arial" w:hAnsi="Arial"/>
                <w:sz w:val="14"/>
                <w:szCs w:val="14"/>
                <w:color w:val="auto"/>
              </w:rPr>
              <w:t>Litigation, settlements, and related costs</w:t>
            </w:r>
            <w:r>
              <w:rPr>
                <w:rFonts w:ascii="Arial" w:cs="Arial" w:eastAsia="Arial" w:hAnsi="Arial"/>
                <w:sz w:val="18"/>
                <w:szCs w:val="18"/>
                <w:color w:val="auto"/>
                <w:vertAlign w:val="superscript"/>
              </w:rPr>
              <w:t>(4)</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4"/>
                <w:szCs w:val="14"/>
                <w:color w:val="auto"/>
              </w:rPr>
            </w:pPr>
          </w:p>
        </w:tc>
      </w:tr>
      <w:tr>
        <w:trPr>
          <w:trHeight w:val="162"/>
        </w:trPr>
        <w:tc>
          <w:tcPr>
            <w:tcW w:w="5600" w:type="dxa"/>
            <w:vAlign w:val="bottom"/>
          </w:tcPr>
          <w:p>
            <w:pPr>
              <w:ind w:left="40"/>
              <w:spacing w:after="0" w:line="162" w:lineRule="exact"/>
              <w:rPr>
                <w:sz w:val="20"/>
                <w:szCs w:val="20"/>
                <w:color w:val="auto"/>
              </w:rPr>
            </w:pPr>
            <w:r>
              <w:rPr>
                <w:rFonts w:ascii="Arial" w:cs="Arial" w:eastAsia="Arial" w:hAnsi="Arial"/>
                <w:sz w:val="14"/>
                <w:szCs w:val="14"/>
                <w:color w:val="auto"/>
              </w:rPr>
              <w:t>Change in fair value of warrants</w:t>
            </w:r>
            <w:r>
              <w:rPr>
                <w:rFonts w:ascii="Arial" w:cs="Arial" w:eastAsia="Arial" w:hAnsi="Arial"/>
                <w:sz w:val="18"/>
                <w:szCs w:val="18"/>
                <w:color w:val="auto"/>
                <w:vertAlign w:val="superscript"/>
              </w:rPr>
              <w:t>(5)</w:t>
            </w:r>
          </w:p>
        </w:tc>
        <w:tc>
          <w:tcPr>
            <w:tcW w:w="1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(1,734)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(1,301)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(4,849)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(1,761)</w:t>
            </w:r>
          </w:p>
        </w:tc>
      </w:tr>
      <w:tr>
        <w:trPr>
          <w:trHeight w:val="162"/>
        </w:trPr>
        <w:tc>
          <w:tcPr>
            <w:tcW w:w="5600" w:type="dxa"/>
            <w:vAlign w:val="bottom"/>
            <w:shd w:val="clear" w:color="auto" w:fill="CFF0FC"/>
          </w:tcPr>
          <w:p>
            <w:pPr>
              <w:ind w:left="40"/>
              <w:spacing w:after="0" w:line="162" w:lineRule="exact"/>
              <w:rPr>
                <w:sz w:val="20"/>
                <w:szCs w:val="20"/>
                <w:color w:val="auto"/>
              </w:rPr>
            </w:pPr>
            <w:r>
              <w:rPr>
                <w:rFonts w:ascii="Arial" w:cs="Arial" w:eastAsia="Arial" w:hAnsi="Arial"/>
                <w:sz w:val="14"/>
                <w:szCs w:val="14"/>
                <w:color w:val="auto"/>
              </w:rPr>
              <w:t>Loss on asset disposals</w:t>
            </w:r>
            <w:r>
              <w:rPr>
                <w:rFonts w:ascii="Arial" w:cs="Arial" w:eastAsia="Arial" w:hAnsi="Arial"/>
                <w:sz w:val="18"/>
                <w:szCs w:val="18"/>
                <w:color w:val="auto"/>
                <w:vertAlign w:val="superscript"/>
              </w:rPr>
              <w:t>(6)</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FF0FC"/>
          </w:tcPr>
          <w:p>
            <w:pPr>
              <w:spacing w:after="0"/>
              <w:rPr>
                <w:sz w:val="14"/>
                <w:szCs w:val="14"/>
                <w:color w:val="auto"/>
              </w:rPr>
            </w:pPr>
          </w:p>
        </w:tc>
      </w:tr>
      <w:tr>
        <w:trPr>
          <w:trHeight w:val="162"/>
        </w:trPr>
        <w:tc>
          <w:tcPr>
            <w:tcW w:w="5600" w:type="dxa"/>
            <w:vAlign w:val="bottom"/>
          </w:tcPr>
          <w:p>
            <w:pPr>
              <w:ind w:left="40"/>
              <w:spacing w:after="0" w:line="162" w:lineRule="exact"/>
              <w:rPr>
                <w:sz w:val="20"/>
                <w:szCs w:val="20"/>
                <w:color w:val="auto"/>
              </w:rPr>
            </w:pPr>
            <w:r>
              <w:rPr>
                <w:rFonts w:ascii="Arial" w:cs="Arial" w:eastAsia="Arial" w:hAnsi="Arial"/>
                <w:sz w:val="14"/>
                <w:szCs w:val="14"/>
                <w:color w:val="auto"/>
              </w:rPr>
              <w:t>Change in fair value of derivative asset</w:t>
            </w:r>
            <w:r>
              <w:rPr>
                <w:rFonts w:ascii="Arial" w:cs="Arial" w:eastAsia="Arial" w:hAnsi="Arial"/>
                <w:sz w:val="18"/>
                <w:szCs w:val="18"/>
                <w:color w:val="auto"/>
                <w:vertAlign w:val="superscript"/>
              </w:rPr>
              <w:t>(7)</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4"/>
                <w:szCs w:val="14"/>
                <w:color w:val="auto"/>
              </w:rPr>
            </w:pPr>
          </w:p>
        </w:tc>
      </w:tr>
      <w:tr>
        <w:trPr>
          <w:trHeight w:val="162"/>
        </w:trPr>
        <w:tc>
          <w:tcPr>
            <w:tcW w:w="5600" w:type="dxa"/>
            <w:vAlign w:val="bottom"/>
            <w:shd w:val="clear" w:color="auto" w:fill="CFF0FC"/>
          </w:tcPr>
          <w:p>
            <w:pPr>
              <w:ind w:left="40"/>
              <w:spacing w:after="0" w:line="162" w:lineRule="exact"/>
              <w:rPr>
                <w:sz w:val="20"/>
                <w:szCs w:val="20"/>
                <w:color w:val="auto"/>
              </w:rPr>
            </w:pPr>
            <w:r>
              <w:rPr>
                <w:rFonts w:ascii="Arial" w:cs="Arial" w:eastAsia="Arial" w:hAnsi="Arial"/>
                <w:sz w:val="14"/>
                <w:szCs w:val="14"/>
                <w:color w:val="auto"/>
              </w:rPr>
              <w:t>Foreign currency loss (gain) – net</w:t>
            </w:r>
            <w:r>
              <w:rPr>
                <w:rFonts w:ascii="Arial" w:cs="Arial" w:eastAsia="Arial" w:hAnsi="Arial"/>
                <w:sz w:val="18"/>
                <w:szCs w:val="18"/>
                <w:color w:val="auto"/>
                <w:vertAlign w:val="superscript"/>
              </w:rPr>
              <w:t>(8)</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(1,533)</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(3,574)</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5,798</w:t>
            </w:r>
          </w:p>
        </w:tc>
        <w:tc>
          <w:tcPr>
            <w:tcW w:w="120" w:type="dxa"/>
            <w:vAlign w:val="bottom"/>
            <w:shd w:val="clear" w:color="auto" w:fill="CFF0FC"/>
          </w:tcPr>
          <w:p>
            <w:pPr>
              <w:spacing w:after="0"/>
              <w:rPr>
                <w:sz w:val="14"/>
                <w:szCs w:val="14"/>
                <w:color w:val="auto"/>
              </w:rPr>
            </w:pPr>
          </w:p>
        </w:tc>
      </w:tr>
      <w:tr>
        <w:trPr>
          <w:trHeight w:val="162"/>
        </w:trPr>
        <w:tc>
          <w:tcPr>
            <w:tcW w:w="5600" w:type="dxa"/>
            <w:vAlign w:val="bottom"/>
          </w:tcPr>
          <w:p>
            <w:pPr>
              <w:ind w:left="40"/>
              <w:spacing w:after="0" w:line="162" w:lineRule="exact"/>
              <w:rPr>
                <w:sz w:val="20"/>
                <w:szCs w:val="20"/>
                <w:color w:val="auto"/>
              </w:rPr>
            </w:pPr>
            <w:r>
              <w:rPr>
                <w:rFonts w:ascii="Arial" w:cs="Arial" w:eastAsia="Arial" w:hAnsi="Arial"/>
                <w:sz w:val="14"/>
                <w:szCs w:val="14"/>
                <w:color w:val="auto"/>
              </w:rPr>
              <w:t>Loss on extinguishment of debt</w:t>
            </w:r>
            <w:r>
              <w:rPr>
                <w:rFonts w:ascii="Arial" w:cs="Arial" w:eastAsia="Arial" w:hAnsi="Arial"/>
                <w:sz w:val="18"/>
                <w:szCs w:val="18"/>
                <w:color w:val="auto"/>
                <w:vertAlign w:val="superscript"/>
              </w:rPr>
              <w:t>(9)</w:t>
            </w:r>
          </w:p>
        </w:tc>
        <w:tc>
          <w:tcPr>
            <w:tcW w:w="1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5600" w:type="dxa"/>
            <w:vAlign w:val="bottom"/>
            <w:shd w:val="clear" w:color="auto" w:fill="CFF0FC"/>
          </w:tcPr>
          <w:p>
            <w:pPr>
              <w:ind w:left="40"/>
              <w:spacing w:after="0" w:line="162" w:lineRule="exact"/>
              <w:rPr>
                <w:sz w:val="20"/>
                <w:szCs w:val="20"/>
                <w:color w:val="auto"/>
              </w:rPr>
            </w:pPr>
            <w:r>
              <w:rPr>
                <w:rFonts w:ascii="Arial" w:cs="Arial" w:eastAsia="Arial" w:hAnsi="Arial"/>
                <w:sz w:val="14"/>
                <w:szCs w:val="14"/>
                <w:color w:val="auto"/>
              </w:rPr>
              <w:t>Adjustment of liabilities under TRA</w:t>
            </w:r>
            <w:r>
              <w:rPr>
                <w:rFonts w:ascii="Arial" w:cs="Arial" w:eastAsia="Arial" w:hAnsi="Arial"/>
                <w:sz w:val="18"/>
                <w:szCs w:val="18"/>
                <w:color w:val="auto"/>
                <w:vertAlign w:val="superscript"/>
              </w:rPr>
              <w:t>(10)</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(149,172)</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(149,172)</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5600" w:type="dxa"/>
            <w:vAlign w:val="bottom"/>
          </w:tcPr>
          <w:p>
            <w:pPr>
              <w:ind w:left="40"/>
              <w:spacing w:after="0" w:line="162" w:lineRule="exact"/>
              <w:rPr>
                <w:sz w:val="20"/>
                <w:szCs w:val="20"/>
                <w:color w:val="auto"/>
              </w:rPr>
            </w:pPr>
            <w:r>
              <w:rPr>
                <w:rFonts w:ascii="Arial" w:cs="Arial" w:eastAsia="Arial" w:hAnsi="Arial"/>
                <w:sz w:val="14"/>
                <w:szCs w:val="14"/>
                <w:color w:val="auto"/>
              </w:rPr>
              <w:t>Impairment charges</w:t>
            </w:r>
            <w:r>
              <w:rPr>
                <w:rFonts w:ascii="Arial" w:cs="Arial" w:eastAsia="Arial" w:hAnsi="Arial"/>
                <w:sz w:val="18"/>
                <w:szCs w:val="18"/>
                <w:color w:val="auto"/>
                <w:vertAlign w:val="superscript"/>
              </w:rPr>
              <w:t>(11)</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320,449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320,449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5600" w:type="dxa"/>
            <w:vAlign w:val="bottom"/>
            <w:shd w:val="clear" w:color="auto" w:fill="CFF0FC"/>
          </w:tcPr>
          <w:p>
            <w:pPr>
              <w:ind w:left="40"/>
              <w:spacing w:after="0" w:line="162" w:lineRule="exact"/>
              <w:rPr>
                <w:sz w:val="20"/>
                <w:szCs w:val="20"/>
                <w:color w:val="auto"/>
              </w:rPr>
            </w:pPr>
            <w:r>
              <w:rPr>
                <w:rFonts w:ascii="Arial" w:cs="Arial" w:eastAsia="Arial" w:hAnsi="Arial"/>
                <w:sz w:val="14"/>
                <w:szCs w:val="14"/>
                <w:color w:val="auto"/>
              </w:rPr>
              <w:t>Severance compensation</w:t>
            </w:r>
            <w:r>
              <w:rPr>
                <w:rFonts w:ascii="Arial" w:cs="Arial" w:eastAsia="Arial" w:hAnsi="Arial"/>
                <w:sz w:val="18"/>
                <w:szCs w:val="18"/>
                <w:color w:val="auto"/>
                <w:vertAlign w:val="superscript"/>
              </w:rPr>
              <w:t>(12)</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55"/>
        </w:trPr>
        <w:tc>
          <w:tcPr>
            <w:tcW w:w="560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Adjusted EBITDA</w:t>
            </w: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14,356</w:t>
            </w: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CFF0FC"/>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44,178</w:t>
            </w:r>
          </w:p>
        </w:tc>
        <w:tc>
          <w:tcPr>
            <w:tcW w:w="160" w:type="dxa"/>
            <w:vAlign w:val="bottom"/>
            <w:tcBorders>
              <w:top w:val="single" w:sz="8" w:color="CFF0FC"/>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36,077</w:t>
            </w:r>
          </w:p>
        </w:tc>
        <w:tc>
          <w:tcPr>
            <w:tcW w:w="160" w:type="dxa"/>
            <w:vAlign w:val="bottom"/>
            <w:tcBorders>
              <w:top w:val="single" w:sz="8" w:color="CFF0FC"/>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83,096</w:t>
            </w:r>
          </w:p>
        </w:tc>
        <w:tc>
          <w:tcPr>
            <w:tcW w:w="120" w:type="dxa"/>
            <w:vAlign w:val="bottom"/>
            <w:tcBorders>
              <w:top w:val="single" w:sz="8" w:color="CFF0FC"/>
            </w:tcBorders>
          </w:tcPr>
          <w:p>
            <w:pPr>
              <w:spacing w:after="0"/>
              <w:rPr>
                <w:sz w:val="13"/>
                <w:szCs w:val="13"/>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-136525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-136525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-136525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jc w:val="both"/>
        <w:ind w:left="460" w:hanging="452"/>
        <w:spacing w:after="0" w:line="242" w:lineRule="auto"/>
        <w:tabs>
          <w:tab w:leader="none" w:pos="460" w:val="left"/>
        </w:tabs>
        <w:numPr>
          <w:ilvl w:val="0"/>
          <w:numId w:val="27"/>
        </w:numPr>
        <w:rPr>
          <w:rFonts w:ascii="Calibri" w:cs="Calibri" w:eastAsia="Calibri" w:hAnsi="Calibri"/>
          <w:sz w:val="18"/>
          <w:szCs w:val="18"/>
          <w:color w:val="auto"/>
        </w:rPr>
      </w:pPr>
      <w:r>
        <w:rPr>
          <w:rFonts w:ascii="Arial" w:cs="Arial" w:eastAsia="Arial" w:hAnsi="Arial"/>
          <w:sz w:val="18"/>
          <w:szCs w:val="18"/>
          <w:color w:val="auto"/>
        </w:rPr>
        <w:t>During the periods presented, we accrued for additional uncollected indirect tax liabilities in jurisdictions where we expect to remit payment to U.S. and foreign governmental tax authorities before all required amounts are collected from the customer. We also received abatements and recognized other reductions to the balance of the liability related to uncollected indirect taxes (including sales taxes).</w:t>
      </w:r>
    </w:p>
    <w:p>
      <w:pPr>
        <w:spacing w:after="0" w:line="70" w:lineRule="exact"/>
        <w:rPr>
          <w:rFonts w:ascii="Calibri" w:cs="Calibri" w:eastAsia="Calibri" w:hAnsi="Calibri"/>
          <w:sz w:val="18"/>
          <w:szCs w:val="18"/>
          <w:color w:val="auto"/>
        </w:rPr>
      </w:pPr>
    </w:p>
    <w:p>
      <w:pPr>
        <w:jc w:val="both"/>
        <w:ind w:left="460" w:hanging="452"/>
        <w:spacing w:after="0" w:line="238" w:lineRule="auto"/>
        <w:tabs>
          <w:tab w:leader="none" w:pos="460" w:val="left"/>
        </w:tabs>
        <w:numPr>
          <w:ilvl w:val="0"/>
          <w:numId w:val="27"/>
        </w:numPr>
        <w:rPr>
          <w:rFonts w:ascii="Calibri" w:cs="Calibri" w:eastAsia="Calibri" w:hAnsi="Calibri"/>
          <w:sz w:val="18"/>
          <w:szCs w:val="18"/>
          <w:color w:val="auto"/>
        </w:rPr>
      </w:pPr>
      <w:r>
        <w:rPr>
          <w:rFonts w:ascii="Arial" w:cs="Arial" w:eastAsia="Arial" w:hAnsi="Arial"/>
          <w:sz w:val="18"/>
          <w:szCs w:val="18"/>
          <w:color w:val="auto"/>
        </w:rPr>
        <w:t>Consists of: (i) legal, accounting, tax, and other professional fees; (ii) personnel costs related to retention bonuses; (iii) integration costs; and (iv) other transaction-related expenses, none of which are considered indicative of our core operating performance. Costs in the three and six months ended June 30, 2025 primarily related to potential strategic transactions that were explored during the period, the refinancing of the 2024 First Lien Loan with the 2025 First Lien Loan (each as defined herein), repurchases of our Class A common stock, and various strategic investments. Costs in the three and six months ended June 30, 2024 primarily related to the refinancing of the 2022 First Lien Loan with the 2024 First Lien Loan (each as defined herein), repurchases of our Class A common stock, acquisitions, and various strategic investments.</w:t>
      </w:r>
    </w:p>
    <w:p>
      <w:pPr>
        <w:spacing w:after="0" w:line="76" w:lineRule="exact"/>
        <w:rPr>
          <w:rFonts w:ascii="Calibri" w:cs="Calibri" w:eastAsia="Calibri" w:hAnsi="Calibri"/>
          <w:sz w:val="18"/>
          <w:szCs w:val="18"/>
          <w:color w:val="auto"/>
        </w:rPr>
      </w:pPr>
    </w:p>
    <w:p>
      <w:pPr>
        <w:jc w:val="both"/>
        <w:ind w:left="460" w:hanging="452"/>
        <w:spacing w:after="0"/>
        <w:tabs>
          <w:tab w:leader="none" w:pos="460" w:val="left"/>
        </w:tabs>
        <w:numPr>
          <w:ilvl w:val="0"/>
          <w:numId w:val="27"/>
        </w:numPr>
        <w:rPr>
          <w:rFonts w:ascii="Calibri" w:cs="Calibri" w:eastAsia="Calibri" w:hAnsi="Calibri"/>
          <w:sz w:val="18"/>
          <w:szCs w:val="18"/>
          <w:color w:val="auto"/>
        </w:rPr>
      </w:pPr>
      <w:r>
        <w:rPr>
          <w:rFonts w:ascii="Arial" w:cs="Arial" w:eastAsia="Arial" w:hAnsi="Arial"/>
          <w:sz w:val="18"/>
          <w:szCs w:val="18"/>
          <w:color w:val="auto"/>
        </w:rPr>
        <w:t>Costs in the three and six months ended June 30, 2025 primarily related to equity granted pursuant to our 2021 Incentive Award Plan (as amended, the “2021 Plan”), which is not considered indicative of our core operating performance. Costs in the three and six months ended June 30, 2024 primarily related to equity granted pursuant to the 2021 Plan and profits interests issued prior to the October 2021 transaction pursuant to which Horizon Acquisition Corporation merged with and into us (the “Merger Transaction”), neither of which are considered indicative of our core operating performance.</w:t>
      </w:r>
    </w:p>
    <w:p>
      <w:pPr>
        <w:spacing w:after="0" w:line="72" w:lineRule="exact"/>
        <w:rPr>
          <w:rFonts w:ascii="Calibri" w:cs="Calibri" w:eastAsia="Calibri" w:hAnsi="Calibri"/>
          <w:sz w:val="18"/>
          <w:szCs w:val="18"/>
          <w:color w:val="auto"/>
        </w:rPr>
      </w:pPr>
    </w:p>
    <w:p>
      <w:pPr>
        <w:ind w:left="460" w:hanging="452"/>
        <w:spacing w:after="0" w:line="256" w:lineRule="auto"/>
        <w:tabs>
          <w:tab w:leader="none" w:pos="460" w:val="left"/>
        </w:tabs>
        <w:numPr>
          <w:ilvl w:val="0"/>
          <w:numId w:val="27"/>
        </w:numPr>
        <w:rPr>
          <w:rFonts w:ascii="Calibri" w:cs="Calibri" w:eastAsia="Calibri" w:hAnsi="Calibri"/>
          <w:sz w:val="18"/>
          <w:szCs w:val="18"/>
          <w:color w:val="auto"/>
        </w:rPr>
      </w:pPr>
      <w:r>
        <w:rPr>
          <w:rFonts w:ascii="Arial" w:cs="Arial" w:eastAsia="Arial" w:hAnsi="Arial"/>
          <w:sz w:val="18"/>
          <w:szCs w:val="18"/>
          <w:color w:val="auto"/>
        </w:rPr>
        <w:t>Relates to external legal costs, settlement costs, and insurance recoveries, none of which are considered indicative of our core operating performance.</w:t>
      </w:r>
    </w:p>
    <w:p>
      <w:pPr>
        <w:spacing w:after="0" w:line="57" w:lineRule="exact"/>
        <w:rPr>
          <w:rFonts w:ascii="Calibri" w:cs="Calibri" w:eastAsia="Calibri" w:hAnsi="Calibri"/>
          <w:sz w:val="18"/>
          <w:szCs w:val="18"/>
          <w:color w:val="auto"/>
        </w:rPr>
      </w:pPr>
    </w:p>
    <w:p>
      <w:pPr>
        <w:ind w:left="460" w:right="20" w:hanging="452"/>
        <w:spacing w:after="0" w:line="256" w:lineRule="auto"/>
        <w:tabs>
          <w:tab w:leader="none" w:pos="460" w:val="left"/>
        </w:tabs>
        <w:numPr>
          <w:ilvl w:val="0"/>
          <w:numId w:val="27"/>
        </w:numPr>
        <w:rPr>
          <w:rFonts w:ascii="Calibri" w:cs="Calibri" w:eastAsia="Calibri" w:hAnsi="Calibri"/>
          <w:sz w:val="18"/>
          <w:szCs w:val="18"/>
          <w:color w:val="auto"/>
        </w:rPr>
      </w:pPr>
      <w:r>
        <w:rPr>
          <w:rFonts w:ascii="Arial" w:cs="Arial" w:eastAsia="Arial" w:hAnsi="Arial"/>
          <w:sz w:val="18"/>
          <w:szCs w:val="18"/>
          <w:color w:val="auto"/>
        </w:rPr>
        <w:t>Relates to the revaluation of warrants to purchase common units of Hoya Intermediate (“Intermediate Units”) held by Hoya Topco, LLC (“Hoya Topco”) following the Merger Transaction, which is not considered indicative of our core operating performance.</w:t>
      </w:r>
    </w:p>
    <w:p>
      <w:pPr>
        <w:spacing w:after="0" w:line="57" w:lineRule="exact"/>
        <w:rPr>
          <w:rFonts w:ascii="Calibri" w:cs="Calibri" w:eastAsia="Calibri" w:hAnsi="Calibri"/>
          <w:sz w:val="18"/>
          <w:szCs w:val="18"/>
          <w:color w:val="auto"/>
        </w:rPr>
      </w:pPr>
    </w:p>
    <w:p>
      <w:pPr>
        <w:ind w:left="460" w:hanging="452"/>
        <w:spacing w:after="0"/>
        <w:tabs>
          <w:tab w:leader="none" w:pos="460" w:val="left"/>
        </w:tabs>
        <w:numPr>
          <w:ilvl w:val="0"/>
          <w:numId w:val="27"/>
        </w:numPr>
        <w:rPr>
          <w:rFonts w:ascii="Calibri" w:cs="Calibri" w:eastAsia="Calibri" w:hAnsi="Calibri"/>
          <w:sz w:val="18"/>
          <w:szCs w:val="18"/>
          <w:color w:val="auto"/>
        </w:rPr>
      </w:pPr>
      <w:r>
        <w:rPr>
          <w:rFonts w:ascii="Arial" w:cs="Arial" w:eastAsia="Arial" w:hAnsi="Arial"/>
          <w:sz w:val="18"/>
          <w:szCs w:val="18"/>
          <w:color w:val="auto"/>
        </w:rPr>
        <w:t>Relates to disposals of fixed assets, which are not considered indicative of our core operating performance.</w:t>
      </w:r>
    </w:p>
    <w:p>
      <w:pPr>
        <w:spacing w:after="0" w:line="117" w:lineRule="exact"/>
        <w:rPr>
          <w:rFonts w:ascii="Calibri" w:cs="Calibri" w:eastAsia="Calibri" w:hAnsi="Calibri"/>
          <w:sz w:val="18"/>
          <w:szCs w:val="18"/>
          <w:color w:val="auto"/>
        </w:rPr>
      </w:pPr>
    </w:p>
    <w:p>
      <w:pPr>
        <w:ind w:left="460" w:hanging="452"/>
        <w:spacing w:after="0"/>
        <w:tabs>
          <w:tab w:leader="none" w:pos="460" w:val="left"/>
        </w:tabs>
        <w:numPr>
          <w:ilvl w:val="0"/>
          <w:numId w:val="27"/>
        </w:numPr>
        <w:rPr>
          <w:rFonts w:ascii="Calibri" w:cs="Calibri" w:eastAsia="Calibri" w:hAnsi="Calibri"/>
          <w:sz w:val="18"/>
          <w:szCs w:val="18"/>
          <w:color w:val="auto"/>
        </w:rPr>
      </w:pPr>
      <w:r>
        <w:rPr>
          <w:rFonts w:ascii="Arial" w:cs="Arial" w:eastAsia="Arial" w:hAnsi="Arial"/>
          <w:sz w:val="18"/>
          <w:szCs w:val="18"/>
          <w:color w:val="auto"/>
        </w:rPr>
        <w:t>Relates to the revaluation of derivatives recorded at fair value, which is not considered indicative of our core operating performance.</w:t>
      </w:r>
    </w:p>
    <w:p>
      <w:pPr>
        <w:spacing w:after="0" w:line="117" w:lineRule="exact"/>
        <w:rPr>
          <w:rFonts w:ascii="Calibri" w:cs="Calibri" w:eastAsia="Calibri" w:hAnsi="Calibri"/>
          <w:sz w:val="18"/>
          <w:szCs w:val="18"/>
          <w:color w:val="auto"/>
        </w:rPr>
      </w:pPr>
    </w:p>
    <w:p>
      <w:pPr>
        <w:ind w:left="460" w:hanging="452"/>
        <w:spacing w:after="0" w:line="256" w:lineRule="auto"/>
        <w:tabs>
          <w:tab w:leader="none" w:pos="460" w:val="left"/>
        </w:tabs>
        <w:numPr>
          <w:ilvl w:val="0"/>
          <w:numId w:val="27"/>
        </w:numPr>
        <w:rPr>
          <w:rFonts w:ascii="Calibri" w:cs="Calibri" w:eastAsia="Calibri" w:hAnsi="Calibri"/>
          <w:sz w:val="18"/>
          <w:szCs w:val="18"/>
          <w:color w:val="auto"/>
        </w:rPr>
      </w:pPr>
      <w:r>
        <w:rPr>
          <w:rFonts w:ascii="Arial" w:cs="Arial" w:eastAsia="Arial" w:hAnsi="Arial"/>
          <w:sz w:val="18"/>
          <w:szCs w:val="18"/>
          <w:color w:val="auto"/>
        </w:rPr>
        <w:t>Relates to net losses (gains) resulting from the impact of exchange rate changes on transactions denominated in non-functional currencies, which are not considered indicative of our core operating performance.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ind w:left="460" w:right="20" w:hanging="452"/>
        <w:spacing w:after="0" w:line="256" w:lineRule="auto"/>
        <w:tabs>
          <w:tab w:leader="none" w:pos="46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Relates to losses incurred during the six months ended June 30, 2025 in connection with the extinguishment of the 2024 First Lien Loan, which are not considered indicative of our core operating performance.</w:t>
      </w:r>
    </w:p>
    <w:p>
      <w:pPr>
        <w:spacing w:after="0" w:line="57" w:lineRule="exact"/>
        <w:rPr>
          <w:rFonts w:ascii="Calibri" w:cs="Calibri" w:eastAsia="Calibri" w:hAnsi="Calibri"/>
          <w:sz w:val="18"/>
          <w:szCs w:val="18"/>
          <w:color w:val="auto"/>
        </w:rPr>
      </w:pPr>
    </w:p>
    <w:p>
      <w:pPr>
        <w:ind w:left="460" w:hanging="452"/>
        <w:spacing w:after="0" w:line="256" w:lineRule="auto"/>
        <w:tabs>
          <w:tab w:leader="none" w:pos="46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Relates to the remeasurement of the TRA (as defined herein) liability, which is not considered indicative of our core operating performance.</w:t>
      </w:r>
    </w:p>
    <w:p>
      <w:pPr>
        <w:spacing w:after="0" w:line="57" w:lineRule="exact"/>
        <w:rPr>
          <w:rFonts w:ascii="Calibri" w:cs="Calibri" w:eastAsia="Calibri" w:hAnsi="Calibri"/>
          <w:sz w:val="18"/>
          <w:szCs w:val="18"/>
          <w:color w:val="auto"/>
        </w:rPr>
      </w:pPr>
    </w:p>
    <w:p>
      <w:pPr>
        <w:jc w:val="both"/>
        <w:ind w:left="460" w:hanging="452"/>
        <w:spacing w:after="0" w:line="245" w:lineRule="auto"/>
        <w:tabs>
          <w:tab w:leader="none" w:pos="46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Relates to non-cash impairment charges related to our goodwill and certain indefinite-lived intangible assets triggered by the effects of recent declines in our financial performance, near-term outlook, and Class A common stock price, among other factors, during the three and six months ended June 30, 2025.</w:t>
      </w:r>
    </w:p>
    <w:p>
      <w:pPr>
        <w:spacing w:after="0" w:line="68" w:lineRule="exact"/>
        <w:rPr>
          <w:rFonts w:ascii="Calibri" w:cs="Calibri" w:eastAsia="Calibri" w:hAnsi="Calibri"/>
          <w:sz w:val="18"/>
          <w:szCs w:val="18"/>
          <w:color w:val="auto"/>
        </w:rPr>
      </w:pPr>
    </w:p>
    <w:p>
      <w:pPr>
        <w:jc w:val="both"/>
        <w:ind w:left="460" w:hanging="452"/>
        <w:spacing w:after="0" w:line="245" w:lineRule="auto"/>
        <w:tabs>
          <w:tab w:leader="none" w:pos="46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Relates to severance-related payments paid to terminated employees as a result of a reduction in employee headcount during the three and six months ended June 30, 2025. The reduction was part of our strategic cost reduction program and is not considered indicative of our core operating performance.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During the six months ended June 30, 2025, there were no material changes to the “Key Factors Affecting Our Performance” discussed in our 2024 Form 10-K and our Quarterly Report on Form 10-Q for the quarter ended March 31, 2025. Our financial position and results of operations depend to a significant extent on those factors.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2025 and 2024</w:t>
      </w:r>
    </w:p>
    <w:p>
      <w:pPr>
        <w:spacing w:after="0" w:line="10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presents our results of operations for the three and six months ended June 30, 2025 and 2024 (in thousands, except percentages):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6"/>
          </w:tcPr>
          <w:p>
            <w:pPr>
              <w:jc w:val="right"/>
              <w:ind w:right="320"/>
              <w:spacing w:after="0"/>
              <w:rPr>
                <w:sz w:val="20"/>
                <w:szCs w:val="20"/>
                <w:color w:val="auto"/>
              </w:rPr>
            </w:pPr>
            <w:r>
              <w:rPr>
                <w:rFonts w:ascii="Arial" w:cs="Arial" w:eastAsia="Arial" w:hAnsi="Arial"/>
                <w:sz w:val="13"/>
                <w:szCs w:val="13"/>
                <w:b w:val="1"/>
                <w:bCs w:val="1"/>
                <w:color w:val="auto"/>
                <w:w w:val="97"/>
              </w:rPr>
              <w:t>Three Months Ended June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Change</w:t>
            </w:r>
          </w:p>
        </w:tc>
        <w:tc>
          <w:tcPr>
            <w:tcW w:w="220" w:type="dxa"/>
            <w:vAlign w:val="bottom"/>
            <w:vMerge w:val="restart"/>
          </w:tcPr>
          <w:p>
            <w:pPr>
              <w:spacing w:after="0"/>
              <w:rPr>
                <w:sz w:val="13"/>
                <w:szCs w:val="13"/>
                <w:color w:val="auto"/>
              </w:rPr>
            </w:pPr>
          </w:p>
        </w:tc>
        <w:tc>
          <w:tcPr>
            <w:tcW w:w="100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 Change</w:t>
            </w:r>
          </w:p>
        </w:tc>
        <w:tc>
          <w:tcPr>
            <w:tcW w:w="2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tcPr>
          <w:p>
            <w:pPr>
              <w:jc w:val="right"/>
              <w:ind w:right="57"/>
              <w:spacing w:after="0"/>
              <w:rPr>
                <w:sz w:val="20"/>
                <w:szCs w:val="20"/>
                <w:color w:val="auto"/>
              </w:rPr>
            </w:pPr>
            <w:r>
              <w:rPr>
                <w:rFonts w:ascii="Arial" w:cs="Arial" w:eastAsia="Arial" w:hAnsi="Arial"/>
                <w:sz w:val="13"/>
                <w:szCs w:val="13"/>
                <w:b w:val="1"/>
                <w:bCs w:val="1"/>
                <w:color w:val="auto"/>
                <w:w w:val="97"/>
              </w:rPr>
              <w:t>Six Months Ended June 30,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Change</w:t>
            </w:r>
          </w:p>
        </w:tc>
        <w:tc>
          <w:tcPr>
            <w:tcW w:w="220" w:type="dxa"/>
            <w:vAlign w:val="bottom"/>
            <w:vMerge w:val="restart"/>
          </w:tcPr>
          <w:p>
            <w:pPr>
              <w:spacing w:after="0"/>
              <w:rPr>
                <w:sz w:val="13"/>
                <w:szCs w:val="13"/>
                <w:color w:val="auto"/>
              </w:rPr>
            </w:pPr>
          </w:p>
        </w:tc>
        <w:tc>
          <w:tcPr>
            <w:tcW w:w="100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 Change</w:t>
            </w:r>
          </w:p>
        </w:tc>
        <w:tc>
          <w:tcPr>
            <w:tcW w:w="1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3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17"/>
              <w:spacing w:after="0" w:line="129" w:lineRule="exact"/>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Arial" w:cs="Arial" w:eastAsia="Arial" w:hAnsi="Arial"/>
                <w:sz w:val="13"/>
                <w:szCs w:val="13"/>
                <w:b w:val="1"/>
                <w:bCs w:val="1"/>
                <w:color w:val="auto"/>
              </w:rPr>
              <w:t>2025</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Revenues</w:t>
            </w:r>
          </w:p>
        </w:tc>
        <w:tc>
          <w:tcPr>
            <w:tcW w:w="1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9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143,566</w:t>
            </w:r>
          </w:p>
        </w:tc>
        <w:tc>
          <w:tcPr>
            <w:tcW w:w="12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68"/>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198,316</w:t>
            </w:r>
          </w:p>
        </w:tc>
        <w:tc>
          <w:tcPr>
            <w:tcW w:w="14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FF0FC"/>
          </w:tcPr>
          <w:p>
            <w:pPr>
              <w:jc w:val="right"/>
              <w:ind w:right="97"/>
              <w:spacing w:after="0" w:line="129" w:lineRule="exact"/>
              <w:rPr>
                <w:sz w:val="20"/>
                <w:szCs w:val="20"/>
                <w:color w:val="auto"/>
              </w:rPr>
            </w:pPr>
            <w:r>
              <w:rPr>
                <w:rFonts w:ascii="Arial" w:cs="Arial" w:eastAsia="Arial" w:hAnsi="Arial"/>
                <w:sz w:val="13"/>
                <w:szCs w:val="13"/>
                <w:b w:val="1"/>
                <w:bCs w:val="1"/>
                <w:color w:val="auto"/>
              </w:rPr>
              <w:t>(54,750)</w:t>
            </w:r>
          </w:p>
        </w:tc>
        <w:tc>
          <w:tcPr>
            <w:tcW w:w="1280" w:type="dxa"/>
            <w:vAlign w:val="bottom"/>
            <w:tcBorders>
              <w:right w:val="single" w:sz="8" w:color="CFF0FC"/>
            </w:tcBorders>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b w:val="1"/>
                <w:bCs w:val="1"/>
                <w:color w:val="auto"/>
              </w:rPr>
              <w:t>(28)%</w:t>
            </w:r>
          </w:p>
        </w:tc>
        <w:tc>
          <w:tcPr>
            <w:tcW w:w="1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6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307,589</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389,168</w:t>
            </w:r>
          </w:p>
        </w:tc>
        <w:tc>
          <w:tcPr>
            <w:tcW w:w="32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FF0FC"/>
          </w:tcPr>
          <w:p>
            <w:pPr>
              <w:jc w:val="right"/>
              <w:ind w:right="97"/>
              <w:spacing w:after="0" w:line="129" w:lineRule="exact"/>
              <w:rPr>
                <w:sz w:val="20"/>
                <w:szCs w:val="20"/>
                <w:color w:val="auto"/>
              </w:rPr>
            </w:pPr>
            <w:r>
              <w:rPr>
                <w:rFonts w:ascii="Arial" w:cs="Arial" w:eastAsia="Arial" w:hAnsi="Arial"/>
                <w:sz w:val="13"/>
                <w:szCs w:val="13"/>
                <w:b w:val="1"/>
                <w:bCs w:val="1"/>
                <w:color w:val="auto"/>
              </w:rPr>
              <w:t>(81,579)</w:t>
            </w:r>
          </w:p>
        </w:tc>
        <w:tc>
          <w:tcPr>
            <w:tcW w:w="118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b w:val="1"/>
                <w:bCs w:val="1"/>
                <w:color w:val="auto"/>
              </w:rPr>
              <w:t>(21)%</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Costs and expenses:</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ind w:left="20"/>
              <w:spacing w:after="0" w:line="117" w:lineRule="exact"/>
              <w:rPr>
                <w:sz w:val="20"/>
                <w:szCs w:val="20"/>
                <w:color w:val="auto"/>
              </w:rPr>
            </w:pPr>
            <w:r>
              <w:rPr>
                <w:rFonts w:ascii="Arial" w:cs="Arial" w:eastAsia="Arial" w:hAnsi="Arial"/>
                <w:sz w:val="13"/>
                <w:szCs w:val="13"/>
                <w:color w:val="auto"/>
              </w:rPr>
              <w:t>Cost of revenues (exclusive of</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depreciation and amortization shown</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separately below)</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42,429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48,765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(6,336)</w:t>
            </w:r>
          </w:p>
        </w:tc>
        <w:tc>
          <w:tcPr>
            <w:tcW w:w="12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86,954</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98,348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(11,394)</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Arial" w:cs="Arial" w:eastAsia="Arial" w:hAnsi="Arial"/>
                <w:sz w:val="13"/>
                <w:szCs w:val="13"/>
                <w:color w:val="auto"/>
              </w:rPr>
              <w:t>Marketing and selling</w:t>
            </w: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53,800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70,114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(16,314)</w:t>
            </w:r>
          </w:p>
        </w:tc>
        <w:tc>
          <w:tcPr>
            <w:tcW w:w="12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(23)%</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117,912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137,861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(19,949)</w:t>
            </w: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General and administrative</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46,272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61,053</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(14,781)</w:t>
            </w:r>
          </w:p>
        </w:tc>
        <w:tc>
          <w:tcPr>
            <w:tcW w:w="1280" w:type="dxa"/>
            <w:vAlign w:val="bottom"/>
            <w:tcBorders>
              <w:right w:val="single" w:sz="8" w:color="CFF0FC"/>
            </w:tcBorders>
            <w:gridSpan w:val="2"/>
            <w:shd w:val="clear" w:color="auto" w:fill="CFF0FC"/>
          </w:tcPr>
          <w:p>
            <w:pPr>
              <w:jc w:val="right"/>
              <w:ind w:right="120"/>
              <w:spacing w:after="0" w:line="135" w:lineRule="exact"/>
              <w:rPr>
                <w:sz w:val="20"/>
                <w:szCs w:val="20"/>
                <w:color w:val="auto"/>
              </w:rPr>
            </w:pPr>
            <w:r>
              <w:rPr>
                <w:rFonts w:ascii="Arial" w:cs="Arial" w:eastAsia="Arial" w:hAnsi="Arial"/>
                <w:sz w:val="13"/>
                <w:szCs w:val="13"/>
                <w:color w:val="auto"/>
              </w:rPr>
              <w:t>(24)%</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94,354</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103,420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(9,066)</w:t>
            </w:r>
          </w:p>
        </w:tc>
        <w:tc>
          <w:tcPr>
            <w:tcW w:w="1180" w:type="dxa"/>
            <w:vAlign w:val="bottom"/>
            <w:gridSpan w:val="2"/>
            <w:shd w:val="clear" w:color="auto" w:fill="CFF0FC"/>
          </w:tcPr>
          <w:p>
            <w:pPr>
              <w:jc w:val="right"/>
              <w:ind w:right="20"/>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12,341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10,502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1,839</w:t>
            </w:r>
          </w:p>
        </w:tc>
        <w:tc>
          <w:tcPr>
            <w:tcW w:w="220" w:type="dxa"/>
            <w:vAlign w:val="bottom"/>
          </w:tcPr>
          <w:p>
            <w:pPr>
              <w:spacing w:after="0"/>
              <w:rPr>
                <w:sz w:val="11"/>
                <w:szCs w:val="11"/>
                <w:color w:val="auto"/>
              </w:rPr>
            </w:pPr>
          </w:p>
        </w:tc>
        <w:tc>
          <w:tcPr>
            <w:tcW w:w="1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23,966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20,985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2,981</w:t>
            </w:r>
          </w:p>
        </w:tc>
        <w:tc>
          <w:tcPr>
            <w:tcW w:w="220" w:type="dxa"/>
            <w:vAlign w:val="bottom"/>
          </w:tcPr>
          <w:p>
            <w:pPr>
              <w:spacing w:after="0"/>
              <w:rPr>
                <w:sz w:val="11"/>
                <w:szCs w:val="11"/>
                <w:color w:val="auto"/>
              </w:rPr>
            </w:pPr>
          </w:p>
        </w:tc>
        <w:tc>
          <w:tcPr>
            <w:tcW w:w="11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Impairment charges</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320,449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320,449</w:t>
            </w:r>
          </w:p>
        </w:tc>
        <w:tc>
          <w:tcPr>
            <w:tcW w:w="220" w:type="dxa"/>
            <w:vAlign w:val="bottom"/>
            <w:shd w:val="clear" w:color="auto" w:fill="CFF0FC"/>
          </w:tcPr>
          <w:p>
            <w:pPr>
              <w:spacing w:after="0"/>
              <w:rPr>
                <w:sz w:val="11"/>
                <w:szCs w:val="11"/>
                <w:color w:val="auto"/>
              </w:rPr>
            </w:pPr>
          </w:p>
        </w:tc>
        <w:tc>
          <w:tcPr>
            <w:tcW w:w="1280" w:type="dxa"/>
            <w:vAlign w:val="bottom"/>
            <w:tcBorders>
              <w:right w:val="single" w:sz="8" w:color="CFF0FC"/>
            </w:tcBorders>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100%</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320,449</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320,449</w:t>
            </w:r>
          </w:p>
        </w:tc>
        <w:tc>
          <w:tcPr>
            <w:tcW w:w="2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tcPr>
          <w:p>
            <w:pPr>
              <w:ind w:left="40"/>
              <w:spacing w:after="0" w:line="129" w:lineRule="exact"/>
              <w:rPr>
                <w:sz w:val="20"/>
                <w:szCs w:val="20"/>
                <w:color w:val="auto"/>
              </w:rPr>
            </w:pPr>
            <w:r>
              <w:rPr>
                <w:rFonts w:ascii="Arial" w:cs="Arial" w:eastAsia="Arial" w:hAnsi="Arial"/>
                <w:sz w:val="13"/>
                <w:szCs w:val="13"/>
                <w:color w:val="auto"/>
              </w:rPr>
              <w:t>Total costs and expenses</w:t>
            </w:r>
          </w:p>
        </w:tc>
        <w:tc>
          <w:tcPr>
            <w:tcW w:w="12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475,291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190,434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284,857</w:t>
            </w:r>
          </w:p>
        </w:tc>
        <w:tc>
          <w:tcPr>
            <w:tcW w:w="220" w:type="dxa"/>
            <w:vAlign w:val="bottom"/>
          </w:tcPr>
          <w:p>
            <w:pPr>
              <w:spacing w:after="0"/>
              <w:rPr>
                <w:sz w:val="11"/>
                <w:szCs w:val="11"/>
                <w:color w:val="auto"/>
              </w:rPr>
            </w:pPr>
          </w:p>
        </w:tc>
        <w:tc>
          <w:tcPr>
            <w:tcW w:w="128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150%</w:t>
            </w:r>
          </w:p>
        </w:tc>
        <w:tc>
          <w:tcPr>
            <w:tcW w:w="1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643,635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360,614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283,021</w:t>
            </w:r>
          </w:p>
        </w:tc>
        <w:tc>
          <w:tcPr>
            <w:tcW w:w="220" w:type="dxa"/>
            <w:vAlign w:val="bottom"/>
          </w:tcPr>
          <w:p>
            <w:pPr>
              <w:spacing w:after="0"/>
              <w:rPr>
                <w:sz w:val="11"/>
                <w:szCs w:val="11"/>
                <w:color w:val="auto"/>
              </w:rPr>
            </w:pPr>
          </w:p>
        </w:tc>
        <w:tc>
          <w:tcPr>
            <w:tcW w:w="118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Income (loss) from operations</w:t>
            </w: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80"/>
              <w:spacing w:after="0" w:line="129" w:lineRule="exact"/>
              <w:rPr>
                <w:sz w:val="20"/>
                <w:szCs w:val="20"/>
                <w:color w:val="auto"/>
              </w:rPr>
            </w:pPr>
            <w:r>
              <w:rPr>
                <w:rFonts w:ascii="Arial" w:cs="Arial" w:eastAsia="Arial" w:hAnsi="Arial"/>
                <w:sz w:val="13"/>
                <w:szCs w:val="13"/>
                <w:b w:val="1"/>
                <w:bCs w:val="1"/>
                <w:color w:val="auto"/>
              </w:rPr>
              <w:t>(331,725)</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7,882</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97"/>
              <w:spacing w:after="0" w:line="129" w:lineRule="exact"/>
              <w:rPr>
                <w:sz w:val="20"/>
                <w:szCs w:val="20"/>
                <w:color w:val="auto"/>
              </w:rPr>
            </w:pPr>
            <w:r>
              <w:rPr>
                <w:rFonts w:ascii="Arial" w:cs="Arial" w:eastAsia="Arial" w:hAnsi="Arial"/>
                <w:sz w:val="13"/>
                <w:szCs w:val="13"/>
                <w:b w:val="1"/>
                <w:bCs w:val="1"/>
                <w:color w:val="auto"/>
              </w:rPr>
              <w:t>(339,607)</w:t>
            </w:r>
          </w:p>
        </w:tc>
        <w:tc>
          <w:tcPr>
            <w:tcW w:w="1280" w:type="dxa"/>
            <w:vAlign w:val="bottom"/>
            <w:tcBorders>
              <w:right w:val="single" w:sz="8" w:color="CFF0FC"/>
            </w:tcBorders>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b w:val="1"/>
                <w:bCs w:val="1"/>
                <w:color w:val="auto"/>
              </w:rPr>
              <w:t>(4,309)%</w:t>
            </w: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38"/>
              <w:spacing w:after="0" w:line="129" w:lineRule="exact"/>
              <w:rPr>
                <w:sz w:val="20"/>
                <w:szCs w:val="20"/>
                <w:color w:val="auto"/>
              </w:rPr>
            </w:pPr>
            <w:r>
              <w:rPr>
                <w:rFonts w:ascii="Arial" w:cs="Arial" w:eastAsia="Arial" w:hAnsi="Arial"/>
                <w:sz w:val="13"/>
                <w:szCs w:val="13"/>
                <w:b w:val="1"/>
                <w:bCs w:val="1"/>
                <w:color w:val="auto"/>
              </w:rPr>
              <w:t>(336,046)</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28,554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97"/>
              <w:spacing w:after="0" w:line="129" w:lineRule="exact"/>
              <w:rPr>
                <w:sz w:val="20"/>
                <w:szCs w:val="20"/>
                <w:color w:val="auto"/>
              </w:rPr>
            </w:pPr>
            <w:r>
              <w:rPr>
                <w:rFonts w:ascii="Arial" w:cs="Arial" w:eastAsia="Arial" w:hAnsi="Arial"/>
                <w:sz w:val="13"/>
                <w:szCs w:val="13"/>
                <w:b w:val="1"/>
                <w:bCs w:val="1"/>
                <w:color w:val="auto"/>
              </w:rPr>
              <w:t>(364,600)</w:t>
            </w:r>
          </w:p>
        </w:tc>
        <w:tc>
          <w:tcPr>
            <w:tcW w:w="118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b w:val="1"/>
                <w:bCs w:val="1"/>
                <w:color w:val="auto"/>
              </w:rPr>
              <w:t>(1,277)%</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Interest expense – net</w:t>
            </w: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5,634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5,324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310</w:t>
            </w:r>
          </w:p>
        </w:tc>
        <w:tc>
          <w:tcPr>
            <w:tcW w:w="220" w:type="dxa"/>
            <w:vAlign w:val="bottom"/>
          </w:tcPr>
          <w:p>
            <w:pPr>
              <w:spacing w:after="0"/>
              <w:rPr>
                <w:sz w:val="11"/>
                <w:szCs w:val="11"/>
                <w:color w:val="auto"/>
              </w:rPr>
            </w:pPr>
          </w:p>
        </w:tc>
        <w:tc>
          <w:tcPr>
            <w:tcW w:w="1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11,299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10,406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893</w:t>
            </w:r>
          </w:p>
        </w:tc>
        <w:tc>
          <w:tcPr>
            <w:tcW w:w="220" w:type="dxa"/>
            <w:vAlign w:val="bottom"/>
          </w:tcPr>
          <w:p>
            <w:pPr>
              <w:spacing w:after="0"/>
              <w:rPr>
                <w:sz w:val="11"/>
                <w:szCs w:val="11"/>
                <w:color w:val="auto"/>
              </w:rPr>
            </w:pPr>
          </w:p>
        </w:tc>
        <w:tc>
          <w:tcPr>
            <w:tcW w:w="11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Other expense (income) – net</w:t>
            </w: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(150,197)</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3,202</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(153,399)</w:t>
            </w:r>
          </w:p>
        </w:tc>
        <w:tc>
          <w:tcPr>
            <w:tcW w:w="1280" w:type="dxa"/>
            <w:vAlign w:val="bottom"/>
            <w:tcBorders>
              <w:right w:val="single" w:sz="8" w:color="CFF0FC"/>
            </w:tcBorders>
            <w:gridSpan w:val="2"/>
            <w:shd w:val="clear" w:color="auto" w:fill="CFF0FC"/>
          </w:tcPr>
          <w:p>
            <w:pPr>
              <w:jc w:val="right"/>
              <w:ind w:right="120"/>
              <w:spacing w:after="0" w:line="135" w:lineRule="exact"/>
              <w:rPr>
                <w:sz w:val="20"/>
                <w:szCs w:val="20"/>
                <w:color w:val="auto"/>
              </w:rPr>
            </w:pPr>
            <w:r>
              <w:rPr>
                <w:rFonts w:ascii="Arial" w:cs="Arial" w:eastAsia="Arial" w:hAnsi="Arial"/>
                <w:sz w:val="13"/>
                <w:szCs w:val="13"/>
                <w:color w:val="auto"/>
              </w:rPr>
              <w:t>(4,791)%</w:t>
            </w: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38"/>
              <w:spacing w:after="0" w:line="135" w:lineRule="exact"/>
              <w:rPr>
                <w:sz w:val="20"/>
                <w:szCs w:val="20"/>
                <w:color w:val="auto"/>
              </w:rPr>
            </w:pPr>
            <w:r>
              <w:rPr>
                <w:rFonts w:ascii="Arial" w:cs="Arial" w:eastAsia="Arial" w:hAnsi="Arial"/>
                <w:sz w:val="13"/>
                <w:szCs w:val="13"/>
                <w:color w:val="auto"/>
              </w:rPr>
              <w:t>(154,351)</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5,784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(160,135)</w:t>
            </w:r>
          </w:p>
        </w:tc>
        <w:tc>
          <w:tcPr>
            <w:tcW w:w="1180" w:type="dxa"/>
            <w:vAlign w:val="bottom"/>
            <w:gridSpan w:val="2"/>
            <w:shd w:val="clear" w:color="auto" w:fill="CFF0FC"/>
          </w:tcPr>
          <w:p>
            <w:pPr>
              <w:jc w:val="right"/>
              <w:ind w:right="20"/>
              <w:spacing w:after="0" w:line="135" w:lineRule="exact"/>
              <w:rPr>
                <w:sz w:val="20"/>
                <w:szCs w:val="20"/>
                <w:color w:val="auto"/>
              </w:rPr>
            </w:pPr>
            <w:r>
              <w:rPr>
                <w:rFonts w:ascii="Arial" w:cs="Arial" w:eastAsia="Arial" w:hAnsi="Arial"/>
                <w:sz w:val="13"/>
                <w:szCs w:val="13"/>
                <w:color w:val="auto"/>
              </w:rPr>
              <w:t>(2,769)%</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Loss on extinguishment of debt</w:t>
            </w: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801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801</w:t>
            </w:r>
          </w:p>
        </w:tc>
        <w:tc>
          <w:tcPr>
            <w:tcW w:w="220" w:type="dxa"/>
            <w:vAlign w:val="bottom"/>
          </w:tcPr>
          <w:p>
            <w:pPr>
              <w:spacing w:after="0"/>
              <w:rPr>
                <w:sz w:val="11"/>
                <w:szCs w:val="11"/>
                <w:color w:val="auto"/>
              </w:rPr>
            </w:pPr>
          </w:p>
        </w:tc>
        <w:tc>
          <w:tcPr>
            <w:tcW w:w="11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Income (loss) before income taxes</w:t>
            </w: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80"/>
              <w:spacing w:after="0" w:line="129" w:lineRule="exact"/>
              <w:rPr>
                <w:sz w:val="20"/>
                <w:szCs w:val="20"/>
                <w:color w:val="auto"/>
              </w:rPr>
            </w:pPr>
            <w:r>
              <w:rPr>
                <w:rFonts w:ascii="Arial" w:cs="Arial" w:eastAsia="Arial" w:hAnsi="Arial"/>
                <w:sz w:val="13"/>
                <w:szCs w:val="13"/>
                <w:b w:val="1"/>
                <w:bCs w:val="1"/>
                <w:color w:val="auto"/>
              </w:rPr>
              <w:t>(187,162)</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00"/>
              <w:spacing w:after="0" w:line="129" w:lineRule="exact"/>
              <w:rPr>
                <w:sz w:val="20"/>
                <w:szCs w:val="20"/>
                <w:color w:val="auto"/>
              </w:rPr>
            </w:pPr>
            <w:r>
              <w:rPr>
                <w:rFonts w:ascii="Arial" w:cs="Arial" w:eastAsia="Arial" w:hAnsi="Arial"/>
                <w:sz w:val="13"/>
                <w:szCs w:val="13"/>
                <w:b w:val="1"/>
                <w:bCs w:val="1"/>
                <w:color w:val="auto"/>
              </w:rPr>
              <w:t>(644)</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97"/>
              <w:spacing w:after="0" w:line="129" w:lineRule="exact"/>
              <w:rPr>
                <w:sz w:val="20"/>
                <w:szCs w:val="20"/>
                <w:color w:val="auto"/>
              </w:rPr>
            </w:pPr>
            <w:r>
              <w:rPr>
                <w:rFonts w:ascii="Arial" w:cs="Arial" w:eastAsia="Arial" w:hAnsi="Arial"/>
                <w:sz w:val="13"/>
                <w:szCs w:val="13"/>
                <w:b w:val="1"/>
                <w:bCs w:val="1"/>
                <w:color w:val="auto"/>
              </w:rPr>
              <w:t>(186,518)</w:t>
            </w:r>
          </w:p>
        </w:tc>
        <w:tc>
          <w:tcPr>
            <w:tcW w:w="1280" w:type="dxa"/>
            <w:vAlign w:val="bottom"/>
            <w:tcBorders>
              <w:right w:val="single" w:sz="8" w:color="CFF0FC"/>
            </w:tcBorders>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b w:val="1"/>
                <w:bCs w:val="1"/>
                <w:color w:val="auto"/>
              </w:rPr>
              <w:t>(28,962)%</w:t>
            </w: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38"/>
              <w:spacing w:after="0" w:line="129" w:lineRule="exact"/>
              <w:rPr>
                <w:sz w:val="20"/>
                <w:szCs w:val="20"/>
                <w:color w:val="auto"/>
              </w:rPr>
            </w:pPr>
            <w:r>
              <w:rPr>
                <w:rFonts w:ascii="Arial" w:cs="Arial" w:eastAsia="Arial" w:hAnsi="Arial"/>
                <w:sz w:val="13"/>
                <w:szCs w:val="13"/>
                <w:b w:val="1"/>
                <w:bCs w:val="1"/>
                <w:color w:val="auto"/>
              </w:rPr>
              <w:t>(193,795)</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12,364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97"/>
              <w:spacing w:after="0" w:line="129" w:lineRule="exact"/>
              <w:rPr>
                <w:sz w:val="20"/>
                <w:szCs w:val="20"/>
                <w:color w:val="auto"/>
              </w:rPr>
            </w:pPr>
            <w:r>
              <w:rPr>
                <w:rFonts w:ascii="Arial" w:cs="Arial" w:eastAsia="Arial" w:hAnsi="Arial"/>
                <w:sz w:val="13"/>
                <w:szCs w:val="13"/>
                <w:b w:val="1"/>
                <w:bCs w:val="1"/>
                <w:color w:val="auto"/>
              </w:rPr>
              <w:t>(206,159)</w:t>
            </w:r>
          </w:p>
        </w:tc>
        <w:tc>
          <w:tcPr>
            <w:tcW w:w="118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b w:val="1"/>
                <w:bCs w:val="1"/>
                <w:color w:val="auto"/>
              </w:rPr>
              <w:t>(1,667)%</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76,165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577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75,588</w:t>
            </w:r>
          </w:p>
        </w:tc>
        <w:tc>
          <w:tcPr>
            <w:tcW w:w="220" w:type="dxa"/>
            <w:vAlign w:val="bottom"/>
          </w:tcPr>
          <w:p>
            <w:pPr>
              <w:spacing w:after="0"/>
              <w:rPr>
                <w:sz w:val="11"/>
                <w:szCs w:val="11"/>
                <w:color w:val="auto"/>
              </w:rPr>
            </w:pPr>
          </w:p>
        </w:tc>
        <w:tc>
          <w:tcPr>
            <w:tcW w:w="1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13,100%</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79,320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2,846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76,474</w:t>
            </w:r>
          </w:p>
        </w:tc>
        <w:tc>
          <w:tcPr>
            <w:tcW w:w="220" w:type="dxa"/>
            <w:vAlign w:val="bottom"/>
          </w:tcPr>
          <w:p>
            <w:pPr>
              <w:spacing w:after="0"/>
              <w:rPr>
                <w:sz w:val="11"/>
                <w:szCs w:val="11"/>
                <w:color w:val="auto"/>
              </w:rPr>
            </w:pPr>
          </w:p>
        </w:tc>
        <w:tc>
          <w:tcPr>
            <w:tcW w:w="11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2,687%</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Net income (loss)</w:t>
            </w: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80"/>
              <w:spacing w:after="0" w:line="129" w:lineRule="exact"/>
              <w:rPr>
                <w:sz w:val="20"/>
                <w:szCs w:val="20"/>
                <w:color w:val="auto"/>
              </w:rPr>
            </w:pPr>
            <w:r>
              <w:rPr>
                <w:rFonts w:ascii="Arial" w:cs="Arial" w:eastAsia="Arial" w:hAnsi="Arial"/>
                <w:sz w:val="13"/>
                <w:szCs w:val="13"/>
                <w:b w:val="1"/>
                <w:bCs w:val="1"/>
                <w:color w:val="auto"/>
              </w:rPr>
              <w:t>(263,327)</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00"/>
              <w:spacing w:after="0" w:line="129" w:lineRule="exact"/>
              <w:rPr>
                <w:sz w:val="20"/>
                <w:szCs w:val="20"/>
                <w:color w:val="auto"/>
              </w:rPr>
            </w:pPr>
            <w:r>
              <w:rPr>
                <w:rFonts w:ascii="Arial" w:cs="Arial" w:eastAsia="Arial" w:hAnsi="Arial"/>
                <w:sz w:val="13"/>
                <w:szCs w:val="13"/>
                <w:b w:val="1"/>
                <w:bCs w:val="1"/>
                <w:color w:val="auto"/>
              </w:rPr>
              <w:t>(1,221)</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97"/>
              <w:spacing w:after="0" w:line="129" w:lineRule="exact"/>
              <w:rPr>
                <w:sz w:val="20"/>
                <w:szCs w:val="20"/>
                <w:color w:val="auto"/>
              </w:rPr>
            </w:pPr>
            <w:r>
              <w:rPr>
                <w:rFonts w:ascii="Arial" w:cs="Arial" w:eastAsia="Arial" w:hAnsi="Arial"/>
                <w:sz w:val="13"/>
                <w:szCs w:val="13"/>
                <w:b w:val="1"/>
                <w:bCs w:val="1"/>
                <w:color w:val="auto"/>
              </w:rPr>
              <w:t>(262,106)</w:t>
            </w:r>
          </w:p>
        </w:tc>
        <w:tc>
          <w:tcPr>
            <w:tcW w:w="1280" w:type="dxa"/>
            <w:vAlign w:val="bottom"/>
            <w:tcBorders>
              <w:right w:val="single" w:sz="8" w:color="CFF0FC"/>
            </w:tcBorders>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b w:val="1"/>
                <w:bCs w:val="1"/>
                <w:color w:val="auto"/>
              </w:rPr>
              <w:t>(21,467)%</w:t>
            </w: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38"/>
              <w:spacing w:after="0" w:line="129" w:lineRule="exact"/>
              <w:rPr>
                <w:sz w:val="20"/>
                <w:szCs w:val="20"/>
                <w:color w:val="auto"/>
              </w:rPr>
            </w:pPr>
            <w:r>
              <w:rPr>
                <w:rFonts w:ascii="Arial" w:cs="Arial" w:eastAsia="Arial" w:hAnsi="Arial"/>
                <w:sz w:val="13"/>
                <w:szCs w:val="13"/>
                <w:b w:val="1"/>
                <w:bCs w:val="1"/>
                <w:color w:val="auto"/>
              </w:rPr>
              <w:t>(273,115)</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9,518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97"/>
              <w:spacing w:after="0" w:line="129" w:lineRule="exact"/>
              <w:rPr>
                <w:sz w:val="20"/>
                <w:szCs w:val="20"/>
                <w:color w:val="auto"/>
              </w:rPr>
            </w:pPr>
            <w:r>
              <w:rPr>
                <w:rFonts w:ascii="Arial" w:cs="Arial" w:eastAsia="Arial" w:hAnsi="Arial"/>
                <w:sz w:val="13"/>
                <w:szCs w:val="13"/>
                <w:b w:val="1"/>
                <w:bCs w:val="1"/>
                <w:color w:val="auto"/>
              </w:rPr>
              <w:t>(282,633)</w:t>
            </w:r>
          </w:p>
        </w:tc>
        <w:tc>
          <w:tcPr>
            <w:tcW w:w="118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b w:val="1"/>
                <w:bCs w:val="1"/>
                <w:color w:val="auto"/>
              </w:rPr>
              <w:t>(2,969)%</w:t>
            </w:r>
          </w:p>
        </w:tc>
        <w:tc>
          <w:tcPr>
            <w:tcW w:w="0" w:type="dxa"/>
            <w:vAlign w:val="bottom"/>
          </w:tcPr>
          <w:p>
            <w:pPr>
              <w:spacing w:after="0"/>
              <w:rPr>
                <w:sz w:val="1"/>
                <w:szCs w:val="1"/>
                <w:color w:val="auto"/>
              </w:rPr>
            </w:pPr>
          </w:p>
        </w:tc>
      </w:tr>
      <w:tr>
        <w:trPr>
          <w:trHeight w:val="117"/>
        </w:trPr>
        <w:tc>
          <w:tcPr>
            <w:tcW w:w="2380" w:type="dxa"/>
            <w:vAlign w:val="bottom"/>
          </w:tcPr>
          <w:p>
            <w:pPr>
              <w:spacing w:after="0" w:line="117" w:lineRule="exact"/>
              <w:rPr>
                <w:sz w:val="20"/>
                <w:szCs w:val="20"/>
                <w:color w:val="auto"/>
              </w:rPr>
            </w:pPr>
            <w:r>
              <w:rPr>
                <w:rFonts w:ascii="Arial" w:cs="Arial" w:eastAsia="Arial" w:hAnsi="Arial"/>
                <w:sz w:val="13"/>
                <w:szCs w:val="13"/>
                <w:color w:val="auto"/>
              </w:rPr>
              <w:t>Net income (loss) attributable to</w:t>
            </w:r>
          </w:p>
        </w:tc>
        <w:tc>
          <w:tcPr>
            <w:tcW w:w="120" w:type="dxa"/>
            <w:vAlign w:val="bottom"/>
          </w:tcPr>
          <w:p>
            <w:pPr>
              <w:spacing w:after="0"/>
              <w:rPr>
                <w:sz w:val="10"/>
                <w:szCs w:val="10"/>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(123,652)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(160)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(123,492)</w:t>
            </w: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(77,183)%</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38"/>
              <w:spacing w:after="0"/>
              <w:rPr>
                <w:sz w:val="20"/>
                <w:szCs w:val="20"/>
                <w:color w:val="auto"/>
              </w:rPr>
            </w:pPr>
            <w:r>
              <w:rPr>
                <w:rFonts w:ascii="Arial" w:cs="Arial" w:eastAsia="Arial" w:hAnsi="Arial"/>
                <w:sz w:val="13"/>
                <w:szCs w:val="13"/>
                <w:color w:val="auto"/>
              </w:rPr>
              <w:t>(127,498)</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4,505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(132,003)</w:t>
            </w: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(2,930)%</w:t>
            </w:r>
          </w:p>
        </w:tc>
        <w:tc>
          <w:tcPr>
            <w:tcW w:w="0" w:type="dxa"/>
            <w:vAlign w:val="bottom"/>
          </w:tcPr>
          <w:p>
            <w:pPr>
              <w:spacing w:after="0"/>
              <w:rPr>
                <w:sz w:val="1"/>
                <w:szCs w:val="1"/>
                <w:color w:val="auto"/>
              </w:rPr>
            </w:pPr>
          </w:p>
        </w:tc>
      </w:tr>
      <w:tr>
        <w:trPr>
          <w:trHeight w:val="139"/>
        </w:trPr>
        <w:tc>
          <w:tcPr>
            <w:tcW w:w="2380" w:type="dxa"/>
            <w:vAlign w:val="bottom"/>
          </w:tcPr>
          <w:p>
            <w:pPr>
              <w:spacing w:after="0" w:line="139" w:lineRule="exact"/>
              <w:rPr>
                <w:sz w:val="20"/>
                <w:szCs w:val="20"/>
                <w:color w:val="auto"/>
              </w:rPr>
            </w:pPr>
            <w:r>
              <w:rPr>
                <w:rFonts w:ascii="Arial" w:cs="Arial" w:eastAsia="Arial" w:hAnsi="Arial"/>
                <w:sz w:val="13"/>
                <w:szCs w:val="13"/>
                <w:color w:val="auto"/>
              </w:rPr>
              <w:t>redeemable noncontrolling interests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380" w:type="dxa"/>
            <w:vAlign w:val="bottom"/>
            <w:shd w:val="clear" w:color="auto" w:fill="CFF0FC"/>
          </w:tcPr>
          <w:p>
            <w:pPr>
              <w:spacing w:after="0" w:line="111" w:lineRule="exact"/>
              <w:rPr>
                <w:sz w:val="20"/>
                <w:szCs w:val="20"/>
                <w:color w:val="auto"/>
              </w:rPr>
            </w:pPr>
            <w:r>
              <w:rPr>
                <w:rFonts w:ascii="Arial" w:cs="Arial" w:eastAsia="Arial" w:hAnsi="Arial"/>
                <w:sz w:val="12"/>
                <w:szCs w:val="12"/>
                <w:b w:val="1"/>
                <w:bCs w:val="1"/>
                <w:color w:val="auto"/>
              </w:rPr>
              <w:t>Net income (loss) attributable to</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(139,675)</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vMerge w:val="restart"/>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(1,061)</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(138,614</w:t>
            </w:r>
          </w:p>
        </w:tc>
        <w:tc>
          <w:tcPr>
            <w:tcW w:w="220" w:type="dxa"/>
            <w:vAlign w:val="bottom"/>
            <w:vMerge w:val="restart"/>
            <w:shd w:val="clear" w:color="auto" w:fill="CFF0FC"/>
          </w:tcPr>
          <w:p>
            <w:pPr>
              <w:jc w:val="right"/>
              <w:ind w:right="97"/>
              <w:spacing w:after="0"/>
              <w:rPr>
                <w:sz w:val="20"/>
                <w:szCs w:val="20"/>
                <w:color w:val="auto"/>
              </w:rPr>
            </w:pPr>
            <w:r>
              <w:rPr>
                <w:rFonts w:ascii="Arial" w:cs="Arial" w:eastAsia="Arial" w:hAnsi="Arial"/>
                <w:sz w:val="13"/>
                <w:szCs w:val="13"/>
                <w:b w:val="1"/>
                <w:bCs w:val="1"/>
                <w:color w:val="auto"/>
                <w:w w:val="91"/>
              </w:rPr>
              <w:t>)</w:t>
            </w:r>
          </w:p>
        </w:tc>
        <w:tc>
          <w:tcPr>
            <w:tcW w:w="12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b w:val="1"/>
                <w:bCs w:val="1"/>
                <w:color w:val="auto"/>
              </w:rPr>
              <w:t>(13,064)%</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(145,617</w:t>
            </w:r>
          </w:p>
        </w:tc>
        <w:tc>
          <w:tcPr>
            <w:tcW w:w="220" w:type="dxa"/>
            <w:vAlign w:val="bottom"/>
            <w:vMerge w:val="restart"/>
            <w:shd w:val="clear" w:color="auto" w:fill="CFF0FC"/>
          </w:tcPr>
          <w:p>
            <w:pPr>
              <w:jc w:val="right"/>
              <w:ind w:right="138"/>
              <w:spacing w:after="0"/>
              <w:rPr>
                <w:sz w:val="20"/>
                <w:szCs w:val="20"/>
                <w:color w:val="auto"/>
              </w:rPr>
            </w:pPr>
            <w:r>
              <w:rPr>
                <w:rFonts w:ascii="Arial" w:cs="Arial" w:eastAsia="Arial" w:hAnsi="Arial"/>
                <w:sz w:val="8"/>
                <w:szCs w:val="8"/>
                <w:b w:val="1"/>
                <w:bCs w:val="1"/>
                <w:color w:val="auto"/>
                <w:w w:val="73"/>
              </w:rPr>
              <w:t>)</w:t>
            </w:r>
          </w:p>
        </w:tc>
        <w:tc>
          <w:tcPr>
            <w:tcW w:w="180" w:type="dxa"/>
            <w:vAlign w:val="bottom"/>
            <w:vMerge w:val="restart"/>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5,013</w:t>
            </w:r>
          </w:p>
        </w:tc>
        <w:tc>
          <w:tcPr>
            <w:tcW w:w="220" w:type="dxa"/>
            <w:vAlign w:val="bottom"/>
            <w:shd w:val="clear" w:color="auto" w:fill="CFF0FC"/>
          </w:tcPr>
          <w:p>
            <w:pPr>
              <w:spacing w:after="0"/>
              <w:rPr>
                <w:sz w:val="9"/>
                <w:szCs w:val="9"/>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(150,630</w:t>
            </w:r>
          </w:p>
        </w:tc>
        <w:tc>
          <w:tcPr>
            <w:tcW w:w="220" w:type="dxa"/>
            <w:vAlign w:val="bottom"/>
            <w:vMerge w:val="restart"/>
            <w:shd w:val="clear" w:color="auto" w:fill="CFF0FC"/>
          </w:tcPr>
          <w:p>
            <w:pPr>
              <w:jc w:val="right"/>
              <w:ind w:right="97"/>
              <w:spacing w:after="0"/>
              <w:rPr>
                <w:sz w:val="20"/>
                <w:szCs w:val="20"/>
                <w:color w:val="auto"/>
              </w:rPr>
            </w:pPr>
            <w:r>
              <w:rPr>
                <w:rFonts w:ascii="Arial" w:cs="Arial" w:eastAsia="Arial" w:hAnsi="Arial"/>
                <w:sz w:val="13"/>
                <w:szCs w:val="13"/>
                <w:b w:val="1"/>
                <w:bCs w:val="1"/>
                <w:color w:val="auto"/>
                <w:w w:val="91"/>
              </w:rPr>
              <w:t>)</w:t>
            </w:r>
          </w:p>
        </w:tc>
        <w:tc>
          <w:tcPr>
            <w:tcW w:w="11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(3,005)%</w:t>
            </w:r>
          </w:p>
        </w:tc>
        <w:tc>
          <w:tcPr>
            <w:tcW w:w="0" w:type="dxa"/>
            <w:vAlign w:val="bottom"/>
          </w:tcPr>
          <w:p>
            <w:pPr>
              <w:spacing w:after="0"/>
              <w:rPr>
                <w:sz w:val="1"/>
                <w:szCs w:val="1"/>
                <w:color w:val="auto"/>
              </w:rPr>
            </w:pPr>
          </w:p>
        </w:tc>
      </w:tr>
      <w:tr>
        <w:trPr>
          <w:trHeight w:val="132"/>
        </w:trPr>
        <w:tc>
          <w:tcPr>
            <w:tcW w:w="2380" w:type="dxa"/>
            <w:vAlign w:val="bottom"/>
            <w:shd w:val="clear" w:color="auto" w:fill="CFF0FC"/>
          </w:tcPr>
          <w:p>
            <w:pPr>
              <w:spacing w:after="0" w:line="106" w:lineRule="exact"/>
              <w:rPr>
                <w:sz w:val="20"/>
                <w:szCs w:val="20"/>
                <w:color w:val="auto"/>
              </w:rPr>
            </w:pPr>
            <w:r>
              <w:rPr>
                <w:rFonts w:ascii="Arial" w:cs="Arial" w:eastAsia="Arial" w:hAnsi="Arial"/>
                <w:sz w:val="12"/>
                <w:szCs w:val="12"/>
                <w:b w:val="1"/>
                <w:bCs w:val="1"/>
                <w:color w:val="auto"/>
              </w:rPr>
              <w:t>Class A common stockholders</w:t>
            </w:r>
          </w:p>
        </w:tc>
        <w:tc>
          <w:tcPr>
            <w:tcW w:w="120" w:type="dxa"/>
            <w:vAlign w:val="bottom"/>
            <w:vMerge w:val="continue"/>
            <w:shd w:val="clear" w:color="auto" w:fill="CFF0FC"/>
          </w:tcPr>
          <w:p>
            <w:pPr>
              <w:spacing w:after="0"/>
              <w:rPr>
                <w:sz w:val="11"/>
                <w:szCs w:val="11"/>
                <w:color w:val="auto"/>
              </w:rPr>
            </w:pPr>
          </w:p>
        </w:tc>
        <w:tc>
          <w:tcPr>
            <w:tcW w:w="90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vMerge w:val="continue"/>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220" w:type="dxa"/>
            <w:vAlign w:val="bottom"/>
            <w:vMerge w:val="continue"/>
            <w:shd w:val="clear" w:color="auto" w:fill="CFF0FC"/>
          </w:tcPr>
          <w:p>
            <w:pPr>
              <w:spacing w:after="0"/>
              <w:rPr>
                <w:sz w:val="11"/>
                <w:szCs w:val="11"/>
                <w:color w:val="auto"/>
              </w:rPr>
            </w:pPr>
          </w:p>
        </w:tc>
        <w:tc>
          <w:tcPr>
            <w:tcW w:w="1280" w:type="dxa"/>
            <w:vAlign w:val="bottom"/>
            <w:tcBorders>
              <w:right w:val="single" w:sz="8" w:color="CFF0FC"/>
            </w:tcBorders>
            <w:gridSpan w:val="2"/>
            <w:vMerge w:val="continue"/>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680" w:type="dxa"/>
            <w:vAlign w:val="bottom"/>
            <w:vMerge w:val="continue"/>
            <w:shd w:val="clear" w:color="auto" w:fill="CFF0FC"/>
          </w:tcPr>
          <w:p>
            <w:pPr>
              <w:spacing w:after="0"/>
              <w:rPr>
                <w:sz w:val="11"/>
                <w:szCs w:val="11"/>
                <w:color w:val="auto"/>
              </w:rPr>
            </w:pPr>
          </w:p>
        </w:tc>
        <w:tc>
          <w:tcPr>
            <w:tcW w:w="220" w:type="dxa"/>
            <w:vAlign w:val="bottom"/>
            <w:vMerge w:val="continue"/>
            <w:shd w:val="clear" w:color="auto" w:fill="CFF0FC"/>
          </w:tcPr>
          <w:p>
            <w:pPr>
              <w:spacing w:after="0"/>
              <w:rPr>
                <w:sz w:val="11"/>
                <w:szCs w:val="11"/>
                <w:color w:val="auto"/>
              </w:rPr>
            </w:pPr>
          </w:p>
        </w:tc>
        <w:tc>
          <w:tcPr>
            <w:tcW w:w="180" w:type="dxa"/>
            <w:vAlign w:val="bottom"/>
            <w:vMerge w:val="continue"/>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220" w:type="dxa"/>
            <w:vAlign w:val="bottom"/>
            <w:vMerge w:val="continue"/>
            <w:shd w:val="clear" w:color="auto" w:fill="CFF0FC"/>
          </w:tcPr>
          <w:p>
            <w:pPr>
              <w:spacing w:after="0"/>
              <w:rPr>
                <w:sz w:val="11"/>
                <w:szCs w:val="11"/>
                <w:color w:val="auto"/>
              </w:rPr>
            </w:pPr>
          </w:p>
        </w:tc>
        <w:tc>
          <w:tcPr>
            <w:tcW w:w="11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-1062355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-1062355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-1062355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-1062355</wp:posOffset>
            </wp:positionV>
            <wp:extent cx="1111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-1062355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-1062355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-1062355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-1062355</wp:posOffset>
            </wp:positionV>
            <wp:extent cx="11176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-24765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-24765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-7620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-24765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1111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1111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revenues by segment for the three and six months ended June 30,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 June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30,</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300" w:type="dxa"/>
            <w:vAlign w:val="bottom"/>
            <w:vMerge w:val="restart"/>
          </w:tcPr>
          <w:p>
            <w:pPr>
              <w:spacing w:after="0"/>
              <w:rPr>
                <w:sz w:val="14"/>
                <w:szCs w:val="14"/>
                <w:color w:val="auto"/>
              </w:rPr>
            </w:pPr>
          </w:p>
        </w:tc>
        <w:tc>
          <w:tcPr>
            <w:tcW w:w="200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Marketplace revenues</w:t>
            </w:r>
          </w:p>
        </w:tc>
        <w:tc>
          <w:tcPr>
            <w:tcW w:w="64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114,478</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170,046</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(55,568)</w:t>
            </w:r>
          </w:p>
        </w:tc>
        <w:tc>
          <w:tcPr>
            <w:tcW w:w="130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(33)%</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248,218</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330,058</w:t>
            </w:r>
          </w:p>
        </w:tc>
        <w:tc>
          <w:tcPr>
            <w:tcW w:w="3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(81,840)</w:t>
            </w:r>
          </w:p>
        </w:tc>
        <w:tc>
          <w:tcPr>
            <w:tcW w:w="10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20"/>
                <w:szCs w:val="20"/>
                <w:color w:val="auto"/>
              </w:rPr>
            </w:pPr>
            <w:r>
              <w:rPr>
                <w:rFonts w:ascii="Arial" w:cs="Arial" w:eastAsia="Arial" w:hAnsi="Arial"/>
                <w:sz w:val="14"/>
                <w:szCs w:val="14"/>
                <w:color w:val="auto"/>
              </w:rPr>
              <w:t>Resale revenues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29,088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28,270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818</w:t>
            </w:r>
          </w:p>
        </w:tc>
        <w:tc>
          <w:tcPr>
            <w:tcW w:w="2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59,371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59,110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261</w:t>
            </w:r>
          </w:p>
        </w:tc>
        <w:tc>
          <w:tcPr>
            <w:tcW w:w="22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revenues</w:t>
            </w: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143,566</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198,316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(54,750</w:t>
            </w:r>
          </w:p>
        </w:tc>
        <w:tc>
          <w:tcPr>
            <w:tcW w:w="22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30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4"/>
                <w:szCs w:val="14"/>
                <w:b w:val="1"/>
                <w:bCs w:val="1"/>
                <w:color w:val="auto"/>
              </w:rPr>
              <w:t>(28)%</w:t>
            </w: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307,589</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389,168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(81,579)</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20"/>
        </w:trPr>
        <w:tc>
          <w:tcPr>
            <w:tcW w:w="18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1200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12001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revenues decreased by $54.8 million, or 28% during the three months ended June 30, 2025 compared to the three months ended June 30, 2024 and decreased by $81.6 million, or 21%, during the six months ended June 30, 2025 compared to the six months ended June 30, 2024. The decreases resulted primarily from a decrease in Marketplace orders.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Revenues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Marketplace revenues by event category for the three and six months ended June 30,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 June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30,</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300" w:type="dxa"/>
            <w:vAlign w:val="bottom"/>
            <w:vMerge w:val="restart"/>
          </w:tcPr>
          <w:p>
            <w:pPr>
              <w:spacing w:after="0"/>
              <w:rPr>
                <w:sz w:val="14"/>
                <w:szCs w:val="14"/>
                <w:color w:val="auto"/>
              </w:rPr>
            </w:pPr>
          </w:p>
        </w:tc>
        <w:tc>
          <w:tcPr>
            <w:tcW w:w="200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Concert revenues</w:t>
            </w:r>
          </w:p>
        </w:tc>
        <w:tc>
          <w:tcPr>
            <w:tcW w:w="6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50,586</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80,803</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(30,217)</w:t>
            </w:r>
          </w:p>
        </w:tc>
        <w:tc>
          <w:tcPr>
            <w:tcW w:w="1300" w:type="dxa"/>
            <w:vAlign w:val="bottom"/>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(37)%</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108,740</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148,832</w:t>
            </w:r>
          </w:p>
        </w:tc>
        <w:tc>
          <w:tcPr>
            <w:tcW w:w="3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(40,092)</w:t>
            </w:r>
          </w:p>
        </w:tc>
        <w:tc>
          <w:tcPr>
            <w:tcW w:w="10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Sport revenues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35,818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51,457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(15,639)</w:t>
            </w:r>
          </w:p>
        </w:tc>
        <w:tc>
          <w:tcPr>
            <w:tcW w:w="1300" w:type="dxa"/>
            <w:vAlign w:val="bottom"/>
            <w:gridSpan w:val="2"/>
          </w:tcPr>
          <w:p>
            <w:pPr>
              <w:jc w:val="right"/>
              <w:ind w:right="48"/>
              <w:spacing w:after="0"/>
              <w:rPr>
                <w:sz w:val="20"/>
                <w:szCs w:val="20"/>
                <w:color w:val="auto"/>
              </w:rPr>
            </w:pPr>
            <w:r>
              <w:rPr>
                <w:rFonts w:ascii="Arial" w:cs="Arial" w:eastAsia="Arial" w:hAnsi="Arial"/>
                <w:sz w:val="14"/>
                <w:szCs w:val="14"/>
                <w:color w:val="auto"/>
              </w:rPr>
              <w:t>(30)%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74,416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98,805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(24,389)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spacing w:after="0"/>
              <w:rPr>
                <w:sz w:val="20"/>
                <w:szCs w:val="20"/>
                <w:color w:val="auto"/>
              </w:rPr>
            </w:pPr>
            <w:r>
              <w:rPr>
                <w:rFonts w:ascii="Arial" w:cs="Arial" w:eastAsia="Arial" w:hAnsi="Arial"/>
                <w:sz w:val="14"/>
                <w:szCs w:val="14"/>
                <w:color w:val="auto"/>
              </w:rPr>
              <w:t>Theater revenues</w:t>
            </w:r>
          </w:p>
        </w:tc>
        <w:tc>
          <w:tcPr>
            <w:tcW w:w="4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23,744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30,932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(7,188)</w:t>
            </w:r>
          </w:p>
        </w:tc>
        <w:tc>
          <w:tcPr>
            <w:tcW w:w="13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(23)%</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55,277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68,839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(13,562)</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Other revenues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6,854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(2,524)</w:t>
            </w:r>
          </w:p>
        </w:tc>
        <w:tc>
          <w:tcPr>
            <w:tcW w:w="1300" w:type="dxa"/>
            <w:vAlign w:val="bottom"/>
            <w:gridSpan w:val="2"/>
          </w:tcPr>
          <w:p>
            <w:pPr>
              <w:jc w:val="right"/>
              <w:ind w:right="48"/>
              <w:spacing w:after="0"/>
              <w:rPr>
                <w:sz w:val="20"/>
                <w:szCs w:val="20"/>
                <w:color w:val="auto"/>
              </w:rPr>
            </w:pPr>
            <w:r>
              <w:rPr>
                <w:rFonts w:ascii="Arial" w:cs="Arial" w:eastAsia="Arial" w:hAnsi="Arial"/>
                <w:sz w:val="14"/>
                <w:szCs w:val="14"/>
                <w:color w:val="auto"/>
              </w:rPr>
              <w:t>(37)%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9,785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13,582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(3,797)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Marketplace revenues</w:t>
            </w:r>
          </w:p>
        </w:tc>
        <w:tc>
          <w:tcPr>
            <w:tcW w:w="4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114,478</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170,046</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(55,568</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(33)</w:t>
            </w:r>
          </w:p>
        </w:tc>
        <w:tc>
          <w:tcPr>
            <w:tcW w:w="300" w:type="dxa"/>
            <w:vAlign w:val="bottom"/>
            <w:tcBorders>
              <w:bottom w:val="single" w:sz="8" w:color="CFF0FC"/>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248,218</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330,058</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(81,840)</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(25)</w:t>
            </w:r>
          </w:p>
        </w:tc>
        <w:tc>
          <w:tcPr>
            <w:tcW w:w="18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-24765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-24765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12001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1200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Marketplace revenues decreased by $55.6 million, or 33%, during the three months ended June 30, 2025 compared to the three months ended June 30, 2024 and decreased by $81.8 million, or 25%, during the six months ended June 30, 2025 compared to the six months ended June 30, 2024. The decreases resulted primarily from 30% and 25% decreases in Marketplace orders during the same respective periods.</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Marketplace cancellation charges, which generally have a negative impact on Marketplace revenues, represented a reduction to Marketplace revenues of $4.2 million during the three months ended June 30, 2025 compared to $3.9 million during the three months ended June 30, 2024. The increase resulted primarily from lower Marketplace revenues recognized from customer credit breakage, partly offset by lower payment-related chargeback activity primarily due to lower Marketplace order volume. Marketplace cancellation charges represented a reduction to Marketplace revenues of $9.5 million during the six months ended June 30, 2025 compared to $13.1 million during the six months ended June 30, 2024. The decrease resulted primarily from lower payment-related chargeback activity primarily due to lower Marketplace order volume, partly offset by lower Marketplace revenues recognized from customer credit breakage.</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Marketplace revenues by business model for the three and six months ended June 30,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 June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30,</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4"/>
                <w:szCs w:val="14"/>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Owned Properties revenues</w:t>
            </w:r>
          </w:p>
        </w:tc>
        <w:tc>
          <w:tcPr>
            <w:tcW w:w="5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97,439</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138,587</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(41,148)</w:t>
            </w:r>
          </w:p>
        </w:tc>
        <w:tc>
          <w:tcPr>
            <w:tcW w:w="11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(30)%</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206,671</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265,158</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(58,487)</w:t>
            </w:r>
          </w:p>
        </w:tc>
        <w:tc>
          <w:tcPr>
            <w:tcW w:w="104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20"/>
                <w:szCs w:val="20"/>
                <w:color w:val="auto"/>
              </w:rPr>
            </w:pPr>
            <w:r>
              <w:rPr>
                <w:rFonts w:ascii="Arial" w:cs="Arial" w:eastAsia="Arial" w:hAnsi="Arial"/>
                <w:sz w:val="14"/>
                <w:szCs w:val="14"/>
                <w:color w:val="auto"/>
              </w:rPr>
              <w:t>Private Label Offering revenues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17,039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31,459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(14,420)</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41,547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64,900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(23,353)</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3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Marketplace revenues</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114,478</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170,046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(55,568</w:t>
            </w:r>
          </w:p>
        </w:tc>
        <w:tc>
          <w:tcPr>
            <w:tcW w:w="22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18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4"/>
                <w:szCs w:val="14"/>
                <w:b w:val="1"/>
                <w:bCs w:val="1"/>
                <w:color w:val="auto"/>
              </w:rPr>
              <w:t>(33)%</w:t>
            </w: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248,218</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330,058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(81,840</w:t>
            </w:r>
          </w:p>
        </w:tc>
        <w:tc>
          <w:tcPr>
            <w:tcW w:w="22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04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20"/>
        </w:trPr>
        <w:tc>
          <w:tcPr>
            <w:tcW w:w="23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-25400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-8255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-25400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-8255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-25400</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-8255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-25400</wp:posOffset>
            </wp:positionV>
            <wp:extent cx="12001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12001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-25400</wp:posOffset>
            </wp:positionV>
            <wp:extent cx="12890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-8255</wp:posOffset>
            </wp:positionV>
            <wp:extent cx="12890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decrease in both Owned Properties and Private Label Offering revenues during the three and six months ended June 30, 2025 compared to the three and six months ended June 30, 2024 resulted primarily from a decrease in Marketplace orders.</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also earn Marketplace revenue in the form of referral fees charged to third-party insurance providers in exchange for offering event insurance to ticket buyers. Marketplace revenue earned from referral fees was $4.5 million and $10.3 million during the three and six months ended June 30, 2025, respectively, compared to $6.8 million and $13.6 million during the three and six months ended June 30, 2024, respectively. The decrease resulted primarily from lower Marketplace order volume.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 Revenues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Resale revenues increased by $ 0.8 million, or 3%, during the three months ended June 30, 2025 compared to the three months ended June 30, 2024. The increase resulted primarily from higher average revenue per Resale order, despite a 4% decrease in Resale orders. Resale revenues increased by $0.3 million, or 0.4%, during the six months ended June 30, 2025 compared to the six months ended June 30, 2024, which was relatively consistent with the 1% increase in Resale orders.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Resale cancellation charges, which generally have a negative impact on Resale revenues, represented a reduction to Resale revenues of $0.7 million during the three months ended June 30, 2025 compared to $ 0.5 million during the three months ended June 30, 2024. Resale cancellation charges represented a reduction to Resale revenues of $1.2 million during the six months ended June 30, 2025 compared to $0.8 million during the six months ended June 30, 2024. The increase for both periods was due to a higher number of cancelled orders.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Cost of Revenues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cost of revenues by segment for the three and six months ended June 30,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4"/>
                <w:szCs w:val="14"/>
                <w:color w:val="auto"/>
              </w:rPr>
            </w:pPr>
          </w:p>
        </w:tc>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300" w:type="dxa"/>
            <w:vAlign w:val="bottom"/>
            <w:vMerge w:val="restart"/>
          </w:tcPr>
          <w:p>
            <w:pPr>
              <w:spacing w:after="0"/>
              <w:rPr>
                <w:sz w:val="14"/>
                <w:szCs w:val="14"/>
                <w:color w:val="auto"/>
              </w:rPr>
            </w:pPr>
          </w:p>
        </w:tc>
        <w:tc>
          <w:tcPr>
            <w:tcW w:w="200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Marketplace cost of revenues</w:t>
            </w:r>
          </w:p>
        </w:tc>
        <w:tc>
          <w:tcPr>
            <w:tcW w:w="52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18,162</w:t>
            </w:r>
          </w:p>
        </w:tc>
        <w:tc>
          <w:tcPr>
            <w:tcW w:w="420" w:type="dxa"/>
            <w:vAlign w:val="bottom"/>
            <w:gridSpan w:val="2"/>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25,163</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19"/>
              <w:spacing w:after="0" w:line="155" w:lineRule="exact"/>
              <w:rPr>
                <w:sz w:val="20"/>
                <w:szCs w:val="20"/>
                <w:color w:val="auto"/>
              </w:rPr>
            </w:pPr>
            <w:r>
              <w:rPr>
                <w:rFonts w:ascii="Arial" w:cs="Arial" w:eastAsia="Arial" w:hAnsi="Arial"/>
                <w:sz w:val="14"/>
                <w:szCs w:val="14"/>
                <w:color w:val="auto"/>
              </w:rPr>
              <w:t>(7,001)</w:t>
            </w:r>
          </w:p>
        </w:tc>
        <w:tc>
          <w:tcPr>
            <w:tcW w:w="120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(28)%</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39,161</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51,304</w:t>
            </w:r>
          </w:p>
        </w:tc>
        <w:tc>
          <w:tcPr>
            <w:tcW w:w="3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39"/>
              <w:spacing w:after="0" w:line="155" w:lineRule="exact"/>
              <w:rPr>
                <w:sz w:val="20"/>
                <w:szCs w:val="20"/>
                <w:color w:val="auto"/>
              </w:rPr>
            </w:pPr>
            <w:r>
              <w:rPr>
                <w:rFonts w:ascii="Arial" w:cs="Arial" w:eastAsia="Arial" w:hAnsi="Arial"/>
                <w:sz w:val="14"/>
                <w:szCs w:val="14"/>
                <w:color w:val="auto"/>
              </w:rPr>
              <w:t>(12,143)</w:t>
            </w:r>
          </w:p>
        </w:tc>
        <w:tc>
          <w:tcPr>
            <w:tcW w:w="9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20"/>
                <w:szCs w:val="20"/>
                <w:color w:val="auto"/>
              </w:rPr>
            </w:pPr>
            <w:r>
              <w:rPr>
                <w:rFonts w:ascii="Arial" w:cs="Arial" w:eastAsia="Arial" w:hAnsi="Arial"/>
                <w:sz w:val="14"/>
                <w:szCs w:val="14"/>
                <w:color w:val="auto"/>
              </w:rPr>
              <w:t>Resale cost of revenues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24,267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23,602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665</w:t>
            </w:r>
          </w:p>
        </w:tc>
        <w:tc>
          <w:tcPr>
            <w:tcW w:w="2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47,793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47,044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749</w:t>
            </w:r>
          </w:p>
        </w:tc>
        <w:tc>
          <w:tcPr>
            <w:tcW w:w="2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2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cost of revenues</w:t>
            </w: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42,429</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48,765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(6,336</w:t>
            </w:r>
          </w:p>
        </w:tc>
        <w:tc>
          <w:tcPr>
            <w:tcW w:w="200" w:type="dxa"/>
            <w:vAlign w:val="bottom"/>
            <w:shd w:val="clear" w:color="auto" w:fill="CFF0FC"/>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120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4"/>
                <w:szCs w:val="14"/>
                <w:b w:val="1"/>
                <w:bCs w:val="1"/>
                <w:color w:val="auto"/>
              </w:rPr>
              <w:t>(13)%</w:t>
            </w: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86,954</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98,348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(11,394</w:t>
            </w:r>
          </w:p>
        </w:tc>
        <w:tc>
          <w:tcPr>
            <w:tcW w:w="220" w:type="dxa"/>
            <w:vAlign w:val="bottom"/>
            <w:shd w:val="clear" w:color="auto" w:fill="CFF0FC"/>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9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-24765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-7620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-24765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1200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1200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cost of revenues decreased by $6.3 million, or 13%, during the three months ended June 30, 2025 compared to the three months ended June 30, 2024 and decreased by $11.4 million, or 12%, during the six months ended June 30, 2025 compared to the six months ended June 30, 2024. The decreases resulted primarily from a decrease in Marketplace orders.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Cost of Revenues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Marketplace cost of revenues decreased by $7.0 million, or 28%, during the three months ended June 30, 2025 compared to the three months ended June 30, 2024 and decreased by $12.1 million, or 24%, during the six months ended June 30, 2025 compared to the six months ended June 30, 2024. The decreases, which were primarily due to a decrease in Marketplace orders, were relatively consistent with the 31% and 26% decreases in Marketplace GOV during the same respective periods.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 Cost of Revenues</w:t>
      </w:r>
    </w:p>
    <w:p>
      <w:pPr>
        <w:spacing w:after="0" w:line="10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Resale cost of revenues increased by $0.7 million, or 3%, during the three months ended June 30, 2025 compared to the three months ended June 30, 2024 and increased by $0.7 million, or 2%, during the six months ended June 30, 2025 compared to the six months ended June 30, 2024. The increases were relatively consistent with the increases in Resale revenues during the same respective periods.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Marketing and Selling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Marketing and Selling</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marketing and selling expenses by advertising category for the three and six months ended June 30,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 June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30,</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300" w:type="dxa"/>
            <w:vAlign w:val="bottom"/>
            <w:vMerge w:val="restart"/>
          </w:tcPr>
          <w:p>
            <w:pPr>
              <w:spacing w:after="0"/>
              <w:rPr>
                <w:sz w:val="14"/>
                <w:szCs w:val="14"/>
                <w:color w:val="auto"/>
              </w:rPr>
            </w:pPr>
          </w:p>
        </w:tc>
        <w:tc>
          <w:tcPr>
            <w:tcW w:w="200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Online advertising</w:t>
            </w:r>
          </w:p>
        </w:tc>
        <w:tc>
          <w:tcPr>
            <w:tcW w:w="48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48,630</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63,905</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39"/>
              <w:spacing w:after="0" w:line="155" w:lineRule="exact"/>
              <w:rPr>
                <w:sz w:val="20"/>
                <w:szCs w:val="20"/>
                <w:color w:val="auto"/>
              </w:rPr>
            </w:pPr>
            <w:r>
              <w:rPr>
                <w:rFonts w:ascii="Arial" w:cs="Arial" w:eastAsia="Arial" w:hAnsi="Arial"/>
                <w:sz w:val="14"/>
                <w:szCs w:val="14"/>
                <w:color w:val="auto"/>
              </w:rPr>
              <w:t>(15,275)</w:t>
            </w:r>
          </w:p>
        </w:tc>
        <w:tc>
          <w:tcPr>
            <w:tcW w:w="11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(24)%</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107,829</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125,811</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(17,982)</w:t>
            </w:r>
          </w:p>
        </w:tc>
        <w:tc>
          <w:tcPr>
            <w:tcW w:w="120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20"/>
                <w:szCs w:val="20"/>
                <w:color w:val="auto"/>
              </w:rPr>
            </w:pPr>
            <w:r>
              <w:rPr>
                <w:rFonts w:ascii="Arial" w:cs="Arial" w:eastAsia="Arial" w:hAnsi="Arial"/>
                <w:sz w:val="14"/>
                <w:szCs w:val="14"/>
                <w:color w:val="auto"/>
              </w:rPr>
              <w:t>Offline advertising</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5,170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4"/>
                <w:szCs w:val="14"/>
                <w:color w:val="auto"/>
              </w:rPr>
              <w:t>(1,039)</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10,083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12,050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(1,967)</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1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marketing and selling</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53,800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70,114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(16,314</w:t>
            </w:r>
          </w:p>
        </w:tc>
        <w:tc>
          <w:tcPr>
            <w:tcW w:w="220" w:type="dxa"/>
            <w:vAlign w:val="bottom"/>
            <w:shd w:val="clear" w:color="auto" w:fill="CFF0FC"/>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18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4"/>
                <w:szCs w:val="14"/>
                <w:b w:val="1"/>
                <w:bCs w:val="1"/>
                <w:color w:val="auto"/>
              </w:rPr>
              <w:t>(23)%</w:t>
            </w: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117,912</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137,861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(19,949</w:t>
            </w:r>
          </w:p>
        </w:tc>
        <w:tc>
          <w:tcPr>
            <w:tcW w:w="22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2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20"/>
        </w:trPr>
        <w:tc>
          <w:tcPr>
            <w:tcW w:w="2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-25400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-8255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-25400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-8255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-25400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-8255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12001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12001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-25400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12001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12001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Total marketing and selling expenses, which are entirely attributable to our Marketplace segment, decreased by $16.3 million, or 23%, during the three months ended June 30, 2025 compared to the three months ended June 30, 2024 and decreased by $19.9 million, or 14%, during the six months ended June 30, 2025 compared to the six months ended June 30, 2024. The decreases were not consistent with the 33% and 25% decreases in Marketplace revenues during the same respective periods, primarily due to higher investment in digital performance marketing channels.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Advertising</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Online advertising costs decreased by $15.3 million, or 24%, during the three months ended June 30, 2025 compared to the three months ended June 30, 2024 and decreased by $18.0 million, or 14%, during the six months ended June 30, 2025 compared to the six months ended June 30, 2024. The decreases resulted primarily from a decrease in Marketplace orders, partly offset by higher investment in digital performance marketing channels.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Offline Advertising</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Offline advertising costs decreased by $1.0 million, or 17%, during the three months ended June 30, 2025 compared to the three months ended June 30, 2024 and decreased by $2.0 million, or 16%, during the six months ended June 30, 2025 compared to the six months ended June 30, 2024. The decreases resulted primarily from lower spending in traditional brand marketing channels in line with lower volumes.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Margin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Contribution Margin</w:t>
      </w:r>
    </w:p>
    <w:p>
      <w:pPr>
        <w:spacing w:after="0" w:line="10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presents total contribution margin by segment for the three and six months ended June 30,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00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 June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30,</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300" w:type="dxa"/>
            <w:vAlign w:val="bottom"/>
            <w:vMerge w:val="restart"/>
          </w:tcPr>
          <w:p>
            <w:pPr>
              <w:spacing w:after="0"/>
              <w:rPr>
                <w:sz w:val="14"/>
                <w:szCs w:val="14"/>
                <w:color w:val="auto"/>
              </w:rPr>
            </w:pPr>
          </w:p>
        </w:tc>
        <w:tc>
          <w:tcPr>
            <w:tcW w:w="200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Marketplace contribution margin</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42,516</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74,769</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(32,253)</w:t>
            </w:r>
          </w:p>
        </w:tc>
        <w:tc>
          <w:tcPr>
            <w:tcW w:w="1200" w:type="dxa"/>
            <w:vAlign w:val="bottom"/>
            <w:tcBorders>
              <w:right w:val="single" w:sz="8" w:color="CFF0FC"/>
            </w:tcBorders>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(43)%</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91,145</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140,893</w:t>
            </w:r>
          </w:p>
        </w:tc>
        <w:tc>
          <w:tcPr>
            <w:tcW w:w="3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39"/>
              <w:spacing w:after="0" w:line="155" w:lineRule="exact"/>
              <w:rPr>
                <w:sz w:val="20"/>
                <w:szCs w:val="20"/>
                <w:color w:val="auto"/>
              </w:rPr>
            </w:pPr>
            <w:r>
              <w:rPr>
                <w:rFonts w:ascii="Arial" w:cs="Arial" w:eastAsia="Arial" w:hAnsi="Arial"/>
                <w:sz w:val="14"/>
                <w:szCs w:val="14"/>
                <w:color w:val="auto"/>
              </w:rPr>
              <w:t>(49,748)</w:t>
            </w:r>
          </w:p>
        </w:tc>
        <w:tc>
          <w:tcPr>
            <w:tcW w:w="11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Resale contribution margin</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4,668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153</w:t>
            </w:r>
          </w:p>
        </w:tc>
        <w:tc>
          <w:tcPr>
            <w:tcW w:w="22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11,578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12,066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4"/>
                <w:szCs w:val="14"/>
                <w:color w:val="auto"/>
              </w:rPr>
              <w:t>(488)</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contribution margin</w:t>
            </w: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47,337</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79,437</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(32,100</w:t>
            </w:r>
          </w:p>
        </w:tc>
        <w:tc>
          <w:tcPr>
            <w:tcW w:w="22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200" w:type="dxa"/>
            <w:vAlign w:val="bottom"/>
            <w:tcBorders>
              <w:right w:val="single" w:sz="8" w:color="CFF0FC"/>
            </w:tcBorders>
            <w:gridSpan w:val="2"/>
            <w:shd w:val="clear" w:color="auto" w:fill="CFF0FC"/>
          </w:tcPr>
          <w:p>
            <w:pPr>
              <w:jc w:val="right"/>
              <w:ind w:right="120"/>
              <w:spacing w:after="0" w:line="142" w:lineRule="exact"/>
              <w:rPr>
                <w:sz w:val="20"/>
                <w:szCs w:val="20"/>
                <w:color w:val="auto"/>
              </w:rPr>
            </w:pPr>
            <w:r>
              <w:rPr>
                <w:rFonts w:ascii="Arial" w:cs="Arial" w:eastAsia="Arial" w:hAnsi="Arial"/>
                <w:sz w:val="14"/>
                <w:szCs w:val="14"/>
                <w:b w:val="1"/>
                <w:bCs w:val="1"/>
                <w:color w:val="auto"/>
              </w:rPr>
              <w:t>(40)%</w:t>
            </w: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102,723</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152,959</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(50,236</w:t>
            </w:r>
          </w:p>
        </w:tc>
        <w:tc>
          <w:tcPr>
            <w:tcW w:w="220" w:type="dxa"/>
            <w:vAlign w:val="bottom"/>
            <w:shd w:val="clear" w:color="auto" w:fill="CFF0FC"/>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1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20"/>
        </w:trPr>
        <w:tc>
          <w:tcPr>
            <w:tcW w:w="24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-24765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-7620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-24765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-7620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-24765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12001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12001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contribution margin decreased by $ 32.1 million, or 40%, during the three months ended June 30, 2025 compared to the three months ended June 30, 2024 and decreased by $50.2 million, or 33%, during the six months ended June 30, 2025 compared to the six months ended June 30, 2024. The decreases resulted primarily from a lower contribution margin in our Marketplace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Contribution Margin</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Marketplace contribution margin decreased by $32.3 million, or 43%, during the three months ended June 30, 2025 compared to the three months ended June 30, 2024 and decreased by $49.7 million, or 35%, during the six months ended June 30, 2025 compared to the six months ended June 30, 2024. The decreases resulted primarily from a decrease in Marketplace orders and higher investment in digital performance marketing channels.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Resale Contribution Margin</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Resale contribution margin increased by $0.2 million, or 3%, during the three months ended June 30, 2025 compared to the three months ended June 30, 2024. The increase resulted primarily from higher average revenue per Resale order in the period. Resale contribution margin decreased by $0.5 million, or 4%, during the six months ended June 30, 2025 compared to the six months ended June 30, 2024. The decrease resulted primarily from lower margins for certain Resale event categories.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General and Administrative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general and administrative expenses by category for the three and six months ended June 30, 2025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2024 (in thousands, except percentages):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98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 June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30,</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300" w:type="dxa"/>
            <w:vAlign w:val="bottom"/>
            <w:vMerge w:val="restart"/>
          </w:tcPr>
          <w:p>
            <w:pPr>
              <w:spacing w:after="0"/>
              <w:rPr>
                <w:sz w:val="14"/>
                <w:szCs w:val="14"/>
                <w:color w:val="auto"/>
              </w:rPr>
            </w:pPr>
          </w:p>
        </w:tc>
        <w:tc>
          <w:tcPr>
            <w:tcW w:w="200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Personnel expenses</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34,056</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43,088</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39"/>
              <w:spacing w:after="0" w:line="155" w:lineRule="exact"/>
              <w:rPr>
                <w:sz w:val="20"/>
                <w:szCs w:val="20"/>
                <w:color w:val="auto"/>
              </w:rPr>
            </w:pPr>
            <w:r>
              <w:rPr>
                <w:rFonts w:ascii="Arial" w:cs="Arial" w:eastAsia="Arial" w:hAnsi="Arial"/>
                <w:sz w:val="14"/>
                <w:szCs w:val="14"/>
                <w:color w:val="auto"/>
              </w:rPr>
              <w:t>(9,032)</w:t>
            </w:r>
          </w:p>
        </w:tc>
        <w:tc>
          <w:tcPr>
            <w:tcW w:w="11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(21)%</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67,331</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75,690</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(8,359)</w:t>
            </w:r>
          </w:p>
        </w:tc>
        <w:tc>
          <w:tcPr>
            <w:tcW w:w="120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Non-income tax expense</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5,522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4"/>
                <w:szCs w:val="14"/>
                <w:color w:val="auto"/>
              </w:rPr>
              <w:t>(4,547)</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(82)%</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(463)</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3,143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(3,606)</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spacing w:after="0"/>
              <w:rPr>
                <w:sz w:val="20"/>
                <w:szCs w:val="20"/>
                <w:color w:val="auto"/>
              </w:rPr>
            </w:pPr>
            <w:r>
              <w:rPr>
                <w:rFonts w:ascii="Arial" w:cs="Arial" w:eastAsia="Arial" w:hAnsi="Arial"/>
                <w:sz w:val="14"/>
                <w:szCs w:val="14"/>
                <w:color w:val="auto"/>
              </w:rPr>
              <w:t>Other general and administrative</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11,241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12,443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39"/>
              <w:spacing w:after="0"/>
              <w:rPr>
                <w:sz w:val="20"/>
                <w:szCs w:val="20"/>
                <w:color w:val="auto"/>
              </w:rPr>
            </w:pPr>
            <w:r>
              <w:rPr>
                <w:rFonts w:ascii="Arial" w:cs="Arial" w:eastAsia="Arial" w:hAnsi="Arial"/>
                <w:sz w:val="14"/>
                <w:szCs w:val="14"/>
                <w:color w:val="auto"/>
              </w:rPr>
              <w:t>(1,202)</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27,486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24,587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2,899</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60" w:type="dxa"/>
            <w:vAlign w:val="bottom"/>
          </w:tcPr>
          <w:p>
            <w:pPr>
              <w:spacing w:after="0" w:line="155" w:lineRule="exact"/>
              <w:rPr>
                <w:sz w:val="20"/>
                <w:szCs w:val="20"/>
                <w:color w:val="auto"/>
              </w:rPr>
            </w:pPr>
            <w:r>
              <w:rPr>
                <w:rFonts w:ascii="Arial" w:cs="Arial" w:eastAsia="Arial" w:hAnsi="Arial"/>
                <w:sz w:val="14"/>
                <w:szCs w:val="14"/>
                <w:b w:val="1"/>
                <w:bCs w:val="1"/>
                <w:color w:val="auto"/>
              </w:rPr>
              <w:t>Total general and administrative</w:t>
            </w: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46,272</w:t>
            </w:r>
          </w:p>
        </w:tc>
        <w:tc>
          <w:tcPr>
            <w:tcW w:w="220" w:type="dxa"/>
            <w:vAlign w:val="bottom"/>
          </w:tcPr>
          <w:p>
            <w:pPr>
              <w:spacing w:after="0"/>
              <w:rPr>
                <w:sz w:val="13"/>
                <w:szCs w:val="13"/>
                <w:color w:val="auto"/>
              </w:rPr>
            </w:pP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61,053</w:t>
            </w:r>
          </w:p>
        </w:tc>
        <w:tc>
          <w:tcPr>
            <w:tcW w:w="220" w:type="dxa"/>
            <w:vAlign w:val="bottom"/>
          </w:tcPr>
          <w:p>
            <w:pPr>
              <w:spacing w:after="0"/>
              <w:rPr>
                <w:sz w:val="13"/>
                <w:szCs w:val="13"/>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(14,781</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1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(24)%</w:t>
            </w: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94,354</w:t>
            </w:r>
          </w:p>
        </w:tc>
        <w:tc>
          <w:tcPr>
            <w:tcW w:w="220" w:type="dxa"/>
            <w:vAlign w:val="bottom"/>
          </w:tcPr>
          <w:p>
            <w:pPr>
              <w:spacing w:after="0"/>
              <w:rPr>
                <w:sz w:val="13"/>
                <w:szCs w:val="13"/>
                <w:color w:val="auto"/>
              </w:rPr>
            </w:pP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103,420</w:t>
            </w:r>
          </w:p>
        </w:tc>
        <w:tc>
          <w:tcPr>
            <w:tcW w:w="220" w:type="dxa"/>
            <w:vAlign w:val="bottom"/>
          </w:tcPr>
          <w:p>
            <w:pPr>
              <w:spacing w:after="0"/>
              <w:rPr>
                <w:sz w:val="13"/>
                <w:szCs w:val="13"/>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(9,066</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2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-136525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-136525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-136525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-136525</wp:posOffset>
            </wp:positionV>
            <wp:extent cx="12001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-136525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-136525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-136525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-136525</wp:posOffset>
            </wp:positionV>
            <wp:extent cx="12001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Total general and administrative expenses decreased by $14.8 million, or 24%, during the three months ended June 30, 2025 compared to the three months ended June 30, 2024 and decreased by $9.1 million, or 9%, during the six months ended June 30, 2025 compared to the six months ended June 30, 2024. The decreases resulted primarily from a decrease in personnel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Personnel Expenses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Personnel expenses decreased by $9.0 million, or 21%, during the three months ended June 30, 2025 compared to the three months ended June 30, 2024 and decreased by $8.4 million, or 11%, during the six months ended June 30, 2025 compared to the six months ended June 30, 2024. The decreases resulted primarily from a decrease in equity-based compensation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Non-Income Tax Expense</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Non-income tax expense decreased by $ 4.5 million, or 82%, during the three months ended June 30, 2025 compared to the three months ended June 30, 2024 and decreased by $3.6 million, or 115%, during the six months ended June 30, 2025 compared to the six months ended June 30, 2024. The decreases resulted primarily from receiving higher abatements and recognizing other reductions to the balance of the liability related to uncollected indirect taxes (including sales taxes).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General and Administrative</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general and administrative expenses decreased by $1.2 million, or 10%, during the three months ended June 30, 2025 compared to the three months ended June 30, 2024. The decrease resulted primarily from lower professional services fees. Other general and administrative expenses increased by $2.9 million, or 12%, during the six months ended June 30, 2025 compared to the six months ended June 30, 2024. The increase resulted primarily from an increase in computer and telecom expenses.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Depreciation and amortization expenses increased by $1.8 million, or 18%, during the three months ended June 30, 2025 compared to the three months ended June 30, 2024 and increased by $3.0 million, or 14%, during the six months ended June 30, 2025 compared to the six months ended June 30, 2024. The increases resulted primarily from an increase in intangible assets as a result of our October 2024 acquisition of a domain name that we had previously licensed and, to a lesser extent, an increase in capitalized development activities related to our platform.</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Impairment charges increased by $320.4 million, or 100%, for both the three and six months ended June 30, 2025 compared to the three and six months ended June 30, 2024. The impairment charges resulted primarily from the effects of recent declines in our financial performance, near-term outlook, and Class A common stock price, among other factors, during the three and six months ended June 30, 2025 and resulted in a reduction in the fair values of our goodwill and certain indefinite-lived intangible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 Net</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expense – net increased by $0.3 million, or 6%, during the three months ended June 30, 2025 compared to the three months ended June 30, 2024 and increased by $0.9 million, or 9%, during the six months ended June 30, 2025 compared to the six months ended June 30, 2024. The increases resulted primarily from lower interest income earned on our cash balances.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Net</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Other income – net increased by $153.4 million, or 4791%, during the three months ended June 30, 2025 compared to the three months ended June 30, 2024 and increased by $160.1 million, or 2769%, during the six months ended June 30, 2025 compared to the six months ended June 30, 2024. The increases resulted primarily from income related to the remeasurement of the TRA liability, net gains resulting from the impact of exchange rate changes on transactions denominated in non-functional currencies, and higher unrealized gains related to the fair value remeasurement of the warrants issued by Hoya Intermediate to Hoya Topco in connection with the Merger Transaction.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Loss on extinguishment of debt increased by $0.8 million, or 100%, during the six months ended June 30, 2025 compared to the six months ended June 30, 2024. The increase resulted entirely from the refinancing of the 2024 First Lien Loan with the 2025 First Lien Loan. There was no change in Loss on extinguishment of debt during the three months ended June 30, 2025 compared to the three months ended June 30, 2024.</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Income tax expense increased by $75.6 million and $76.5 million during the three and six months ended June 30, 2025 compared to the three and six months ended June 30, 2024, respectively. The increase resulted primarily from increase to the valuation allowance recorded as of June 30, 2025.</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historically financed our operations primarily through cash generated from operations. Our primary short-term requirements for liquidity and capital are to fund general working capital, capital expenditures, and debt service requirements. Our primary long-term liquidity needs are related to debt repayment and potential acquisitions.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primary source of funds is cash generated from operations. Our existing cash and cash equivalents are sufficient to fund our liquidity needs for the next 12 months and thereafter for the foreseeable future. As of June 30, 2025, we had $153.0 million of cash and cash equivalents, which consist of interest-bearing deposit accounts, money market accounts managed by financial institutions, and highly liquid investments with maturities of three months or less. During the six months ended June 30, 2025 we generated negative cash flows from operating activities, primarily due to abnormally low order volumes during the end of the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February 2022, we refinanced the outstanding balance of our former first lien debt facility with a $275.0 million term loan (the “2022 First Lien Loan”) and a $100.0 million revolving credit facility with a maturity date of February 3, 2027 (the “Revolving Facility”).</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14, 2024, we refinanced the outstanding balance of the 2022 First Lien Loan with a $395.0 million term loan with a maturity date of February 3, 2029 (the “2024 First Lien Loan”). The 2024 First Lien Loan carried an interest rate equal to the secured overnight financing rate (“SOFR”) (subject to a 0.5% floor) plus a margin of 3.00%.</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42" w:name="page43"/>
    <w:bookmarkEnd w:id="42"/>
    <w:p>
      <w:pPr>
        <w:jc w:val="both"/>
        <w:spacing w:after="0" w:line="239" w:lineRule="auto"/>
        <w:rPr>
          <w:sz w:val="20"/>
          <w:szCs w:val="20"/>
          <w:color w:val="auto"/>
        </w:rPr>
      </w:pPr>
      <w:r>
        <w:rPr>
          <w:rFonts w:ascii="Arial" w:cs="Arial" w:eastAsia="Arial" w:hAnsi="Arial"/>
          <w:sz w:val="18"/>
          <w:szCs w:val="18"/>
          <w:color w:val="auto"/>
        </w:rPr>
        <w:t>On February 5, 2025, we refinanced the outstanding balance of the 2024 First Lien Loan with a $393.0 million term loan with a maturity date of February 3, 2029 (the “2025 First Lien Loan”). The 2025 First Lien Loan carries an interest rate equal to SOFR (subject to a 0.5% floor) plus a margin of 2.25%; provided that such margin may be reduced to 2.00% if the corporate rating assigned to us by Moody’s Investors Service, Inc. and S&amp;P Global Ratings is at least Ba3/BB- (in each case, stable or better). The 2025 First Lien Loan requires quarterly principal payments of $1.0 million. The Revolving Facility, which was unaffected by the February 2022 and June 2024 refinancings, does not require periodic payments. All obligations under the 2025 First Lien Loan are unconditionally guaranteed by Hoya Intermediate and substantially all of Hoya Intermediate’s existing and future direct and indirect wholly owned domestic subsidiaries (collectively, the “Guarantors”). All obligations under the 2025 First Lien Loan are secured, subject to permitted liens and other exceptions, by first-priority perfected security interests in substantially all of our and the Guarantors’ assets.</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acquisition of Wavedash, we assumed long-term debt owed to Shoko Chukin Bank (the “Shoko Chukin Bank Loan”) of JPY 458.3 million (approximately $3.1 million), which had an original maturity date of June 24, 2026 and was subject to a fixed interest rate of 1.3% per annum. On April 4, 2024, we paid off the Shoko Chukin Bank Loan balance in its entirety.</w:t>
      </w:r>
    </w:p>
    <w:p>
      <w:pPr>
        <w:spacing w:after="0" w:line="61" w:lineRule="exact"/>
        <w:rPr>
          <w:sz w:val="20"/>
          <w:szCs w:val="20"/>
          <w:color w:val="auto"/>
        </w:rPr>
      </w:pPr>
    </w:p>
    <w:p>
      <w:pPr>
        <w:ind w:right="520"/>
        <w:spacing w:after="0" w:line="360" w:lineRule="auto"/>
        <w:rPr>
          <w:sz w:val="20"/>
          <w:szCs w:val="20"/>
          <w:color w:val="auto"/>
        </w:rPr>
      </w:pPr>
      <w:r>
        <w:rPr>
          <w:rFonts w:ascii="Arial" w:cs="Arial" w:eastAsia="Arial" w:hAnsi="Arial"/>
          <w:sz w:val="18"/>
          <w:szCs w:val="18"/>
          <w:color w:val="auto"/>
        </w:rPr>
        <w:t xml:space="preserve">As of June 30, 2025, we had the 2025 First Lien Loan outstanding and we had no outstanding borrowings under the Revolving Facility. </w:t>
      </w:r>
      <w:r>
        <w:rPr>
          <w:rFonts w:ascii="Arial" w:cs="Arial" w:eastAsia="Arial" w:hAnsi="Arial"/>
          <w:sz w:val="18"/>
          <w:szCs w:val="18"/>
          <w:b w:val="1"/>
          <w:bCs w:val="1"/>
          <w:i w:val="1"/>
          <w:iCs w:val="1"/>
          <w:color w:val="auto"/>
        </w:rPr>
        <w:t>Share Repurchase Program</w:t>
      </w:r>
    </w:p>
    <w:p>
      <w:pPr>
        <w:jc w:val="both"/>
        <w:ind w:right="20"/>
        <w:spacing w:after="0" w:line="253" w:lineRule="auto"/>
        <w:rPr>
          <w:sz w:val="20"/>
          <w:szCs w:val="20"/>
          <w:color w:val="auto"/>
        </w:rPr>
      </w:pPr>
      <w:r>
        <w:rPr>
          <w:rFonts w:ascii="Arial" w:cs="Arial" w:eastAsia="Arial" w:hAnsi="Arial"/>
          <w:sz w:val="18"/>
          <w:szCs w:val="18"/>
          <w:color w:val="auto"/>
        </w:rPr>
        <w:t>On February 29, 2024, our Board authorized a share repurchase program for up to $100.0 million of our Class A common stock (the “Share Repurchase Program”). The Share Repurchase Program was publicly announced on March 5, 2024 and does not have a fixed expiration date.</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the three and six months ended June 30, 2025, we repurchased 3.9 million and 6.3 million shares of our Class A common stock, respectively, under the Share Repurchase Program, for which we paid $9.1 million and $15.7 million, respectively, and incurred commissions and excise taxes of $0.1 million. Repurchases of our Class A common stock are accounted for as equity transactions and recorded in Treasury stock in the Condensed Consolidated Balance Sheets. As of June 30, 2025, we recognized a liability of $0.3 million related to repurchases of our Class A common stock that were invoiced but not yet paid, which is recorded in Accrued expenses and other current liabilities in the Condensed Consolidated Balance Sheets.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Cumulatively as of June 30, 2025, we have repurchased 10.4 million shares of our Class A common stock under the Share Repurchase Program, for which we have paid $38.5 million and incurred commissions and excise taxes of $0.2 million. As of June 30, 2025, $61.2 million remained available for future repurchases under the Share Repurchase Program.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Distributions to Redeemable Noncontrolling Interests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its Limited Liability Company Agreement, Hoya Intermediate is required to make pro rata tax distributions to its members, of which zero and $1.7 million was distributed to redeemable noncontrolling interests during the three and six months ended June 30, 2025,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Merger Transaction, we entered into a Tax Receivable Agreement (the “TRA”) with the existing Hoya Intermediate unitholders that provides for our payment to such unitholders of 85% of the amount of any tax savings that we realize (or, under certain circumstances, are deemed to realize) as a result of, or attributable to: (i) increases in the tax basis of assets owned directly or indirectly by Hoya Intermediate or its subsidiaries from, among other things, any redemptions or exchanges of Intermediate Units; (ii) existing tax basis (including depreciation and amortization deductions arising from such tax basis) in long-lived assets owned directly or indirectly by Hoya Intermediate or its subsidiaries; and (iii) certain other tax benefits (including deductions in respect of imputed interest) related to us making payments under the TRA.</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Amounts payable under the TRA are contingent upon the generation of future taxable income over the term of the TRA and future changes in tax laws. If we do not generate sufficient taxable income in the aggregate over the term</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jc w:val="both"/>
        <w:spacing w:after="0" w:line="238" w:lineRule="auto"/>
        <w:rPr>
          <w:sz w:val="20"/>
          <w:szCs w:val="20"/>
          <w:color w:val="auto"/>
        </w:rPr>
      </w:pPr>
      <w:r>
        <w:rPr>
          <w:rFonts w:ascii="Arial" w:cs="Arial" w:eastAsia="Arial" w:hAnsi="Arial"/>
          <w:sz w:val="18"/>
          <w:szCs w:val="18"/>
          <w:color w:val="auto"/>
        </w:rPr>
        <w:t>of the TRA to utilize the tax benefits, then we would not be required to make the related payments. As of June 30, 2025, we believe, based on applicable accounting standards, that it is no longer probable that we will generate sufficient future taxable income to support a significant amount of the balance of the TRA liability previously recorded as of March 31, 2025. As of June 30, 2025, after evaluating all available positive and negative evidence, we determined that significant negative objective and verifiable evidence in the form of cumulative losses by our domestic operations exists to change our conclusion regarding the future realization of our deferred tax assets, which therefore significantly impacts the amount of future TRA payments that are probable to be made. As of June 30, 2025, we estimate that a $6.5 million TRA liability is probable, of which $5.8 million is due within the next 12 months. During the three and six months ended June 30, 2025, we recorded income of $149.2 million for the change in the TRA liability, which is recorded in Other income – net in the Condensed Consolidated Statements of Operations. The total TRA payment obligation, if there is sufficient taxable income to recognize all TRA attributes, was $ 155.7 million and $159.7 million as of June 30, 2025 and December 31, 2024, respectively. During the three and six months ended June 30, 2025, we made payments of zero and $4.0 million, respectively, pursuant to the TRA. Both the TRA-related deferred tax assets and the TRA obligation are estimates that are subject to change. If utilization of the deferred tax assets subject to the TRA becomes more likely than not in the future, we expect to record a liability and corresponding expense related to the TRA.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June 30, 2025 and 2024 (in thousands):</w:t>
      </w:r>
    </w:p>
    <w:p>
      <w:pPr>
        <w:spacing w:after="0" w:line="104"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8890</wp:posOffset>
            </wp:positionV>
            <wp:extent cx="255460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840"/>
        <w:spacing w:after="0"/>
        <w:tabs>
          <w:tab w:leader="none" w:pos="998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100" w:type="dxa"/>
            <w:vAlign w:val="bottom"/>
            <w:shd w:val="clear" w:color="auto" w:fill="CFF0FC"/>
          </w:tcPr>
          <w:p>
            <w:pPr>
              <w:spacing w:after="0" w:line="176" w:lineRule="exact"/>
              <w:rPr>
                <w:sz w:val="20"/>
                <w:szCs w:val="20"/>
                <w:color w:val="auto"/>
              </w:rPr>
            </w:pPr>
            <w:r>
              <w:rPr>
                <w:rFonts w:ascii="Arial" w:cs="Arial" w:eastAsia="Arial" w:hAnsi="Arial"/>
                <w:sz w:val="18"/>
                <w:szCs w:val="18"/>
                <w:color w:val="auto"/>
              </w:rPr>
              <w:t>Net cash provided by (used in) operating activities</w:t>
            </w:r>
          </w:p>
        </w:tc>
        <w:tc>
          <w:tcPr>
            <w:tcW w:w="680" w:type="dxa"/>
            <w:vAlign w:val="bottom"/>
            <w:shd w:val="clear" w:color="auto" w:fill="CFF0FC"/>
          </w:tcPr>
          <w:p>
            <w:pPr>
              <w:jc w:val="right"/>
              <w:ind w:right="490"/>
              <w:spacing w:after="0" w:line="17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260"/>
              <w:spacing w:after="0" w:line="176" w:lineRule="exact"/>
              <w:rPr>
                <w:sz w:val="20"/>
                <w:szCs w:val="20"/>
                <w:color w:val="auto"/>
              </w:rPr>
            </w:pPr>
            <w:r>
              <w:rPr>
                <w:rFonts w:ascii="Arial" w:cs="Arial" w:eastAsia="Arial" w:hAnsi="Arial"/>
                <w:sz w:val="18"/>
                <w:szCs w:val="18"/>
                <w:color w:val="auto"/>
              </w:rPr>
              <w:t>(53,908)</w:t>
            </w:r>
          </w:p>
        </w:tc>
        <w:tc>
          <w:tcPr>
            <w:tcW w:w="660" w:type="dxa"/>
            <w:vAlign w:val="bottom"/>
            <w:shd w:val="clear" w:color="auto" w:fill="CFF0FC"/>
          </w:tcPr>
          <w:p>
            <w:pPr>
              <w:jc w:val="right"/>
              <w:ind w:right="470"/>
              <w:spacing w:after="0" w:line="17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25,359</w:t>
            </w:r>
          </w:p>
        </w:tc>
        <w:tc>
          <w:tcPr>
            <w:tcW w:w="100" w:type="dxa"/>
            <w:vAlign w:val="bottom"/>
            <w:shd w:val="clear" w:color="auto" w:fill="CFF0FC"/>
          </w:tcPr>
          <w:p>
            <w:pPr>
              <w:spacing w:after="0"/>
              <w:rPr>
                <w:sz w:val="15"/>
                <w:szCs w:val="15"/>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680" w:type="dxa"/>
            <w:vAlign w:val="bottom"/>
          </w:tcPr>
          <w:p>
            <w:pPr>
              <w:spacing w:after="0"/>
              <w:rPr>
                <w:sz w:val="17"/>
                <w:szCs w:val="17"/>
                <w:color w:val="auto"/>
              </w:rPr>
            </w:pPr>
          </w:p>
        </w:tc>
        <w:tc>
          <w:tcPr>
            <w:tcW w:w="15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(11,665)</w:t>
            </w:r>
          </w:p>
        </w:tc>
        <w:tc>
          <w:tcPr>
            <w:tcW w:w="660" w:type="dxa"/>
            <w:vAlign w:val="bottom"/>
          </w:tcPr>
          <w:p>
            <w:pPr>
              <w:spacing w:after="0"/>
              <w:rPr>
                <w:sz w:val="17"/>
                <w:szCs w:val="17"/>
                <w:color w:val="auto"/>
              </w:rPr>
            </w:pP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(10,548)</w:t>
            </w:r>
          </w:p>
        </w:tc>
      </w:tr>
      <w:tr>
        <w:trPr>
          <w:trHeight w:val="203"/>
        </w:trPr>
        <w:tc>
          <w:tcPr>
            <w:tcW w:w="7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6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(25,443)</w:t>
            </w:r>
          </w:p>
        </w:tc>
        <w:tc>
          <w:tcPr>
            <w:tcW w:w="6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94,716</w:t>
            </w:r>
          </w:p>
        </w:tc>
        <w:tc>
          <w:tcPr>
            <w:tcW w:w="100" w:type="dxa"/>
            <w:vAlign w:val="bottom"/>
            <w:shd w:val="clear" w:color="auto" w:fill="CFF0FC"/>
          </w:tcPr>
          <w:p>
            <w:pPr>
              <w:spacing w:after="0"/>
              <w:rPr>
                <w:sz w:val="17"/>
                <w:szCs w:val="17"/>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Net cash used in operating activities was $53.9 million during the six months ended June 30, 2025 due to a net loss of $273.1 million, net non-cash charges of $291.1 million, and net cash outflows from a $71.9 million change in operating assets and liabilities. The net cash outflows from the change in operating assets and liabilities were primarily due to a decrease in Accounts payable resulting from a decrease in amounts payable to ticket sellers as a result of lower Marketplace GOV and a decrease in Accrued expenses and other current liabilities due to lower Marketplace GOV, as well as the timing of disbursements.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cash provided by operating activities was $25.4 million during the six months ended June 30, 2024 due to $9.5 million in net income, net non-cash charges of $54.0 million, and net cash outflows from a $38.2 million change in operating assets and liabilities. The net cash outflows from the change in operating assets and liabilities were primarily due to the timing of receipts and disbursements for accrued expenses and other current liabilities, accounts receivable and inventory.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investing activities during the six months ended June 30, 2025 and 2024 was $ 11.7 million and $10.6 million, respectively, which was primarily related to capital spending on development activities for our online platform in both periods.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financing activities during the six months ended June 30, 2025 was $25.4 million, which was primarily related to repurchases of our Class A common stock under the Share Repurchase Program and payments of liabilities under the TRA.</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provided by financing activities during the six months ended June 30, 2024 was $94.7 million, which was primarily related to the refinancing of the 2022 First Lien Loan with the 2024 First Lien Loan on June 10, 2024.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condensed consolidated financial statements are prepared in accordance with U.S. GAAP, which requires us to make estimates and assumptions that affect the reported amounts of assets, liabilities, revenues, costs and expenses, and related disclosures. On an ongoing basis, we evaluate our estimates and assumptions. Actual results may differ from these estimates under different assumptions or conditions. The estimates and assumptions associated with revenue recognition, equity-based compensation, warrants and earnouts, recoverability of our goodwill, indefinite-lived intangible assets, definite-lived intangible assets, long-lived assets, and valuation allowances have the greatest potential impact on our condensed consolidated financial statements. Accordingly, these are the policies that are the most critical to aid in fully understanding and evaluating our unaudited condensed consolidated financial statements. For a description of our critical accounting policies and estimates, see our 2024 Form 10-K. During the three and six months ended June 30, 2025, there were no material changes to the critical accounting policies disclosed in our 2024 Form 10-K.</w:t>
      </w:r>
    </w:p>
    <w:p>
      <w:pPr>
        <w:spacing w:after="0" w:line="7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closely monitor the financial and operating results impacting our lone reporting unit with a goodwill balance (the "Marketplace Reporting Unit") and indefinite-lived intangible assets and, as deemed necessary, we make comparisons to the key assumptions used in our fair value estimate at the time of our annual impairment test, in addition to operational initiatives and macroeconomic conditions, which may impact the fair value of the Marketplace Reporting Unit and indefinite-lived intangible assets. We perform an annual impairment assessment of our goodwill and indefinite-lived intangible assets as of October 31 of each fiscal year. During the second quarter of 2025, we assessed the changes in circumstances that occurred during the quarter to determine if it was more likely than not that the fair value of the Marketplace Reporting Unit and indefinite-lived intangible assets were below the respective carrying amounts. We identified several factors related to the Marketplace Reporting Unit and certain indefinite-lived intangible assets that led us to conclude that it was more likely than not that the fair value of the Marketplace Reporting Unit and indefinite-lived intangible assets were below the respective carrying values, which triggered us to perform an interim goodwill impairment assessment for the Marketplace Reporting Unit and certain indefinite-lived intangible assets. These factors included recent declines in our financial performance, near-term outlook, and Class A common stock price, among other factors. As a result of the interim test, we recognized a goodwill impairment loss of $297.4 million related to the Marketplace Reporting Unit during the three and six months ended June 30, 2025. We also recognized an impairment loss of $23.0 million related to certain indefinite-lived trademarks during the three and six months ended June 30, 2025.</w:t>
      </w:r>
    </w:p>
    <w:p>
      <w:pPr>
        <w:spacing w:after="0" w:line="8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fair value estimates used in our interim quantitative impairment test were based on assumptions we believe to be reasonable, but that are unpredictable and inherently uncertain, including estimates of future growth rates and operating margins and assumptions about the overall economic and competitive environment. There can be no assurance that the estimates and assumptions used at the time of our interim assessment will not change over time. If fiscal year 2025 profitability trends decline below what is expected, it is possible that a future interim or annual assessment could result in an additional impairment of our goodwill and indefinite-lived intangible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New Accounting Standards</w:t>
      </w:r>
      <w:r>
        <w:rPr>
          <w:rFonts w:ascii="Arial" w:cs="Arial" w:eastAsia="Arial" w:hAnsi="Arial"/>
          <w:sz w:val="18"/>
          <w:szCs w:val="18"/>
          <w:color w:val="auto"/>
        </w:rPr>
        <w:t>, to our unaudited condensed consolidated financial statements included elsewhere in this Report for a description of recently adopted accounting pronouncements and issued accounting pronouncements not yet adopted.</w:t>
      </w:r>
    </w:p>
    <w:p>
      <w:pPr>
        <w:spacing w:after="0" w:line="4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(as defined in Rule 12b-2 under the Exchange Act), we are not required to provide this information.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Disclosure Controls and Procedures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designing and evaluating our disclosure controls and procedures (as defined in Rules 13a-15(e) or 15d-15(e) under the Exchange Act), management recognizes that any controls and procedures, no matter how well designed and operated, can provide only reasonable assurance of achieving the desired control objectives.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the information required to be disclosed by us in reports that we file or submit under the Exchange Act is recorded, processed, summarized, and reported within the time periods specified in the SEC’s rules and forms and that such information is accumulated and communicated to management, including our principal executive and principal financial officers, as appropriate, to allow timely decisions regarding required disclosures.</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Management, with the participation of our principal executive and principal financial officers, has evaluated the effectiveness of our disclosure controls and procedures (as defined in Rules 13a-15(e) and 15d-15(e) under the Exchange Act) as of the end of the period covered by this Report. Based on such evaluation, our principal executive and principal financial officers concluded that our disclosure controls and procedures (as defined in Rules 13a-15(e) and 15d-15(e) under the Exchange Act) were not effective at the reasonable assurance level as of June 30, 2025 due to the material weakness in our internal control over financial reporting described below.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and Remediation Activities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connection with the audit of our consolidated financial statements as of December 31, 2024, 2023, and 2022, we identified and disclosed deficiencies in our internal control over financial reporting (as defined in Rules 13a-15(f) or 15d-15(f) under the Exchange Act) related to the implementation of segregation of duties as part of our control activities, the establishment of clearly defined roles within our finance and accounting functions, and the number of personnel in those functions with an appropriate level of technical accounting and SEC reporting experience, which, in the aggregate, constitute a material weakness.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with the participation of our Board and its Audit Committee, began the implementation of remediation activities in 2022 and has since continued to develop and implement additional remediation activities. We believe significant progress has been made in our remediation efforts, which through June 30, 2025 included continuing to:</w:t>
      </w:r>
    </w:p>
    <w:p>
      <w:pPr>
        <w:spacing w:after="0" w:line="61"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implement segregation of duties over business process and information technology control activities;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clearly defined roles within our finance and accounting functions;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increase the number of personnel in our finance and accounting functions that have an appropriate level of technical accounting and SEC reporting experience;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design and implement additional internal controls.</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While not yet remediated, management believes that the measures described above will remediate the material weakness and strengthen our overall internal control over financial reporting. The material weakness will not be considered remediated until the applicable remediated controls operate for a sufficient period of time and management has concluded, through testing, that these controls are operating effectively. We continue to devote significant time and attention to these efforts.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Except with respect to our continuing remediation activities discussed above, there were no changes in our internal control over financial reporting (as defined in Rules 13a-15(f) or 15d-15(f) under the Exchange Act) during the three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6" w:name="page47"/>
    <w:bookmarkEnd w:id="46"/>
    <w:p>
      <w:pPr>
        <w:spacing w:after="0" w:line="271" w:lineRule="auto"/>
        <w:rPr>
          <w:sz w:val="20"/>
          <w:szCs w:val="20"/>
          <w:color w:val="auto"/>
        </w:rPr>
      </w:pPr>
      <w:r>
        <w:rPr>
          <w:rFonts w:ascii="Arial" w:cs="Arial" w:eastAsia="Arial" w:hAnsi="Arial"/>
          <w:sz w:val="18"/>
          <w:szCs w:val="18"/>
          <w:color w:val="auto"/>
        </w:rPr>
        <w:t>and six months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7" w:name="page48"/>
    <w:bookmarkEnd w:id="47"/>
    <w:p>
      <w:pPr>
        <w:ind w:left="4540"/>
        <w:spacing w:after="0"/>
        <w:rPr>
          <w:sz w:val="20"/>
          <w:szCs w:val="20"/>
          <w:color w:val="auto"/>
        </w:rPr>
      </w:pPr>
      <w:r>
        <w:rPr>
          <w:rFonts w:ascii="Arial" w:cs="Arial" w:eastAsia="Arial" w:hAnsi="Arial"/>
          <w:sz w:val="18"/>
          <w:szCs w:val="18"/>
          <w:b w:val="1"/>
          <w:bCs w:val="1"/>
          <w:color w:val="auto"/>
        </w:rPr>
        <w:t>Part II - Other Information</w:t>
      </w:r>
    </w:p>
    <w:p>
      <w:pPr>
        <w:spacing w:after="0" w:line="10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the information set forth in this Report, you should carefully consider the risks and uncertainties discussed in the “Risk Factors” section of our 2024 Form 10-K. These risks and uncertainties could cause actual results to differ materially from historical results or the results contemplated by the forward-looking statements contained in this Report. Other than as set forth below, during the three and six months ended June 30, 2025, there were no material changes to the risk factors discussed in our 2024 Form 10-K.</w:t>
      </w:r>
    </w:p>
    <w:p>
      <w:pPr>
        <w:spacing w:after="0" w:line="6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The effect of the Reverse Stock Split on the market price and liquidity of our Class A common stock, and our overall market capitalization, cannot be predicted.</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Following the effectiveness of the Reverse Stock Split, the market price of our Class A common stock will continue to be based on our business performance and other factors, many of which are unrelated to our capitalization or the Reverse Stock Split. The effect of the Reverse Stock Split, if any, on such price cannot be accurately predicted. There can be no assurance that such price will increase in proportion to the decrease in the number of outstanding shares of our Class A common stock, if at all. Further, even if such price does increase after the Reverse Stock Split, there can be no assurance that such increase will be maintained. Moreover, if the Reverse Stock Split is perceived negatively by the market, it could adversely affect such price. In any such case, our market capitalization would decrease. Any such adverse effect on market price and/or decrease in market capitalization would be magnified after the Reverse Stock Split due to the reduced number of issued shares of our common stock.</w:t>
      </w:r>
    </w:p>
    <w:p>
      <w:pPr>
        <w:spacing w:after="0" w:line="7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the Reverse Stock Split will reduce the number of outstanding shares of our Class A common stock, which may lead to reduced trading therein and a smaller number of market makers therefor (particularly if the market price thereof does not increase after the Reverse Stock Split). The Reverse Stock Split will also increase the number of stockholders who own “odd lots” of fewer than 100 shares of our Class A common stock. Brokerage commissions and other costs associated with transactions in odd lots are generally higher than those associated with transactions in more than 100 shares. As a result, stockholders who own fewer than 100 shares of our Class A common stock after the Reverse Stock Split may face higher transaction costs if they then decide to sell their shares.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availability of additional authorized but unissued shares of our common stock following the Reverse Stock Split may make more difficult or discourage a merger, tender offer, or proxy contest, a change in control of our company, and/or the removal of management.</w:t>
      </w:r>
    </w:p>
    <w:p>
      <w:pPr>
        <w:spacing w:after="0" w:line="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Reverse Stock Split will result in a relative increase in the number of authorized but unissued shares of our common stock due to a decrease in the number of issued shares thereof. Under certain circumstances, this may be construed as having an anti-takeover effect because the availability of authorized but unissued shares may make more difficult or discourage a merger, tender offer, or proxy contest, a change in control of our company, and/or the removal of management, which our stockholders might otherwise deem favorable. For example, our Board could issue additional shares of our common stock (i) to frustrate or create impediments to a third-party attempt to takeover or otherwise gain control of our company because such issuance would dilute the voting power of the then-outstanding shares or (ii) to purchasers who support our Board in opposing a takeover bid that our Board determines not to be in the best interests of us and our stockholders.</w:t>
      </w:r>
    </w:p>
    <w:p>
      <w:pPr>
        <w:spacing w:after="0" w:line="72" w:lineRule="exact"/>
        <w:rPr>
          <w:sz w:val="20"/>
          <w:szCs w:val="20"/>
          <w:color w:val="auto"/>
        </w:rPr>
      </w:pPr>
    </w:p>
    <w:p>
      <w:pPr>
        <w:ind w:right="2720" w:firstLine="2711"/>
        <w:spacing w:after="0" w:line="360" w:lineRule="auto"/>
        <w:rPr>
          <w:sz w:val="20"/>
          <w:szCs w:val="20"/>
          <w:color w:val="auto"/>
        </w:rPr>
      </w:pPr>
      <w:r>
        <w:rPr>
          <w:rFonts w:ascii="Arial" w:cs="Arial" w:eastAsia="Arial" w:hAnsi="Arial"/>
          <w:sz w:val="18"/>
          <w:szCs w:val="18"/>
          <w:b w:val="1"/>
          <w:bCs w:val="1"/>
          <w:color w:val="auto"/>
        </w:rPr>
        <w:t>Item 2. Unregistered Sales of Equity Securities and Use of Proceeds Recent Sales of Unregistered Securities</w:t>
      </w: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presents information related to repurchases of our Class A common stock during the three months ended June 30, 2025 (in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 Shares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Approximate Dollar Value of</w:t>
            </w:r>
          </w:p>
        </w:tc>
      </w:tr>
      <w:tr>
        <w:trPr>
          <w:trHeight w:val="203"/>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Average Price</w:t>
            </w:r>
          </w:p>
        </w:tc>
        <w:tc>
          <w:tcPr>
            <w:tcW w:w="200" w:type="dxa"/>
            <w:vAlign w:val="bottom"/>
          </w:tcPr>
          <w:p>
            <w:pPr>
              <w:spacing w:after="0"/>
              <w:rPr>
                <w:sz w:val="17"/>
                <w:szCs w:val="17"/>
                <w:color w:val="auto"/>
              </w:rPr>
            </w:pPr>
          </w:p>
        </w:tc>
        <w:tc>
          <w:tcPr>
            <w:tcW w:w="25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Purchased As Part of</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Shares That May Yet Be</w:t>
            </w:r>
          </w:p>
        </w:tc>
      </w:tr>
      <w:tr>
        <w:trPr>
          <w:trHeight w:val="181"/>
        </w:trPr>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rPr>
              <w:t>Total Number of</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Paid Per</w:t>
            </w:r>
          </w:p>
        </w:tc>
        <w:tc>
          <w:tcPr>
            <w:tcW w:w="2740" w:type="dxa"/>
            <w:vAlign w:val="bottom"/>
            <w:gridSpan w:val="2"/>
          </w:tcPr>
          <w:p>
            <w:pPr>
              <w:jc w:val="center"/>
              <w:ind w:left="70"/>
              <w:spacing w:after="0" w:line="182" w:lineRule="exact"/>
              <w:rPr>
                <w:sz w:val="20"/>
                <w:szCs w:val="20"/>
                <w:color w:val="auto"/>
              </w:rPr>
            </w:pPr>
            <w:r>
              <w:rPr>
                <w:rFonts w:ascii="Arial" w:cs="Arial" w:eastAsia="Arial" w:hAnsi="Arial"/>
                <w:sz w:val="18"/>
                <w:szCs w:val="18"/>
                <w:b w:val="1"/>
                <w:bCs w:val="1"/>
                <w:color w:val="auto"/>
              </w:rPr>
              <w:t>Publicly Announced Plans or</w:t>
            </w:r>
          </w:p>
        </w:tc>
        <w:tc>
          <w:tcPr>
            <w:tcW w:w="260" w:type="dxa"/>
            <w:vAlign w:val="bottom"/>
          </w:tcPr>
          <w:p>
            <w:pPr>
              <w:spacing w:after="0"/>
              <w:rPr>
                <w:sz w:val="15"/>
                <w:szCs w:val="15"/>
                <w:color w:val="auto"/>
              </w:rPr>
            </w:pPr>
          </w:p>
        </w:tc>
        <w:tc>
          <w:tcPr>
            <w:tcW w:w="2920" w:type="dxa"/>
            <w:vAlign w:val="bottom"/>
            <w:gridSpan w:val="3"/>
          </w:tcPr>
          <w:p>
            <w:pPr>
              <w:jc w:val="center"/>
              <w:ind w:right="180"/>
              <w:spacing w:after="0" w:line="182" w:lineRule="exact"/>
              <w:rPr>
                <w:sz w:val="20"/>
                <w:szCs w:val="20"/>
                <w:color w:val="auto"/>
              </w:rPr>
            </w:pPr>
            <w:r>
              <w:rPr>
                <w:rFonts w:ascii="Arial" w:cs="Arial" w:eastAsia="Arial" w:hAnsi="Arial"/>
                <w:sz w:val="18"/>
                <w:szCs w:val="18"/>
                <w:b w:val="1"/>
                <w:bCs w:val="1"/>
                <w:color w:val="auto"/>
              </w:rPr>
              <w:t>Purchased Under the Plans or</w:t>
            </w:r>
          </w:p>
        </w:tc>
      </w:tr>
      <w:tr>
        <w:trPr>
          <w:trHeight w:val="263"/>
        </w:trPr>
        <w:tc>
          <w:tcPr>
            <w:tcW w:w="21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Shares Purchased</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10"/>
              <w:spacing w:after="0" w:line="242" w:lineRule="exact"/>
              <w:rPr>
                <w:sz w:val="20"/>
                <w:szCs w:val="20"/>
                <w:color w:val="auto"/>
              </w:rPr>
            </w:pPr>
            <w:r>
              <w:rPr>
                <w:rFonts w:ascii="Arial" w:cs="Arial" w:eastAsia="Arial" w:hAnsi="Arial"/>
                <w:sz w:val="18"/>
                <w:szCs w:val="18"/>
                <w:b w:val="1"/>
                <w:bCs w:val="1"/>
                <w:color w:val="auto"/>
              </w:rPr>
              <w:t>Share</w:t>
            </w:r>
            <w:r>
              <w:rPr>
                <w:rFonts w:ascii="Arial" w:cs="Arial" w:eastAsia="Arial" w:hAnsi="Arial"/>
                <w:sz w:val="24"/>
                <w:szCs w:val="24"/>
                <w:b w:val="1"/>
                <w:bCs w:val="1"/>
                <w:color w:val="auto"/>
                <w:vertAlign w:val="superscript"/>
              </w:rPr>
              <w:t>(1)</w:t>
            </w:r>
          </w:p>
        </w:tc>
        <w:tc>
          <w:tcPr>
            <w:tcW w:w="200" w:type="dxa"/>
            <w:vAlign w:val="bottom"/>
          </w:tcPr>
          <w:p>
            <w:pPr>
              <w:spacing w:after="0"/>
              <w:rPr>
                <w:sz w:val="22"/>
                <w:szCs w:val="22"/>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tcPr>
          <w:p>
            <w:pPr>
              <w:jc w:val="center"/>
              <w:ind w:right="70"/>
              <w:spacing w:after="0" w:line="242" w:lineRule="exact"/>
              <w:rPr>
                <w:sz w:val="20"/>
                <w:szCs w:val="20"/>
                <w:color w:val="auto"/>
              </w:rPr>
            </w:pPr>
            <w:r>
              <w:rPr>
                <w:rFonts w:ascii="Arial" w:cs="Arial" w:eastAsia="Arial" w:hAnsi="Arial"/>
                <w:sz w:val="18"/>
                <w:szCs w:val="18"/>
                <w:b w:val="1"/>
                <w:bCs w:val="1"/>
                <w:color w:val="auto"/>
                <w:w w:val="94"/>
              </w:rPr>
              <w:t>Programs</w:t>
            </w:r>
            <w:r>
              <w:rPr>
                <w:rFonts w:ascii="Arial" w:cs="Arial" w:eastAsia="Arial" w:hAnsi="Arial"/>
                <w:sz w:val="24"/>
                <w:szCs w:val="24"/>
                <w:b w:val="1"/>
                <w:bCs w:val="1"/>
                <w:color w:val="auto"/>
                <w:w w:val="94"/>
                <w:vertAlign w:val="superscript"/>
              </w:rPr>
              <w:t>(2)</w:t>
            </w:r>
          </w:p>
        </w:tc>
        <w:tc>
          <w:tcPr>
            <w:tcW w:w="100" w:type="dxa"/>
            <w:vAlign w:val="bottom"/>
          </w:tcPr>
          <w:p>
            <w:pPr>
              <w:spacing w:after="0"/>
              <w:rPr>
                <w:sz w:val="22"/>
                <w:szCs w:val="22"/>
                <w:color w:val="auto"/>
              </w:rPr>
            </w:pPr>
          </w:p>
        </w:tc>
      </w:tr>
      <w:tr>
        <w:trPr>
          <w:trHeight w:val="203"/>
        </w:trPr>
        <w:tc>
          <w:tcPr>
            <w:tcW w:w="2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April 1-30, 2025</w:t>
            </w: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2,623,959</w:t>
            </w:r>
          </w:p>
        </w:tc>
        <w:tc>
          <w:tcPr>
            <w:tcW w:w="42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w:t>
            </w:r>
          </w:p>
        </w:tc>
        <w:tc>
          <w:tcPr>
            <w:tcW w:w="27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2,623,959</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63,313</w:t>
            </w:r>
          </w:p>
        </w:tc>
        <w:tc>
          <w:tcPr>
            <w:tcW w:w="100" w:type="dxa"/>
            <w:vAlign w:val="bottom"/>
            <w:shd w:val="clear" w:color="auto" w:fill="CFF0FC"/>
          </w:tcPr>
          <w:p>
            <w:pPr>
              <w:spacing w:after="0"/>
              <w:rPr>
                <w:sz w:val="17"/>
                <w:szCs w:val="17"/>
                <w:color w:val="auto"/>
              </w:rPr>
            </w:pP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May 1-31, 2025</w:t>
            </w:r>
          </w:p>
        </w:tc>
        <w:tc>
          <w:tcPr>
            <w:tcW w:w="1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63,313</w:t>
            </w:r>
          </w:p>
        </w:tc>
        <w:tc>
          <w:tcPr>
            <w:tcW w:w="100" w:type="dxa"/>
            <w:vAlign w:val="bottom"/>
          </w:tcPr>
          <w:p>
            <w:pPr>
              <w:spacing w:after="0"/>
              <w:rPr>
                <w:sz w:val="17"/>
                <w:szCs w:val="17"/>
                <w:color w:val="auto"/>
              </w:rPr>
            </w:pPr>
          </w:p>
        </w:tc>
      </w:tr>
      <w:tr>
        <w:trPr>
          <w:trHeight w:val="203"/>
        </w:trPr>
        <w:tc>
          <w:tcPr>
            <w:tcW w:w="2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June 1-30, 2025</w:t>
            </w:r>
          </w:p>
        </w:tc>
        <w:tc>
          <w:tcPr>
            <w:tcW w:w="12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1,279,359</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1.63</w:t>
            </w:r>
          </w:p>
        </w:tc>
        <w:tc>
          <w:tcPr>
            <w:tcW w:w="200" w:type="dxa"/>
            <w:vAlign w:val="bottom"/>
            <w:tcBorders>
              <w:bottom w:val="single" w:sz="8" w:color="CFF0FC"/>
            </w:tcBorders>
            <w:shd w:val="clear" w:color="auto" w:fill="CFF0FC"/>
          </w:tcPr>
          <w:p>
            <w:pPr>
              <w:spacing w:after="0"/>
              <w:rPr>
                <w:sz w:val="17"/>
                <w:szCs w:val="17"/>
                <w:color w:val="auto"/>
              </w:rPr>
            </w:pPr>
          </w:p>
        </w:tc>
        <w:tc>
          <w:tcPr>
            <w:tcW w:w="2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1,279,359</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61,231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100" w:type="dxa"/>
            <w:vAlign w:val="bottom"/>
          </w:tcPr>
          <w:p>
            <w:pPr>
              <w:spacing w:after="0" w:line="182" w:lineRule="exact"/>
              <w:rPr>
                <w:sz w:val="20"/>
                <w:szCs w:val="20"/>
                <w:color w:val="auto"/>
              </w:rPr>
            </w:pPr>
            <w:r>
              <w:rPr>
                <w:rFonts w:ascii="Arial" w:cs="Arial" w:eastAsia="Arial" w:hAnsi="Arial"/>
                <w:sz w:val="18"/>
                <w:szCs w:val="18"/>
                <w:b w:val="1"/>
                <w:bCs w:val="1"/>
                <w:color w:val="auto"/>
              </w:rPr>
              <w:t>Total</w:t>
            </w:r>
          </w:p>
        </w:tc>
        <w:tc>
          <w:tcPr>
            <w:tcW w:w="172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3,903,318</w:t>
            </w:r>
          </w:p>
        </w:tc>
        <w:tc>
          <w:tcPr>
            <w:tcW w:w="420" w:type="dxa"/>
            <w:vAlign w:val="bottom"/>
            <w:gridSpan w:val="2"/>
          </w:tcPr>
          <w:p>
            <w:pPr>
              <w:ind w:left="260"/>
              <w:spacing w:after="0" w:line="18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2.34</w:t>
            </w:r>
          </w:p>
        </w:tc>
        <w:tc>
          <w:tcPr>
            <w:tcW w:w="274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3,903,318</w:t>
            </w:r>
          </w:p>
        </w:tc>
        <w:tc>
          <w:tcPr>
            <w:tcW w:w="38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27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61,231</w:t>
            </w:r>
          </w:p>
        </w:tc>
        <w:tc>
          <w:tcPr>
            <w:tcW w:w="100" w:type="dxa"/>
            <w:vAlign w:val="bottom"/>
          </w:tcPr>
          <w:p>
            <w:pPr>
              <w:spacing w:after="0"/>
              <w:rPr>
                <w:sz w:val="17"/>
                <w:szCs w:val="17"/>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-162560</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-162560</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-162560</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Excludes commissions, excise taxes, and other costs of execution.</w:t>
      </w:r>
    </w:p>
    <w:p>
      <w:pPr>
        <w:spacing w:after="0" w:line="103" w:lineRule="exact"/>
        <w:rPr>
          <w:rFonts w:ascii="Arial" w:cs="Arial" w:eastAsia="Arial" w:hAnsi="Arial"/>
          <w:sz w:val="18"/>
          <w:szCs w:val="18"/>
          <w:color w:val="auto"/>
        </w:rPr>
      </w:pPr>
    </w:p>
    <w:p>
      <w:pPr>
        <w:jc w:val="both"/>
        <w:ind w:left="460" w:hanging="452"/>
        <w:spacing w:after="0" w:line="247" w:lineRule="auto"/>
        <w:tabs>
          <w:tab w:leader="none" w:pos="4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February 29, 2024, our Board authorized the Share Repurchase Program for up to $100.0 million of our Class A common stock. The Share Repurchase Program was publicly announced on March 5, 2024, does not have a fixed expiration date, and does not obligate us to purchase any minimum number of shares. Under the Share Repurchase Program, we may repurchase shares in privately negotiated or open market transactions, including under plans complying with Rule 10b5-1 under the Exchange Act.</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47"/>
        </w:trPr>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720" w:type="dxa"/>
            <w:vAlign w:val="bottom"/>
            <w:gridSpan w:val="22"/>
          </w:tcPr>
          <w:p>
            <w:pPr>
              <w:spacing w:after="0"/>
              <w:rPr>
                <w:sz w:val="20"/>
                <w:szCs w:val="20"/>
                <w:color w:val="auto"/>
              </w:rPr>
            </w:pPr>
            <w:r>
              <w:rPr>
                <w:rFonts w:ascii="Arial" w:cs="Arial" w:eastAsia="Arial" w:hAnsi="Arial"/>
                <w:sz w:val="18"/>
                <w:szCs w:val="18"/>
                <w:b w:val="1"/>
                <w:bCs w:val="1"/>
                <w:color w:val="auto"/>
              </w:rPr>
              <w:t>Item 6. Exhibits</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3"/>
          </w:tcPr>
          <w:p>
            <w:pPr>
              <w:spacing w:after="0"/>
              <w:rPr>
                <w:sz w:val="20"/>
                <w:szCs w:val="20"/>
                <w:color w:val="auto"/>
              </w:rPr>
            </w:pPr>
            <w:r>
              <w:rPr>
                <w:rFonts w:ascii="Arial" w:cs="Arial" w:eastAsia="Arial" w:hAnsi="Arial"/>
                <w:sz w:val="18"/>
                <w:szCs w:val="18"/>
                <w:b w:val="1"/>
                <w:bCs w:val="1"/>
                <w:color w:val="auto"/>
              </w:rPr>
              <w:t>Incorporated by Reference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Filed /</w:t>
            </w:r>
          </w:p>
        </w:tc>
        <w:tc>
          <w:tcPr>
            <w:tcW w:w="0" w:type="dxa"/>
            <w:vAlign w:val="bottom"/>
          </w:tcPr>
          <w:p>
            <w:pPr>
              <w:spacing w:after="0"/>
              <w:rPr>
                <w:sz w:val="1"/>
                <w:szCs w:val="1"/>
                <w:color w:val="auto"/>
              </w:rPr>
            </w:pPr>
          </w:p>
        </w:tc>
      </w:tr>
      <w:tr>
        <w:trPr>
          <w:trHeight w:val="113"/>
        </w:trPr>
        <w:tc>
          <w:tcPr>
            <w:tcW w:w="120" w:type="dxa"/>
            <w:vAlign w:val="bottom"/>
            <w:vMerge w:val="restart"/>
          </w:tcPr>
          <w:p>
            <w:pPr>
              <w:spacing w:after="0"/>
              <w:rPr>
                <w:sz w:val="9"/>
                <w:szCs w:val="9"/>
                <w:color w:val="auto"/>
              </w:rPr>
            </w:pPr>
          </w:p>
        </w:tc>
        <w:tc>
          <w:tcPr>
            <w:tcW w:w="100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Exhibit</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120" w:type="dxa"/>
            <w:vAlign w:val="bottom"/>
            <w:gridSpan w:val="2"/>
            <w:vMerge w:val="restart"/>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Furnished</w:t>
            </w:r>
          </w:p>
        </w:tc>
        <w:tc>
          <w:tcPr>
            <w:tcW w:w="0" w:type="dxa"/>
            <w:vAlign w:val="bottom"/>
          </w:tcPr>
          <w:p>
            <w:pPr>
              <w:spacing w:after="0"/>
              <w:rPr>
                <w:sz w:val="1"/>
                <w:szCs w:val="1"/>
                <w:color w:val="auto"/>
              </w:rPr>
            </w:pPr>
          </w:p>
        </w:tc>
      </w:tr>
      <w:tr>
        <w:trPr>
          <w:trHeight w:val="69"/>
        </w:trPr>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gridSpan w:val="23"/>
          </w:tcPr>
          <w:p>
            <w:pPr>
              <w:ind w:left="160"/>
              <w:spacing w:after="0"/>
              <w:rPr>
                <w:sz w:val="20"/>
                <w:szCs w:val="20"/>
                <w:color w:val="auto"/>
              </w:rPr>
            </w:pPr>
            <w:r>
              <w:rPr>
                <w:rFonts w:ascii="Arial" w:cs="Arial" w:eastAsia="Arial" w:hAnsi="Arial"/>
                <w:sz w:val="18"/>
                <w:szCs w:val="18"/>
                <w:b w:val="1"/>
                <w:bCs w:val="1"/>
                <w:color w:val="auto"/>
              </w:rPr>
              <w:t>Description</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1"/>
              </w:rPr>
              <w:t>Form</w:t>
            </w: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Exhibit</w:t>
            </w: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Filing 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2.1</w:t>
            </w:r>
          </w:p>
        </w:tc>
        <w:tc>
          <w:tcPr>
            <w:tcW w:w="6420" w:type="dxa"/>
            <w:vAlign w:val="bottom"/>
            <w:tcBorders>
              <w:bottom w:val="single" w:sz="8" w:color="0000FF"/>
            </w:tcBorders>
            <w:gridSpan w:val="21"/>
          </w:tcPr>
          <w:p>
            <w:pPr>
              <w:spacing w:after="0"/>
              <w:rPr>
                <w:rFonts w:ascii="Arial" w:cs="Arial" w:eastAsia="Arial" w:hAnsi="Arial"/>
                <w:sz w:val="18"/>
                <w:szCs w:val="18"/>
                <w:color w:val="0000FF"/>
              </w:rPr>
            </w:pPr>
            <w:hyperlink r:id="rId454">
              <w:r>
                <w:rPr>
                  <w:rFonts w:ascii="Arial" w:cs="Arial" w:eastAsia="Arial" w:hAnsi="Arial"/>
                  <w:sz w:val="18"/>
                  <w:szCs w:val="18"/>
                  <w:color w:val="0000FF"/>
                </w:rPr>
                <w:t>Transaction Agreement, dated April 21, 2021, among Horizon Acquisition</w:t>
              </w:r>
            </w:hyperlink>
          </w:p>
        </w:tc>
        <w:tc>
          <w:tcPr>
            <w:tcW w:w="20" w:type="dxa"/>
            <w:vAlign w:val="bottom"/>
            <w:tcBorders>
              <w:bottom w:val="single" w:sz="8" w:color="0000EE"/>
            </w:tcBorders>
          </w:tcPr>
          <w:p>
            <w:pPr>
              <w:spacing w:after="0"/>
              <w:rPr>
                <w:sz w:val="19"/>
                <w:szCs w:val="19"/>
                <w:color w:val="auto"/>
              </w:rPr>
            </w:pPr>
          </w:p>
        </w:tc>
        <w:tc>
          <w:tcPr>
            <w:tcW w:w="140" w:type="dxa"/>
            <w:vAlign w:val="bottom"/>
            <w:gridSpan w:val="7"/>
          </w:tcPr>
          <w:p>
            <w:pPr>
              <w:spacing w:after="0"/>
              <w:rPr>
                <w:sz w:val="19"/>
                <w:szCs w:val="19"/>
                <w:color w:val="auto"/>
              </w:rPr>
            </w:pPr>
          </w:p>
        </w:tc>
        <w:tc>
          <w:tcPr>
            <w:tcW w:w="400" w:type="dxa"/>
            <w:vAlign w:val="bottom"/>
          </w:tcPr>
          <w:p>
            <w:pPr>
              <w:jc w:val="center"/>
              <w:ind w:right="70"/>
              <w:spacing w:after="0"/>
              <w:rPr>
                <w:sz w:val="20"/>
                <w:szCs w:val="20"/>
                <w:color w:val="auto"/>
              </w:rPr>
            </w:pPr>
            <w:r>
              <w:rPr>
                <w:rFonts w:ascii="Arial" w:cs="Arial" w:eastAsia="Arial" w:hAnsi="Arial"/>
                <w:sz w:val="18"/>
                <w:szCs w:val="18"/>
                <w:color w:val="auto"/>
                <w:w w:val="85"/>
              </w:rPr>
              <w:t>S-4</w:t>
            </w:r>
          </w:p>
        </w:tc>
        <w:tc>
          <w:tcPr>
            <w:tcW w:w="800" w:type="dxa"/>
            <w:vAlign w:val="bottom"/>
          </w:tcPr>
          <w:p>
            <w:pPr>
              <w:jc w:val="center"/>
              <w:spacing w:after="0"/>
              <w:rPr>
                <w:sz w:val="20"/>
                <w:szCs w:val="20"/>
                <w:color w:val="auto"/>
              </w:rPr>
            </w:pPr>
            <w:r>
              <w:rPr>
                <w:rFonts w:ascii="Arial" w:cs="Arial" w:eastAsia="Arial" w:hAnsi="Arial"/>
                <w:sz w:val="18"/>
                <w:szCs w:val="18"/>
                <w:color w:val="auto"/>
              </w:rPr>
              <w:t>2.1</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5/28/2021</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40" w:type="dxa"/>
            <w:vAlign w:val="bottom"/>
            <w:tcBorders>
              <w:bottom w:val="single" w:sz="8" w:color="0000FF"/>
            </w:tcBorders>
            <w:gridSpan w:val="22"/>
          </w:tcPr>
          <w:p>
            <w:pPr>
              <w:spacing w:after="0" w:line="182" w:lineRule="exact"/>
              <w:rPr>
                <w:rFonts w:ascii="Arial" w:cs="Arial" w:eastAsia="Arial" w:hAnsi="Arial"/>
                <w:sz w:val="18"/>
                <w:szCs w:val="18"/>
                <w:color w:val="0000FF"/>
              </w:rPr>
            </w:pPr>
            <w:hyperlink r:id="rId454">
              <w:r>
                <w:rPr>
                  <w:rFonts w:ascii="Arial" w:cs="Arial" w:eastAsia="Arial" w:hAnsi="Arial"/>
                  <w:sz w:val="18"/>
                  <w:szCs w:val="18"/>
                  <w:color w:val="0000FF"/>
                </w:rPr>
                <w:t>Corporation, Horizon Sponsor, LLC, Hoya Topco, LLC, Hoya Intermediate, LLC</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454">
              <w:r>
                <w:rPr>
                  <w:rFonts w:ascii="Arial" w:cs="Arial" w:eastAsia="Arial" w:hAnsi="Arial"/>
                  <w:sz w:val="18"/>
                  <w:szCs w:val="18"/>
                  <w:color w:val="0000FF"/>
                  <w:w w:val="99"/>
                </w:rPr>
                <w:t>and Vivid Seats Inc.</w:t>
              </w:r>
            </w:hyperlink>
          </w:p>
        </w:tc>
        <w:tc>
          <w:tcPr>
            <w:tcW w:w="4900" w:type="dxa"/>
            <w:vAlign w:val="bottom"/>
            <w:gridSpan w:val="2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2.2</w:t>
            </w:r>
          </w:p>
        </w:tc>
        <w:tc>
          <w:tcPr>
            <w:tcW w:w="6580" w:type="dxa"/>
            <w:vAlign w:val="bottom"/>
            <w:tcBorders>
              <w:bottom w:val="single" w:sz="8" w:color="0000FF"/>
            </w:tcBorders>
            <w:gridSpan w:val="29"/>
          </w:tcPr>
          <w:p>
            <w:pPr>
              <w:spacing w:after="0"/>
              <w:rPr>
                <w:rFonts w:ascii="Arial" w:cs="Arial" w:eastAsia="Arial" w:hAnsi="Arial"/>
                <w:sz w:val="18"/>
                <w:szCs w:val="18"/>
                <w:color w:val="0000FF"/>
              </w:rPr>
            </w:pPr>
            <w:hyperlink r:id="rId455">
              <w:r>
                <w:rPr>
                  <w:rFonts w:ascii="Arial" w:cs="Arial" w:eastAsia="Arial" w:hAnsi="Arial"/>
                  <w:sz w:val="18"/>
                  <w:szCs w:val="18"/>
                  <w:color w:val="0000FF"/>
                </w:rPr>
                <w:t>Purchase, Sale and Redemption Agreement, dated April 21, 2021, among</w:t>
              </w:r>
            </w:hyperlink>
          </w:p>
        </w:tc>
        <w:tc>
          <w:tcPr>
            <w:tcW w:w="400" w:type="dxa"/>
            <w:vAlign w:val="bottom"/>
          </w:tcPr>
          <w:p>
            <w:pPr>
              <w:jc w:val="center"/>
              <w:ind w:right="70"/>
              <w:spacing w:after="0"/>
              <w:rPr>
                <w:sz w:val="20"/>
                <w:szCs w:val="20"/>
                <w:color w:val="auto"/>
              </w:rPr>
            </w:pPr>
            <w:r>
              <w:rPr>
                <w:rFonts w:ascii="Arial" w:cs="Arial" w:eastAsia="Arial" w:hAnsi="Arial"/>
                <w:sz w:val="18"/>
                <w:szCs w:val="18"/>
                <w:color w:val="auto"/>
                <w:w w:val="85"/>
              </w:rPr>
              <w:t>S-4</w:t>
            </w:r>
          </w:p>
        </w:tc>
        <w:tc>
          <w:tcPr>
            <w:tcW w:w="800" w:type="dxa"/>
            <w:vAlign w:val="bottom"/>
          </w:tcPr>
          <w:p>
            <w:pPr>
              <w:jc w:val="center"/>
              <w:spacing w:after="0"/>
              <w:rPr>
                <w:sz w:val="20"/>
                <w:szCs w:val="20"/>
                <w:color w:val="auto"/>
              </w:rPr>
            </w:pPr>
            <w:r>
              <w:rPr>
                <w:rFonts w:ascii="Arial" w:cs="Arial" w:eastAsia="Arial" w:hAnsi="Arial"/>
                <w:sz w:val="18"/>
                <w:szCs w:val="18"/>
                <w:color w:val="auto"/>
              </w:rPr>
              <w:t>2.2</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5/28/2021</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360" w:type="dxa"/>
            <w:vAlign w:val="bottom"/>
            <w:tcBorders>
              <w:bottom w:val="single" w:sz="8" w:color="0000FF"/>
            </w:tcBorders>
            <w:gridSpan w:val="18"/>
          </w:tcPr>
          <w:p>
            <w:pPr>
              <w:spacing w:after="0" w:line="182" w:lineRule="exact"/>
              <w:rPr>
                <w:rFonts w:ascii="Arial" w:cs="Arial" w:eastAsia="Arial" w:hAnsi="Arial"/>
                <w:sz w:val="18"/>
                <w:szCs w:val="18"/>
                <w:color w:val="0000FF"/>
              </w:rPr>
            </w:pPr>
            <w:hyperlink r:id="rId455">
              <w:r>
                <w:rPr>
                  <w:rFonts w:ascii="Arial" w:cs="Arial" w:eastAsia="Arial" w:hAnsi="Arial"/>
                  <w:sz w:val="18"/>
                  <w:szCs w:val="18"/>
                  <w:color w:val="0000FF"/>
                </w:rPr>
                <w:t>Hoya  Topco,  LLC,  Hoya  Intermediate,  LLC,  Vivid  Seats  Inc.,  Crescent</w:t>
              </w:r>
            </w:hyperlink>
          </w:p>
        </w:tc>
        <w:tc>
          <w:tcPr>
            <w:tcW w:w="20" w:type="dxa"/>
            <w:vAlign w:val="bottom"/>
            <w:tcBorders>
              <w:bottom w:val="single" w:sz="8" w:color="0000EE"/>
            </w:tcBorders>
          </w:tcPr>
          <w:p>
            <w:pPr>
              <w:spacing w:after="0"/>
              <w:rPr>
                <w:sz w:val="15"/>
                <w:szCs w:val="15"/>
                <w:color w:val="auto"/>
              </w:rPr>
            </w:pPr>
          </w:p>
        </w:tc>
        <w:tc>
          <w:tcPr>
            <w:tcW w:w="200" w:type="dxa"/>
            <w:vAlign w:val="bottom"/>
            <w:gridSpan w:val="10"/>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380" w:type="dxa"/>
            <w:vAlign w:val="bottom"/>
            <w:tcBorders>
              <w:bottom w:val="single" w:sz="8" w:color="0000FF"/>
            </w:tcBorders>
            <w:gridSpan w:val="19"/>
          </w:tcPr>
          <w:p>
            <w:pPr>
              <w:spacing w:after="0" w:line="182" w:lineRule="exact"/>
              <w:rPr>
                <w:rFonts w:ascii="Arial" w:cs="Arial" w:eastAsia="Arial" w:hAnsi="Arial"/>
                <w:sz w:val="18"/>
                <w:szCs w:val="18"/>
                <w:color w:val="0000FF"/>
              </w:rPr>
            </w:pPr>
            <w:hyperlink r:id="rId455">
              <w:r>
                <w:rPr>
                  <w:rFonts w:ascii="Arial" w:cs="Arial" w:eastAsia="Arial" w:hAnsi="Arial"/>
                  <w:sz w:val="18"/>
                  <w:szCs w:val="18"/>
                  <w:color w:val="0000FF"/>
                </w:rPr>
                <w:t>Mezzanine  Partners  VIB,  L.P.,  Crescent  Mezzanine  Partners  VIC,  L.P.,</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540" w:type="dxa"/>
            <w:vAlign w:val="bottom"/>
            <w:gridSpan w:val="27"/>
          </w:tcPr>
          <w:p>
            <w:pPr>
              <w:spacing w:after="0" w:line="182" w:lineRule="exact"/>
              <w:rPr>
                <w:rFonts w:ascii="Arial" w:cs="Arial" w:eastAsia="Arial" w:hAnsi="Arial"/>
                <w:sz w:val="18"/>
                <w:szCs w:val="18"/>
                <w:color w:val="0000FF"/>
              </w:rPr>
            </w:pPr>
            <w:hyperlink r:id="rId455">
              <w:r>
                <w:rPr>
                  <w:rFonts w:ascii="Arial" w:cs="Arial" w:eastAsia="Arial" w:hAnsi="Arial"/>
                  <w:sz w:val="18"/>
                  <w:szCs w:val="18"/>
                  <w:color w:val="0000FF"/>
                </w:rPr>
                <w:t>NPS/Crescent Strategic Partnership II, LP, CM7C VS Equity Holdings, LP,</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30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rPr>
            </w:pPr>
            <w:hyperlink r:id="rId455">
              <w:r>
                <w:rPr>
                  <w:rFonts w:ascii="Arial" w:cs="Arial" w:eastAsia="Arial" w:hAnsi="Arial"/>
                  <w:sz w:val="18"/>
                  <w:szCs w:val="18"/>
                  <w:color w:val="0000FF"/>
                </w:rPr>
                <w:t>Crescent Mezzanine Partners VIIB, L.P., CM6B Vivid Equity, Inc., CM6C Vivid</w:t>
              </w:r>
            </w:hyperlink>
          </w:p>
        </w:tc>
        <w:tc>
          <w:tcPr>
            <w:tcW w:w="20" w:type="dxa"/>
            <w:vAlign w:val="bottom"/>
            <w:tcBorders>
              <w:top w:val="single" w:sz="8" w:color="0000EE"/>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20" w:type="dxa"/>
            <w:vAlign w:val="bottom"/>
            <w:tcBorders>
              <w:bottom w:val="single" w:sz="8" w:color="0000FF"/>
            </w:tcBorders>
            <w:gridSpan w:val="21"/>
          </w:tcPr>
          <w:p>
            <w:pPr>
              <w:spacing w:after="0" w:line="182" w:lineRule="exact"/>
              <w:rPr>
                <w:rFonts w:ascii="Arial" w:cs="Arial" w:eastAsia="Arial" w:hAnsi="Arial"/>
                <w:sz w:val="18"/>
                <w:szCs w:val="18"/>
                <w:color w:val="0000FF"/>
              </w:rPr>
            </w:pPr>
            <w:hyperlink r:id="rId455">
              <w:r>
                <w:rPr>
                  <w:rFonts w:ascii="Arial" w:cs="Arial" w:eastAsia="Arial" w:hAnsi="Arial"/>
                  <w:sz w:val="18"/>
                  <w:szCs w:val="18"/>
                  <w:color w:val="0000FF"/>
                </w:rPr>
                <w:t>Equity,  Inc.,  CM7C  VS  Equity,  LLC,  CM7B  VS  Equity,  LLC,  Crescent</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80" w:type="dxa"/>
            <w:vAlign w:val="bottom"/>
            <w:gridSpan w:val="24"/>
          </w:tcPr>
          <w:p>
            <w:pPr>
              <w:spacing w:after="0" w:line="182" w:lineRule="exact"/>
              <w:rPr>
                <w:rFonts w:ascii="Arial" w:cs="Arial" w:eastAsia="Arial" w:hAnsi="Arial"/>
                <w:sz w:val="18"/>
                <w:szCs w:val="18"/>
                <w:color w:val="0000FF"/>
              </w:rPr>
            </w:pPr>
            <w:hyperlink r:id="rId455">
              <w:r>
                <w:rPr>
                  <w:rFonts w:ascii="Arial" w:cs="Arial" w:eastAsia="Arial" w:hAnsi="Arial"/>
                  <w:sz w:val="18"/>
                  <w:szCs w:val="18"/>
                  <w:color w:val="0000FF"/>
                </w:rPr>
                <w:t>Mezzanine Partners VI, L.P., Crescent Mezzanine Partners VII, L.P., Crescent</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300" w:type="dxa"/>
            <w:vAlign w:val="bottom"/>
            <w:gridSpan w:val="15"/>
          </w:tcPr>
          <w:p>
            <w:pPr>
              <w:spacing w:after="0" w:line="182" w:lineRule="exact"/>
              <w:rPr>
                <w:rFonts w:ascii="Arial" w:cs="Arial" w:eastAsia="Arial" w:hAnsi="Arial"/>
                <w:sz w:val="18"/>
                <w:szCs w:val="18"/>
                <w:color w:val="0000FF"/>
              </w:rPr>
            </w:pPr>
            <w:hyperlink r:id="rId455">
              <w:r>
                <w:rPr>
                  <w:rFonts w:ascii="Arial" w:cs="Arial" w:eastAsia="Arial" w:hAnsi="Arial"/>
                  <w:sz w:val="18"/>
                  <w:szCs w:val="18"/>
                  <w:color w:val="0000FF"/>
                </w:rPr>
                <w:t>Mezzanine Partners VII (LTL), L.P., CBDC Universal Equity, Inc., Crescent</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gridSpan w:val="3"/>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2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455">
              <w:r>
                <w:rPr>
                  <w:rFonts w:ascii="Arial" w:cs="Arial" w:eastAsia="Arial" w:hAnsi="Arial"/>
                  <w:sz w:val="18"/>
                  <w:szCs w:val="18"/>
                  <w:color w:val="0000FF"/>
                </w:rPr>
                <w:t>Capital Group, LP and Horizon Acquisition Corporation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2.3</w:t>
            </w:r>
          </w:p>
        </w:tc>
        <w:tc>
          <w:tcPr>
            <w:tcW w:w="6320" w:type="dxa"/>
            <w:vAlign w:val="bottom"/>
            <w:tcBorders>
              <w:bottom w:val="single" w:sz="8" w:color="0000FF"/>
            </w:tcBorders>
            <w:gridSpan w:val="16"/>
          </w:tcPr>
          <w:p>
            <w:pPr>
              <w:spacing w:after="0"/>
              <w:rPr>
                <w:rFonts w:ascii="Arial" w:cs="Arial" w:eastAsia="Arial" w:hAnsi="Arial"/>
                <w:sz w:val="18"/>
                <w:szCs w:val="18"/>
                <w:color w:val="0000FF"/>
              </w:rPr>
            </w:pPr>
            <w:hyperlink r:id="rId456">
              <w:r>
                <w:rPr>
                  <w:rFonts w:ascii="Arial" w:cs="Arial" w:eastAsia="Arial" w:hAnsi="Arial"/>
                  <w:sz w:val="18"/>
                  <w:szCs w:val="18"/>
                  <w:color w:val="0000FF"/>
                </w:rPr>
                <w:t>Plan  of  Merger,  dated  October  18,  2021,  among  Horizon  Acquisition</w:t>
              </w:r>
            </w:hyperlink>
          </w:p>
        </w:tc>
        <w:tc>
          <w:tcPr>
            <w:tcW w:w="20" w:type="dxa"/>
            <w:vAlign w:val="bottom"/>
            <w:tcBorders>
              <w:bottom w:val="single" w:sz="8" w:color="0000EE"/>
            </w:tcBorders>
          </w:tcPr>
          <w:p>
            <w:pPr>
              <w:spacing w:after="0"/>
              <w:rPr>
                <w:sz w:val="20"/>
                <w:szCs w:val="20"/>
                <w:color w:val="auto"/>
              </w:rPr>
            </w:pPr>
          </w:p>
        </w:tc>
        <w:tc>
          <w:tcPr>
            <w:tcW w:w="240" w:type="dxa"/>
            <w:vAlign w:val="bottom"/>
            <w:gridSpan w:val="12"/>
          </w:tcPr>
          <w:p>
            <w:pPr>
              <w:spacing w:after="0"/>
              <w:rPr>
                <w:sz w:val="20"/>
                <w:szCs w:val="20"/>
                <w:color w:val="auto"/>
              </w:rPr>
            </w:pPr>
          </w:p>
        </w:tc>
        <w:tc>
          <w:tcPr>
            <w:tcW w:w="400" w:type="dxa"/>
            <w:vAlign w:val="bottom"/>
          </w:tcPr>
          <w:p>
            <w:pPr>
              <w:jc w:val="center"/>
              <w:ind w:right="10"/>
              <w:spacing w:after="0"/>
              <w:rPr>
                <w:sz w:val="20"/>
                <w:szCs w:val="20"/>
                <w:color w:val="auto"/>
              </w:rPr>
            </w:pPr>
            <w:r>
              <w:rPr>
                <w:rFonts w:ascii="Arial" w:cs="Arial" w:eastAsia="Arial" w:hAnsi="Arial"/>
                <w:sz w:val="18"/>
                <w:szCs w:val="18"/>
                <w:color w:val="auto"/>
                <w:w w:val="74"/>
              </w:rPr>
              <w:t>10-Q</w:t>
            </w:r>
          </w:p>
        </w:tc>
        <w:tc>
          <w:tcPr>
            <w:tcW w:w="800" w:type="dxa"/>
            <w:vAlign w:val="bottom"/>
          </w:tcPr>
          <w:p>
            <w:pPr>
              <w:jc w:val="center"/>
              <w:spacing w:after="0"/>
              <w:rPr>
                <w:sz w:val="20"/>
                <w:szCs w:val="20"/>
                <w:color w:val="auto"/>
              </w:rPr>
            </w:pPr>
            <w:r>
              <w:rPr>
                <w:rFonts w:ascii="Arial" w:cs="Arial" w:eastAsia="Arial" w:hAnsi="Arial"/>
                <w:sz w:val="18"/>
                <w:szCs w:val="18"/>
                <w:color w:val="auto"/>
              </w:rPr>
              <w:t>2.3</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11/15/2021</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340" w:type="dxa"/>
            <w:vAlign w:val="bottom"/>
            <w:gridSpan w:val="17"/>
          </w:tcPr>
          <w:p>
            <w:pPr>
              <w:spacing w:after="0" w:line="182" w:lineRule="exact"/>
              <w:rPr>
                <w:rFonts w:ascii="Arial" w:cs="Arial" w:eastAsia="Arial" w:hAnsi="Arial"/>
                <w:sz w:val="18"/>
                <w:szCs w:val="18"/>
                <w:color w:val="0000FF"/>
              </w:rPr>
            </w:pPr>
            <w:hyperlink r:id="rId456">
              <w:r>
                <w:rPr>
                  <w:rFonts w:ascii="Arial" w:cs="Arial" w:eastAsia="Arial" w:hAnsi="Arial"/>
                  <w:sz w:val="18"/>
                  <w:szCs w:val="18"/>
                  <w:color w:val="0000FF"/>
                </w:rPr>
                <w:t>Corporation, Horizon Sponsor, LLC, Hoya Topco, LLC, Hoya Intermediate, LLC</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456">
              <w:r>
                <w:rPr>
                  <w:rFonts w:ascii="Arial" w:cs="Arial" w:eastAsia="Arial" w:hAnsi="Arial"/>
                  <w:sz w:val="18"/>
                  <w:szCs w:val="18"/>
                  <w:color w:val="0000FF"/>
                  <w:w w:val="99"/>
                </w:rPr>
                <w:t>and Vivid Seats Inc.</w:t>
              </w:r>
            </w:hyperlink>
          </w:p>
        </w:tc>
        <w:tc>
          <w:tcPr>
            <w:tcW w:w="4900" w:type="dxa"/>
            <w:vAlign w:val="bottom"/>
            <w:tcBorders>
              <w:top w:val="single" w:sz="8" w:color="0000FF"/>
            </w:tcBorders>
            <w:gridSpan w:val="2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2.4</w:t>
            </w:r>
          </w:p>
        </w:tc>
        <w:tc>
          <w:tcPr>
            <w:tcW w:w="6360" w:type="dxa"/>
            <w:vAlign w:val="bottom"/>
            <w:tcBorders>
              <w:bottom w:val="single" w:sz="8" w:color="0000FF"/>
            </w:tcBorders>
            <w:gridSpan w:val="18"/>
          </w:tcPr>
          <w:p>
            <w:pPr>
              <w:spacing w:after="0"/>
              <w:rPr>
                <w:rFonts w:ascii="Arial" w:cs="Arial" w:eastAsia="Arial" w:hAnsi="Arial"/>
                <w:sz w:val="18"/>
                <w:szCs w:val="18"/>
                <w:color w:val="0000FF"/>
              </w:rPr>
            </w:pPr>
            <w:hyperlink r:id="rId457">
              <w:r>
                <w:rPr>
                  <w:rFonts w:ascii="Arial" w:cs="Arial" w:eastAsia="Arial" w:hAnsi="Arial"/>
                  <w:sz w:val="18"/>
                  <w:szCs w:val="18"/>
                  <w:color w:val="0000FF"/>
                </w:rPr>
                <w:t>Agreement and Plan of Merger, dated November 3, 2023, among Vivid Seats</w:t>
              </w:r>
            </w:hyperlink>
          </w:p>
        </w:tc>
        <w:tc>
          <w:tcPr>
            <w:tcW w:w="40" w:type="dxa"/>
            <w:vAlign w:val="bottom"/>
            <w:tcBorders>
              <w:bottom w:val="single" w:sz="8" w:color="0000EE"/>
            </w:tcBorders>
            <w:gridSpan w:val="2"/>
          </w:tcPr>
          <w:p>
            <w:pPr>
              <w:spacing w:after="0"/>
              <w:rPr>
                <w:sz w:val="20"/>
                <w:szCs w:val="20"/>
                <w:color w:val="auto"/>
              </w:rPr>
            </w:pPr>
          </w:p>
        </w:tc>
        <w:tc>
          <w:tcPr>
            <w:tcW w:w="180" w:type="dxa"/>
            <w:vAlign w:val="bottom"/>
            <w:gridSpan w:val="9"/>
          </w:tcPr>
          <w:p>
            <w:pPr>
              <w:spacing w:after="0"/>
              <w:rPr>
                <w:sz w:val="20"/>
                <w:szCs w:val="20"/>
                <w:color w:val="auto"/>
              </w:rPr>
            </w:pPr>
          </w:p>
        </w:tc>
        <w:tc>
          <w:tcPr>
            <w:tcW w:w="400" w:type="dxa"/>
            <w:vAlign w:val="bottom"/>
          </w:tcPr>
          <w:p>
            <w:pPr>
              <w:jc w:val="center"/>
              <w:ind w:right="70"/>
              <w:spacing w:after="0"/>
              <w:rPr>
                <w:sz w:val="20"/>
                <w:szCs w:val="20"/>
                <w:color w:val="auto"/>
              </w:rPr>
            </w:pPr>
            <w:r>
              <w:rPr>
                <w:rFonts w:ascii="Arial" w:cs="Arial" w:eastAsia="Arial" w:hAnsi="Arial"/>
                <w:sz w:val="18"/>
                <w:szCs w:val="18"/>
                <w:color w:val="auto"/>
                <w:w w:val="85"/>
              </w:rPr>
              <w:t>8-K</w:t>
            </w:r>
          </w:p>
        </w:tc>
        <w:tc>
          <w:tcPr>
            <w:tcW w:w="800" w:type="dxa"/>
            <w:vAlign w:val="bottom"/>
          </w:tcPr>
          <w:p>
            <w:pPr>
              <w:jc w:val="center"/>
              <w:spacing w:after="0"/>
              <w:rPr>
                <w:sz w:val="20"/>
                <w:szCs w:val="20"/>
                <w:color w:val="auto"/>
              </w:rPr>
            </w:pPr>
            <w:r>
              <w:rPr>
                <w:rFonts w:ascii="Arial" w:cs="Arial" w:eastAsia="Arial" w:hAnsi="Arial"/>
                <w:sz w:val="18"/>
                <w:szCs w:val="18"/>
                <w:color w:val="auto"/>
              </w:rPr>
              <w:t>2.1</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11/7/2023</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0" w:type="dxa"/>
            <w:vAlign w:val="bottom"/>
            <w:tcBorders>
              <w:bottom w:val="single" w:sz="8" w:color="0000FF"/>
            </w:tcBorders>
            <w:gridSpan w:val="20"/>
          </w:tcPr>
          <w:p>
            <w:pPr>
              <w:spacing w:after="0" w:line="182" w:lineRule="exact"/>
              <w:rPr>
                <w:rFonts w:ascii="Arial" w:cs="Arial" w:eastAsia="Arial" w:hAnsi="Arial"/>
                <w:sz w:val="18"/>
                <w:szCs w:val="18"/>
                <w:color w:val="0000FF"/>
              </w:rPr>
            </w:pPr>
            <w:hyperlink r:id="rId457">
              <w:r>
                <w:rPr>
                  <w:rFonts w:ascii="Arial" w:cs="Arial" w:eastAsia="Arial" w:hAnsi="Arial"/>
                  <w:sz w:val="18"/>
                  <w:szCs w:val="18"/>
                  <w:color w:val="0000FF"/>
                </w:rPr>
                <w:t>Inc., Viva Merger Sub I, LLC, Viva Merger Sub II, LLC, VDC Holdco, LLC, the</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30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457">
              <w:r>
                <w:rPr>
                  <w:rFonts w:ascii="Arial" w:cs="Arial" w:eastAsia="Arial" w:hAnsi="Arial"/>
                  <w:sz w:val="18"/>
                  <w:szCs w:val="18"/>
                  <w:color w:val="0000FF"/>
                  <w:w w:val="99"/>
                </w:rPr>
                <w:t>Unitholders named therein, and the Unitholders’ Representative named therein</w:t>
              </w:r>
            </w:hyperlink>
          </w:p>
        </w:tc>
        <w:tc>
          <w:tcPr>
            <w:tcW w:w="26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3.1</w:t>
            </w:r>
          </w:p>
        </w:tc>
        <w:tc>
          <w:tcPr>
            <w:tcW w:w="4060" w:type="dxa"/>
            <w:vAlign w:val="bottom"/>
            <w:tcBorders>
              <w:bottom w:val="single" w:sz="8" w:color="0000FF"/>
            </w:tcBorders>
            <w:gridSpan w:val="8"/>
          </w:tcPr>
          <w:p>
            <w:pPr>
              <w:spacing w:after="0"/>
              <w:rPr>
                <w:rFonts w:ascii="Arial" w:cs="Arial" w:eastAsia="Arial" w:hAnsi="Arial"/>
                <w:sz w:val="18"/>
                <w:szCs w:val="18"/>
                <w:color w:val="0000FF"/>
                <w:w w:val="99"/>
              </w:rPr>
            </w:pPr>
            <w:hyperlink r:id="rId458">
              <w:r>
                <w:rPr>
                  <w:rFonts w:ascii="Arial" w:cs="Arial" w:eastAsia="Arial" w:hAnsi="Arial"/>
                  <w:sz w:val="18"/>
                  <w:szCs w:val="18"/>
                  <w:color w:val="0000FF"/>
                  <w:w w:val="99"/>
                </w:rPr>
                <w:t>Amended and Restated Certificate of Incorporation</w:t>
              </w:r>
            </w:hyperlink>
          </w:p>
        </w:tc>
        <w:tc>
          <w:tcPr>
            <w:tcW w:w="20" w:type="dxa"/>
            <w:vAlign w:val="bottom"/>
            <w:tcBorders>
              <w:bottom w:val="single" w:sz="8" w:color="0000EE"/>
            </w:tcBorders>
          </w:tcPr>
          <w:p>
            <w:pPr>
              <w:spacing w:after="0"/>
              <w:rPr>
                <w:sz w:val="20"/>
                <w:szCs w:val="20"/>
                <w:color w:val="auto"/>
              </w:rPr>
            </w:pPr>
          </w:p>
        </w:tc>
        <w:tc>
          <w:tcPr>
            <w:tcW w:w="2500" w:type="dxa"/>
            <w:vAlign w:val="bottom"/>
            <w:gridSpan w:val="20"/>
          </w:tcPr>
          <w:p>
            <w:pPr>
              <w:spacing w:after="0"/>
              <w:rPr>
                <w:sz w:val="20"/>
                <w:szCs w:val="20"/>
                <w:color w:val="auto"/>
              </w:rPr>
            </w:pPr>
          </w:p>
        </w:tc>
        <w:tc>
          <w:tcPr>
            <w:tcW w:w="400" w:type="dxa"/>
            <w:vAlign w:val="bottom"/>
          </w:tcPr>
          <w:p>
            <w:pPr>
              <w:jc w:val="center"/>
              <w:ind w:right="70"/>
              <w:spacing w:after="0"/>
              <w:rPr>
                <w:sz w:val="20"/>
                <w:szCs w:val="20"/>
                <w:color w:val="auto"/>
              </w:rPr>
            </w:pPr>
            <w:r>
              <w:rPr>
                <w:rFonts w:ascii="Arial" w:cs="Arial" w:eastAsia="Arial" w:hAnsi="Arial"/>
                <w:sz w:val="18"/>
                <w:szCs w:val="18"/>
                <w:color w:val="auto"/>
                <w:w w:val="85"/>
              </w:rPr>
              <w:t>8-K</w:t>
            </w:r>
          </w:p>
        </w:tc>
        <w:tc>
          <w:tcPr>
            <w:tcW w:w="800" w:type="dxa"/>
            <w:vAlign w:val="bottom"/>
          </w:tcPr>
          <w:p>
            <w:pPr>
              <w:jc w:val="center"/>
              <w:spacing w:after="0"/>
              <w:rPr>
                <w:sz w:val="20"/>
                <w:szCs w:val="20"/>
                <w:color w:val="auto"/>
              </w:rPr>
            </w:pPr>
            <w:r>
              <w:rPr>
                <w:rFonts w:ascii="Arial" w:cs="Arial" w:eastAsia="Arial" w:hAnsi="Arial"/>
                <w:sz w:val="18"/>
                <w:szCs w:val="18"/>
                <w:color w:val="auto"/>
              </w:rPr>
              <w:t>3.1</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10/22/2021</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3.2</w:t>
            </w:r>
          </w:p>
        </w:tc>
        <w:tc>
          <w:tcPr>
            <w:tcW w:w="4140" w:type="dxa"/>
            <w:vAlign w:val="bottom"/>
            <w:tcBorders>
              <w:bottom w:val="single" w:sz="8" w:color="0000FF"/>
            </w:tcBorders>
            <w:gridSpan w:val="10"/>
          </w:tcPr>
          <w:p>
            <w:pPr>
              <w:spacing w:after="0"/>
              <w:rPr>
                <w:rFonts w:ascii="Arial" w:cs="Arial" w:eastAsia="Arial" w:hAnsi="Arial"/>
                <w:sz w:val="18"/>
                <w:szCs w:val="18"/>
                <w:color w:val="0000FF"/>
                <w:w w:val="99"/>
              </w:rPr>
            </w:pPr>
            <w:hyperlink r:id="rId459">
              <w:r>
                <w:rPr>
                  <w:rFonts w:ascii="Arial" w:cs="Arial" w:eastAsia="Arial" w:hAnsi="Arial"/>
                  <w:sz w:val="18"/>
                  <w:szCs w:val="18"/>
                  <w:color w:val="0000FF"/>
                  <w:w w:val="99"/>
                </w:rPr>
                <w:t>First Amendment to Amended and Restated Bylaws</w:t>
              </w:r>
            </w:hyperlink>
          </w:p>
        </w:tc>
        <w:tc>
          <w:tcPr>
            <w:tcW w:w="2440" w:type="dxa"/>
            <w:vAlign w:val="bottom"/>
            <w:gridSpan w:val="19"/>
          </w:tcPr>
          <w:p>
            <w:pPr>
              <w:spacing w:after="0"/>
              <w:rPr>
                <w:sz w:val="20"/>
                <w:szCs w:val="20"/>
                <w:color w:val="auto"/>
              </w:rPr>
            </w:pPr>
          </w:p>
        </w:tc>
        <w:tc>
          <w:tcPr>
            <w:tcW w:w="400" w:type="dxa"/>
            <w:vAlign w:val="bottom"/>
          </w:tcPr>
          <w:p>
            <w:pPr>
              <w:jc w:val="center"/>
              <w:ind w:right="10"/>
              <w:spacing w:after="0"/>
              <w:rPr>
                <w:sz w:val="20"/>
                <w:szCs w:val="20"/>
                <w:color w:val="auto"/>
              </w:rPr>
            </w:pPr>
            <w:r>
              <w:rPr>
                <w:rFonts w:ascii="Arial" w:cs="Arial" w:eastAsia="Arial" w:hAnsi="Arial"/>
                <w:sz w:val="18"/>
                <w:szCs w:val="18"/>
                <w:color w:val="auto"/>
                <w:w w:val="74"/>
              </w:rPr>
              <w:t>10-Q</w:t>
            </w:r>
          </w:p>
        </w:tc>
        <w:tc>
          <w:tcPr>
            <w:tcW w:w="800" w:type="dxa"/>
            <w:vAlign w:val="bottom"/>
          </w:tcPr>
          <w:p>
            <w:pPr>
              <w:jc w:val="center"/>
              <w:spacing w:after="0"/>
              <w:rPr>
                <w:sz w:val="20"/>
                <w:szCs w:val="20"/>
                <w:color w:val="auto"/>
              </w:rPr>
            </w:pPr>
            <w:r>
              <w:rPr>
                <w:rFonts w:ascii="Arial" w:cs="Arial" w:eastAsia="Arial" w:hAnsi="Arial"/>
                <w:sz w:val="18"/>
                <w:szCs w:val="18"/>
                <w:color w:val="auto"/>
              </w:rPr>
              <w:t>3.2</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5/10/2022</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3.3</w:t>
            </w:r>
          </w:p>
        </w:tc>
        <w:tc>
          <w:tcPr>
            <w:tcW w:w="2520" w:type="dxa"/>
            <w:vAlign w:val="bottom"/>
            <w:tcBorders>
              <w:bottom w:val="single" w:sz="8" w:color="0000FF"/>
            </w:tcBorders>
            <w:gridSpan w:val="5"/>
          </w:tcPr>
          <w:p>
            <w:pPr>
              <w:spacing w:after="0"/>
              <w:rPr>
                <w:rFonts w:ascii="Arial" w:cs="Arial" w:eastAsia="Arial" w:hAnsi="Arial"/>
                <w:sz w:val="18"/>
                <w:szCs w:val="18"/>
                <w:color w:val="0000FF"/>
                <w:w w:val="99"/>
              </w:rPr>
            </w:pPr>
            <w:hyperlink r:id="rId460">
              <w:r>
                <w:rPr>
                  <w:rFonts w:ascii="Arial" w:cs="Arial" w:eastAsia="Arial" w:hAnsi="Arial"/>
                  <w:sz w:val="18"/>
                  <w:szCs w:val="18"/>
                  <w:color w:val="0000FF"/>
                  <w:w w:val="99"/>
                </w:rPr>
                <w:t>Amended and Restated Bylaws</w:t>
              </w:r>
            </w:hyperlink>
          </w:p>
        </w:tc>
        <w:tc>
          <w:tcPr>
            <w:tcW w:w="20" w:type="dxa"/>
            <w:vAlign w:val="bottom"/>
            <w:tcBorders>
              <w:bottom w:val="single" w:sz="8" w:color="0000EE"/>
            </w:tcBorders>
          </w:tcPr>
          <w:p>
            <w:pPr>
              <w:spacing w:after="0"/>
              <w:rPr>
                <w:sz w:val="20"/>
                <w:szCs w:val="20"/>
                <w:color w:val="auto"/>
              </w:rPr>
            </w:pPr>
          </w:p>
        </w:tc>
        <w:tc>
          <w:tcPr>
            <w:tcW w:w="4040" w:type="dxa"/>
            <w:vAlign w:val="bottom"/>
            <w:gridSpan w:val="23"/>
          </w:tcPr>
          <w:p>
            <w:pPr>
              <w:spacing w:after="0"/>
              <w:rPr>
                <w:sz w:val="20"/>
                <w:szCs w:val="20"/>
                <w:color w:val="auto"/>
              </w:rPr>
            </w:pPr>
          </w:p>
        </w:tc>
        <w:tc>
          <w:tcPr>
            <w:tcW w:w="400" w:type="dxa"/>
            <w:vAlign w:val="bottom"/>
          </w:tcPr>
          <w:p>
            <w:pPr>
              <w:jc w:val="center"/>
              <w:ind w:right="70"/>
              <w:spacing w:after="0"/>
              <w:rPr>
                <w:sz w:val="20"/>
                <w:szCs w:val="20"/>
                <w:color w:val="auto"/>
              </w:rPr>
            </w:pPr>
            <w:r>
              <w:rPr>
                <w:rFonts w:ascii="Arial" w:cs="Arial" w:eastAsia="Arial" w:hAnsi="Arial"/>
                <w:sz w:val="18"/>
                <w:szCs w:val="18"/>
                <w:color w:val="auto"/>
                <w:w w:val="85"/>
              </w:rPr>
              <w:t>8-K</w:t>
            </w:r>
          </w:p>
        </w:tc>
        <w:tc>
          <w:tcPr>
            <w:tcW w:w="800" w:type="dxa"/>
            <w:vAlign w:val="bottom"/>
          </w:tcPr>
          <w:p>
            <w:pPr>
              <w:jc w:val="center"/>
              <w:spacing w:after="0"/>
              <w:rPr>
                <w:sz w:val="20"/>
                <w:szCs w:val="20"/>
                <w:color w:val="auto"/>
              </w:rPr>
            </w:pPr>
            <w:r>
              <w:rPr>
                <w:rFonts w:ascii="Arial" w:cs="Arial" w:eastAsia="Arial" w:hAnsi="Arial"/>
                <w:sz w:val="18"/>
                <w:szCs w:val="18"/>
                <w:color w:val="auto"/>
              </w:rPr>
              <w:t>3.2</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10/22/2021</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4.1</w:t>
            </w:r>
          </w:p>
        </w:tc>
        <w:tc>
          <w:tcPr>
            <w:tcW w:w="6440" w:type="dxa"/>
            <w:vAlign w:val="bottom"/>
            <w:tcBorders>
              <w:bottom w:val="single" w:sz="8" w:color="0000FF"/>
            </w:tcBorders>
            <w:gridSpan w:val="22"/>
          </w:tcPr>
          <w:p>
            <w:pPr>
              <w:spacing w:after="0"/>
              <w:rPr>
                <w:rFonts w:ascii="Arial" w:cs="Arial" w:eastAsia="Arial" w:hAnsi="Arial"/>
                <w:sz w:val="18"/>
                <w:szCs w:val="18"/>
                <w:color w:val="0000FF"/>
              </w:rPr>
            </w:pPr>
            <w:hyperlink r:id="rId461">
              <w:r>
                <w:rPr>
                  <w:rFonts w:ascii="Arial" w:cs="Arial" w:eastAsia="Arial" w:hAnsi="Arial"/>
                  <w:sz w:val="18"/>
                  <w:szCs w:val="18"/>
                  <w:color w:val="0000FF"/>
                </w:rPr>
                <w:t>Amended and Restated Warrant Agreement, dated October 14, 2021, between</w:t>
              </w:r>
            </w:hyperlink>
          </w:p>
        </w:tc>
        <w:tc>
          <w:tcPr>
            <w:tcW w:w="20" w:type="dxa"/>
            <w:vAlign w:val="bottom"/>
            <w:tcBorders>
              <w:bottom w:val="single" w:sz="8" w:color="0000EE"/>
            </w:tcBorders>
          </w:tcPr>
          <w:p>
            <w:pPr>
              <w:spacing w:after="0"/>
              <w:rPr>
                <w:sz w:val="20"/>
                <w:szCs w:val="20"/>
                <w:color w:val="auto"/>
              </w:rPr>
            </w:pPr>
          </w:p>
        </w:tc>
        <w:tc>
          <w:tcPr>
            <w:tcW w:w="120" w:type="dxa"/>
            <w:vAlign w:val="bottom"/>
            <w:gridSpan w:val="6"/>
          </w:tcPr>
          <w:p>
            <w:pPr>
              <w:spacing w:after="0"/>
              <w:rPr>
                <w:sz w:val="20"/>
                <w:szCs w:val="20"/>
                <w:color w:val="auto"/>
              </w:rPr>
            </w:pPr>
          </w:p>
        </w:tc>
        <w:tc>
          <w:tcPr>
            <w:tcW w:w="400" w:type="dxa"/>
            <w:vAlign w:val="bottom"/>
          </w:tcPr>
          <w:p>
            <w:pPr>
              <w:jc w:val="center"/>
              <w:ind w:right="70"/>
              <w:spacing w:after="0"/>
              <w:rPr>
                <w:sz w:val="20"/>
                <w:szCs w:val="20"/>
                <w:color w:val="auto"/>
              </w:rPr>
            </w:pPr>
            <w:r>
              <w:rPr>
                <w:rFonts w:ascii="Arial" w:cs="Arial" w:eastAsia="Arial" w:hAnsi="Arial"/>
                <w:sz w:val="18"/>
                <w:szCs w:val="18"/>
                <w:color w:val="auto"/>
                <w:w w:val="85"/>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96"/>
              </w:rPr>
              <w:t>10.7</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10/22/2021</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60" w:type="dxa"/>
            <w:vAlign w:val="bottom"/>
            <w:tcBorders>
              <w:bottom w:val="single" w:sz="8" w:color="0000FF"/>
            </w:tcBorders>
            <w:gridSpan w:val="23"/>
          </w:tcPr>
          <w:p>
            <w:pPr>
              <w:spacing w:after="0" w:line="182" w:lineRule="exact"/>
              <w:rPr>
                <w:rFonts w:ascii="Arial" w:cs="Arial" w:eastAsia="Arial" w:hAnsi="Arial"/>
                <w:sz w:val="18"/>
                <w:szCs w:val="18"/>
                <w:color w:val="0000FF"/>
              </w:rPr>
            </w:pPr>
            <w:hyperlink r:id="rId461">
              <w:r>
                <w:rPr>
                  <w:rFonts w:ascii="Arial" w:cs="Arial" w:eastAsia="Arial" w:hAnsi="Arial"/>
                  <w:sz w:val="18"/>
                  <w:szCs w:val="18"/>
                  <w:color w:val="0000FF"/>
                </w:rPr>
                <w:t>Horizon  Acquisition  Corporation  and  Continental  Stock  Transfer  &amp;  Trust</w:t>
              </w:r>
            </w:hyperlink>
          </w:p>
        </w:tc>
        <w:tc>
          <w:tcPr>
            <w:tcW w:w="60" w:type="dxa"/>
            <w:vAlign w:val="bottom"/>
            <w:tcBorders>
              <w:bottom w:val="single" w:sz="8" w:color="0000FF"/>
            </w:tcBorders>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Borders>
              <w:bottom w:val="single" w:sz="8" w:color="0000FF"/>
            </w:tcBorders>
          </w:tcPr>
          <w:p>
            <w:pPr>
              <w:spacing w:after="0" w:line="182" w:lineRule="exact"/>
              <w:rPr>
                <w:rFonts w:ascii="Arial" w:cs="Arial" w:eastAsia="Arial" w:hAnsi="Arial"/>
                <w:sz w:val="18"/>
                <w:szCs w:val="18"/>
                <w:color w:val="0000FF"/>
                <w:w w:val="98"/>
              </w:rPr>
            </w:pPr>
            <w:hyperlink r:id="rId461">
              <w:r>
                <w:rPr>
                  <w:rFonts w:ascii="Arial" w:cs="Arial" w:eastAsia="Arial" w:hAnsi="Arial"/>
                  <w:sz w:val="18"/>
                  <w:szCs w:val="18"/>
                  <w:color w:val="0000FF"/>
                  <w:w w:val="98"/>
                </w:rPr>
                <w:t>Company</w:t>
              </w:r>
            </w:hyperlink>
          </w:p>
        </w:tc>
        <w:tc>
          <w:tcPr>
            <w:tcW w:w="20" w:type="dxa"/>
            <w:vAlign w:val="bottom"/>
            <w:tcBorders>
              <w:bottom w:val="single" w:sz="8" w:color="0000EE"/>
            </w:tcBorders>
          </w:tcPr>
          <w:p>
            <w:pPr>
              <w:spacing w:after="0"/>
              <w:rPr>
                <w:sz w:val="15"/>
                <w:szCs w:val="15"/>
                <w:color w:val="auto"/>
              </w:rPr>
            </w:pPr>
          </w:p>
        </w:tc>
        <w:tc>
          <w:tcPr>
            <w:tcW w:w="5720" w:type="dxa"/>
            <w:vAlign w:val="bottom"/>
            <w:gridSpan w:val="24"/>
          </w:tcPr>
          <w:p>
            <w:pPr>
              <w:spacing w:after="0"/>
              <w:rPr>
                <w:sz w:val="15"/>
                <w:szCs w:val="15"/>
                <w:color w:val="auto"/>
              </w:rPr>
            </w:pPr>
          </w:p>
        </w:tc>
        <w:tc>
          <w:tcPr>
            <w:tcW w:w="6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4.2</w:t>
            </w:r>
          </w:p>
        </w:tc>
        <w:tc>
          <w:tcPr>
            <w:tcW w:w="6580" w:type="dxa"/>
            <w:vAlign w:val="bottom"/>
            <w:gridSpan w:val="29"/>
          </w:tcPr>
          <w:p>
            <w:pPr>
              <w:spacing w:after="0"/>
              <w:rPr>
                <w:rFonts w:ascii="Arial" w:cs="Arial" w:eastAsia="Arial" w:hAnsi="Arial"/>
                <w:sz w:val="18"/>
                <w:szCs w:val="18"/>
                <w:color w:val="0000FF"/>
              </w:rPr>
            </w:pPr>
            <w:hyperlink r:id="rId462">
              <w:r>
                <w:rPr>
                  <w:rFonts w:ascii="Arial" w:cs="Arial" w:eastAsia="Arial" w:hAnsi="Arial"/>
                  <w:sz w:val="18"/>
                  <w:szCs w:val="18"/>
                  <w:color w:val="0000FF"/>
                </w:rPr>
                <w:t>Specimen Class A Common Stock Certificate of Vivid Seats Inc.</w:t>
              </w:r>
            </w:hyperlink>
          </w:p>
        </w:tc>
        <w:tc>
          <w:tcPr>
            <w:tcW w:w="400" w:type="dxa"/>
            <w:vAlign w:val="bottom"/>
          </w:tcPr>
          <w:p>
            <w:pPr>
              <w:jc w:val="center"/>
              <w:ind w:right="10"/>
              <w:spacing w:after="0"/>
              <w:rPr>
                <w:sz w:val="20"/>
                <w:szCs w:val="20"/>
                <w:color w:val="auto"/>
              </w:rPr>
            </w:pPr>
            <w:r>
              <w:rPr>
                <w:rFonts w:ascii="Arial" w:cs="Arial" w:eastAsia="Arial" w:hAnsi="Arial"/>
                <w:sz w:val="18"/>
                <w:szCs w:val="18"/>
                <w:color w:val="auto"/>
                <w:w w:val="78"/>
              </w:rPr>
              <w:t>10-K</w:t>
            </w:r>
          </w:p>
        </w:tc>
        <w:tc>
          <w:tcPr>
            <w:tcW w:w="800" w:type="dxa"/>
            <w:vAlign w:val="bottom"/>
          </w:tcPr>
          <w:p>
            <w:pPr>
              <w:jc w:val="center"/>
              <w:spacing w:after="0"/>
              <w:rPr>
                <w:sz w:val="20"/>
                <w:szCs w:val="20"/>
                <w:color w:val="auto"/>
              </w:rPr>
            </w:pPr>
            <w:r>
              <w:rPr>
                <w:rFonts w:ascii="Arial" w:cs="Arial" w:eastAsia="Arial" w:hAnsi="Arial"/>
                <w:sz w:val="18"/>
                <w:szCs w:val="18"/>
                <w:color w:val="auto"/>
              </w:rPr>
              <w:t>4.2</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3/15/2022</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4.3</w:t>
            </w:r>
          </w:p>
        </w:tc>
        <w:tc>
          <w:tcPr>
            <w:tcW w:w="5100" w:type="dxa"/>
            <w:vAlign w:val="bottom"/>
            <w:tcBorders>
              <w:top w:val="single" w:sz="8" w:color="0000FF"/>
            </w:tcBorders>
            <w:gridSpan w:val="12"/>
          </w:tcPr>
          <w:p>
            <w:pPr>
              <w:spacing w:after="0"/>
              <w:rPr>
                <w:rFonts w:ascii="Arial" w:cs="Arial" w:eastAsia="Arial" w:hAnsi="Arial"/>
                <w:sz w:val="18"/>
                <w:szCs w:val="18"/>
                <w:color w:val="0000FF"/>
              </w:rPr>
            </w:pPr>
            <w:hyperlink r:id="rId463">
              <w:r>
                <w:rPr>
                  <w:rFonts w:ascii="Arial" w:cs="Arial" w:eastAsia="Arial" w:hAnsi="Arial"/>
                  <w:sz w:val="18"/>
                  <w:szCs w:val="18"/>
                  <w:color w:val="0000FF"/>
                </w:rPr>
                <w:t>Specimen Warrant Certificate of Vivid Seats Inc.</w:t>
              </w:r>
            </w:hyperlink>
          </w:p>
        </w:tc>
        <w:tc>
          <w:tcPr>
            <w:tcW w:w="1480" w:type="dxa"/>
            <w:vAlign w:val="bottom"/>
            <w:gridSpan w:val="17"/>
          </w:tcPr>
          <w:p>
            <w:pPr>
              <w:spacing w:after="0"/>
              <w:rPr>
                <w:sz w:val="20"/>
                <w:szCs w:val="20"/>
                <w:color w:val="auto"/>
              </w:rPr>
            </w:pPr>
          </w:p>
        </w:tc>
        <w:tc>
          <w:tcPr>
            <w:tcW w:w="400" w:type="dxa"/>
            <w:vAlign w:val="bottom"/>
          </w:tcPr>
          <w:p>
            <w:pPr>
              <w:jc w:val="center"/>
              <w:ind w:right="10"/>
              <w:spacing w:after="0"/>
              <w:rPr>
                <w:sz w:val="20"/>
                <w:szCs w:val="20"/>
                <w:color w:val="auto"/>
              </w:rPr>
            </w:pPr>
            <w:r>
              <w:rPr>
                <w:rFonts w:ascii="Arial" w:cs="Arial" w:eastAsia="Arial" w:hAnsi="Arial"/>
                <w:sz w:val="18"/>
                <w:szCs w:val="18"/>
                <w:color w:val="auto"/>
                <w:w w:val="78"/>
              </w:rPr>
              <w:t>10-K</w:t>
            </w:r>
          </w:p>
        </w:tc>
        <w:tc>
          <w:tcPr>
            <w:tcW w:w="800" w:type="dxa"/>
            <w:vAlign w:val="bottom"/>
          </w:tcPr>
          <w:p>
            <w:pPr>
              <w:jc w:val="center"/>
              <w:spacing w:after="0"/>
              <w:rPr>
                <w:sz w:val="20"/>
                <w:szCs w:val="20"/>
                <w:color w:val="auto"/>
              </w:rPr>
            </w:pPr>
            <w:r>
              <w:rPr>
                <w:rFonts w:ascii="Arial" w:cs="Arial" w:eastAsia="Arial" w:hAnsi="Arial"/>
                <w:sz w:val="18"/>
                <w:szCs w:val="18"/>
                <w:color w:val="auto"/>
              </w:rPr>
              <w:t>4.3</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3/15/2022</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2540" w:type="dxa"/>
            <w:vAlign w:val="bottom"/>
            <w:tcBorders>
              <w:right w:val="single" w:sz="8" w:color="0000EE"/>
            </w:tcBorders>
            <w:gridSpan w:val="4"/>
            <w:shd w:val="clear" w:color="auto" w:fill="0000FF"/>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31.1</w:t>
            </w:r>
          </w:p>
        </w:tc>
        <w:tc>
          <w:tcPr>
            <w:tcW w:w="6580" w:type="dxa"/>
            <w:vAlign w:val="bottom"/>
            <w:gridSpan w:val="29"/>
          </w:tcPr>
          <w:p>
            <w:pPr>
              <w:spacing w:after="0"/>
              <w:rPr>
                <w:sz w:val="20"/>
                <w:szCs w:val="20"/>
                <w:color w:val="auto"/>
              </w:rPr>
            </w:pPr>
            <w:r>
              <w:rPr>
                <w:rFonts w:ascii="Arial" w:cs="Arial" w:eastAsia="Arial" w:hAnsi="Arial"/>
                <w:sz w:val="18"/>
                <w:szCs w:val="18"/>
                <w:color w:val="0000FF"/>
              </w:rPr>
              <w:t>Rule 13a-14(a)/15d-14(a) Certification of Principal Executive Officer</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31.2</w:t>
            </w:r>
          </w:p>
        </w:tc>
        <w:tc>
          <w:tcPr>
            <w:tcW w:w="538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Rule 13a-14(a)/15d-14(a) Certification of Principal Financial Officer</w:t>
            </w:r>
          </w:p>
        </w:tc>
        <w:tc>
          <w:tcPr>
            <w:tcW w:w="1200" w:type="dxa"/>
            <w:vAlign w:val="bottom"/>
            <w:gridSpan w:val="15"/>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4000" w:type="dxa"/>
            <w:vAlign w:val="bottom"/>
            <w:gridSpan w:val="10"/>
            <w:shd w:val="clear" w:color="auto" w:fill="0000FF"/>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32.1</w:t>
            </w:r>
          </w:p>
        </w:tc>
        <w:tc>
          <w:tcPr>
            <w:tcW w:w="6580" w:type="dxa"/>
            <w:vAlign w:val="bottom"/>
            <w:gridSpan w:val="29"/>
          </w:tcPr>
          <w:p>
            <w:pPr>
              <w:spacing w:after="0"/>
              <w:rPr>
                <w:sz w:val="20"/>
                <w:szCs w:val="20"/>
                <w:color w:val="auto"/>
              </w:rPr>
            </w:pPr>
            <w:r>
              <w:rPr>
                <w:rFonts w:ascii="Arial" w:cs="Arial" w:eastAsia="Arial" w:hAnsi="Arial"/>
                <w:sz w:val="18"/>
                <w:szCs w:val="18"/>
                <w:color w:val="0000FF"/>
              </w:rPr>
              <w:t>18 U.S.C. Section 1350 Certifications of Chief Executive Officer and Chief</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36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rPr>
              <w:t>Financial Officer</w:t>
            </w:r>
          </w:p>
        </w:tc>
        <w:tc>
          <w:tcPr>
            <w:tcW w:w="220" w:type="dxa"/>
            <w:vAlign w:val="bottom"/>
            <w:gridSpan w:val="11"/>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Borders>
              <w:right w:val="single" w:sz="8" w:color="0000EE"/>
            </w:tcBorders>
            <w:gridSpan w:val="3"/>
            <w:shd w:val="clear" w:color="auto" w:fill="0000FF"/>
          </w:tcPr>
          <w:p>
            <w:pPr>
              <w:spacing w:after="0" w:line="20" w:lineRule="exact"/>
              <w:rPr>
                <w:sz w:val="1"/>
                <w:szCs w:val="1"/>
                <w:color w:val="auto"/>
              </w:rPr>
            </w:pPr>
          </w:p>
        </w:tc>
        <w:tc>
          <w:tcPr>
            <w:tcW w:w="5260" w:type="dxa"/>
            <w:vAlign w:val="bottom"/>
            <w:gridSpan w:val="2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101.INS</w:t>
            </w:r>
          </w:p>
        </w:tc>
        <w:tc>
          <w:tcPr>
            <w:tcW w:w="6580" w:type="dxa"/>
            <w:vAlign w:val="bottom"/>
            <w:gridSpan w:val="29"/>
          </w:tcPr>
          <w:p>
            <w:pPr>
              <w:spacing w:after="0"/>
              <w:rPr>
                <w:sz w:val="20"/>
                <w:szCs w:val="20"/>
                <w:color w:val="auto"/>
              </w:rPr>
            </w:pPr>
            <w:r>
              <w:rPr>
                <w:rFonts w:ascii="Arial" w:cs="Arial" w:eastAsia="Arial" w:hAnsi="Arial"/>
                <w:sz w:val="18"/>
                <w:szCs w:val="18"/>
                <w:color w:val="auto"/>
              </w:rPr>
              <w:t>Inline XBRL Instance Document – the instance document does not appear in</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580" w:type="dxa"/>
            <w:vAlign w:val="bottom"/>
            <w:gridSpan w:val="29"/>
          </w:tcPr>
          <w:p>
            <w:pPr>
              <w:spacing w:after="0" w:line="202" w:lineRule="exact"/>
              <w:rPr>
                <w:sz w:val="20"/>
                <w:szCs w:val="20"/>
                <w:color w:val="auto"/>
              </w:rPr>
            </w:pPr>
            <w:r>
              <w:rPr>
                <w:rFonts w:ascii="Arial" w:cs="Arial" w:eastAsia="Arial" w:hAnsi="Arial"/>
                <w:sz w:val="18"/>
                <w:szCs w:val="18"/>
                <w:color w:val="auto"/>
              </w:rPr>
              <w:t>the Interactive Data File because XBRL tags are embedded within the Inline</w:t>
            </w: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580" w:type="dxa"/>
            <w:vAlign w:val="bottom"/>
            <w:gridSpan w:val="29"/>
          </w:tcPr>
          <w:p>
            <w:pPr>
              <w:spacing w:after="0"/>
              <w:rPr>
                <w:sz w:val="20"/>
                <w:szCs w:val="20"/>
                <w:color w:val="auto"/>
              </w:rPr>
            </w:pPr>
            <w:r>
              <w:rPr>
                <w:rFonts w:ascii="Arial" w:cs="Arial" w:eastAsia="Arial" w:hAnsi="Arial"/>
                <w:sz w:val="18"/>
                <w:szCs w:val="18"/>
                <w:color w:val="auto"/>
              </w:rPr>
              <w:t>XBRL document</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101.SCH</w:t>
            </w:r>
          </w:p>
        </w:tc>
        <w:tc>
          <w:tcPr>
            <w:tcW w:w="6580" w:type="dxa"/>
            <w:vAlign w:val="bottom"/>
            <w:gridSpan w:val="29"/>
          </w:tcPr>
          <w:p>
            <w:pPr>
              <w:spacing w:after="0"/>
              <w:rPr>
                <w:sz w:val="20"/>
                <w:szCs w:val="20"/>
                <w:color w:val="auto"/>
              </w:rPr>
            </w:pPr>
            <w:r>
              <w:rPr>
                <w:rFonts w:ascii="Arial" w:cs="Arial" w:eastAsia="Arial" w:hAnsi="Arial"/>
                <w:sz w:val="18"/>
                <w:szCs w:val="18"/>
                <w:color w:val="auto"/>
              </w:rPr>
              <w:t>Inline XBRL Taxonomy Extension Schema Document</w:t>
            </w: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101.CAL</w:t>
            </w:r>
          </w:p>
        </w:tc>
        <w:tc>
          <w:tcPr>
            <w:tcW w:w="6580" w:type="dxa"/>
            <w:vAlign w:val="bottom"/>
            <w:gridSpan w:val="2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8"/>
              </w:rPr>
              <w:t>101.DEF</w:t>
            </w:r>
          </w:p>
        </w:tc>
        <w:tc>
          <w:tcPr>
            <w:tcW w:w="6580" w:type="dxa"/>
            <w:vAlign w:val="bottom"/>
            <w:gridSpan w:val="2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101.LAB</w:t>
            </w:r>
          </w:p>
        </w:tc>
        <w:tc>
          <w:tcPr>
            <w:tcW w:w="6580" w:type="dxa"/>
            <w:vAlign w:val="bottom"/>
            <w:gridSpan w:val="2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100" w:type="dxa"/>
            <w:vAlign w:val="bottom"/>
            <w:gridSpan w:val="12"/>
          </w:tcPr>
          <w:p>
            <w:pPr>
              <w:ind w:left="440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0" w:name="page51"/>
    <w:bookmarkEnd w:id="50"/>
    <w:p>
      <w:pPr>
        <w:spacing w:after="0" w:line="31" w:lineRule="exact"/>
        <w:rPr>
          <w:sz w:val="20"/>
          <w:szCs w:val="20"/>
          <w:color w:val="auto"/>
        </w:rPr>
      </w:pPr>
    </w:p>
    <w:tbl>
      <w:tblPr>
        <w:tblLayout w:type="fixed"/>
        <w:tblInd w:w="240" w:type="dxa"/>
        <w:tblCellMar>
          <w:top w:w="0" w:type="dxa"/>
          <w:left w:w="0" w:type="dxa"/>
          <w:bottom w:w="0" w:type="dxa"/>
          <w:right w:w="0" w:type="dxa"/>
        </w:tblCellMar>
      </w:tblPr>
      <w:tr>
        <w:trPr>
          <w:trHeight w:val="239"/>
        </w:trPr>
        <w:tc>
          <w:tcPr>
            <w:tcW w:w="800" w:type="dxa"/>
            <w:vAlign w:val="bottom"/>
          </w:tcPr>
          <w:p>
            <w:pPr>
              <w:jc w:val="center"/>
              <w:spacing w:after="0"/>
              <w:rPr>
                <w:sz w:val="20"/>
                <w:szCs w:val="20"/>
                <w:color w:val="auto"/>
              </w:rPr>
            </w:pPr>
            <w:r>
              <w:rPr>
                <w:rFonts w:ascii="Arial" w:cs="Arial" w:eastAsia="Arial" w:hAnsi="Arial"/>
                <w:sz w:val="18"/>
                <w:szCs w:val="18"/>
                <w:color w:val="auto"/>
                <w:w w:val="99"/>
              </w:rPr>
              <w:t>101.PRE</w:t>
            </w:r>
          </w:p>
        </w:tc>
        <w:tc>
          <w:tcPr>
            <w:tcW w:w="7940" w:type="dxa"/>
            <w:vAlign w:val="bottom"/>
          </w:tcPr>
          <w:p>
            <w:pPr>
              <w:ind w:left="80"/>
              <w:spacing w:after="0"/>
              <w:rPr>
                <w:sz w:val="20"/>
                <w:szCs w:val="20"/>
                <w:color w:val="auto"/>
              </w:rPr>
            </w:pPr>
            <w:r>
              <w:rPr>
                <w:rFonts w:ascii="Arial" w:cs="Arial" w:eastAsia="Arial" w:hAnsi="Arial"/>
                <w:sz w:val="18"/>
                <w:szCs w:val="18"/>
                <w:color w:val="auto"/>
              </w:rPr>
              <w:t>Inline XBRL Taxonomy Extension Presentation Linkbase Document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00" w:type="dxa"/>
            <w:vAlign w:val="bottom"/>
          </w:tcPr>
          <w:p>
            <w:pPr>
              <w:jc w:val="right"/>
              <w:ind w:right="190"/>
              <w:spacing w:after="0"/>
              <w:rPr>
                <w:sz w:val="20"/>
                <w:szCs w:val="20"/>
                <w:color w:val="auto"/>
              </w:rPr>
            </w:pPr>
            <w:r>
              <w:rPr>
                <w:rFonts w:ascii="Arial" w:cs="Arial" w:eastAsia="Arial" w:hAnsi="Arial"/>
                <w:sz w:val="18"/>
                <w:szCs w:val="18"/>
                <w:color w:val="auto"/>
              </w:rPr>
              <w:t>104</w:t>
            </w:r>
          </w:p>
        </w:tc>
        <w:tc>
          <w:tcPr>
            <w:tcW w:w="7940" w:type="dxa"/>
            <w:vAlign w:val="bottom"/>
          </w:tcPr>
          <w:p>
            <w:pPr>
              <w:ind w:left="8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72"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Furnished herewith.</w:t>
      </w:r>
    </w:p>
    <w:p>
      <w:pPr>
        <w:ind w:left="400" w:hanging="392"/>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documents filed as exhibits to this Report are not intended to provide factual information other than with respect to the terms of the documents themselves, and should not be relied on for that purpose. In particular, any representations and warranties contained in any such document were made solely within the context of such document and do not apply in any other context or at any time other than the date on which they were made.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Vivid Seats Inc.</w:t>
      </w:r>
    </w:p>
    <w:p>
      <w:pPr>
        <w:spacing w:after="0" w:line="198"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8890</wp:posOffset>
            </wp:positionV>
            <wp:extent cx="325755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Stanley Chia</w:t>
      </w:r>
    </w:p>
    <w:p>
      <w:pPr>
        <w:ind w:left="61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August 5, 2025</w:t>
      </w:r>
    </w:p>
    <w:p>
      <w:pPr>
        <w:spacing w:after="0" w:line="180"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8890</wp:posOffset>
            </wp:positionV>
            <wp:extent cx="325755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Lawrence Fey</w:t>
      </w:r>
    </w:p>
    <w:p>
      <w:pPr>
        <w:ind w:left="6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August 5,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 Stanley Chia, certify that:</w:t>
      </w:r>
    </w:p>
    <w:p>
      <w:pPr>
        <w:spacing w:after="0" w:line="104" w:lineRule="exact"/>
        <w:rPr>
          <w:sz w:val="20"/>
          <w:szCs w:val="20"/>
          <w:color w:val="auto"/>
        </w:rPr>
      </w:pPr>
    </w:p>
    <w:p>
      <w:pPr>
        <w:ind w:left="520" w:hanging="512"/>
        <w:spacing w:after="0"/>
        <w:tabs>
          <w:tab w:leader="none" w:pos="520" w:val="left"/>
        </w:tabs>
        <w:numPr>
          <w:ilvl w:val="0"/>
          <w:numId w:val="34"/>
        </w:numPr>
        <w:rPr>
          <w:rFonts w:ascii="Calibri" w:cs="Calibri" w:eastAsia="Calibri" w:hAnsi="Calibri"/>
          <w:sz w:val="18"/>
          <w:szCs w:val="18"/>
          <w:color w:val="auto"/>
        </w:rPr>
      </w:pPr>
      <w:r>
        <w:rPr>
          <w:rFonts w:ascii="Arial" w:cs="Arial" w:eastAsia="Arial" w:hAnsi="Arial"/>
          <w:sz w:val="18"/>
          <w:szCs w:val="18"/>
          <w:color w:val="auto"/>
        </w:rPr>
        <w:t>I have reviewed this Quarterly Report on Form 10-Q of Vivid Seats Inc.;</w:t>
      </w:r>
    </w:p>
    <w:p>
      <w:pPr>
        <w:spacing w:after="0" w:line="117"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4"/>
        </w:numPr>
        <w:rPr>
          <w:rFonts w:ascii="Calibri" w:cs="Calibri" w:eastAsia="Calibri" w:hAnsi="Calibri"/>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4"/>
        </w:numPr>
        <w:rPr>
          <w:rFonts w:ascii="Calibri" w:cs="Calibri" w:eastAsia="Calibri" w:hAnsi="Calibri"/>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4"/>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4"/>
        </w:numPr>
        <w:rPr>
          <w:rFonts w:ascii="Calibri" w:cs="Calibri" w:eastAsia="Calibri" w:hAnsi="Calibri"/>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4"/>
        </w:numPr>
        <w:rPr>
          <w:rFonts w:ascii="Calibri" w:cs="Calibri" w:eastAsia="Calibri" w:hAnsi="Calibri"/>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4"/>
        </w:numPr>
        <w:rPr>
          <w:rFonts w:ascii="Calibri" w:cs="Calibri" w:eastAsia="Calibri" w:hAnsi="Calibri"/>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Calibri" w:cs="Calibri" w:eastAsia="Calibri" w:hAnsi="Calibri"/>
          <w:sz w:val="18"/>
          <w:szCs w:val="18"/>
          <w:color w:val="auto"/>
        </w:rPr>
      </w:pPr>
    </w:p>
    <w:p>
      <w:pPr>
        <w:jc w:val="both"/>
        <w:ind w:left="1020" w:right="20" w:hanging="503"/>
        <w:spacing w:after="0" w:line="245" w:lineRule="auto"/>
        <w:tabs>
          <w:tab w:leader="none" w:pos="1020" w:val="left"/>
        </w:tabs>
        <w:numPr>
          <w:ilvl w:val="1"/>
          <w:numId w:val="34"/>
        </w:numPr>
        <w:rPr>
          <w:rFonts w:ascii="Calibri" w:cs="Calibri" w:eastAsia="Calibri" w:hAnsi="Calibri"/>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4"/>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4"/>
        </w:numPr>
        <w:rPr>
          <w:rFonts w:ascii="Calibri" w:cs="Calibri" w:eastAsia="Calibri" w:hAnsi="Calibri"/>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Calibri" w:cs="Calibri" w:eastAsia="Calibri" w:hAnsi="Calibri"/>
          <w:sz w:val="18"/>
          <w:szCs w:val="18"/>
          <w:color w:val="auto"/>
        </w:rPr>
      </w:pPr>
    </w:p>
    <w:p>
      <w:pPr>
        <w:ind w:left="1020" w:hanging="503"/>
        <w:spacing w:after="0" w:line="256" w:lineRule="auto"/>
        <w:tabs>
          <w:tab w:leader="none" w:pos="1020" w:val="left"/>
        </w:tabs>
        <w:numPr>
          <w:ilvl w:val="1"/>
          <w:numId w:val="34"/>
        </w:numPr>
        <w:rPr>
          <w:rFonts w:ascii="Calibri" w:cs="Calibri" w:eastAsia="Calibri" w:hAnsi="Calibri"/>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5640" w:val="left"/>
          <w:tab w:leader="none" w:pos="7960" w:val="left"/>
        </w:tabs>
        <w:rPr>
          <w:sz w:val="20"/>
          <w:szCs w:val="20"/>
          <w:color w:val="auto"/>
        </w:rPr>
      </w:pPr>
      <w:r>
        <w:rPr>
          <w:rFonts w:ascii="Arial" w:cs="Arial" w:eastAsia="Arial" w:hAnsi="Arial"/>
          <w:sz w:val="18"/>
          <w:szCs w:val="18"/>
          <w:color w:val="auto"/>
        </w:rPr>
        <w:t>Date: August 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0">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Stanley Chia</w:t>
      </w:r>
    </w:p>
    <w:p>
      <w:pPr>
        <w:jc w:val="center"/>
        <w:ind w:left="596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 Lawrence Fey, certify that:</w:t>
      </w:r>
    </w:p>
    <w:p>
      <w:pPr>
        <w:spacing w:after="0" w:line="104" w:lineRule="exact"/>
        <w:rPr>
          <w:sz w:val="20"/>
          <w:szCs w:val="20"/>
          <w:color w:val="auto"/>
        </w:rPr>
      </w:pPr>
    </w:p>
    <w:p>
      <w:pPr>
        <w:ind w:left="520" w:hanging="512"/>
        <w:spacing w:after="0"/>
        <w:tabs>
          <w:tab w:leader="none" w:pos="520" w:val="left"/>
        </w:tabs>
        <w:numPr>
          <w:ilvl w:val="0"/>
          <w:numId w:val="35"/>
        </w:numPr>
        <w:rPr>
          <w:rFonts w:ascii="Calibri" w:cs="Calibri" w:eastAsia="Calibri" w:hAnsi="Calibri"/>
          <w:sz w:val="18"/>
          <w:szCs w:val="18"/>
          <w:color w:val="auto"/>
        </w:rPr>
      </w:pPr>
      <w:r>
        <w:rPr>
          <w:rFonts w:ascii="Arial" w:cs="Arial" w:eastAsia="Arial" w:hAnsi="Arial"/>
          <w:sz w:val="18"/>
          <w:szCs w:val="18"/>
          <w:color w:val="auto"/>
        </w:rPr>
        <w:t>I have reviewed this Quarterly Report on Form 10-Q of Vivid Seats Inc.;</w:t>
      </w:r>
    </w:p>
    <w:p>
      <w:pPr>
        <w:spacing w:after="0" w:line="117"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5"/>
        </w:numPr>
        <w:rPr>
          <w:rFonts w:ascii="Calibri" w:cs="Calibri" w:eastAsia="Calibri" w:hAnsi="Calibri"/>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5"/>
        </w:numPr>
        <w:rPr>
          <w:rFonts w:ascii="Calibri" w:cs="Calibri" w:eastAsia="Calibri" w:hAnsi="Calibri"/>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5"/>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Calibri" w:cs="Calibri" w:eastAsia="Calibri" w:hAnsi="Calibri"/>
          <w:sz w:val="18"/>
          <w:szCs w:val="18"/>
          <w:color w:val="auto"/>
        </w:rPr>
      </w:pPr>
    </w:p>
    <w:p>
      <w:pPr>
        <w:jc w:val="both"/>
        <w:ind w:left="1540" w:right="20" w:hanging="514"/>
        <w:spacing w:after="0" w:line="245" w:lineRule="auto"/>
        <w:tabs>
          <w:tab w:leader="none" w:pos="1540" w:val="left"/>
        </w:tabs>
        <w:numPr>
          <w:ilvl w:val="2"/>
          <w:numId w:val="35"/>
        </w:numPr>
        <w:rPr>
          <w:rFonts w:ascii="Calibri" w:cs="Calibri" w:eastAsia="Calibri" w:hAnsi="Calibri"/>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Calibri" w:cs="Calibri" w:eastAsia="Calibri" w:hAnsi="Calibri"/>
          <w:sz w:val="18"/>
          <w:szCs w:val="18"/>
          <w:color w:val="auto"/>
        </w:rPr>
      </w:pPr>
    </w:p>
    <w:p>
      <w:pPr>
        <w:jc w:val="both"/>
        <w:ind w:left="1540" w:hanging="514"/>
        <w:spacing w:after="0" w:line="245" w:lineRule="auto"/>
        <w:tabs>
          <w:tab w:leader="none" w:pos="1540" w:val="left"/>
        </w:tabs>
        <w:numPr>
          <w:ilvl w:val="2"/>
          <w:numId w:val="35"/>
        </w:numPr>
        <w:rPr>
          <w:rFonts w:ascii="Calibri" w:cs="Calibri" w:eastAsia="Calibri" w:hAnsi="Calibri"/>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Calibri" w:cs="Calibri" w:eastAsia="Calibri" w:hAnsi="Calibri"/>
          <w:sz w:val="18"/>
          <w:szCs w:val="18"/>
          <w:color w:val="auto"/>
        </w:rPr>
      </w:pPr>
    </w:p>
    <w:p>
      <w:pPr>
        <w:jc w:val="both"/>
        <w:ind w:left="1540" w:hanging="514"/>
        <w:spacing w:after="0" w:line="245" w:lineRule="auto"/>
        <w:tabs>
          <w:tab w:leader="none" w:pos="1540" w:val="left"/>
        </w:tabs>
        <w:numPr>
          <w:ilvl w:val="2"/>
          <w:numId w:val="35"/>
        </w:numPr>
        <w:rPr>
          <w:rFonts w:ascii="Calibri" w:cs="Calibri" w:eastAsia="Calibri" w:hAnsi="Calibri"/>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Calibri" w:cs="Calibri" w:eastAsia="Calibri" w:hAnsi="Calibri"/>
          <w:sz w:val="18"/>
          <w:szCs w:val="18"/>
          <w:color w:val="auto"/>
        </w:rPr>
      </w:pPr>
    </w:p>
    <w:p>
      <w:pPr>
        <w:jc w:val="both"/>
        <w:ind w:left="1540" w:hanging="514"/>
        <w:spacing w:after="0" w:line="245" w:lineRule="auto"/>
        <w:tabs>
          <w:tab w:leader="none" w:pos="1540" w:val="left"/>
        </w:tabs>
        <w:numPr>
          <w:ilvl w:val="2"/>
          <w:numId w:val="35"/>
        </w:numPr>
        <w:rPr>
          <w:rFonts w:ascii="Calibri" w:cs="Calibri" w:eastAsia="Calibri" w:hAnsi="Calibri"/>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5"/>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5"/>
        </w:numPr>
        <w:rPr>
          <w:rFonts w:ascii="Calibri" w:cs="Calibri" w:eastAsia="Calibri" w:hAnsi="Calibri"/>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Calibri" w:cs="Calibri" w:eastAsia="Calibri" w:hAnsi="Calibri"/>
          <w:sz w:val="18"/>
          <w:szCs w:val="18"/>
          <w:color w:val="auto"/>
        </w:rPr>
      </w:pPr>
    </w:p>
    <w:p>
      <w:pPr>
        <w:ind w:left="1020" w:hanging="503"/>
        <w:spacing w:after="0" w:line="256" w:lineRule="auto"/>
        <w:tabs>
          <w:tab w:leader="none" w:pos="1020" w:val="left"/>
        </w:tabs>
        <w:numPr>
          <w:ilvl w:val="1"/>
          <w:numId w:val="35"/>
        </w:numPr>
        <w:rPr>
          <w:rFonts w:ascii="Calibri" w:cs="Calibri" w:eastAsia="Calibri" w:hAnsi="Calibri"/>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5640" w:val="left"/>
          <w:tab w:leader="none" w:pos="7900" w:val="left"/>
        </w:tabs>
        <w:rPr>
          <w:sz w:val="20"/>
          <w:szCs w:val="20"/>
          <w:color w:val="auto"/>
        </w:rPr>
      </w:pPr>
      <w:r>
        <w:rPr>
          <w:rFonts w:ascii="Arial" w:cs="Arial" w:eastAsia="Arial" w:hAnsi="Arial"/>
          <w:sz w:val="18"/>
          <w:szCs w:val="18"/>
          <w:color w:val="auto"/>
        </w:rPr>
        <w:t>Date: August 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2">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Lawrence Fey</w:t>
      </w:r>
    </w:p>
    <w:p>
      <w:pPr>
        <w:jc w:val="center"/>
        <w:ind w:left="596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4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PURSUANT TO 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 Stanley Chia, certify pursuant to 18 U.S.C. Section 1350, as adopted pursuant to Section 906 of the Sarbanes-Oxley Act of 2002, that (i) the Quarterly Report on Form 10-Q of Vivid Seats Inc. for the period ended June 30, 2025 fully complies with the requirements of section 13(a) or 15(d) of the Securities Exchange Act of 1934 and (ii) the information contained in such Quarterly Report on Form 10-Q fairly presents, in all material respects, the financial condition and results of operations of Vivid Seats Inc.</w:t>
      </w:r>
    </w:p>
    <w:p>
      <w:pPr>
        <w:spacing w:after="0" w:line="174" w:lineRule="exact"/>
        <w:rPr>
          <w:sz w:val="20"/>
          <w:szCs w:val="20"/>
          <w:color w:val="auto"/>
        </w:rPr>
      </w:pPr>
    </w:p>
    <w:p>
      <w:pPr>
        <w:spacing w:after="0"/>
        <w:tabs>
          <w:tab w:leader="none" w:pos="5640" w:val="left"/>
          <w:tab w:leader="none" w:pos="7960" w:val="left"/>
        </w:tabs>
        <w:rPr>
          <w:sz w:val="20"/>
          <w:szCs w:val="20"/>
          <w:color w:val="auto"/>
        </w:rPr>
      </w:pPr>
      <w:r>
        <w:rPr>
          <w:rFonts w:ascii="Arial" w:cs="Arial" w:eastAsia="Arial" w:hAnsi="Arial"/>
          <w:sz w:val="18"/>
          <w:szCs w:val="18"/>
          <w:color w:val="auto"/>
        </w:rPr>
        <w:t>Date: August 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Stanley Chia</w:t>
      </w:r>
    </w:p>
    <w:p>
      <w:pPr>
        <w:jc w:val="center"/>
        <w:ind w:left="596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 Lawrence Fey, certify pursuant to 18 U.S.C. Section 1350, as adopted pursuant to Section 906 of the Sarbanes-Oxley Act of 2002, that (i) the Quarterly Report on Form 10-Q of Vivid Seats Inc. for the period ended June 30, 2025 fully complies with the requirements of section 13(a) or 15(d) of the Securities Exchange Act of 1934 and (ii) the information contained in such Quarterly Report on Form 10-Q fairly presents, in all material respects, the financial condition and results of operations of Vivid Seats Inc.</w:t>
      </w:r>
    </w:p>
    <w:p>
      <w:pPr>
        <w:spacing w:after="0" w:line="174" w:lineRule="exact"/>
        <w:rPr>
          <w:sz w:val="20"/>
          <w:szCs w:val="20"/>
          <w:color w:val="auto"/>
        </w:rPr>
      </w:pPr>
    </w:p>
    <w:p>
      <w:pPr>
        <w:spacing w:after="0"/>
        <w:tabs>
          <w:tab w:leader="none" w:pos="5640" w:val="left"/>
          <w:tab w:leader="none" w:pos="7900" w:val="left"/>
        </w:tabs>
        <w:rPr>
          <w:sz w:val="20"/>
          <w:szCs w:val="20"/>
          <w:color w:val="auto"/>
        </w:rPr>
      </w:pPr>
      <w:r>
        <w:rPr>
          <w:rFonts w:ascii="Arial" w:cs="Arial" w:eastAsia="Arial" w:hAnsi="Arial"/>
          <w:sz w:val="18"/>
          <w:szCs w:val="18"/>
          <w:color w:val="auto"/>
        </w:rPr>
        <w:t>Date: August 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Lawrence Fey</w:t>
      </w:r>
    </w:p>
    <w:p>
      <w:pPr>
        <w:jc w:val="center"/>
        <w:ind w:left="596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Financial Officer)</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Vivid Seats Inc. and will be retained by Vivid Seats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decimal"/>
      <w:start w:val="3"/>
    </w:lvl>
  </w:abstractNum>
  <w:abstractNum w:abstractNumId="6">
    <w:nsid w:val="628C895D"/>
    <w:multiLevelType w:val="hybridMultilevel"/>
    <w:lvl w:ilvl="0">
      <w:lvlJc w:val="left"/>
      <w:lvlText w:val="%1."/>
      <w:numFmt w:val="decimal"/>
      <w:start w:val="4"/>
    </w:lvl>
  </w:abstractNum>
  <w:abstractNum w:abstractNumId="7">
    <w:nsid w:val="333AB105"/>
    <w:multiLevelType w:val="hybridMultilevel"/>
    <w:lvl w:ilvl="0">
      <w:lvlJc w:val="left"/>
      <w:lvlText w:val="%1."/>
      <w:numFmt w:val="decimal"/>
      <w:start w:val="5"/>
    </w:lvl>
  </w:abstractNum>
  <w:abstractNum w:abstractNumId="8">
    <w:nsid w:val="721DA317"/>
    <w:multiLevelType w:val="hybridMultilevel"/>
    <w:lvl w:ilvl="0">
      <w:lvlJc w:val="left"/>
      <w:lvlText w:val="%1."/>
      <w:numFmt w:val="decimal"/>
      <w:start w:val="6"/>
    </w:lvl>
  </w:abstractNum>
  <w:abstractNum w:abstractNumId="9">
    <w:nsid w:val="2443A858"/>
    <w:multiLevelType w:val="hybridMultilevel"/>
    <w:lvl w:ilvl="0">
      <w:lvlJc w:val="left"/>
      <w:lvlText w:val="%1."/>
      <w:numFmt w:val="decimal"/>
      <w:start w:val="7"/>
    </w:lvl>
  </w:abstractNum>
  <w:abstractNum w:abstractNumId="10">
    <w:nsid w:val="2D1D5AE9"/>
    <w:multiLevelType w:val="hybridMultilevel"/>
    <w:lvl w:ilvl="0">
      <w:lvlJc w:val="left"/>
      <w:lvlText w:val="%1."/>
      <w:numFmt w:val="decimal"/>
      <w:start w:val="8"/>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decimal"/>
      <w:start w:val="9"/>
    </w:lvl>
  </w:abstractNum>
  <w:abstractNum w:abstractNumId="13">
    <w:nsid w:val="8EDBDAB"/>
    <w:multiLevelType w:val="hybridMultilevel"/>
    <w:lvl w:ilvl="0">
      <w:lvlJc w:val="left"/>
      <w:lvlText w:val="%1."/>
      <w:numFmt w:val="decimal"/>
      <w:start w:val="10"/>
    </w:lvl>
  </w:abstractNum>
  <w:abstractNum w:abstractNumId="14">
    <w:nsid w:val="79838CB2"/>
    <w:multiLevelType w:val="hybridMultilevel"/>
    <w:lvl w:ilvl="0">
      <w:lvlJc w:val="left"/>
      <w:lvlText w:val="%1."/>
      <w:numFmt w:val="decimal"/>
      <w:start w:val="11"/>
    </w:lvl>
  </w:abstractNum>
  <w:abstractNum w:abstractNumId="15">
    <w:nsid w:val="4353D0CD"/>
    <w:multiLevelType w:val="hybridMultilevel"/>
    <w:lvl w:ilvl="0">
      <w:lvlJc w:val="left"/>
      <w:lvlText w:val="%1."/>
      <w:numFmt w:val="decimal"/>
      <w:start w:val="12"/>
    </w:lvl>
  </w:abstractNum>
  <w:abstractNum w:abstractNumId="16">
    <w:nsid w:val="B03E0C6"/>
    <w:multiLevelType w:val="hybridMultilevel"/>
    <w:lvl w:ilvl="0">
      <w:lvlJc w:val="left"/>
      <w:lvlText w:val="%1."/>
      <w:numFmt w:val="decimal"/>
      <w:start w:val="13"/>
    </w:lvl>
  </w:abstractNum>
  <w:abstractNum w:abstractNumId="17">
    <w:nsid w:val="189A769B"/>
    <w:multiLevelType w:val="hybridMultilevel"/>
    <w:lvl w:ilvl="0">
      <w:lvlJc w:val="left"/>
      <w:lvlText w:val="%1."/>
      <w:numFmt w:val="decimal"/>
      <w:start w:val="14"/>
    </w:lvl>
  </w:abstractNum>
  <w:abstractNum w:abstractNumId="18">
    <w:nsid w:val="54E49EB4"/>
    <w:multiLevelType w:val="hybridMultilevel"/>
    <w:lvl w:ilvl="0">
      <w:lvlJc w:val="left"/>
      <w:lvlText w:val="%1."/>
      <w:numFmt w:val="decimal"/>
      <w:start w:val="15"/>
    </w:lvl>
  </w:abstractNum>
  <w:abstractNum w:abstractNumId="19">
    <w:nsid w:val="71F32454"/>
    <w:multiLevelType w:val="hybridMultilevel"/>
    <w:lvl w:ilvl="0">
      <w:lvlJc w:val="left"/>
      <w:lvlText w:val="%1."/>
      <w:numFmt w:val="decimal"/>
      <w:start w:val="16"/>
    </w:lvl>
  </w:abstractNum>
  <w:abstractNum w:abstractNumId="20">
    <w:nsid w:val="2CA88611"/>
    <w:multiLevelType w:val="hybridMultilevel"/>
    <w:lvl w:ilvl="0">
      <w:lvlJc w:val="left"/>
      <w:lvlText w:val="%1."/>
      <w:numFmt w:val="decimal"/>
      <w:start w:val="17"/>
    </w:lvl>
  </w:abstractNum>
  <w:abstractNum w:abstractNumId="21">
    <w:nsid w:val="836C40E"/>
    <w:multiLevelType w:val="hybridMultilevel"/>
    <w:lvl w:ilvl="0">
      <w:lvlJc w:val="left"/>
      <w:lvlText w:val="%1."/>
      <w:numFmt w:val="decimal"/>
      <w:start w:val="18"/>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9"/>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64" Type="http://schemas.openxmlformats.org/officeDocument/2006/relationships/image" Target="media/image447.png"/><Relationship Id="rId465" Type="http://schemas.openxmlformats.org/officeDocument/2006/relationships/image" Target="media/image448.png"/><Relationship Id="rId466" Type="http://schemas.openxmlformats.org/officeDocument/2006/relationships/image" Target="media/image449.png"/><Relationship Id="rId467" Type="http://schemas.openxmlformats.org/officeDocument/2006/relationships/image" Target="media/image450.png"/><Relationship Id="rId468" Type="http://schemas.openxmlformats.org/officeDocument/2006/relationships/image" Target="media/image451.png"/><Relationship Id="rId469" Type="http://schemas.openxmlformats.org/officeDocument/2006/relationships/image" Target="media/image452.png"/><Relationship Id="rId470" Type="http://schemas.openxmlformats.org/officeDocument/2006/relationships/image" Target="media/image453.png"/><Relationship Id="rId471" Type="http://schemas.openxmlformats.org/officeDocument/2006/relationships/image" Target="media/image454.png"/><Relationship Id="rId472" Type="http://schemas.openxmlformats.org/officeDocument/2006/relationships/image" Target="media/image455.png"/><Relationship Id="rId473" Type="http://schemas.openxmlformats.org/officeDocument/2006/relationships/image" Target="media/image456.png"/><Relationship Id="rId474" Type="http://schemas.openxmlformats.org/officeDocument/2006/relationships/image" Target="media/image457.png"/><Relationship Id="rId475" Type="http://schemas.openxmlformats.org/officeDocument/2006/relationships/image" Target="media/image458.png"/><Relationship Id="rId476" Type="http://schemas.openxmlformats.org/officeDocument/2006/relationships/image" Target="media/image459.png"/><Relationship Id="rId454" Type="http://schemas.openxmlformats.org/officeDocument/2006/relationships/hyperlink" Target="https://www.sec.gov/Archives/edgar/data/0001856031/000119312521175583/d447259ds4.htm#ii447259_10" TargetMode="External"/><Relationship Id="rId455" Type="http://schemas.openxmlformats.org/officeDocument/2006/relationships/hyperlink" Target="https://www.sec.gov/Archives/edgar/data/1856031/000119312521175583/d447259dex22.htm" TargetMode="External"/><Relationship Id="rId456" Type="http://schemas.openxmlformats.org/officeDocument/2006/relationships/hyperlink" Target="https://www.sec.gov/Archives/edgar/data/0001856031/000095017021004585/seat-ex2_3.htm" TargetMode="External"/><Relationship Id="rId457" Type="http://schemas.openxmlformats.org/officeDocument/2006/relationships/hyperlink" Target="https://www.sec.gov/Archives/edgar/data/1856031/000095017023059730/seat-ex2_1.htm" TargetMode="External"/><Relationship Id="rId458" Type="http://schemas.openxmlformats.org/officeDocument/2006/relationships/hyperlink" Target="https://www.sec.gov/Archives/edgar/data/0001856031/000119312521305506/d216055dex31.htm" TargetMode="External"/><Relationship Id="rId459" Type="http://schemas.openxmlformats.org/officeDocument/2006/relationships/hyperlink" Target="https://www.sec.gov/Archives/edgar/data/1856031/000095017022008705/seat-ex3_2.htm" TargetMode="External"/><Relationship Id="rId460" Type="http://schemas.openxmlformats.org/officeDocument/2006/relationships/hyperlink" Target="https://www.sec.gov/Archives/edgar/data/0001856031/000119312521305506/d216055dex32.htm" TargetMode="External"/><Relationship Id="rId461" Type="http://schemas.openxmlformats.org/officeDocument/2006/relationships/hyperlink" Target="https://www.sec.gov/Archives/edgar/data/0001856031/000119312521305506/d216055dex107.htm" TargetMode="External"/><Relationship Id="rId462" Type="http://schemas.openxmlformats.org/officeDocument/2006/relationships/hyperlink" Target="https://www.sec.gov/Archives/edgar/data/1856031/000095017022003749/seat-ex4_2.htm" TargetMode="External"/><Relationship Id="rId463" Type="http://schemas.openxmlformats.org/officeDocument/2006/relationships/hyperlink" Target="https://www.sec.gov/Archives/edgar/data/1856031/000095017022003749/seat-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2025-08-05T05:58:20Z</dcterms:created>
  <dcterms:modified xsi:type="dcterms:W3CDTF">2025-08-05T05:58:20Z</dcterms:modified>
</cp:coreProperties>
</file>