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Epstein Emily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VIVID SEATS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 E. WASHINGTON ST., STE.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Vivid Seats Inc.</w:t>
              </w:r>
            </w:hyperlink>
            <w:r>
              <w:rPr/>
              <w:t xml:space="preserve"> [ </w:t>
            </w:r>
            <w:r>
              <w:rPr>
                <w:rFonts w:ascii="Times;serif" w:hAnsi="Times;serif"/>
                <w:color w:val="0000FF"/>
                <w:sz w:val="24"/>
                <w:shd w:fill="FFFFFF" w:val="clear"/>
              </w:rPr>
              <w:t>SEAT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17.51</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9,399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w:t>
            </w:r>
            <w:r>
              <w:rPr>
                <w:rFonts w:ascii="Times;serif" w:hAnsi="Times;serif"/>
                <w:color w:val="008000"/>
                <w:position w:val="7"/>
                <w:sz w:val="16"/>
                <w:sz w:val="20"/>
                <w:shd w:fill="FFFFFF" w:val="clear"/>
              </w:rPr>
              <w:t>(2)</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17.47</w:t>
            </w:r>
            <w:r>
              <w:rPr>
                <w:rFonts w:ascii="Times;serif" w:hAnsi="Times;serif"/>
                <w:color w:val="008000"/>
                <w:position w:val="7"/>
                <w:sz w:val="16"/>
                <w:sz w:val="20"/>
                <w:shd w:fill="FFFFFF" w:val="clear"/>
              </w:rPr>
              <w:t>(3)</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9,331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239</w:t>
            </w:r>
            <w:r>
              <w:rPr>
                <w:rFonts w:ascii="Times;serif" w:hAnsi="Times;serif"/>
                <w:color w:val="008000"/>
                <w:position w:val="7"/>
                <w:sz w:val="16"/>
                <w:sz w:val="20"/>
                <w:shd w:fill="FFFFFF" w:val="clear"/>
              </w:rPr>
              <w:t>(4)</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17.21</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9,092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6,855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sold pursuant to a mandatory "sell to cover" provision of the RSU agreement to satisfy tax withholding obligations arising in connection with the vesting and settlement of the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of multiple transactions at prices ranging from $17.47 to $17.47 per share. The reporting person undertakes to provide, upon request from the staff of the SEC,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sold to satisfy obligations pursuant to a domestic relations order.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One-third of the RSUs vested on May 12, 2025. The remainder of the RSUs vest in equal quarterly installments such that they will be fully vested on May 12, 2027. The RSUs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One-third of the RSUs vested on November 12, 2023. The remainder of the RSUs vest in equal quarterly installments such that they will be fully vested on November 12, 2025. The RSUs do not have an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numbers of shares (including shares underlying RSUs) reported on this Form 4 have been adjusted to give effect to a 1-for-20 reverse stock split of the Issuer's Class A and Class B common stock that was effected on August 5,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Emily T. Epstein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0123" TargetMode="External"/><Relationship Id="rId5" Type="http://schemas.openxmlformats.org/officeDocument/2006/relationships/hyperlink" Target="http://www.sec.gov/cgi-bin/browse-edgar?action=getcompany&amp;CIK=00018560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873</Words>
  <Characters>4493</Characters>
  <CharactersWithSpaces>5260</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