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Pickus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VIVID SEATS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 E. WASHINGTON ST., STE.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Vivid Seats Inc.</w:t>
              </w:r>
            </w:hyperlink>
            <w:r>
              <w:rPr/>
              <w:t xml:space="preserve"> [ </w:t>
            </w:r>
            <w:r>
              <w:rPr>
                <w:rFonts w:ascii="Times;serif" w:hAnsi="Times;serif"/>
                <w:color w:val="0000FF"/>
                <w:sz w:val="24"/>
                <w:shd w:fill="FFFFFF" w:val="clear"/>
              </w:rPr>
              <w:t>SEAT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10,892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32,792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28,622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8,601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43,005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the RSUs vested on March 11, 2025. The remainder of the RSUs vest in equal quarterly installments such that they will be fully vested on March 11, 2027. The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One-third of the RSUs vested on March 11, 2026. The remainder of the RSUs vest in equal quarterly installments such that they will be fully vested on March 11, 2028. The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began vesting in equal quarterly installments on March 11, 2026 such that they will be fully vested on December 11, 2027. The RSUs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Pickus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435" TargetMode="External"/><Relationship Id="rId5" Type="http://schemas.openxmlformats.org/officeDocument/2006/relationships/hyperlink" Target="http://www.sec.gov/cgi-bin/browse-edgar?action=getcompany&amp;CIK=0001856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3923</Characters>
  <CharactersWithSpaces>4568</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