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Calibri" w:cs="Calibri" w:eastAsia="Calibri" w:hAnsi="Calibri"/>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jc w:val="center"/>
        <w:spacing w:after="0" w:line="228" w:lineRule="auto"/>
        <w:rPr>
          <w:sz w:val="20"/>
          <w:szCs w:val="20"/>
          <w:color w:val="auto"/>
        </w:rPr>
      </w:pPr>
      <w:r>
        <w:rPr>
          <w:rFonts w:ascii="Calibri" w:cs="Calibri" w:eastAsia="Calibri" w:hAnsi="Calibri"/>
          <w:sz w:val="29"/>
          <w:szCs w:val="29"/>
          <w:b w:val="1"/>
          <w:bCs w:val="1"/>
          <w:color w:val="auto"/>
        </w:rPr>
        <w:t>SECURITIES AND EXCHANGE COMMISSION</w:t>
      </w:r>
    </w:p>
    <w:p>
      <w:pPr>
        <w:jc w:val="center"/>
        <w:spacing w:after="0" w:line="228" w:lineRule="auto"/>
        <w:rPr>
          <w:sz w:val="20"/>
          <w:szCs w:val="20"/>
          <w:color w:val="auto"/>
        </w:rPr>
      </w:pPr>
      <w:r>
        <w:rPr>
          <w:rFonts w:ascii="Calibri" w:cs="Calibri" w:eastAsia="Calibri" w:hAnsi="Calibri"/>
          <w:sz w:val="22"/>
          <w:szCs w:val="22"/>
          <w:b w:val="1"/>
          <w:bCs w:val="1"/>
          <w:color w:val="auto"/>
        </w:rPr>
        <w:t>WASHINGTON, DC 20549</w:t>
      </w:r>
    </w:p>
    <w:p>
      <w:pPr>
        <w:spacing w:after="0" w:line="189" w:lineRule="exact"/>
        <w:rPr>
          <w:sz w:val="24"/>
          <w:szCs w:val="24"/>
          <w:color w:val="auto"/>
        </w:rPr>
      </w:pPr>
    </w:p>
    <w:p>
      <w:pPr>
        <w:jc w:val="center"/>
        <w:spacing w:after="0"/>
        <w:rPr>
          <w:sz w:val="20"/>
          <w:szCs w:val="20"/>
          <w:color w:val="auto"/>
        </w:rPr>
      </w:pPr>
      <w:r>
        <w:rPr>
          <w:rFonts w:ascii="Calibri" w:cs="Calibri" w:eastAsia="Calibri" w:hAnsi="Calibri"/>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Calibri" w:cs="Calibri" w:eastAsia="Calibri" w:hAnsi="Calibri"/>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Calibri" w:cs="Calibri" w:eastAsia="Calibri" w:hAnsi="Calibri"/>
          <w:sz w:val="14"/>
          <w:szCs w:val="14"/>
          <w:b w:val="1"/>
          <w:bCs w:val="1"/>
          <w:color w:val="auto"/>
        </w:rPr>
        <w:t>QUARTERLY REPORT PURSUANT TO SECTION 13 OR 15(d) OF THE SECURITIES EXCHANGE ACT OF 1934</w:t>
      </w:r>
    </w:p>
    <w:p>
      <w:pPr>
        <w:ind w:left="4080"/>
        <w:spacing w:after="0" w:line="227" w:lineRule="auto"/>
        <w:rPr>
          <w:sz w:val="20"/>
          <w:szCs w:val="20"/>
          <w:color w:val="auto"/>
        </w:rPr>
      </w:pPr>
      <w:r>
        <w:rPr>
          <w:rFonts w:ascii="Calibri" w:cs="Calibri" w:eastAsia="Calibri" w:hAnsi="Calibri"/>
          <w:sz w:val="14"/>
          <w:szCs w:val="14"/>
          <w:b w:val="1"/>
          <w:bCs w:val="1"/>
          <w:color w:val="auto"/>
        </w:rPr>
        <w:t>For the quarterly period ended September 30, 2022</w:t>
      </w:r>
    </w:p>
    <w:p>
      <w:pPr>
        <w:ind w:left="5540"/>
        <w:spacing w:after="0" w:line="220" w:lineRule="auto"/>
        <w:rPr>
          <w:sz w:val="20"/>
          <w:szCs w:val="20"/>
          <w:color w:val="auto"/>
        </w:rPr>
      </w:pPr>
      <w:r>
        <w:rPr>
          <w:rFonts w:ascii="Calibri" w:cs="Calibri" w:eastAsia="Calibri" w:hAnsi="Calibri"/>
          <w:sz w:val="14"/>
          <w:szCs w:val="14"/>
          <w:b w:val="1"/>
          <w:bCs w:val="1"/>
          <w:color w:val="auto"/>
        </w:rPr>
        <w:t>OR</w:t>
      </w:r>
    </w:p>
    <w:p>
      <w:pPr>
        <w:ind w:left="20"/>
        <w:spacing w:after="0" w:line="235" w:lineRule="auto"/>
        <w:tabs>
          <w:tab w:leader="none" w:pos="460" w:val="left"/>
        </w:tabs>
        <w:rPr>
          <w:sz w:val="20"/>
          <w:szCs w:val="20"/>
          <w:color w:val="auto"/>
        </w:rPr>
      </w:pPr>
      <w:r>
        <w:rPr>
          <w:rFonts w:ascii="MS PGothic" w:cs="MS PGothic" w:eastAsia="MS PGothic" w:hAnsi="MS PGothic"/>
          <w:sz w:val="14"/>
          <w:szCs w:val="14"/>
          <w:color w:val="auto"/>
          <w:highlight w:val="black"/>
        </w:rPr>
        <w:t>☐</w:t>
      </w:r>
      <w:r>
        <w:rPr>
          <w:sz w:val="20"/>
          <w:szCs w:val="20"/>
          <w:color w:val="auto"/>
        </w:rPr>
        <w:tab/>
      </w:r>
      <w:r>
        <w:rPr>
          <w:rFonts w:ascii="Calibri" w:cs="Calibri" w:eastAsia="Calibri" w:hAnsi="Calibri"/>
          <w:sz w:val="14"/>
          <w:szCs w:val="14"/>
          <w:b w:val="1"/>
          <w:bCs w:val="1"/>
          <w:color w:val="auto"/>
        </w:rPr>
        <w:t>TRANSITION REPORT PURSUANT TO SECTION 13 OR 15(d) OF THE SECURITIES EXCHANGE ACT OF 1934</w:t>
      </w:r>
    </w:p>
    <w:p>
      <w:pPr>
        <w:ind w:left="3900"/>
        <w:spacing w:after="0" w:line="228" w:lineRule="auto"/>
        <w:rPr>
          <w:sz w:val="20"/>
          <w:szCs w:val="20"/>
          <w:color w:val="auto"/>
        </w:rPr>
      </w:pPr>
      <w:r>
        <w:rPr>
          <w:rFonts w:ascii="Calibri" w:cs="Calibri" w:eastAsia="Calibri" w:hAnsi="Calibri"/>
          <w:sz w:val="14"/>
          <w:szCs w:val="14"/>
          <w:b w:val="1"/>
          <w:bCs w:val="1"/>
          <w:color w:val="auto"/>
        </w:rPr>
        <w:t>For the transiton period from __________ to __________</w:t>
      </w:r>
    </w:p>
    <w:p>
      <w:pPr>
        <w:jc w:val="center"/>
        <w:spacing w:after="0" w:line="227" w:lineRule="auto"/>
        <w:rPr>
          <w:sz w:val="20"/>
          <w:szCs w:val="20"/>
          <w:color w:val="auto"/>
        </w:rPr>
      </w:pPr>
      <w:r>
        <w:rPr>
          <w:rFonts w:ascii="Calibri" w:cs="Calibri" w:eastAsia="Calibri" w:hAnsi="Calibri"/>
          <w:sz w:val="14"/>
          <w:szCs w:val="14"/>
          <w:b w:val="1"/>
          <w:bCs w:val="1"/>
          <w:color w:val="auto"/>
        </w:rPr>
        <w:t>Commission File Number: 001-40926</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404"/>
        </w:trPr>
        <w:tc>
          <w:tcPr>
            <w:tcW w:w="40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900" w:type="dxa"/>
            <w:vAlign w:val="bottom"/>
            <w:tcBorders>
              <w:top w:val="single" w:sz="8" w:color="auto"/>
            </w:tcBorders>
            <w:gridSpan w:val="3"/>
          </w:tcPr>
          <w:p>
            <w:pPr>
              <w:jc w:val="center"/>
              <w:ind w:right="460"/>
              <w:spacing w:after="0" w:line="403" w:lineRule="exact"/>
              <w:rPr>
                <w:sz w:val="20"/>
                <w:szCs w:val="20"/>
                <w:color w:val="auto"/>
              </w:rPr>
            </w:pPr>
            <w:r>
              <w:rPr>
                <w:rFonts w:ascii="Calibri" w:cs="Calibri" w:eastAsia="Calibri" w:hAnsi="Calibri"/>
                <w:sz w:val="36"/>
                <w:szCs w:val="36"/>
                <w:b w:val="1"/>
                <w:bCs w:val="1"/>
                <w:color w:val="auto"/>
                <w:w w:val="99"/>
              </w:rPr>
              <w:t>Vivid Seats Inc.</w:t>
            </w:r>
          </w:p>
        </w:tc>
        <w:tc>
          <w:tcPr>
            <w:tcW w:w="3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3280" w:type="dxa"/>
            <w:vAlign w:val="bottom"/>
            <w:gridSpan w:val="5"/>
          </w:tcPr>
          <w:p>
            <w:pPr>
              <w:jc w:val="center"/>
              <w:ind w:right="80"/>
              <w:spacing w:after="0"/>
              <w:rPr>
                <w:sz w:val="20"/>
                <w:szCs w:val="20"/>
                <w:color w:val="auto"/>
              </w:rPr>
            </w:pPr>
            <w:r>
              <w:rPr>
                <w:rFonts w:ascii="Calibri" w:cs="Calibri" w:eastAsia="Calibri" w:hAnsi="Calibri"/>
                <w:sz w:val="14"/>
                <w:szCs w:val="14"/>
                <w:b w:val="1"/>
                <w:bCs w:val="1"/>
                <w:color w:val="auto"/>
              </w:rPr>
              <w:t>(Exact Name of Registrant as Specifed in its Charter)</w:t>
            </w:r>
          </w:p>
        </w:tc>
        <w:tc>
          <w:tcPr>
            <w:tcW w:w="3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0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3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30"/>
        </w:trPr>
        <w:tc>
          <w:tcPr>
            <w:tcW w:w="4020" w:type="dxa"/>
            <w:vAlign w:val="bottom"/>
          </w:tcPr>
          <w:p>
            <w:pPr>
              <w:jc w:val="center"/>
              <w:ind w:left="1548"/>
              <w:spacing w:after="0"/>
              <w:rPr>
                <w:sz w:val="20"/>
                <w:szCs w:val="20"/>
                <w:color w:val="auto"/>
              </w:rPr>
            </w:pPr>
            <w:r>
              <w:rPr>
                <w:rFonts w:ascii="Calibri" w:cs="Calibri" w:eastAsia="Calibri" w:hAnsi="Calibri"/>
                <w:sz w:val="14"/>
                <w:szCs w:val="14"/>
                <w:b w:val="1"/>
                <w:bCs w:val="1"/>
                <w:color w:val="auto"/>
              </w:rPr>
              <w:t>Delaware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40" w:type="dxa"/>
            <w:vAlign w:val="bottom"/>
          </w:tcPr>
          <w:p>
            <w:pPr>
              <w:jc w:val="right"/>
              <w:ind w:right="2388"/>
              <w:spacing w:after="0"/>
              <w:rPr>
                <w:sz w:val="20"/>
                <w:szCs w:val="20"/>
                <w:color w:val="auto"/>
              </w:rPr>
            </w:pPr>
            <w:r>
              <w:rPr>
                <w:rFonts w:ascii="Calibri" w:cs="Calibri" w:eastAsia="Calibri" w:hAnsi="Calibri"/>
                <w:sz w:val="14"/>
                <w:szCs w:val="14"/>
                <w:b w:val="1"/>
                <w:bCs w:val="1"/>
                <w:color w:val="auto"/>
              </w:rPr>
              <w:t>86-3355184</w:t>
            </w:r>
          </w:p>
        </w:tc>
        <w:tc>
          <w:tcPr>
            <w:tcW w:w="0" w:type="dxa"/>
            <w:vAlign w:val="bottom"/>
          </w:tcPr>
          <w:p>
            <w:pPr>
              <w:spacing w:after="0"/>
              <w:rPr>
                <w:sz w:val="1"/>
                <w:szCs w:val="1"/>
                <w:color w:val="auto"/>
              </w:rPr>
            </w:pPr>
          </w:p>
        </w:tc>
      </w:tr>
      <w:tr>
        <w:trPr>
          <w:trHeight w:val="148"/>
        </w:trPr>
        <w:tc>
          <w:tcPr>
            <w:tcW w:w="4020" w:type="dxa"/>
            <w:vAlign w:val="bottom"/>
          </w:tcPr>
          <w:p>
            <w:pPr>
              <w:jc w:val="center"/>
              <w:ind w:left="1548"/>
              <w:spacing w:after="0" w:line="149" w:lineRule="exact"/>
              <w:rPr>
                <w:sz w:val="20"/>
                <w:szCs w:val="20"/>
                <w:color w:val="auto"/>
              </w:rPr>
            </w:pPr>
            <w:r>
              <w:rPr>
                <w:rFonts w:ascii="Calibri" w:cs="Calibri" w:eastAsia="Calibri" w:hAnsi="Calibri"/>
                <w:sz w:val="14"/>
                <w:szCs w:val="14"/>
                <w:b w:val="1"/>
                <w:bCs w:val="1"/>
                <w:color w:val="auto"/>
              </w:rPr>
              <w:t>(State or other jurisdicton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940" w:type="dxa"/>
            <w:vAlign w:val="bottom"/>
          </w:tcPr>
          <w:p>
            <w:pPr>
              <w:jc w:val="center"/>
              <w:ind w:right="1608"/>
              <w:spacing w:after="0" w:line="149" w:lineRule="exact"/>
              <w:rPr>
                <w:sz w:val="20"/>
                <w:szCs w:val="20"/>
                <w:color w:val="auto"/>
              </w:rPr>
            </w:pPr>
            <w:r>
              <w:rPr>
                <w:rFonts w:ascii="Calibri" w:cs="Calibri" w:eastAsia="Calibri" w:hAnsi="Calibri"/>
                <w:sz w:val="14"/>
                <w:szCs w:val="14"/>
                <w:b w:val="1"/>
                <w:bCs w:val="1"/>
                <w:color w:val="auto"/>
              </w:rPr>
              <w:t>(I.R.S. Employer</w:t>
            </w:r>
          </w:p>
        </w:tc>
        <w:tc>
          <w:tcPr>
            <w:tcW w:w="0" w:type="dxa"/>
            <w:vAlign w:val="bottom"/>
          </w:tcPr>
          <w:p>
            <w:pPr>
              <w:spacing w:after="0"/>
              <w:rPr>
                <w:sz w:val="1"/>
                <w:szCs w:val="1"/>
                <w:color w:val="auto"/>
              </w:rPr>
            </w:pPr>
          </w:p>
        </w:tc>
      </w:tr>
      <w:tr>
        <w:trPr>
          <w:trHeight w:val="162"/>
        </w:trPr>
        <w:tc>
          <w:tcPr>
            <w:tcW w:w="4020" w:type="dxa"/>
            <w:vAlign w:val="bottom"/>
          </w:tcPr>
          <w:p>
            <w:pPr>
              <w:jc w:val="center"/>
              <w:ind w:left="1548"/>
              <w:spacing w:after="0" w:line="162" w:lineRule="exact"/>
              <w:rPr>
                <w:sz w:val="20"/>
                <w:szCs w:val="20"/>
                <w:color w:val="auto"/>
              </w:rPr>
            </w:pPr>
            <w:r>
              <w:rPr>
                <w:rFonts w:ascii="Calibri" w:cs="Calibri" w:eastAsia="Calibri" w:hAnsi="Calibri"/>
                <w:sz w:val="14"/>
                <w:szCs w:val="14"/>
                <w:b w:val="1"/>
                <w:bCs w:val="1"/>
                <w:color w:val="auto"/>
              </w:rPr>
              <w:t>incorporaton or organizaton)</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940" w:type="dxa"/>
            <w:vAlign w:val="bottom"/>
          </w:tcPr>
          <w:p>
            <w:pPr>
              <w:jc w:val="center"/>
              <w:ind w:right="1588"/>
              <w:spacing w:after="0" w:line="162" w:lineRule="exact"/>
              <w:rPr>
                <w:sz w:val="20"/>
                <w:szCs w:val="20"/>
                <w:color w:val="auto"/>
              </w:rPr>
            </w:pPr>
            <w:r>
              <w:rPr>
                <w:rFonts w:ascii="Calibri" w:cs="Calibri" w:eastAsia="Calibri" w:hAnsi="Calibri"/>
                <w:sz w:val="14"/>
                <w:szCs w:val="14"/>
                <w:b w:val="1"/>
                <w:bCs w:val="1"/>
                <w:color w:val="auto"/>
              </w:rPr>
              <w:t>Identfcaton No.)</w:t>
            </w:r>
          </w:p>
        </w:tc>
        <w:tc>
          <w:tcPr>
            <w:tcW w:w="0" w:type="dxa"/>
            <w:vAlign w:val="bottom"/>
          </w:tcPr>
          <w:p>
            <w:pPr>
              <w:spacing w:after="0"/>
              <w:rPr>
                <w:sz w:val="1"/>
                <w:szCs w:val="1"/>
                <w:color w:val="auto"/>
              </w:rPr>
            </w:pPr>
          </w:p>
        </w:tc>
      </w:tr>
      <w:tr>
        <w:trPr>
          <w:trHeight w:val="148"/>
        </w:trPr>
        <w:tc>
          <w:tcPr>
            <w:tcW w:w="4020" w:type="dxa"/>
            <w:vAlign w:val="bottom"/>
          </w:tcPr>
          <w:p>
            <w:pPr>
              <w:jc w:val="center"/>
              <w:ind w:left="1528"/>
              <w:spacing w:after="0" w:line="149" w:lineRule="exact"/>
              <w:rPr>
                <w:sz w:val="20"/>
                <w:szCs w:val="20"/>
                <w:color w:val="auto"/>
              </w:rPr>
            </w:pPr>
            <w:r>
              <w:rPr>
                <w:rFonts w:ascii="Calibri" w:cs="Calibri" w:eastAsia="Calibri" w:hAnsi="Calibri"/>
                <w:sz w:val="14"/>
                <w:szCs w:val="14"/>
                <w:b w:val="1"/>
                <w:bCs w:val="1"/>
                <w:color w:val="auto"/>
              </w:rPr>
              <w:t>24 E. Washington Street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jc w:val="center"/>
              <w:ind w:left="1548"/>
              <w:spacing w:after="0" w:line="149" w:lineRule="exact"/>
              <w:rPr>
                <w:sz w:val="20"/>
                <w:szCs w:val="20"/>
                <w:color w:val="auto"/>
              </w:rPr>
            </w:pPr>
            <w:r>
              <w:rPr>
                <w:rFonts w:ascii="Calibri" w:cs="Calibri" w:eastAsia="Calibri" w:hAnsi="Calibri"/>
                <w:sz w:val="14"/>
                <w:szCs w:val="14"/>
                <w:b w:val="1"/>
                <w:bCs w:val="1"/>
                <w:color w:val="auto"/>
              </w:rPr>
              <w:t>Suite 900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020" w:type="dxa"/>
            <w:vAlign w:val="bottom"/>
          </w:tcPr>
          <w:p>
            <w:pPr>
              <w:jc w:val="center"/>
              <w:ind w:left="1548"/>
              <w:spacing w:after="0"/>
              <w:rPr>
                <w:sz w:val="20"/>
                <w:szCs w:val="20"/>
                <w:color w:val="auto"/>
              </w:rPr>
            </w:pPr>
            <w:r>
              <w:rPr>
                <w:rFonts w:ascii="Calibri" w:cs="Calibri" w:eastAsia="Calibri" w:hAnsi="Calibri"/>
                <w:sz w:val="14"/>
                <w:szCs w:val="14"/>
                <w:b w:val="1"/>
                <w:bCs w:val="1"/>
                <w:color w:val="auto"/>
              </w:rPr>
              <w:t>Chicago, Illinois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940" w:type="dxa"/>
            <w:vAlign w:val="bottom"/>
          </w:tcPr>
          <w:p>
            <w:pPr>
              <w:jc w:val="right"/>
              <w:ind w:right="2548"/>
              <w:spacing w:after="0"/>
              <w:rPr>
                <w:sz w:val="20"/>
                <w:szCs w:val="20"/>
                <w:color w:val="auto"/>
              </w:rPr>
            </w:pPr>
            <w:r>
              <w:rPr>
                <w:rFonts w:ascii="Calibri" w:cs="Calibri" w:eastAsia="Calibri" w:hAnsi="Calibri"/>
                <w:sz w:val="14"/>
                <w:szCs w:val="14"/>
                <w:b w:val="1"/>
                <w:bCs w:val="1"/>
                <w:color w:val="auto"/>
              </w:rPr>
              <w:t>60602</w:t>
            </w:r>
          </w:p>
        </w:tc>
        <w:tc>
          <w:tcPr>
            <w:tcW w:w="0" w:type="dxa"/>
            <w:vAlign w:val="bottom"/>
          </w:tcPr>
          <w:p>
            <w:pPr>
              <w:spacing w:after="0"/>
              <w:rPr>
                <w:sz w:val="1"/>
                <w:szCs w:val="1"/>
                <w:color w:val="auto"/>
              </w:rPr>
            </w:pPr>
          </w:p>
        </w:tc>
      </w:tr>
      <w:tr>
        <w:trPr>
          <w:trHeight w:val="176"/>
        </w:trPr>
        <w:tc>
          <w:tcPr>
            <w:tcW w:w="4020" w:type="dxa"/>
            <w:vAlign w:val="bottom"/>
          </w:tcPr>
          <w:p>
            <w:pPr>
              <w:jc w:val="center"/>
              <w:ind w:left="1528"/>
              <w:spacing w:after="0"/>
              <w:rPr>
                <w:sz w:val="20"/>
                <w:szCs w:val="20"/>
                <w:color w:val="auto"/>
              </w:rPr>
            </w:pPr>
            <w:r>
              <w:rPr>
                <w:rFonts w:ascii="Calibri" w:cs="Calibri" w:eastAsia="Calibri" w:hAnsi="Calibri"/>
                <w:sz w:val="14"/>
                <w:szCs w:val="14"/>
                <w:b w:val="1"/>
                <w:bCs w:val="1"/>
                <w:color w:val="auto"/>
              </w:rPr>
              <w:t>(Address of principal executve ofces)</w:t>
            </w:r>
          </w:p>
        </w:tc>
        <w:tc>
          <w:tcPr>
            <w:tcW w:w="2060" w:type="dxa"/>
            <w:vAlign w:val="bottom"/>
            <w:gridSpan w:val="3"/>
            <w:vMerge w:val="restart"/>
          </w:tcPr>
          <w:p>
            <w:pPr>
              <w:jc w:val="center"/>
              <w:ind w:left="1088"/>
              <w:spacing w:after="0"/>
              <w:rPr>
                <w:sz w:val="20"/>
                <w:szCs w:val="20"/>
                <w:color w:val="auto"/>
              </w:rPr>
            </w:pPr>
            <w:r>
              <w:rPr>
                <w:rFonts w:ascii="Calibri" w:cs="Calibri" w:eastAsia="Calibri" w:hAnsi="Calibri"/>
                <w:sz w:val="14"/>
                <w:szCs w:val="14"/>
                <w:b w:val="1"/>
                <w:bCs w:val="1"/>
                <w:color w:val="auto"/>
              </w:rPr>
              <w:t>(312) 291-9966</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940" w:type="dxa"/>
            <w:vAlign w:val="bottom"/>
          </w:tcPr>
          <w:p>
            <w:pPr>
              <w:jc w:val="center"/>
              <w:ind w:right="1608"/>
              <w:spacing w:after="0"/>
              <w:rPr>
                <w:sz w:val="20"/>
                <w:szCs w:val="20"/>
                <w:color w:val="auto"/>
              </w:rPr>
            </w:pPr>
            <w:r>
              <w:rPr>
                <w:rFonts w:ascii="Calibri" w:cs="Calibri" w:eastAsia="Calibri" w:hAnsi="Calibri"/>
                <w:sz w:val="14"/>
                <w:szCs w:val="14"/>
                <w:b w:val="1"/>
                <w:bCs w:val="1"/>
                <w:color w:val="auto"/>
              </w:rPr>
              <w:t>(Zip Code)</w:t>
            </w:r>
          </w:p>
        </w:tc>
        <w:tc>
          <w:tcPr>
            <w:tcW w:w="0" w:type="dxa"/>
            <w:vAlign w:val="bottom"/>
          </w:tcPr>
          <w:p>
            <w:pPr>
              <w:spacing w:after="0"/>
              <w:rPr>
                <w:sz w:val="1"/>
                <w:szCs w:val="1"/>
                <w:color w:val="auto"/>
              </w:rPr>
            </w:pPr>
          </w:p>
        </w:tc>
      </w:tr>
      <w:tr>
        <w:trPr>
          <w:trHeight w:val="154"/>
        </w:trPr>
        <w:tc>
          <w:tcPr>
            <w:tcW w:w="4020" w:type="dxa"/>
            <w:vAlign w:val="bottom"/>
          </w:tcPr>
          <w:p>
            <w:pPr>
              <w:spacing w:after="0"/>
              <w:rPr>
                <w:sz w:val="13"/>
                <w:szCs w:val="13"/>
                <w:color w:val="auto"/>
              </w:rPr>
            </w:pPr>
          </w:p>
        </w:tc>
        <w:tc>
          <w:tcPr>
            <w:tcW w:w="20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3280" w:type="dxa"/>
            <w:vAlign w:val="bottom"/>
            <w:gridSpan w:val="5"/>
          </w:tcPr>
          <w:p>
            <w:pPr>
              <w:jc w:val="center"/>
              <w:ind w:right="60"/>
              <w:spacing w:after="0"/>
              <w:rPr>
                <w:sz w:val="20"/>
                <w:szCs w:val="20"/>
                <w:color w:val="auto"/>
              </w:rPr>
            </w:pPr>
            <w:r>
              <w:rPr>
                <w:rFonts w:ascii="Calibri" w:cs="Calibri" w:eastAsia="Calibri" w:hAnsi="Calibri"/>
                <w:sz w:val="14"/>
                <w:szCs w:val="14"/>
                <w:b w:val="1"/>
                <w:bCs w:val="1"/>
                <w:color w:val="auto"/>
              </w:rPr>
              <w:t>Registrant’s telephone number, including area code</w:t>
            </w:r>
          </w:p>
        </w:tc>
        <w:tc>
          <w:tcPr>
            <w:tcW w:w="3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0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3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020" w:type="dxa"/>
            <w:vAlign w:val="bottom"/>
          </w:tcPr>
          <w:p>
            <w:pPr>
              <w:spacing w:after="0" w:line="164" w:lineRule="exact"/>
              <w:rPr>
                <w:sz w:val="20"/>
                <w:szCs w:val="20"/>
                <w:color w:val="auto"/>
              </w:rPr>
            </w:pPr>
            <w:r>
              <w:rPr>
                <w:rFonts w:ascii="Calibri" w:cs="Calibri" w:eastAsia="Calibri" w:hAnsi="Calibri"/>
                <w:sz w:val="14"/>
                <w:szCs w:val="14"/>
                <w:color w:val="auto"/>
              </w:rPr>
              <w:t>Securites registered pursuant to Secton 12(b) of the Act: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9"/>
        </w:trPr>
        <w:tc>
          <w:tcPr>
            <w:tcW w:w="4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3"/>
          </w:tcPr>
          <w:p>
            <w:pPr>
              <w:jc w:val="center"/>
              <w:ind w:right="1220"/>
              <w:spacing w:after="0"/>
              <w:rPr>
                <w:sz w:val="20"/>
                <w:szCs w:val="20"/>
                <w:color w:val="auto"/>
              </w:rPr>
            </w:pPr>
            <w:r>
              <w:rPr>
                <w:rFonts w:ascii="Calibri" w:cs="Calibri" w:eastAsia="Calibri" w:hAnsi="Calibri"/>
                <w:sz w:val="14"/>
                <w:szCs w:val="14"/>
                <w:b w:val="1"/>
                <w:bCs w:val="1"/>
                <w:color w:val="auto"/>
              </w:rPr>
              <w:t>Trading</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020" w:type="dxa"/>
            <w:vAlign w:val="bottom"/>
          </w:tcPr>
          <w:p>
            <w:pPr>
              <w:jc w:val="center"/>
              <w:ind w:left="208"/>
              <w:spacing w:after="0"/>
              <w:rPr>
                <w:sz w:val="20"/>
                <w:szCs w:val="20"/>
                <w:color w:val="auto"/>
              </w:rPr>
            </w:pPr>
            <w:r>
              <w:rPr>
                <w:rFonts w:ascii="Calibri" w:cs="Calibri" w:eastAsia="Calibri" w:hAnsi="Calibri"/>
                <w:sz w:val="14"/>
                <w:szCs w:val="14"/>
                <w:b w:val="1"/>
                <w:bCs w:val="1"/>
                <w:color w:val="auto"/>
              </w:rPr>
              <w:t>Title of each class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3"/>
          </w:tcPr>
          <w:p>
            <w:pPr>
              <w:jc w:val="center"/>
              <w:ind w:right="1200"/>
              <w:spacing w:after="0"/>
              <w:rPr>
                <w:sz w:val="20"/>
                <w:szCs w:val="20"/>
                <w:color w:val="auto"/>
              </w:rPr>
            </w:pPr>
            <w:r>
              <w:rPr>
                <w:rFonts w:ascii="Calibri" w:cs="Calibri" w:eastAsia="Calibri" w:hAnsi="Calibri"/>
                <w:sz w:val="14"/>
                <w:szCs w:val="14"/>
                <w:b w:val="1"/>
                <w:bCs w:val="1"/>
                <w:color w:val="auto"/>
              </w:rPr>
              <w:t>Symbol(s)</w:t>
            </w:r>
          </w:p>
        </w:tc>
        <w:tc>
          <w:tcPr>
            <w:tcW w:w="3940" w:type="dxa"/>
            <w:vAlign w:val="bottom"/>
          </w:tcPr>
          <w:p>
            <w:pPr>
              <w:jc w:val="center"/>
              <w:ind w:right="1048"/>
              <w:spacing w:after="0"/>
              <w:rPr>
                <w:sz w:val="20"/>
                <w:szCs w:val="20"/>
                <w:color w:val="auto"/>
              </w:rPr>
            </w:pPr>
            <w:r>
              <w:rPr>
                <w:rFonts w:ascii="Calibri" w:cs="Calibri" w:eastAsia="Calibri" w:hAnsi="Calibri"/>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33"/>
        </w:trPr>
        <w:tc>
          <w:tcPr>
            <w:tcW w:w="4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020" w:type="dxa"/>
            <w:vAlign w:val="bottom"/>
          </w:tcPr>
          <w:p>
            <w:pPr>
              <w:jc w:val="center"/>
              <w:ind w:left="228"/>
              <w:spacing w:after="0" w:line="141" w:lineRule="exact"/>
              <w:rPr>
                <w:sz w:val="20"/>
                <w:szCs w:val="20"/>
                <w:color w:val="auto"/>
              </w:rPr>
            </w:pPr>
            <w:r>
              <w:rPr>
                <w:rFonts w:ascii="Calibri" w:cs="Calibri" w:eastAsia="Calibri" w:hAnsi="Calibri"/>
                <w:sz w:val="14"/>
                <w:szCs w:val="14"/>
                <w:color w:val="auto"/>
              </w:rPr>
              <w:t>Class A common stock, par value $0.0001 per share</w:t>
            </w:r>
          </w:p>
        </w:tc>
        <w:tc>
          <w:tcPr>
            <w:tcW w:w="26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680" w:type="dxa"/>
            <w:vAlign w:val="bottom"/>
          </w:tcPr>
          <w:p>
            <w:pPr>
              <w:jc w:val="center"/>
              <w:spacing w:after="0" w:line="141" w:lineRule="exact"/>
              <w:rPr>
                <w:sz w:val="20"/>
                <w:szCs w:val="20"/>
                <w:color w:val="auto"/>
              </w:rPr>
            </w:pPr>
            <w:r>
              <w:rPr>
                <w:rFonts w:ascii="Calibri" w:cs="Calibri" w:eastAsia="Calibri" w:hAnsi="Calibri"/>
                <w:sz w:val="14"/>
                <w:szCs w:val="14"/>
                <w:color w:val="auto"/>
                <w:w w:val="92"/>
              </w:rPr>
              <w:t>SEAT</w:t>
            </w:r>
          </w:p>
        </w:tc>
        <w:tc>
          <w:tcPr>
            <w:tcW w:w="12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3940" w:type="dxa"/>
            <w:vAlign w:val="bottom"/>
          </w:tcPr>
          <w:p>
            <w:pPr>
              <w:jc w:val="center"/>
              <w:ind w:right="1068"/>
              <w:spacing w:after="0" w:line="141" w:lineRule="exact"/>
              <w:rPr>
                <w:sz w:val="20"/>
                <w:szCs w:val="20"/>
                <w:color w:val="auto"/>
              </w:rPr>
            </w:pPr>
            <w:r>
              <w:rPr>
                <w:rFonts w:ascii="Calibri" w:cs="Calibri" w:eastAsia="Calibri" w:hAnsi="Calibri"/>
                <w:sz w:val="14"/>
                <w:szCs w:val="14"/>
                <w:color w:val="auto"/>
              </w:rPr>
              <w:t>The Nasdaq Stock Market LLC</w:t>
            </w:r>
          </w:p>
        </w:tc>
        <w:tc>
          <w:tcPr>
            <w:tcW w:w="0" w:type="dxa"/>
            <w:vAlign w:val="bottom"/>
          </w:tcPr>
          <w:p>
            <w:pPr>
              <w:spacing w:after="0"/>
              <w:rPr>
                <w:sz w:val="1"/>
                <w:szCs w:val="1"/>
                <w:color w:val="auto"/>
              </w:rPr>
            </w:pPr>
          </w:p>
        </w:tc>
      </w:tr>
      <w:tr>
        <w:trPr>
          <w:trHeight w:val="170"/>
        </w:trPr>
        <w:tc>
          <w:tcPr>
            <w:tcW w:w="4020" w:type="dxa"/>
            <w:vAlign w:val="bottom"/>
          </w:tcPr>
          <w:p>
            <w:pPr>
              <w:jc w:val="center"/>
              <w:ind w:left="208"/>
              <w:spacing w:after="0"/>
              <w:rPr>
                <w:sz w:val="20"/>
                <w:szCs w:val="20"/>
                <w:color w:val="auto"/>
              </w:rPr>
            </w:pPr>
            <w:r>
              <w:rPr>
                <w:rFonts w:ascii="Calibri" w:cs="Calibri" w:eastAsia="Calibri" w:hAnsi="Calibri"/>
                <w:sz w:val="14"/>
                <w:szCs w:val="14"/>
                <w:color w:val="auto"/>
              </w:rPr>
              <w:t>Warrants to purchase one share of Class A common stock</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3"/>
          </w:tcPr>
          <w:p>
            <w:pPr>
              <w:jc w:val="center"/>
              <w:ind w:right="1220"/>
              <w:spacing w:after="0"/>
              <w:rPr>
                <w:sz w:val="20"/>
                <w:szCs w:val="20"/>
                <w:color w:val="auto"/>
              </w:rPr>
            </w:pPr>
            <w:r>
              <w:rPr>
                <w:rFonts w:ascii="Calibri" w:cs="Calibri" w:eastAsia="Calibri" w:hAnsi="Calibri"/>
                <w:sz w:val="14"/>
                <w:szCs w:val="14"/>
                <w:color w:val="auto"/>
                <w:w w:val="98"/>
              </w:rPr>
              <w:t>SEATW</w:t>
            </w:r>
          </w:p>
        </w:tc>
        <w:tc>
          <w:tcPr>
            <w:tcW w:w="3940" w:type="dxa"/>
            <w:vAlign w:val="bottom"/>
          </w:tcPr>
          <w:p>
            <w:pPr>
              <w:jc w:val="center"/>
              <w:ind w:right="1068"/>
              <w:spacing w:after="0"/>
              <w:rPr>
                <w:sz w:val="20"/>
                <w:szCs w:val="20"/>
                <w:color w:val="auto"/>
              </w:rPr>
            </w:pPr>
            <w:r>
              <w:rPr>
                <w:rFonts w:ascii="Calibri" w:cs="Calibri" w:eastAsia="Calibri" w:hAnsi="Calibri"/>
                <w:sz w:val="14"/>
                <w:szCs w:val="14"/>
                <w:color w:val="auto"/>
              </w:rPr>
              <w:t>The Nasdaq Stock Market LLC</w:t>
            </w:r>
          </w:p>
        </w:tc>
        <w:tc>
          <w:tcPr>
            <w:tcW w:w="0" w:type="dxa"/>
            <w:vAlign w:val="bottom"/>
          </w:tcPr>
          <w:p>
            <w:pPr>
              <w:spacing w:after="0"/>
              <w:rPr>
                <w:sz w:val="1"/>
                <w:szCs w:val="1"/>
                <w:color w:val="auto"/>
              </w:rPr>
            </w:pPr>
          </w:p>
        </w:tc>
      </w:tr>
    </w:tbl>
    <w:p>
      <w:pPr>
        <w:spacing w:after="0" w:line="195" w:lineRule="exact"/>
        <w:rPr>
          <w:sz w:val="24"/>
          <w:szCs w:val="24"/>
          <w:color w:val="auto"/>
        </w:rPr>
      </w:pPr>
    </w:p>
    <w:p>
      <w:pPr>
        <w:jc w:val="both"/>
        <w:spacing w:after="0" w:line="178" w:lineRule="exact"/>
        <w:rPr>
          <w:sz w:val="20"/>
          <w:szCs w:val="20"/>
          <w:color w:val="auto"/>
        </w:rPr>
      </w:pPr>
      <w:r>
        <w:rPr>
          <w:rFonts w:ascii="Calibri" w:cs="Calibri" w:eastAsia="Calibri" w:hAnsi="Calibri"/>
          <w:sz w:val="14"/>
          <w:szCs w:val="14"/>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77" w:lineRule="exact"/>
        <w:rPr>
          <w:sz w:val="24"/>
          <w:szCs w:val="24"/>
          <w:color w:val="auto"/>
        </w:rPr>
      </w:pPr>
    </w:p>
    <w:p>
      <w:pPr>
        <w:jc w:val="both"/>
        <w:spacing w:after="0" w:line="185" w:lineRule="exact"/>
        <w:rPr>
          <w:sz w:val="20"/>
          <w:szCs w:val="20"/>
          <w:color w:val="auto"/>
        </w:rPr>
      </w:pPr>
      <w:r>
        <w:rPr>
          <w:rFonts w:ascii="Calibri" w:cs="Calibri" w:eastAsia="Calibri" w:hAnsi="Calibri"/>
          <w:sz w:val="14"/>
          <w:szCs w:val="14"/>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77" w:lineRule="exact"/>
        <w:rPr>
          <w:sz w:val="24"/>
          <w:szCs w:val="24"/>
          <w:color w:val="auto"/>
        </w:rPr>
      </w:pPr>
    </w:p>
    <w:p>
      <w:pPr>
        <w:jc w:val="both"/>
        <w:spacing w:after="0" w:line="233" w:lineRule="auto"/>
        <w:rPr>
          <w:sz w:val="20"/>
          <w:szCs w:val="20"/>
          <w:color w:val="auto"/>
        </w:rPr>
      </w:pPr>
      <w:r>
        <w:rPr>
          <w:rFonts w:ascii="Calibri" w:cs="Calibri" w:eastAsia="Calibri" w:hAnsi="Calibri"/>
          <w:sz w:val="14"/>
          <w:szCs w:val="14"/>
          <w:color w:val="auto"/>
        </w:rPr>
        <w:t>Indicate by check mark whether the registrant is a large accelerated fler, an accelerated fler, a non-accelerated fler, smaller reportng company, or an emerging growth company. See the defnitons of “large accelerated fler,” “accelerated fler,” “smaller reportng company,” and “emerging growth company” in Rule 12b-2 of the Exchange Act.</w:t>
      </w:r>
    </w:p>
    <w:p>
      <w:pPr>
        <w:spacing w:after="0" w:line="190"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2100" w:type="dxa"/>
            <w:vAlign w:val="bottom"/>
          </w:tcPr>
          <w:p>
            <w:pPr>
              <w:spacing w:after="0"/>
              <w:rPr>
                <w:sz w:val="20"/>
                <w:szCs w:val="20"/>
                <w:color w:val="auto"/>
              </w:rPr>
            </w:pPr>
            <w:r>
              <w:rPr>
                <w:rFonts w:ascii="Calibri" w:cs="Calibri" w:eastAsia="Calibri" w:hAnsi="Calibri"/>
                <w:sz w:val="14"/>
                <w:szCs w:val="14"/>
                <w:color w:val="auto"/>
              </w:rPr>
              <w:t>Large accelerated fler</w:t>
            </w:r>
          </w:p>
        </w:tc>
        <w:tc>
          <w:tcPr>
            <w:tcW w:w="32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600"/>
              <w:spacing w:after="0"/>
              <w:rPr>
                <w:sz w:val="20"/>
                <w:szCs w:val="20"/>
                <w:color w:val="auto"/>
              </w:rPr>
            </w:pPr>
            <w:r>
              <w:rPr>
                <w:rFonts w:ascii="Calibri" w:cs="Calibri" w:eastAsia="Calibri" w:hAnsi="Calibri"/>
                <w:sz w:val="14"/>
                <w:szCs w:val="14"/>
                <w:color w:val="auto"/>
              </w:rPr>
              <w:t>Accelerated fler</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2100" w:type="dxa"/>
            <w:vAlign w:val="bottom"/>
          </w:tcPr>
          <w:p>
            <w:pPr>
              <w:spacing w:after="0"/>
              <w:rPr>
                <w:sz w:val="20"/>
                <w:szCs w:val="20"/>
                <w:color w:val="auto"/>
              </w:rPr>
            </w:pPr>
            <w:r>
              <w:rPr>
                <w:rFonts w:ascii="Calibri" w:cs="Calibri" w:eastAsia="Calibri" w:hAnsi="Calibri"/>
                <w:sz w:val="14"/>
                <w:szCs w:val="14"/>
                <w:color w:val="auto"/>
              </w:rPr>
              <w:t>Non-accelerated fler</w:t>
            </w:r>
          </w:p>
        </w:tc>
        <w:tc>
          <w:tcPr>
            <w:tcW w:w="32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600"/>
              <w:spacing w:after="0"/>
              <w:rPr>
                <w:sz w:val="20"/>
                <w:szCs w:val="20"/>
                <w:color w:val="auto"/>
              </w:rPr>
            </w:pPr>
            <w:r>
              <w:rPr>
                <w:rFonts w:ascii="Calibri" w:cs="Calibri" w:eastAsia="Calibri" w:hAnsi="Calibri"/>
                <w:sz w:val="14"/>
                <w:szCs w:val="14"/>
                <w:color w:val="auto"/>
              </w:rPr>
              <w:t>Smaller reportng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100" w:type="dxa"/>
            <w:vAlign w:val="bottom"/>
          </w:tcPr>
          <w:p>
            <w:pPr>
              <w:spacing w:after="0"/>
              <w:rPr>
                <w:sz w:val="20"/>
                <w:szCs w:val="20"/>
                <w:color w:val="auto"/>
              </w:rPr>
            </w:pPr>
            <w:r>
              <w:rPr>
                <w:rFonts w:ascii="Calibri" w:cs="Calibri" w:eastAsia="Calibri" w:hAnsi="Calibri"/>
                <w:sz w:val="14"/>
                <w:szCs w:val="14"/>
                <w:color w:val="auto"/>
              </w:rPr>
              <w:t>Emerging growth company</w:t>
            </w:r>
          </w:p>
        </w:tc>
        <w:tc>
          <w:tcPr>
            <w:tcW w:w="32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spacing w:after="0"/>
              <w:rPr>
                <w:sz w:val="19"/>
                <w:szCs w:val="19"/>
                <w:color w:val="auto"/>
              </w:rPr>
            </w:pPr>
          </w:p>
        </w:tc>
        <w:tc>
          <w:tcPr>
            <w:tcW w:w="860" w:type="dxa"/>
            <w:vAlign w:val="bottom"/>
          </w:tcPr>
          <w:p>
            <w:pPr>
              <w:spacing w:after="0"/>
              <w:rPr>
                <w:sz w:val="19"/>
                <w:szCs w:val="19"/>
                <w:color w:val="auto"/>
              </w:rPr>
            </w:pPr>
          </w:p>
        </w:tc>
      </w:tr>
    </w:tbl>
    <w:p>
      <w:pPr>
        <w:spacing w:after="0" w:line="279" w:lineRule="exact"/>
        <w:rPr>
          <w:sz w:val="24"/>
          <w:szCs w:val="24"/>
          <w:color w:val="auto"/>
        </w:rPr>
      </w:pPr>
    </w:p>
    <w:p>
      <w:pPr>
        <w:spacing w:after="0" w:line="178" w:lineRule="exact"/>
        <w:rPr>
          <w:sz w:val="20"/>
          <w:szCs w:val="20"/>
          <w:color w:val="auto"/>
        </w:rPr>
      </w:pPr>
      <w:r>
        <w:rPr>
          <w:rFonts w:ascii="Calibri" w:cs="Calibri" w:eastAsia="Calibri" w:hAnsi="Calibri"/>
          <w:sz w:val="14"/>
          <w:szCs w:val="14"/>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spacing w:after="0" w:line="172" w:lineRule="exact"/>
        <w:tabs>
          <w:tab w:leader="none" w:pos="6640" w:val="left"/>
          <w:tab w:leader="none" w:pos="7160" w:val="left"/>
        </w:tabs>
        <w:rPr>
          <w:sz w:val="20"/>
          <w:szCs w:val="20"/>
          <w:color w:val="auto"/>
        </w:rPr>
      </w:pPr>
      <w:r>
        <w:rPr>
          <w:rFonts w:ascii="Calibri" w:cs="Calibri" w:eastAsia="Calibri" w:hAnsi="Calibri"/>
          <w:sz w:val="14"/>
          <w:szCs w:val="14"/>
          <w:color w:val="auto"/>
        </w:rPr>
        <w:t>Indicate by check mark whether the registrant is a shell company (as defned in Rule 12b-2 of the Exchange Act).</w:t>
        <w:tab/>
        <w:t xml:space="preserve">Yes </w:t>
      </w:r>
      <w:r>
        <w:rPr>
          <w:rFonts w:ascii="MS PGothic" w:cs="MS PGothic" w:eastAsia="MS PGothic" w:hAnsi="MS PGothic"/>
          <w:sz w:val="14"/>
          <w:szCs w:val="14"/>
          <w:color w:val="auto"/>
        </w:rPr>
        <w:t>☐</w:t>
      </w:r>
      <w:r>
        <w:rPr>
          <w:rFonts w:ascii="Calibri" w:cs="Calibri" w:eastAsia="Calibri" w:hAnsi="Calibri"/>
          <w:sz w:val="14"/>
          <w:szCs w:val="14"/>
          <w:color w:val="auto"/>
        </w:rPr>
        <w:tab/>
        <w:t xml:space="preserve">No </w:t>
      </w:r>
      <w:r>
        <w:rPr>
          <w:rFonts w:ascii="MS PGothic" w:cs="MS PGothic" w:eastAsia="MS PGothic" w:hAnsi="MS PGothic"/>
          <w:sz w:val="14"/>
          <w:szCs w:val="14"/>
          <w:color w:val="auto"/>
        </w:rPr>
        <w:t>☒</w:t>
      </w:r>
    </w:p>
    <w:p>
      <w:pPr>
        <w:spacing w:after="0" w:line="171" w:lineRule="exact"/>
        <w:rPr>
          <w:sz w:val="24"/>
          <w:szCs w:val="24"/>
          <w:color w:val="auto"/>
        </w:rPr>
      </w:pPr>
    </w:p>
    <w:p>
      <w:pPr>
        <w:spacing w:after="0" w:line="245" w:lineRule="auto"/>
        <w:rPr>
          <w:sz w:val="20"/>
          <w:szCs w:val="20"/>
          <w:color w:val="auto"/>
        </w:rPr>
      </w:pPr>
      <w:r>
        <w:rPr>
          <w:rFonts w:ascii="Calibri" w:cs="Calibri" w:eastAsia="Calibri" w:hAnsi="Calibri"/>
          <w:sz w:val="14"/>
          <w:szCs w:val="14"/>
          <w:color w:val="auto"/>
        </w:rPr>
        <w:t>As of October 31, 2022, the registrant had 81,296,366 shares of Class A common stock, $0.0001 par value per share, outstanding and 118,200,000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80" w:type="dxa"/>
            <w:vAlign w:val="bottom"/>
            <w:gridSpan w:val="6"/>
          </w:tcPr>
          <w:p>
            <w:pPr>
              <w:ind w:left="80"/>
              <w:spacing w:after="0"/>
              <w:rPr>
                <w:sz w:val="20"/>
                <w:szCs w:val="20"/>
                <w:color w:val="auto"/>
              </w:rPr>
            </w:pPr>
            <w:r>
              <w:rPr>
                <w:rFonts w:ascii="Calibri" w:cs="Calibri" w:eastAsia="Calibri" w:hAnsi="Calibri"/>
                <w:sz w:val="18"/>
                <w:szCs w:val="18"/>
                <w:b w:val="1"/>
                <w:bCs w:val="1"/>
                <w:color w:val="auto"/>
              </w:rPr>
              <w:t>TABLE OF CONTENTS</w:t>
            </w:r>
          </w:p>
        </w:tc>
        <w:tc>
          <w:tcPr>
            <w:tcW w:w="560" w:type="dxa"/>
            <w:vAlign w:val="bottom"/>
          </w:tcPr>
          <w:p>
            <w:pPr>
              <w:spacing w:after="0"/>
              <w:rPr>
                <w:sz w:val="19"/>
                <w:szCs w:val="19"/>
                <w:color w:val="auto"/>
              </w:rPr>
            </w:pPr>
          </w:p>
        </w:tc>
      </w:tr>
      <w:tr>
        <w:trPr>
          <w:trHeight w:val="40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60" w:type="dxa"/>
            <w:vAlign w:val="bottom"/>
          </w:tcPr>
          <w:p>
            <w:pPr>
              <w:jc w:val="right"/>
              <w:ind w:right="10"/>
              <w:spacing w:after="0"/>
              <w:rPr>
                <w:sz w:val="20"/>
                <w:szCs w:val="20"/>
                <w:color w:val="auto"/>
              </w:rPr>
            </w:pPr>
            <w:r>
              <w:rPr>
                <w:rFonts w:ascii="Calibri" w:cs="Calibri" w:eastAsia="Calibri" w:hAnsi="Calibri"/>
                <w:sz w:val="18"/>
                <w:szCs w:val="18"/>
                <w:b w:val="1"/>
                <w:bCs w:val="1"/>
                <w:color w:val="auto"/>
              </w:rPr>
              <w:t>Page</w:t>
            </w:r>
          </w:p>
        </w:tc>
      </w:tr>
      <w:tr>
        <w:trPr>
          <w:trHeight w:val="23"/>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35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Forward-Looking Statements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1</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b w:val="1"/>
                <w:bCs w:val="1"/>
                <w:color w:val="auto"/>
              </w:rPr>
              <w:t>PART I.</w:t>
            </w: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FINANCIAL INFORMATION</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85"/>
        </w:trPr>
        <w:tc>
          <w:tcPr>
            <w:tcW w:w="1180" w:type="dxa"/>
            <w:vAlign w:val="bottom"/>
            <w:gridSpan w:val="3"/>
          </w:tcPr>
          <w:p>
            <w:pPr>
              <w:ind w:left="20"/>
              <w:spacing w:after="0"/>
              <w:rPr>
                <w:sz w:val="20"/>
                <w:szCs w:val="20"/>
                <w:color w:val="auto"/>
              </w:rPr>
            </w:pPr>
            <w:r>
              <w:rPr>
                <w:rFonts w:ascii="Calibri" w:cs="Calibri" w:eastAsia="Calibri" w:hAnsi="Calibri"/>
                <w:sz w:val="18"/>
                <w:szCs w:val="18"/>
                <w:color w:val="auto"/>
              </w:rPr>
              <w:t>Item 1.</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Financial Statements (Unaudited)</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3</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Condensed Consolidated Balance Sheets</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00" w:type="dxa"/>
            <w:vAlign w:val="bottom"/>
            <w:gridSpan w:val="19"/>
          </w:tcPr>
          <w:p>
            <w:pPr>
              <w:spacing w:after="0" w:line="196" w:lineRule="exact"/>
              <w:rPr>
                <w:sz w:val="20"/>
                <w:szCs w:val="20"/>
                <w:color w:val="auto"/>
              </w:rPr>
            </w:pPr>
            <w:r>
              <w:rPr>
                <w:rFonts w:ascii="Calibri" w:cs="Calibri" w:eastAsia="Calibri" w:hAnsi="Calibri"/>
                <w:sz w:val="18"/>
                <w:szCs w:val="18"/>
                <w:color w:val="0000FF"/>
              </w:rPr>
              <w:t>Condensed Consolidated Statements of Operatons</w:t>
            </w:r>
          </w:p>
        </w:tc>
        <w:tc>
          <w:tcPr>
            <w:tcW w:w="560" w:type="dxa"/>
            <w:vAlign w:val="bottom"/>
          </w:tcPr>
          <w:p>
            <w:pPr>
              <w:jc w:val="right"/>
              <w:spacing w:after="0" w:line="196" w:lineRule="exact"/>
              <w:rPr>
                <w:sz w:val="20"/>
                <w:szCs w:val="20"/>
                <w:color w:val="auto"/>
              </w:rPr>
            </w:pPr>
            <w:r>
              <w:rPr>
                <w:rFonts w:ascii="Calibri" w:cs="Calibri" w:eastAsia="Calibri" w:hAnsi="Calibri"/>
                <w:sz w:val="18"/>
                <w:szCs w:val="18"/>
                <w:color w:val="auto"/>
              </w:rPr>
              <w:t>4</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00" w:type="dxa"/>
            <w:vAlign w:val="bottom"/>
            <w:gridSpan w:val="19"/>
          </w:tcPr>
          <w:p>
            <w:pPr>
              <w:spacing w:after="0" w:line="196" w:lineRule="exact"/>
              <w:rPr>
                <w:sz w:val="20"/>
                <w:szCs w:val="20"/>
                <w:color w:val="auto"/>
              </w:rPr>
            </w:pPr>
            <w:r>
              <w:rPr>
                <w:rFonts w:ascii="Calibri" w:cs="Calibri" w:eastAsia="Calibri" w:hAnsi="Calibri"/>
                <w:sz w:val="18"/>
                <w:szCs w:val="18"/>
                <w:color w:val="0000FF"/>
              </w:rPr>
              <w:t>Condensed Consolidated Statements of Comprehensive Income (Loss)</w:t>
            </w:r>
          </w:p>
        </w:tc>
        <w:tc>
          <w:tcPr>
            <w:tcW w:w="560" w:type="dxa"/>
            <w:vAlign w:val="bottom"/>
          </w:tcPr>
          <w:p>
            <w:pPr>
              <w:jc w:val="right"/>
              <w:spacing w:after="0" w:line="196" w:lineRule="exact"/>
              <w:rPr>
                <w:sz w:val="20"/>
                <w:szCs w:val="20"/>
                <w:color w:val="auto"/>
              </w:rPr>
            </w:pPr>
            <w:r>
              <w:rPr>
                <w:rFonts w:ascii="Calibri" w:cs="Calibri" w:eastAsia="Calibri" w:hAnsi="Calibri"/>
                <w:sz w:val="18"/>
                <w:szCs w:val="18"/>
                <w:color w:val="auto"/>
              </w:rPr>
              <w:t>5</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Condensed Consolidated Statements of Defcit</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6</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080" w:type="dxa"/>
            <w:vAlign w:val="bottom"/>
            <w:tcBorders>
              <w:right w:val="single" w:sz="8" w:color="0000EE"/>
            </w:tcBorders>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00" w:type="dxa"/>
            <w:vAlign w:val="bottom"/>
            <w:gridSpan w:val="19"/>
          </w:tcPr>
          <w:p>
            <w:pPr>
              <w:spacing w:after="0" w:line="196" w:lineRule="exact"/>
              <w:rPr>
                <w:sz w:val="20"/>
                <w:szCs w:val="20"/>
                <w:color w:val="auto"/>
              </w:rPr>
            </w:pPr>
            <w:r>
              <w:rPr>
                <w:rFonts w:ascii="Calibri" w:cs="Calibri" w:eastAsia="Calibri" w:hAnsi="Calibri"/>
                <w:sz w:val="18"/>
                <w:szCs w:val="18"/>
                <w:color w:val="0000FF"/>
              </w:rPr>
              <w:t>Condensed Consolidated Statements of Cash Flows</w:t>
            </w:r>
          </w:p>
        </w:tc>
        <w:tc>
          <w:tcPr>
            <w:tcW w:w="560" w:type="dxa"/>
            <w:vAlign w:val="bottom"/>
          </w:tcPr>
          <w:p>
            <w:pPr>
              <w:jc w:val="right"/>
              <w:spacing w:after="0" w:line="196" w:lineRule="exact"/>
              <w:rPr>
                <w:sz w:val="20"/>
                <w:szCs w:val="20"/>
                <w:color w:val="auto"/>
              </w:rPr>
            </w:pPr>
            <w:r>
              <w:rPr>
                <w:rFonts w:ascii="Calibri" w:cs="Calibri" w:eastAsia="Calibri" w:hAnsi="Calibri"/>
                <w:sz w:val="18"/>
                <w:szCs w:val="18"/>
                <w:color w:val="auto"/>
              </w:rPr>
              <w:t>9</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00" w:type="dxa"/>
            <w:vAlign w:val="bottom"/>
            <w:gridSpan w:val="19"/>
          </w:tcPr>
          <w:p>
            <w:pPr>
              <w:spacing w:after="0" w:line="196" w:lineRule="exact"/>
              <w:rPr>
                <w:sz w:val="20"/>
                <w:szCs w:val="20"/>
                <w:color w:val="auto"/>
              </w:rPr>
            </w:pPr>
            <w:r>
              <w:rPr>
                <w:rFonts w:ascii="Calibri" w:cs="Calibri" w:eastAsia="Calibri" w:hAnsi="Calibri"/>
                <w:sz w:val="18"/>
                <w:szCs w:val="18"/>
                <w:color w:val="0000FF"/>
              </w:rPr>
              <w:t>Notes to Condensed Consolidated Financial Statements</w:t>
            </w:r>
          </w:p>
        </w:tc>
        <w:tc>
          <w:tcPr>
            <w:tcW w:w="560" w:type="dxa"/>
            <w:vAlign w:val="bottom"/>
          </w:tcPr>
          <w:p>
            <w:pPr>
              <w:jc w:val="right"/>
              <w:spacing w:after="0" w:line="196" w:lineRule="exact"/>
              <w:rPr>
                <w:sz w:val="20"/>
                <w:szCs w:val="20"/>
                <w:color w:val="auto"/>
              </w:rPr>
            </w:pPr>
            <w:r>
              <w:rPr>
                <w:rFonts w:ascii="Calibri" w:cs="Calibri" w:eastAsia="Calibri" w:hAnsi="Calibri"/>
                <w:sz w:val="18"/>
                <w:szCs w:val="18"/>
                <w:color w:val="auto"/>
              </w:rPr>
              <w:t>10</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700" w:type="dxa"/>
            <w:vAlign w:val="bottom"/>
            <w:tcBorders>
              <w:right w:val="single" w:sz="8" w:color="0000EE"/>
            </w:tcBorders>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Calibri" w:cs="Calibri" w:eastAsia="Calibri" w:hAnsi="Calibri"/>
                <w:sz w:val="18"/>
                <w:szCs w:val="18"/>
                <w:color w:val="auto"/>
              </w:rPr>
              <w:t>Item 2.</w:t>
            </w:r>
          </w:p>
        </w:tc>
        <w:tc>
          <w:tcPr>
            <w:tcW w:w="9500" w:type="dxa"/>
            <w:vAlign w:val="bottom"/>
            <w:gridSpan w:val="19"/>
          </w:tcPr>
          <w:p>
            <w:pPr>
              <w:spacing w:after="0" w:line="196" w:lineRule="exact"/>
              <w:rPr>
                <w:sz w:val="20"/>
                <w:szCs w:val="20"/>
                <w:color w:val="auto"/>
              </w:rPr>
            </w:pPr>
            <w:r>
              <w:rPr>
                <w:rFonts w:ascii="Calibri" w:cs="Calibri" w:eastAsia="Calibri" w:hAnsi="Calibri"/>
                <w:sz w:val="18"/>
                <w:szCs w:val="18"/>
                <w:color w:val="0000FF"/>
              </w:rPr>
              <w:t>Management’s Discussion and Analysis of Financial Conditon and Results of Operatons</w:t>
            </w:r>
          </w:p>
        </w:tc>
        <w:tc>
          <w:tcPr>
            <w:tcW w:w="560" w:type="dxa"/>
            <w:vAlign w:val="bottom"/>
          </w:tcPr>
          <w:p>
            <w:pPr>
              <w:jc w:val="right"/>
              <w:spacing w:after="0" w:line="196" w:lineRule="exact"/>
              <w:rPr>
                <w:sz w:val="20"/>
                <w:szCs w:val="20"/>
                <w:color w:val="auto"/>
              </w:rPr>
            </w:pPr>
            <w:r>
              <w:rPr>
                <w:rFonts w:ascii="Calibri" w:cs="Calibri" w:eastAsia="Calibri" w:hAnsi="Calibri"/>
                <w:sz w:val="18"/>
                <w:szCs w:val="18"/>
                <w:color w:val="auto"/>
              </w:rPr>
              <w:t>27</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color w:val="auto"/>
              </w:rPr>
              <w:t>Item 3.</w:t>
            </w: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Quanttatve and Qualitatve Disclosures About Market Risk</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38</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color w:val="auto"/>
              </w:rPr>
              <w:t>Item 4.</w:t>
            </w: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Controls and Procedures</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38</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8"/>
        </w:trPr>
        <w:tc>
          <w:tcPr>
            <w:tcW w:w="118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PART II.</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OTHER INFORMATION</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39</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8"/>
        </w:trPr>
        <w:tc>
          <w:tcPr>
            <w:tcW w:w="1180" w:type="dxa"/>
            <w:vAlign w:val="bottom"/>
            <w:gridSpan w:val="3"/>
          </w:tcPr>
          <w:p>
            <w:pPr>
              <w:ind w:left="20"/>
              <w:spacing w:after="0"/>
              <w:rPr>
                <w:sz w:val="20"/>
                <w:szCs w:val="20"/>
                <w:color w:val="auto"/>
              </w:rPr>
            </w:pPr>
            <w:r>
              <w:rPr>
                <w:rFonts w:ascii="Calibri" w:cs="Calibri" w:eastAsia="Calibri" w:hAnsi="Calibri"/>
                <w:sz w:val="18"/>
                <w:szCs w:val="18"/>
                <w:color w:val="auto"/>
              </w:rPr>
              <w:t>Item 1.</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Legal Proceedings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39</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color w:val="auto"/>
              </w:rPr>
              <w:t>Item 1A.</w:t>
            </w: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Risk Factors</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39</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color w:val="auto"/>
              </w:rPr>
              <w:t>Item 2.</w:t>
            </w: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Unregistered Sales of Equity Securites and Use of Proceeds</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39</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980" w:type="dxa"/>
            <w:vAlign w:val="bottom"/>
            <w:gridSpan w:val="7"/>
            <w:shd w:val="clear" w:color="auto" w:fill="0000FF"/>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color w:val="auto"/>
              </w:rPr>
              <w:t>Item 3.</w:t>
            </w: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Defaults Upon Senior Securites</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39</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728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color w:val="auto"/>
              </w:rPr>
              <w:t>Item 4.</w:t>
            </w: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Mine Safety Disclosures</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39</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84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color w:val="auto"/>
              </w:rPr>
              <w:t>Item 5.</w:t>
            </w: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Other Informaton</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39</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220" w:type="dxa"/>
            <w:vAlign w:val="bottom"/>
            <w:gridSpan w:val="1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color w:val="auto"/>
              </w:rPr>
              <w:t>Item 6.</w:t>
            </w: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Exhibits</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40</w:t>
            </w: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color w:val="0000FF"/>
              </w:rPr>
              <w:t>Signatures</w:t>
            </w:r>
          </w:p>
        </w:tc>
        <w:tc>
          <w:tcPr>
            <w:tcW w:w="520" w:type="dxa"/>
            <w:vAlign w:val="bottom"/>
            <w:tcBorders>
              <w:top w:val="single" w:sz="8" w:color="0000FF"/>
            </w:tcBorders>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42</w:t>
            </w:r>
          </w:p>
        </w:tc>
      </w:tr>
      <w:tr>
        <w:trPr>
          <w:trHeight w:val="554"/>
        </w:trPr>
        <w:tc>
          <w:tcPr>
            <w:tcW w:w="2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jc w:val="center"/>
        <w:spacing w:after="0"/>
        <w:rPr>
          <w:sz w:val="20"/>
          <w:szCs w:val="20"/>
          <w:color w:val="auto"/>
        </w:rPr>
      </w:pPr>
      <w:r>
        <w:rPr>
          <w:rFonts w:ascii="Calibri" w:cs="Calibri" w:eastAsia="Calibri" w:hAnsi="Calibri"/>
          <w:sz w:val="18"/>
          <w:szCs w:val="18"/>
          <w:b w:val="1"/>
          <w:bCs w:val="1"/>
          <w:color w:val="auto"/>
        </w:rPr>
        <w:t>FORWARD-LOOKING STATEMENTS</w:t>
      </w:r>
    </w:p>
    <w:p>
      <w:pPr>
        <w:spacing w:after="0" w:line="339" w:lineRule="exact"/>
        <w:rPr>
          <w:sz w:val="20"/>
          <w:szCs w:val="20"/>
          <w:color w:val="auto"/>
        </w:rPr>
      </w:pPr>
    </w:p>
    <w:p>
      <w:pPr>
        <w:jc w:val="both"/>
        <w:spacing w:after="0"/>
        <w:rPr>
          <w:sz w:val="20"/>
          <w:szCs w:val="20"/>
          <w:color w:val="auto"/>
        </w:rPr>
      </w:pPr>
      <w:r>
        <w:rPr>
          <w:rFonts w:ascii="Calibri" w:cs="Calibri" w:eastAsia="Calibri" w:hAnsi="Calibri"/>
          <w:sz w:val="17"/>
          <w:szCs w:val="17"/>
          <w:color w:val="auto"/>
        </w:rPr>
        <w:t>This Quarterly Report on Form 10-Q contains forward-looking statements regarding future events and the future results of Vivid Seats Inc. that are based on our current expectatons, estmates, forecasts and projectons about the industries in which we operate and the beliefs and assumptons of our management. We intend such forward-looking statements to be covered by the safe harbor provisions for forward-looking statements contained in Secton 27A of the Securites Act of 1933, as amended (the "Securites Act"), and Secton 21E of the Securites Exchange Act of 1934, as amended (the "Exchange Act"). Words such as “expect,” “antcipate,” “target,” “goal,” “project,” “intend,” “plan,” “believe,” “seek,” “estmate,” “will,” “likely,” “may,” “designed,” “would,” “future,” “can,” “could,” and other similar expressions which are predictons of, indicate future events and trends or which do not relate to historical maters, are intended to identfy such forward-looking statements. These statements involve a number of risks, uncertaintes and assumptons that are difcult to predict.</w:t>
      </w:r>
    </w:p>
    <w:p>
      <w:pPr>
        <w:spacing w:after="0" w:line="136" w:lineRule="exact"/>
        <w:rPr>
          <w:sz w:val="20"/>
          <w:szCs w:val="20"/>
          <w:color w:val="auto"/>
        </w:rPr>
      </w:pPr>
    </w:p>
    <w:p>
      <w:pPr>
        <w:spacing w:after="0"/>
        <w:rPr>
          <w:sz w:val="20"/>
          <w:szCs w:val="20"/>
          <w:color w:val="auto"/>
        </w:rPr>
      </w:pPr>
      <w:r>
        <w:rPr>
          <w:rFonts w:ascii="Calibri" w:cs="Calibri" w:eastAsia="Calibri" w:hAnsi="Calibri"/>
          <w:sz w:val="18"/>
          <w:szCs w:val="18"/>
          <w:color w:val="auto"/>
        </w:rPr>
        <w:t>For example, we may use forward-looking statements when addressing topics such as:</w:t>
      </w:r>
    </w:p>
    <w:p>
      <w:pPr>
        <w:spacing w:after="0" w:line="150" w:lineRule="exact"/>
        <w:rPr>
          <w:sz w:val="20"/>
          <w:szCs w:val="20"/>
          <w:color w:val="auto"/>
        </w:rPr>
      </w:pPr>
    </w:p>
    <w:p>
      <w:pPr>
        <w:jc w:val="both"/>
        <w:ind w:left="1020" w:hanging="503"/>
        <w:spacing w:after="0" w:line="230" w:lineRule="auto"/>
        <w:tabs>
          <w:tab w:leader="none" w:pos="1020" w:val="left"/>
        </w:tabs>
        <w:numPr>
          <w:ilvl w:val="0"/>
          <w:numId w:val="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COVID-19 pandemic, its duraton, its impact on our business, results of operatons, fnancial conditon, liquidity, use of our borrowings, business practces, operatons, suppliers, third-party service providers, customers, employees, industry, ability to meet future performance obligatons and ability to efciently implement advisable safety precautons;</w:t>
      </w:r>
    </w:p>
    <w:p>
      <w:pPr>
        <w:spacing w:after="0" w:line="1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raise fnancing in the future;</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future fnancial performance;</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success in retaining or recruitng, or changes required in, our ofcers, key employees or directors;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pay dividends on our Class A common stock on the terms currently contemplated or at all; and</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factors relatng to our business, operatons and fnancial performance, including, but not limited to:</w:t>
      </w:r>
    </w:p>
    <w:p>
      <w:pPr>
        <w:spacing w:after="0" w:line="140"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the impact of the pandemic on our business and the industries in which we operate;</w:t>
      </w:r>
    </w:p>
    <w:p>
      <w:pPr>
        <w:spacing w:after="0" w:line="15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our ability to compete in the tcketng industry;</w:t>
      </w:r>
    </w:p>
    <w:p>
      <w:pPr>
        <w:spacing w:after="0" w:line="14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our ability to maintain relatonships with buyers, sellers and distributon partners;</w:t>
      </w:r>
    </w:p>
    <w:p>
      <w:pPr>
        <w:spacing w:after="0" w:line="15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our ability to contnue to improve our platorm and maintain and enhance our brand;</w:t>
      </w:r>
    </w:p>
    <w:p>
      <w:pPr>
        <w:spacing w:after="0" w:line="156" w:lineRule="exact"/>
        <w:rPr>
          <w:rFonts w:ascii="Times New Roman" w:cs="Times New Roman" w:eastAsia="Times New Roman" w:hAnsi="Times New Roman"/>
          <w:sz w:val="18"/>
          <w:szCs w:val="18"/>
          <w:color w:val="auto"/>
        </w:rPr>
      </w:pPr>
    </w:p>
    <w:p>
      <w:pPr>
        <w:ind w:left="1540" w:hanging="509"/>
        <w:spacing w:after="0" w:line="23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8"/>
          <w:szCs w:val="18"/>
          <w:color w:val="auto"/>
        </w:rPr>
        <w:t>the impact of extraordinary events or adverse economic conditons on discretonary consumer and corporate spending or on the supply and demand of live events;</w:t>
      </w:r>
    </w:p>
    <w:p>
      <w:pPr>
        <w:spacing w:after="0" w:line="150"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our ability to comply with domestc regulatory regimes;</w:t>
      </w:r>
    </w:p>
    <w:p>
      <w:pPr>
        <w:spacing w:after="0" w:line="15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our ability to successfully defend against litgaton;</w:t>
      </w:r>
    </w:p>
    <w:p>
      <w:pPr>
        <w:spacing w:after="0" w:line="15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our ability to maintain the integrity of our informaton systems and infrastructure, and to mitgate possible cyber security risks;</w:t>
      </w:r>
    </w:p>
    <w:p>
      <w:pPr>
        <w:spacing w:after="0" w:line="15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our ability to generate sufcient cash fows or raise additonal capital necessary to fund our operatons; and</w:t>
      </w:r>
    </w:p>
    <w:p>
      <w:pPr>
        <w:spacing w:after="0" w:line="166" w:lineRule="exact"/>
        <w:rPr>
          <w:sz w:val="20"/>
          <w:szCs w:val="20"/>
          <w:color w:val="auto"/>
        </w:rPr>
      </w:pPr>
    </w:p>
    <w:p>
      <w:pPr>
        <w:ind w:left="5580" w:right="5220" w:hanging="4554"/>
        <w:spacing w:after="0" w:line="303" w:lineRule="auto"/>
        <w:tabs>
          <w:tab w:leader="none" w:pos="1536" w:val="left"/>
        </w:tabs>
        <w:numPr>
          <w:ilvl w:val="0"/>
          <w:numId w:val="3"/>
        </w:numPr>
        <w:rPr>
          <w:rFonts w:ascii="Times New Roman" w:cs="Times New Roman" w:eastAsia="Times New Roman" w:hAnsi="Times New Roman"/>
          <w:sz w:val="17"/>
          <w:szCs w:val="17"/>
          <w:color w:val="auto"/>
        </w:rPr>
      </w:pPr>
      <w:r>
        <w:rPr>
          <w:rFonts w:ascii="Calibri" w:cs="Calibri" w:eastAsia="Calibri" w:hAnsi="Calibri"/>
          <w:sz w:val="17"/>
          <w:szCs w:val="17"/>
          <w:color w:val="auto"/>
        </w:rPr>
        <w:t>other factors detailed under the secton enttled “Risk Factors.”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 w:name="page4"/>
    <w:bookmarkEnd w:id="3"/>
    <w:p>
      <w:pPr>
        <w:jc w:val="both"/>
        <w:spacing w:after="0"/>
        <w:rPr>
          <w:sz w:val="20"/>
          <w:szCs w:val="20"/>
          <w:color w:val="auto"/>
        </w:rPr>
      </w:pPr>
      <w:r>
        <w:rPr>
          <w:rFonts w:ascii="Calibri" w:cs="Calibri" w:eastAsia="Calibri" w:hAnsi="Calibri"/>
          <w:sz w:val="17"/>
          <w:szCs w:val="17"/>
          <w:color w:val="auto"/>
        </w:rPr>
        <w:t>Actual results may difer materially and adversely from those expressed in any forward-looking statements. You are cautoned not to place undue reliance on these forward-looking statements, which speak only as of the date of this document, or in the case of statements incorporated by reference, on the date of the document incorporated by reference. While we believe such informaton forms a reasonable basis for such statements, such informaton may be limited or incomplete, and our statements should not be read to indicate that we have conducted an exhaustve inquiry into, or review of, all potentally available relevant informaton. These statements are inherently uncertain and investors are cautoned not to unduly rely upon these statements.</w:t>
      </w:r>
    </w:p>
    <w:p>
      <w:pPr>
        <w:spacing w:after="0" w:line="137"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Factors that might cause or contribute to such diferences include, but are not limited to, those discussed in this Quarterly Report on Form 10-Q, under the sectons enttled “Management’s Discussion and Analysis of Financial Conditon and Results of Operatons,” in our Annual Report on Form 10-K for the fscal year ended December 31, 2021, which was fled with the Securites and Exchange Commission (the “SEC”) on March 15, 2022, under the secton enttled “Risk Factors,” in our press releases, and in our other flings with the SEC.</w:t>
      </w:r>
    </w:p>
    <w:p>
      <w:pPr>
        <w:spacing w:after="0" w:line="137"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Except as required by applicable law, we do not plan to publicly update or revise any forward-looking statements contained in this Quarterly Report on Form 10-Q, whether as a result of new informaton, future events, or risks. New informaton, future events, or risks may cause the forward-looking events we discuss in this report not to occur.</w:t>
      </w:r>
    </w:p>
    <w:p>
      <w:pPr>
        <w:spacing w:after="0" w:line="9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 w:name="page5"/>
    <w:bookmarkEnd w:id="4"/>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CONDENSED CONSOLIDATED BALANCE SHEETS</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per share data) (Unaudited)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3"/>
          </w:tcPr>
          <w:p>
            <w:pPr>
              <w:ind w:left="80"/>
              <w:spacing w:after="0"/>
              <w:rPr>
                <w:sz w:val="20"/>
                <w:szCs w:val="20"/>
                <w:color w:val="auto"/>
              </w:rPr>
            </w:pPr>
            <w:r>
              <w:rPr>
                <w:rFonts w:ascii="Calibri" w:cs="Calibri" w:eastAsia="Calibri" w:hAnsi="Calibri"/>
                <w:sz w:val="18"/>
                <w:szCs w:val="18"/>
                <w:b w:val="1"/>
                <w:bCs w:val="1"/>
                <w:color w:val="auto"/>
              </w:rPr>
              <w:t>September 30,</w:t>
            </w:r>
          </w:p>
        </w:tc>
        <w:tc>
          <w:tcPr>
            <w:tcW w:w="200" w:type="dxa"/>
            <w:vAlign w:val="bottom"/>
          </w:tcPr>
          <w:p>
            <w:pPr>
              <w:spacing w:after="0"/>
              <w:rPr>
                <w:sz w:val="19"/>
                <w:szCs w:val="19"/>
                <w:color w:val="auto"/>
              </w:rPr>
            </w:pPr>
          </w:p>
        </w:tc>
        <w:tc>
          <w:tcPr>
            <w:tcW w:w="1520" w:type="dxa"/>
            <w:vAlign w:val="bottom"/>
            <w:gridSpan w:val="2"/>
          </w:tcPr>
          <w:p>
            <w:pPr>
              <w:jc w:val="right"/>
              <w:ind w:right="330"/>
              <w:spacing w:after="0"/>
              <w:rPr>
                <w:sz w:val="20"/>
                <w:szCs w:val="20"/>
                <w:color w:val="auto"/>
              </w:rPr>
            </w:pPr>
            <w:r>
              <w:rPr>
                <w:rFonts w:ascii="Calibri" w:cs="Calibri" w:eastAsia="Calibri" w:hAnsi="Calibri"/>
                <w:sz w:val="18"/>
                <w:szCs w:val="18"/>
                <w:b w:val="1"/>
                <w:bCs w:val="1"/>
                <w:color w:val="auto"/>
              </w:rPr>
              <w:t>December 31,</w:t>
            </w:r>
          </w:p>
        </w:tc>
      </w:tr>
      <w:tr>
        <w:trPr>
          <w:trHeight w:val="216"/>
        </w:trPr>
        <w:tc>
          <w:tcPr>
            <w:tcW w:w="7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530"/>
              <w:spacing w:after="0" w:line="216" w:lineRule="exact"/>
              <w:rPr>
                <w:sz w:val="20"/>
                <w:szCs w:val="20"/>
                <w:color w:val="auto"/>
              </w:rPr>
            </w:pPr>
            <w:r>
              <w:rPr>
                <w:rFonts w:ascii="Calibri" w:cs="Calibri" w:eastAsia="Calibri" w:hAnsi="Calibri"/>
                <w:sz w:val="18"/>
                <w:szCs w:val="18"/>
                <w:b w:val="1"/>
                <w:bCs w:val="1"/>
                <w:color w:val="auto"/>
              </w:rPr>
              <w:t>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550"/>
              <w:spacing w:after="0" w:line="216" w:lineRule="exact"/>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8"/>
                <w:szCs w:val="18"/>
                <w:color w:val="auto"/>
              </w:rPr>
            </w:pPr>
          </w:p>
        </w:tc>
      </w:tr>
      <w:tr>
        <w:trPr>
          <w:trHeight w:val="23"/>
        </w:trPr>
        <w:tc>
          <w:tcPr>
            <w:tcW w:w="7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60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assets: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60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Cash and cash equivalents</w:t>
            </w:r>
          </w:p>
        </w:tc>
        <w:tc>
          <w:tcPr>
            <w:tcW w:w="200" w:type="dxa"/>
            <w:vAlign w:val="bottom"/>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w w:val="87"/>
              </w:rPr>
              <w:t>$</w:t>
            </w: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273,889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w w:val="87"/>
              </w:rPr>
              <w:t>$</w:t>
            </w: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489,530</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120"/>
              <w:spacing w:after="0" w:line="215" w:lineRule="exact"/>
              <w:rPr>
                <w:sz w:val="20"/>
                <w:szCs w:val="20"/>
                <w:color w:val="auto"/>
              </w:rPr>
            </w:pPr>
            <w:r>
              <w:rPr>
                <w:rFonts w:ascii="Calibri" w:cs="Calibri" w:eastAsia="Calibri" w:hAnsi="Calibri"/>
                <w:sz w:val="18"/>
                <w:szCs w:val="18"/>
                <w:color w:val="auto"/>
              </w:rPr>
              <w:t>Restricted cash</w:t>
            </w: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511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280</w:t>
            </w:r>
          </w:p>
        </w:tc>
        <w:tc>
          <w:tcPr>
            <w:tcW w:w="100" w:type="dxa"/>
            <w:vAlign w:val="bottom"/>
          </w:tcPr>
          <w:p>
            <w:pPr>
              <w:spacing w:after="0"/>
              <w:rPr>
                <w:sz w:val="18"/>
                <w:szCs w:val="18"/>
                <w:color w:val="auto"/>
              </w:rPr>
            </w:pPr>
          </w:p>
        </w:tc>
      </w:tr>
      <w:tr>
        <w:trPr>
          <w:trHeight w:val="217"/>
        </w:trPr>
        <w:tc>
          <w:tcPr>
            <w:tcW w:w="760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Accounts receivable – net</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40,494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36,124</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120"/>
              <w:spacing w:after="0" w:line="215" w:lineRule="exact"/>
              <w:rPr>
                <w:sz w:val="20"/>
                <w:szCs w:val="20"/>
                <w:color w:val="auto"/>
              </w:rPr>
            </w:pPr>
            <w:r>
              <w:rPr>
                <w:rFonts w:ascii="Calibri" w:cs="Calibri" w:eastAsia="Calibri" w:hAnsi="Calibri"/>
                <w:sz w:val="18"/>
                <w:szCs w:val="18"/>
                <w:color w:val="auto"/>
              </w:rPr>
              <w:t>Inventory – net</w:t>
            </w: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14,123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11,773</w:t>
            </w:r>
          </w:p>
        </w:tc>
        <w:tc>
          <w:tcPr>
            <w:tcW w:w="100" w:type="dxa"/>
            <w:vAlign w:val="bottom"/>
          </w:tcPr>
          <w:p>
            <w:pPr>
              <w:spacing w:after="0"/>
              <w:rPr>
                <w:sz w:val="18"/>
                <w:szCs w:val="18"/>
                <w:color w:val="auto"/>
              </w:rPr>
            </w:pPr>
          </w:p>
        </w:tc>
      </w:tr>
      <w:tr>
        <w:trPr>
          <w:trHeight w:val="216"/>
        </w:trPr>
        <w:tc>
          <w:tcPr>
            <w:tcW w:w="7600" w:type="dxa"/>
            <w:vAlign w:val="bottom"/>
            <w:tcBorders>
              <w:bottom w:val="single" w:sz="8" w:color="CFF0FC"/>
            </w:tcBorders>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35,028</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72,504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0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Total current assets</w:t>
            </w:r>
          </w:p>
        </w:tc>
        <w:tc>
          <w:tcPr>
            <w:tcW w:w="200" w:type="dxa"/>
            <w:vAlign w:val="bottom"/>
          </w:tcPr>
          <w:p>
            <w:pPr>
              <w:spacing w:after="0"/>
              <w:rPr>
                <w:sz w:val="18"/>
                <w:szCs w:val="18"/>
                <w:color w:val="auto"/>
              </w:rPr>
            </w:pPr>
          </w:p>
        </w:tc>
        <w:tc>
          <w:tcPr>
            <w:tcW w:w="142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364,045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610,211</w:t>
            </w:r>
          </w:p>
        </w:tc>
        <w:tc>
          <w:tcPr>
            <w:tcW w:w="100" w:type="dxa"/>
            <w:vAlign w:val="bottom"/>
          </w:tcPr>
          <w:p>
            <w:pPr>
              <w:spacing w:after="0"/>
              <w:rPr>
                <w:sz w:val="18"/>
                <w:szCs w:val="18"/>
                <w:color w:val="auto"/>
              </w:rPr>
            </w:pPr>
          </w:p>
        </w:tc>
      </w:tr>
      <w:tr>
        <w:trPr>
          <w:trHeight w:val="217"/>
        </w:trPr>
        <w:tc>
          <w:tcPr>
            <w:tcW w:w="76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Property and equipment – net</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8,843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1,082</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Right-of-use assets – net</w:t>
            </w: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8,249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76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Intangible assets – net</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81,600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78,511</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Goodwill</w:t>
            </w: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715,258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718,204</w:t>
            </w:r>
          </w:p>
        </w:tc>
        <w:tc>
          <w:tcPr>
            <w:tcW w:w="100" w:type="dxa"/>
            <w:vAlign w:val="bottom"/>
          </w:tcPr>
          <w:p>
            <w:pPr>
              <w:spacing w:after="0"/>
              <w:rPr>
                <w:sz w:val="18"/>
                <w:szCs w:val="18"/>
                <w:color w:val="auto"/>
              </w:rPr>
            </w:pPr>
          </w:p>
        </w:tc>
      </w:tr>
      <w:tr>
        <w:trPr>
          <w:trHeight w:val="216"/>
        </w:trPr>
        <w:tc>
          <w:tcPr>
            <w:tcW w:w="760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Other non-current assets</w:t>
            </w:r>
          </w:p>
        </w:tc>
        <w:tc>
          <w:tcPr>
            <w:tcW w:w="2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2,526</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ind w:left="20"/>
              <w:spacing w:after="0" w:line="210" w:lineRule="exact"/>
              <w:rPr>
                <w:sz w:val="20"/>
                <w:szCs w:val="20"/>
                <w:color w:val="auto"/>
              </w:rPr>
            </w:pPr>
            <w:r>
              <w:rPr>
                <w:rFonts w:ascii="Calibri" w:cs="Calibri" w:eastAsia="Calibri" w:hAnsi="Calibri"/>
                <w:sz w:val="18"/>
                <w:szCs w:val="18"/>
                <w:b w:val="1"/>
                <w:bCs w:val="1"/>
                <w:color w:val="auto"/>
              </w:rPr>
              <w:t>Total assets</w:t>
            </w:r>
          </w:p>
        </w:tc>
        <w:tc>
          <w:tcPr>
            <w:tcW w:w="200" w:type="dxa"/>
            <w:vAlign w:val="bottom"/>
            <w:tcBorders>
              <w:bottom w:val="single" w:sz="8" w:color="auto"/>
            </w:tcBorders>
          </w:tcPr>
          <w:p>
            <w:pPr>
              <w:jc w:val="right"/>
              <w:ind w:right="10"/>
              <w:spacing w:after="0" w:line="210" w:lineRule="exact"/>
              <w:rPr>
                <w:sz w:val="20"/>
                <w:szCs w:val="20"/>
                <w:color w:val="auto"/>
              </w:rPr>
            </w:pPr>
            <w:r>
              <w:rPr>
                <w:rFonts w:ascii="Calibri" w:cs="Calibri" w:eastAsia="Calibri" w:hAnsi="Calibri"/>
                <w:sz w:val="18"/>
                <w:szCs w:val="18"/>
                <w:b w:val="1"/>
                <w:bCs w:val="1"/>
                <w:color w:val="auto"/>
                <w:w w:val="87"/>
              </w:rPr>
              <w:t>$</w:t>
            </w:r>
          </w:p>
        </w:tc>
        <w:tc>
          <w:tcPr>
            <w:tcW w:w="14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1,180,521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line="210" w:lineRule="exact"/>
              <w:rPr>
                <w:sz w:val="20"/>
                <w:szCs w:val="20"/>
                <w:color w:val="auto"/>
              </w:rPr>
            </w:pPr>
            <w:r>
              <w:rPr>
                <w:rFonts w:ascii="Calibri" w:cs="Calibri" w:eastAsia="Calibri" w:hAnsi="Calibri"/>
                <w:sz w:val="18"/>
                <w:szCs w:val="18"/>
                <w:b w:val="1"/>
                <w:bCs w:val="1"/>
                <w:color w:val="auto"/>
                <w:w w:val="87"/>
              </w:rPr>
              <w:t>$</w:t>
            </w:r>
          </w:p>
        </w:tc>
        <w:tc>
          <w:tcPr>
            <w:tcW w:w="14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1,408,795</w:t>
            </w:r>
          </w:p>
        </w:tc>
        <w:tc>
          <w:tcPr>
            <w:tcW w:w="10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Calibri" w:cs="Calibri" w:eastAsia="Calibri" w:hAnsi="Calibri"/>
                <w:sz w:val="18"/>
                <w:szCs w:val="18"/>
                <w:b w:val="1"/>
                <w:bCs w:val="1"/>
                <w:color w:val="auto"/>
              </w:rPr>
              <w:t>Liabilites and shareholders’ defcit</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liabilites: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60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Accounts payable</w:t>
            </w:r>
          </w:p>
        </w:tc>
        <w:tc>
          <w:tcPr>
            <w:tcW w:w="200" w:type="dxa"/>
            <w:vAlign w:val="bottom"/>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w w:val="87"/>
              </w:rPr>
              <w:t>$</w:t>
            </w: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165,355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w w:val="87"/>
              </w:rPr>
              <w:t>$</w:t>
            </w: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191,201</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120"/>
              <w:spacing w:after="0" w:line="215" w:lineRule="exact"/>
              <w:rPr>
                <w:sz w:val="20"/>
                <w:szCs w:val="20"/>
                <w:color w:val="auto"/>
              </w:rPr>
            </w:pPr>
            <w:r>
              <w:rPr>
                <w:rFonts w:ascii="Calibri" w:cs="Calibri" w:eastAsia="Calibri" w:hAnsi="Calibri"/>
                <w:sz w:val="18"/>
                <w:szCs w:val="18"/>
                <w:color w:val="auto"/>
              </w:rPr>
              <w:t>Accrued expenses and other current liabilites</w:t>
            </w: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203,557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281,156</w:t>
            </w:r>
          </w:p>
        </w:tc>
        <w:tc>
          <w:tcPr>
            <w:tcW w:w="100" w:type="dxa"/>
            <w:vAlign w:val="bottom"/>
          </w:tcPr>
          <w:p>
            <w:pPr>
              <w:spacing w:after="0"/>
              <w:rPr>
                <w:sz w:val="18"/>
                <w:szCs w:val="18"/>
                <w:color w:val="auto"/>
              </w:rPr>
            </w:pPr>
          </w:p>
        </w:tc>
      </w:tr>
      <w:tr>
        <w:trPr>
          <w:trHeight w:val="217"/>
        </w:trPr>
        <w:tc>
          <w:tcPr>
            <w:tcW w:w="760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Deferred revenue</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33,631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25,139</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120"/>
              <w:spacing w:after="0" w:line="215" w:lineRule="exact"/>
              <w:rPr>
                <w:sz w:val="20"/>
                <w:szCs w:val="20"/>
                <w:color w:val="auto"/>
              </w:rPr>
            </w:pPr>
            <w:r>
              <w:rPr>
                <w:rFonts w:ascii="Calibri" w:cs="Calibri" w:eastAsia="Calibri" w:hAnsi="Calibri"/>
                <w:sz w:val="18"/>
                <w:szCs w:val="18"/>
                <w:color w:val="auto"/>
              </w:rPr>
              <w:t>Current maturites of long-term debt</w:t>
            </w: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2,750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1"/>
        </w:trPr>
        <w:tc>
          <w:tcPr>
            <w:tcW w:w="760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Total current liabilites</w:t>
            </w:r>
          </w:p>
        </w:tc>
        <w:tc>
          <w:tcPr>
            <w:tcW w:w="20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405,293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497,496</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Long-term debt – net</w:t>
            </w: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265,405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460,132</w:t>
            </w:r>
          </w:p>
        </w:tc>
        <w:tc>
          <w:tcPr>
            <w:tcW w:w="100" w:type="dxa"/>
            <w:vAlign w:val="bottom"/>
          </w:tcPr>
          <w:p>
            <w:pPr>
              <w:spacing w:after="0"/>
              <w:rPr>
                <w:sz w:val="18"/>
                <w:szCs w:val="18"/>
                <w:color w:val="auto"/>
              </w:rPr>
            </w:pPr>
          </w:p>
        </w:tc>
      </w:tr>
      <w:tr>
        <w:trPr>
          <w:trHeight w:val="217"/>
        </w:trPr>
        <w:tc>
          <w:tcPr>
            <w:tcW w:w="76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Long-term lease liabilites</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13,741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Other liabilites</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16,133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25,834</w:t>
            </w:r>
          </w:p>
        </w:tc>
        <w:tc>
          <w:tcPr>
            <w:tcW w:w="100" w:type="dxa"/>
            <w:vAlign w:val="bottom"/>
          </w:tcPr>
          <w:p>
            <w:pPr>
              <w:spacing w:after="0"/>
              <w:rPr>
                <w:sz w:val="18"/>
                <w:szCs w:val="18"/>
                <w:color w:val="auto"/>
              </w:rPr>
            </w:pPr>
          </w:p>
        </w:tc>
      </w:tr>
      <w:tr>
        <w:trPr>
          <w:trHeight w:val="211"/>
        </w:trPr>
        <w:tc>
          <w:tcPr>
            <w:tcW w:w="760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Total long-term liabilites</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295,279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485,966</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Commitments and contngencies (Note 12)</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6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Redeemable noncontrolling interests</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905,412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1,286,016</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Shareholders' defcit</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67"/>
        </w:trPr>
        <w:tc>
          <w:tcPr>
            <w:tcW w:w="7600" w:type="dxa"/>
            <w:vAlign w:val="bottom"/>
          </w:tcPr>
          <w:p>
            <w:pPr>
              <w:ind w:left="120"/>
              <w:spacing w:after="0" w:line="166" w:lineRule="exact"/>
              <w:rPr>
                <w:sz w:val="20"/>
                <w:szCs w:val="20"/>
                <w:color w:val="auto"/>
              </w:rPr>
            </w:pPr>
            <w:r>
              <w:rPr>
                <w:rFonts w:ascii="Calibri" w:cs="Calibri" w:eastAsia="Calibri" w:hAnsi="Calibri"/>
                <w:sz w:val="18"/>
                <w:szCs w:val="18"/>
                <w:color w:val="auto"/>
              </w:rPr>
              <w:t>Class A common stock, $0.0001 par value; 500,000,000 shares authorized at September 30, 2022 and</w:t>
            </w: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600" w:type="dxa"/>
            <w:vAlign w:val="bottom"/>
          </w:tcPr>
          <w:p>
            <w:pPr>
              <w:ind w:left="120"/>
              <w:spacing w:after="0" w:line="189" w:lineRule="exact"/>
              <w:rPr>
                <w:sz w:val="20"/>
                <w:szCs w:val="20"/>
                <w:color w:val="auto"/>
              </w:rPr>
            </w:pPr>
            <w:r>
              <w:rPr>
                <w:rFonts w:ascii="Calibri" w:cs="Calibri" w:eastAsia="Calibri" w:hAnsi="Calibri"/>
                <w:sz w:val="18"/>
                <w:szCs w:val="18"/>
                <w:color w:val="auto"/>
              </w:rPr>
              <w:t>December 31, 2021; 82,041,142 and 79,091,871 issued and outstanding at September 30, 2022 and</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600" w:type="dxa"/>
            <w:vAlign w:val="bottom"/>
          </w:tcPr>
          <w:p>
            <w:pPr>
              <w:ind w:left="120"/>
              <w:spacing w:after="0" w:line="215" w:lineRule="exact"/>
              <w:rPr>
                <w:sz w:val="20"/>
                <w:szCs w:val="20"/>
                <w:color w:val="auto"/>
              </w:rPr>
            </w:pPr>
            <w:r>
              <w:rPr>
                <w:rFonts w:ascii="Calibri" w:cs="Calibri" w:eastAsia="Calibri" w:hAnsi="Calibri"/>
                <w:sz w:val="18"/>
                <w:szCs w:val="18"/>
                <w:color w:val="auto"/>
              </w:rPr>
              <w:t>December 31, 2021, respectvely</w:t>
            </w: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100" w:type="dxa"/>
            <w:vAlign w:val="bottom"/>
          </w:tcPr>
          <w:p>
            <w:pPr>
              <w:spacing w:after="0"/>
              <w:rPr>
                <w:sz w:val="18"/>
                <w:szCs w:val="18"/>
                <w:color w:val="auto"/>
              </w:rPr>
            </w:pPr>
          </w:p>
        </w:tc>
      </w:tr>
      <w:tr>
        <w:trPr>
          <w:trHeight w:val="23"/>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7"/>
        </w:trPr>
        <w:tc>
          <w:tcPr>
            <w:tcW w:w="7600" w:type="dxa"/>
            <w:vAlign w:val="bottom"/>
            <w:shd w:val="clear" w:color="auto" w:fill="CFF0FC"/>
          </w:tcPr>
          <w:p>
            <w:pPr>
              <w:ind w:left="120"/>
              <w:spacing w:after="0" w:line="166" w:lineRule="exact"/>
              <w:rPr>
                <w:sz w:val="20"/>
                <w:szCs w:val="20"/>
                <w:color w:val="auto"/>
              </w:rPr>
            </w:pPr>
            <w:r>
              <w:rPr>
                <w:rFonts w:ascii="Calibri" w:cs="Calibri" w:eastAsia="Calibri" w:hAnsi="Calibri"/>
                <w:sz w:val="18"/>
                <w:szCs w:val="18"/>
                <w:color w:val="auto"/>
              </w:rPr>
              <w:t>Class B common stock, $0.0001 par value; 250,000,000 shares authorized, 118,200,000 issued and</w:t>
            </w: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18"/>
        </w:trPr>
        <w:tc>
          <w:tcPr>
            <w:tcW w:w="76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outstanding at September 30, 2022 and December 31, 2021</w:t>
            </w:r>
          </w:p>
        </w:tc>
        <w:tc>
          <w:tcPr>
            <w:tcW w:w="2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600" w:type="dxa"/>
            <w:vAlign w:val="bottom"/>
          </w:tcPr>
          <w:p>
            <w:pPr>
              <w:ind w:left="120"/>
              <w:spacing w:after="0" w:line="215" w:lineRule="exact"/>
              <w:rPr>
                <w:sz w:val="20"/>
                <w:szCs w:val="20"/>
                <w:color w:val="auto"/>
              </w:rPr>
            </w:pPr>
            <w:r>
              <w:rPr>
                <w:rFonts w:ascii="Calibri" w:cs="Calibri" w:eastAsia="Calibri" w:hAnsi="Calibri"/>
                <w:sz w:val="18"/>
                <w:szCs w:val="18"/>
                <w:color w:val="auto"/>
              </w:rPr>
              <w:t>Additonal paid-in capital</w:t>
            </w: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601,784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182,091</w:t>
            </w:r>
          </w:p>
        </w:tc>
        <w:tc>
          <w:tcPr>
            <w:tcW w:w="100" w:type="dxa"/>
            <w:vAlign w:val="bottom"/>
          </w:tcPr>
          <w:p>
            <w:pPr>
              <w:spacing w:after="0"/>
              <w:rPr>
                <w:sz w:val="18"/>
                <w:szCs w:val="18"/>
                <w:color w:val="auto"/>
              </w:rPr>
            </w:pPr>
          </w:p>
        </w:tc>
      </w:tr>
      <w:tr>
        <w:trPr>
          <w:trHeight w:val="217"/>
        </w:trPr>
        <w:tc>
          <w:tcPr>
            <w:tcW w:w="760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Treasury stock, at cost, 397,551 shares at September 30, 2022; no shares at December 31, 2021</w:t>
            </w:r>
          </w:p>
        </w:tc>
        <w:tc>
          <w:tcPr>
            <w:tcW w:w="2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(3,050 )</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7600" w:type="dxa"/>
            <w:vAlign w:val="bottom"/>
          </w:tcPr>
          <w:p>
            <w:pPr>
              <w:ind w:left="120"/>
              <w:spacing w:after="0" w:line="215" w:lineRule="exact"/>
              <w:rPr>
                <w:sz w:val="20"/>
                <w:szCs w:val="20"/>
                <w:color w:val="auto"/>
              </w:rPr>
            </w:pPr>
            <w:r>
              <w:rPr>
                <w:rFonts w:ascii="Calibri" w:cs="Calibri" w:eastAsia="Calibri" w:hAnsi="Calibri"/>
                <w:sz w:val="18"/>
                <w:szCs w:val="18"/>
                <w:color w:val="auto"/>
              </w:rPr>
              <w:t>Accumulated defcit</w:t>
            </w:r>
          </w:p>
        </w:tc>
        <w:tc>
          <w:tcPr>
            <w:tcW w:w="200" w:type="dxa"/>
            <w:vAlign w:val="bottom"/>
          </w:tcPr>
          <w:p>
            <w:pPr>
              <w:spacing w:after="0"/>
              <w:rPr>
                <w:sz w:val="18"/>
                <w:szCs w:val="18"/>
                <w:color w:val="auto"/>
              </w:rPr>
            </w:pPr>
          </w:p>
        </w:tc>
        <w:tc>
          <w:tcPr>
            <w:tcW w:w="15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(1,024,217 )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(1,042,794 )</w:t>
            </w:r>
          </w:p>
        </w:tc>
      </w:tr>
      <w:tr>
        <w:trPr>
          <w:trHeight w:val="210"/>
        </w:trPr>
        <w:tc>
          <w:tcPr>
            <w:tcW w:w="7600" w:type="dxa"/>
            <w:vAlign w:val="bottom"/>
            <w:tcBorders>
              <w:top w:val="single" w:sz="8" w:color="CFF0FC"/>
              <w:bottom w:val="single" w:sz="8" w:color="CFF0FC"/>
            </w:tcBorders>
            <w:shd w:val="clear" w:color="auto" w:fill="CFF0FC"/>
          </w:tcPr>
          <w:p>
            <w:pPr>
              <w:ind w:left="120"/>
              <w:spacing w:after="0" w:line="200" w:lineRule="exact"/>
              <w:rPr>
                <w:sz w:val="20"/>
                <w:szCs w:val="20"/>
                <w:color w:val="auto"/>
              </w:rPr>
            </w:pPr>
            <w:r>
              <w:rPr>
                <w:rFonts w:ascii="Calibri" w:cs="Calibri" w:eastAsia="Calibri" w:hAnsi="Calibri"/>
                <w:sz w:val="18"/>
                <w:szCs w:val="18"/>
                <w:color w:val="auto"/>
              </w:rPr>
              <w:t>Total Shareholders' defcit</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(425,463</w:t>
            </w:r>
          </w:p>
        </w:tc>
        <w:tc>
          <w:tcPr>
            <w:tcW w:w="120" w:type="dxa"/>
            <w:vAlign w:val="bottom"/>
            <w:tcBorders>
              <w:top w:val="single" w:sz="8" w:color="CFF0FC"/>
              <w:bottom w:val="single" w:sz="8" w:color="CFF0FC"/>
            </w:tcBorders>
            <w:shd w:val="clear" w:color="auto" w:fill="CFF0FC"/>
          </w:tcPr>
          <w:p>
            <w:pPr>
              <w:jc w:val="right"/>
              <w:spacing w:after="0" w:line="196" w:lineRule="exact"/>
              <w:rPr>
                <w:sz w:val="20"/>
                <w:szCs w:val="20"/>
                <w:color w:val="auto"/>
              </w:rPr>
            </w:pPr>
            <w:r>
              <w:rPr>
                <w:rFonts w:ascii="Calibri" w:cs="Calibri" w:eastAsia="Calibri" w:hAnsi="Calibri"/>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(860,683</w:t>
            </w:r>
          </w:p>
        </w:tc>
        <w:tc>
          <w:tcPr>
            <w:tcW w:w="100" w:type="dxa"/>
            <w:vAlign w:val="bottom"/>
            <w:tcBorders>
              <w:top w:val="single" w:sz="8" w:color="CFF0FC"/>
              <w:bottom w:val="single" w:sz="8" w:color="CFF0FC"/>
            </w:tcBorders>
            <w:shd w:val="clear" w:color="auto" w:fill="CFF0FC"/>
          </w:tcPr>
          <w:p>
            <w:pPr>
              <w:jc w:val="right"/>
              <w:spacing w:after="0" w:line="196" w:lineRule="exact"/>
              <w:rPr>
                <w:sz w:val="20"/>
                <w:szCs w:val="20"/>
                <w:color w:val="auto"/>
              </w:rPr>
            </w:pPr>
            <w:r>
              <w:rPr>
                <w:rFonts w:ascii="Calibri" w:cs="Calibri" w:eastAsia="Calibri" w:hAnsi="Calibri"/>
                <w:sz w:val="18"/>
                <w:szCs w:val="18"/>
                <w:color w:val="auto"/>
                <w:w w:val="72"/>
              </w:rPr>
              <w:t>)</w:t>
            </w:r>
          </w:p>
        </w:tc>
      </w:tr>
      <w:tr>
        <w:trPr>
          <w:trHeight w:val="210"/>
        </w:trPr>
        <w:tc>
          <w:tcPr>
            <w:tcW w:w="7600" w:type="dxa"/>
            <w:vAlign w:val="bottom"/>
          </w:tcPr>
          <w:p>
            <w:pPr>
              <w:ind w:left="20"/>
              <w:spacing w:after="0" w:line="210" w:lineRule="exact"/>
              <w:rPr>
                <w:sz w:val="20"/>
                <w:szCs w:val="20"/>
                <w:color w:val="auto"/>
              </w:rPr>
            </w:pPr>
            <w:r>
              <w:rPr>
                <w:rFonts w:ascii="Calibri" w:cs="Calibri" w:eastAsia="Calibri" w:hAnsi="Calibri"/>
                <w:sz w:val="18"/>
                <w:szCs w:val="18"/>
                <w:b w:val="1"/>
                <w:bCs w:val="1"/>
                <w:color w:val="auto"/>
              </w:rPr>
              <w:t>Total liabilites, Redeemable noncontrolling interests, and Shareholders' defcit</w:t>
            </w:r>
          </w:p>
        </w:tc>
        <w:tc>
          <w:tcPr>
            <w:tcW w:w="200" w:type="dxa"/>
            <w:vAlign w:val="bottom"/>
            <w:tcBorders>
              <w:bottom w:val="single" w:sz="8" w:color="auto"/>
            </w:tcBorders>
          </w:tcPr>
          <w:p>
            <w:pPr>
              <w:jc w:val="right"/>
              <w:ind w:right="10"/>
              <w:spacing w:after="0" w:line="210" w:lineRule="exact"/>
              <w:rPr>
                <w:sz w:val="20"/>
                <w:szCs w:val="20"/>
                <w:color w:val="auto"/>
              </w:rPr>
            </w:pPr>
            <w:r>
              <w:rPr>
                <w:rFonts w:ascii="Calibri" w:cs="Calibri" w:eastAsia="Calibri" w:hAnsi="Calibri"/>
                <w:sz w:val="18"/>
                <w:szCs w:val="18"/>
                <w:b w:val="1"/>
                <w:bCs w:val="1"/>
                <w:color w:val="auto"/>
                <w:w w:val="87"/>
              </w:rPr>
              <w:t>$</w:t>
            </w:r>
          </w:p>
        </w:tc>
        <w:tc>
          <w:tcPr>
            <w:tcW w:w="14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1,180,521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line="210" w:lineRule="exact"/>
              <w:rPr>
                <w:sz w:val="20"/>
                <w:szCs w:val="20"/>
                <w:color w:val="auto"/>
              </w:rPr>
            </w:pPr>
            <w:r>
              <w:rPr>
                <w:rFonts w:ascii="Calibri" w:cs="Calibri" w:eastAsia="Calibri" w:hAnsi="Calibri"/>
                <w:sz w:val="18"/>
                <w:szCs w:val="18"/>
                <w:b w:val="1"/>
                <w:bCs w:val="1"/>
                <w:color w:val="auto"/>
                <w:w w:val="87"/>
              </w:rPr>
              <w:t>$</w:t>
            </w:r>
          </w:p>
        </w:tc>
        <w:tc>
          <w:tcPr>
            <w:tcW w:w="14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1,408,795</w:t>
            </w:r>
          </w:p>
        </w:tc>
        <w:tc>
          <w:tcPr>
            <w:tcW w:w="10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-4439920</wp:posOffset>
            </wp:positionV>
            <wp:extent cx="6858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-4439920</wp:posOffset>
            </wp:positionV>
            <wp:extent cx="6858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-3608070</wp:posOffset>
            </wp:positionV>
            <wp:extent cx="685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-329565</wp:posOffset>
            </wp:positionV>
            <wp:extent cx="7145020" cy="330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5020" cy="330200"/>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11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CONDENSED CONSOLIDATED STATEMENTS OF OPERATIONS</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for per share data) (Unaudited)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5"/>
          </w:tcPr>
          <w:p>
            <w:pPr>
              <w:jc w:val="right"/>
              <w:ind w:right="290"/>
              <w:spacing w:after="0"/>
              <w:rPr>
                <w:sz w:val="20"/>
                <w:szCs w:val="20"/>
                <w:color w:val="auto"/>
              </w:rPr>
            </w:pPr>
            <w:r>
              <w:rPr>
                <w:rFonts w:ascii="Calibri" w:cs="Calibri" w:eastAsia="Calibri" w:hAnsi="Calibri"/>
                <w:sz w:val="18"/>
                <w:szCs w:val="18"/>
                <w:b w:val="1"/>
                <w:bCs w:val="1"/>
                <w:color w:val="auto"/>
                <w:w w:val="96"/>
              </w:rPr>
              <w:t>Three Months Ended September</w:t>
            </w:r>
          </w:p>
        </w:tc>
        <w:tc>
          <w:tcPr>
            <w:tcW w:w="120" w:type="dxa"/>
            <w:vAlign w:val="bottom"/>
          </w:tcPr>
          <w:p>
            <w:pPr>
              <w:spacing w:after="0"/>
              <w:rPr>
                <w:sz w:val="19"/>
                <w:szCs w:val="19"/>
                <w:color w:val="auto"/>
              </w:rPr>
            </w:pPr>
          </w:p>
        </w:tc>
        <w:tc>
          <w:tcPr>
            <w:tcW w:w="2560" w:type="dxa"/>
            <w:vAlign w:val="bottom"/>
            <w:gridSpan w:val="5"/>
          </w:tcPr>
          <w:p>
            <w:pPr>
              <w:jc w:val="right"/>
              <w:ind w:right="170"/>
              <w:spacing w:after="0"/>
              <w:rPr>
                <w:sz w:val="20"/>
                <w:szCs w:val="20"/>
                <w:color w:val="auto"/>
              </w:rPr>
            </w:pPr>
            <w:r>
              <w:rPr>
                <w:rFonts w:ascii="Calibri" w:cs="Calibri" w:eastAsia="Calibri" w:hAnsi="Calibri"/>
                <w:sz w:val="18"/>
                <w:szCs w:val="18"/>
                <w:b w:val="1"/>
                <w:bCs w:val="1"/>
                <w:color w:val="auto"/>
                <w:w w:val="97"/>
              </w:rPr>
              <w:t>Nine Months Ended September</w:t>
            </w:r>
          </w:p>
        </w:tc>
        <w:tc>
          <w:tcPr>
            <w:tcW w:w="0" w:type="dxa"/>
            <w:vAlign w:val="bottom"/>
          </w:tcPr>
          <w:p>
            <w:pPr>
              <w:spacing w:after="0"/>
              <w:rPr>
                <w:sz w:val="1"/>
                <w:szCs w:val="1"/>
                <w:color w:val="auto"/>
              </w:rPr>
            </w:pPr>
          </w:p>
        </w:tc>
      </w:tr>
      <w:tr>
        <w:trPr>
          <w:trHeight w:val="215"/>
        </w:trPr>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b w:val="1"/>
                <w:bCs w:val="1"/>
                <w:color w:val="auto"/>
              </w:rPr>
              <w:t>30,</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b w:val="1"/>
                <w:bCs w:val="1"/>
                <w:color w:val="auto"/>
              </w:rPr>
              <w:t>30,</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71"/>
              <w:spacing w:after="0" w:line="208" w:lineRule="exact"/>
              <w:rPr>
                <w:sz w:val="20"/>
                <w:szCs w:val="20"/>
                <w:color w:val="auto"/>
              </w:rPr>
            </w:pPr>
            <w:r>
              <w:rPr>
                <w:rFonts w:ascii="Calibri" w:cs="Calibri" w:eastAsia="Calibri" w:hAnsi="Calibri"/>
                <w:sz w:val="18"/>
                <w:szCs w:val="18"/>
                <w:b w:val="1"/>
                <w:bCs w:val="1"/>
                <w:color w:val="auto"/>
              </w:rPr>
              <w:t>2022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line="208" w:lineRule="exact"/>
              <w:rPr>
                <w:sz w:val="20"/>
                <w:szCs w:val="20"/>
                <w:color w:val="auto"/>
              </w:rPr>
            </w:pPr>
            <w:r>
              <w:rPr>
                <w:rFonts w:ascii="Calibri" w:cs="Calibri" w:eastAsia="Calibri" w:hAnsi="Calibri"/>
                <w:sz w:val="18"/>
                <w:szCs w:val="18"/>
                <w:b w:val="1"/>
                <w:bCs w:val="1"/>
                <w:color w:val="auto"/>
              </w:rPr>
              <w:t>2021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1"/>
              <w:spacing w:after="0" w:line="208" w:lineRule="exact"/>
              <w:rPr>
                <w:sz w:val="20"/>
                <w:szCs w:val="20"/>
                <w:color w:val="auto"/>
              </w:rPr>
            </w:pPr>
            <w:r>
              <w:rPr>
                <w:rFonts w:ascii="Calibri" w:cs="Calibri" w:eastAsia="Calibri" w:hAnsi="Calibri"/>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line="208" w:lineRule="exact"/>
              <w:rPr>
                <w:sz w:val="20"/>
                <w:szCs w:val="20"/>
                <w:color w:val="auto"/>
              </w:rPr>
            </w:pPr>
            <w:r>
              <w:rPr>
                <w:rFonts w:ascii="Calibri" w:cs="Calibri" w:eastAsia="Calibri" w:hAnsi="Calibri"/>
                <w:sz w:val="18"/>
                <w:szCs w:val="18"/>
                <w:b w:val="1"/>
                <w:bCs w:val="1"/>
                <w:color w:val="auto"/>
              </w:rPr>
              <w:t>2021</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Revenues</w:t>
            </w:r>
          </w:p>
        </w:tc>
        <w:tc>
          <w:tcPr>
            <w:tcW w:w="1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156,818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8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139,538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435,284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line="210" w:lineRule="exact"/>
              <w:rPr>
                <w:sz w:val="20"/>
                <w:szCs w:val="20"/>
                <w:color w:val="auto"/>
              </w:rPr>
            </w:pPr>
            <w:r>
              <w:rPr>
                <w:rFonts w:ascii="Calibri" w:cs="Calibri" w:eastAsia="Calibri" w:hAnsi="Calibri"/>
                <w:sz w:val="18"/>
                <w:szCs w:val="18"/>
                <w:color w:val="auto"/>
              </w:rPr>
              <w:t>$</w:t>
            </w:r>
          </w:p>
        </w:tc>
        <w:tc>
          <w:tcPr>
            <w:tcW w:w="8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279,150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Costs and expenses: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5720" w:type="dxa"/>
            <w:vAlign w:val="bottom"/>
            <w:shd w:val="clear" w:color="auto" w:fill="CFF0FC"/>
          </w:tcPr>
          <w:p>
            <w:pPr>
              <w:ind w:left="120"/>
              <w:spacing w:after="0" w:line="167" w:lineRule="exact"/>
              <w:rPr>
                <w:sz w:val="20"/>
                <w:szCs w:val="20"/>
                <w:color w:val="auto"/>
              </w:rPr>
            </w:pPr>
            <w:r>
              <w:rPr>
                <w:rFonts w:ascii="Calibri" w:cs="Calibri" w:eastAsia="Calibri" w:hAnsi="Calibri"/>
                <w:sz w:val="18"/>
                <w:szCs w:val="18"/>
                <w:color w:val="auto"/>
              </w:rPr>
              <w:t>Cost of revenues (exclusive of depreciaton and amortzaton shown</w:t>
            </w: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72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separately below)</w:t>
            </w:r>
          </w:p>
        </w:tc>
        <w:tc>
          <w:tcPr>
            <w:tcW w:w="1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37,617</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30,475</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102,203</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54,386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120"/>
              <w:spacing w:after="0" w:line="215" w:lineRule="exact"/>
              <w:rPr>
                <w:sz w:val="20"/>
                <w:szCs w:val="20"/>
                <w:color w:val="auto"/>
              </w:rPr>
            </w:pPr>
            <w:r>
              <w:rPr>
                <w:rFonts w:ascii="Calibri" w:cs="Calibri" w:eastAsia="Calibri" w:hAnsi="Calibri"/>
                <w:sz w:val="18"/>
                <w:szCs w:val="18"/>
                <w:color w:val="auto"/>
              </w:rPr>
              <w:t>Marketng and selling</w:t>
            </w:r>
          </w:p>
        </w:tc>
        <w:tc>
          <w:tcPr>
            <w:tcW w:w="10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66,323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50,371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179,963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104,748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2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General and administratve</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30,239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42,509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95,721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87,486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120"/>
              <w:spacing w:after="0" w:line="215" w:lineRule="exact"/>
              <w:rPr>
                <w:sz w:val="20"/>
                <w:szCs w:val="20"/>
                <w:color w:val="auto"/>
              </w:rPr>
            </w:pPr>
            <w:r>
              <w:rPr>
                <w:rFonts w:ascii="Calibri" w:cs="Calibri" w:eastAsia="Calibri" w:hAnsi="Calibri"/>
                <w:sz w:val="18"/>
                <w:szCs w:val="18"/>
                <w:color w:val="auto"/>
              </w:rPr>
              <w:t>Depreciaton and amortzaton</w:t>
            </w:r>
          </w:p>
        </w:tc>
        <w:tc>
          <w:tcPr>
            <w:tcW w:w="10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2,158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711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5,269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1,506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Change in fair value of contngent consideraton</w:t>
            </w: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(1,220 )</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50"/>
              <w:spacing w:after="0" w:line="216"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(1,220 )</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0"/>
        </w:trPr>
        <w:tc>
          <w:tcPr>
            <w:tcW w:w="5720" w:type="dxa"/>
            <w:vAlign w:val="bottom"/>
            <w:tcBorders>
              <w:top w:val="single" w:sz="8" w:color="CFF0FC"/>
            </w:tcBorders>
          </w:tcPr>
          <w:p>
            <w:pPr>
              <w:ind w:left="20"/>
              <w:spacing w:after="0" w:line="209" w:lineRule="exact"/>
              <w:rPr>
                <w:sz w:val="20"/>
                <w:szCs w:val="20"/>
                <w:color w:val="auto"/>
              </w:rPr>
            </w:pPr>
            <w:r>
              <w:rPr>
                <w:rFonts w:ascii="Calibri" w:cs="Calibri" w:eastAsia="Calibri" w:hAnsi="Calibri"/>
                <w:sz w:val="18"/>
                <w:szCs w:val="18"/>
                <w:b w:val="1"/>
                <w:bCs w:val="1"/>
                <w:color w:val="auto"/>
              </w:rPr>
              <w:t>Income from operatons</w:t>
            </w: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21,701</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15,472</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53,348</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31,024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b w:val="1"/>
                <w:bCs w:val="1"/>
                <w:color w:val="auto"/>
              </w:rPr>
              <w:t>Other (income) expense:</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120"/>
              <w:spacing w:after="0" w:line="215" w:lineRule="exact"/>
              <w:rPr>
                <w:sz w:val="20"/>
                <w:szCs w:val="20"/>
                <w:color w:val="auto"/>
              </w:rPr>
            </w:pPr>
            <w:r>
              <w:rPr>
                <w:rFonts w:ascii="Calibri" w:cs="Calibri" w:eastAsia="Calibri" w:hAnsi="Calibri"/>
                <w:sz w:val="18"/>
                <w:szCs w:val="18"/>
                <w:color w:val="auto"/>
              </w:rPr>
              <w:t>Interest expense – net</w:t>
            </w:r>
          </w:p>
        </w:tc>
        <w:tc>
          <w:tcPr>
            <w:tcW w:w="10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2,901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17,319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9,542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50,477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2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Loss on extnguishment of debt</w:t>
            </w: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50"/>
              <w:spacing w:after="0" w:line="216"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4,285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5720" w:type="dxa"/>
            <w:vAlign w:val="bottom"/>
          </w:tcPr>
          <w:p>
            <w:pPr>
              <w:ind w:left="120"/>
              <w:spacing w:after="0" w:line="215" w:lineRule="exact"/>
              <w:rPr>
                <w:sz w:val="20"/>
                <w:szCs w:val="20"/>
                <w:color w:val="auto"/>
              </w:rPr>
            </w:pPr>
            <w:r>
              <w:rPr>
                <w:rFonts w:ascii="Calibri" w:cs="Calibri" w:eastAsia="Calibri" w:hAnsi="Calibri"/>
                <w:sz w:val="18"/>
                <w:szCs w:val="18"/>
                <w:color w:val="auto"/>
              </w:rPr>
              <w:t>Other income</w:t>
            </w:r>
          </w:p>
        </w:tc>
        <w:tc>
          <w:tcPr>
            <w:tcW w:w="100" w:type="dxa"/>
            <w:vAlign w:val="bottom"/>
          </w:tcPr>
          <w:p>
            <w:pPr>
              <w:spacing w:after="0"/>
              <w:rPr>
                <w:sz w:val="18"/>
                <w:szCs w:val="18"/>
                <w:color w:val="auto"/>
              </w:rPr>
            </w:pPr>
          </w:p>
        </w:tc>
        <w:tc>
          <w:tcPr>
            <w:tcW w:w="142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(65 )</w:t>
            </w:r>
          </w:p>
        </w:tc>
        <w:tc>
          <w:tcPr>
            <w:tcW w:w="240" w:type="dxa"/>
            <w:vAlign w:val="bottom"/>
          </w:tcPr>
          <w:p>
            <w:pPr>
              <w:spacing w:after="0"/>
              <w:rPr>
                <w:sz w:val="18"/>
                <w:szCs w:val="18"/>
                <w:color w:val="auto"/>
              </w:rPr>
            </w:pPr>
          </w:p>
        </w:tc>
        <w:tc>
          <w:tcPr>
            <w:tcW w:w="1080" w:type="dxa"/>
            <w:vAlign w:val="bottom"/>
            <w:gridSpan w:val="2"/>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(6,618 )</w:t>
            </w:r>
          </w:p>
        </w:tc>
        <w:tc>
          <w:tcPr>
            <w:tcW w:w="240" w:type="dxa"/>
            <w:vAlign w:val="bottom"/>
          </w:tcPr>
          <w:p>
            <w:pPr>
              <w:spacing w:after="0"/>
              <w:rPr>
                <w:sz w:val="18"/>
                <w:szCs w:val="18"/>
                <w:color w:val="auto"/>
              </w:rPr>
            </w:pPr>
          </w:p>
        </w:tc>
        <w:tc>
          <w:tcPr>
            <w:tcW w:w="94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1"/>
        </w:trPr>
        <w:tc>
          <w:tcPr>
            <w:tcW w:w="57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Income (loss) before income taxes</w:t>
            </w:r>
          </w:p>
        </w:tc>
        <w:tc>
          <w:tcPr>
            <w:tcW w:w="1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18,865</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(1,847</w:t>
            </w:r>
          </w:p>
        </w:tc>
        <w:tc>
          <w:tcPr>
            <w:tcW w:w="220" w:type="dxa"/>
            <w:vAlign w:val="bottom"/>
            <w:shd w:val="clear" w:color="auto" w:fill="CFF0FC"/>
          </w:tcPr>
          <w:p>
            <w:pPr>
              <w:jc w:val="right"/>
              <w:ind w:right="70"/>
              <w:spacing w:after="0" w:line="210" w:lineRule="exact"/>
              <w:rPr>
                <w:sz w:val="20"/>
                <w:szCs w:val="20"/>
                <w:color w:val="auto"/>
              </w:rPr>
            </w:pPr>
            <w:r>
              <w:rPr>
                <w:rFonts w:ascii="Calibri" w:cs="Calibri" w:eastAsia="Calibri" w:hAnsi="Calibri"/>
                <w:sz w:val="18"/>
                <w:szCs w:val="18"/>
                <w:b w:val="1"/>
                <w:bCs w:val="1"/>
                <w:color w:val="auto"/>
                <w:w w:val="70"/>
              </w:rPr>
              <w:t>)</w:t>
            </w:r>
          </w:p>
        </w:tc>
        <w:tc>
          <w:tcPr>
            <w:tcW w:w="1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46,139</w:t>
            </w: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(19,453</w:t>
            </w:r>
          </w:p>
        </w:tc>
        <w:tc>
          <w:tcPr>
            <w:tcW w:w="1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w w:val="70"/>
              </w:rPr>
              <w:t>)</w:t>
            </w:r>
          </w:p>
        </w:tc>
        <w:tc>
          <w:tcPr>
            <w:tcW w:w="0" w:type="dxa"/>
            <w:vAlign w:val="bottom"/>
          </w:tcPr>
          <w:p>
            <w:pPr>
              <w:spacing w:after="0"/>
              <w:rPr>
                <w:sz w:val="1"/>
                <w:szCs w:val="1"/>
                <w:color w:val="auto"/>
              </w:rPr>
            </w:pPr>
          </w:p>
        </w:tc>
      </w:tr>
      <w:tr>
        <w:trPr>
          <w:trHeight w:val="215"/>
        </w:trPr>
        <w:tc>
          <w:tcPr>
            <w:tcW w:w="5720" w:type="dxa"/>
            <w:vAlign w:val="bottom"/>
          </w:tcPr>
          <w:p>
            <w:pPr>
              <w:ind w:left="20"/>
              <w:spacing w:after="0" w:line="215" w:lineRule="exact"/>
              <w:rPr>
                <w:sz w:val="20"/>
                <w:szCs w:val="20"/>
                <w:color w:val="auto"/>
              </w:rPr>
            </w:pPr>
            <w:r>
              <w:rPr>
                <w:rFonts w:ascii="Calibri" w:cs="Calibri" w:eastAsia="Calibri" w:hAnsi="Calibri"/>
                <w:sz w:val="18"/>
                <w:szCs w:val="18"/>
                <w:color w:val="auto"/>
              </w:rPr>
              <w:t>Income tax expense</w:t>
            </w:r>
          </w:p>
        </w:tc>
        <w:tc>
          <w:tcPr>
            <w:tcW w:w="10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118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194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Net income (loss)</w:t>
            </w:r>
          </w:p>
        </w:tc>
        <w:tc>
          <w:tcPr>
            <w:tcW w:w="1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18,747</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(1,847</w:t>
            </w:r>
          </w:p>
        </w:tc>
        <w:tc>
          <w:tcPr>
            <w:tcW w:w="220" w:type="dxa"/>
            <w:vAlign w:val="bottom"/>
            <w:shd w:val="clear" w:color="auto" w:fill="CFF0FC"/>
          </w:tcPr>
          <w:p>
            <w:pPr>
              <w:jc w:val="right"/>
              <w:ind w:right="70"/>
              <w:spacing w:after="0" w:line="210" w:lineRule="exact"/>
              <w:rPr>
                <w:sz w:val="20"/>
                <w:szCs w:val="20"/>
                <w:color w:val="auto"/>
              </w:rPr>
            </w:pPr>
            <w:r>
              <w:rPr>
                <w:rFonts w:ascii="Calibri" w:cs="Calibri" w:eastAsia="Calibri" w:hAnsi="Calibri"/>
                <w:sz w:val="18"/>
                <w:szCs w:val="18"/>
                <w:b w:val="1"/>
                <w:bCs w:val="1"/>
                <w:color w:val="auto"/>
                <w:w w:val="70"/>
              </w:rPr>
              <w:t>)</w:t>
            </w:r>
          </w:p>
        </w:tc>
        <w:tc>
          <w:tcPr>
            <w:tcW w:w="1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45,945</w:t>
            </w: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(19,453</w:t>
            </w:r>
          </w:p>
        </w:tc>
        <w:tc>
          <w:tcPr>
            <w:tcW w:w="1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w w:val="70"/>
              </w:rPr>
              <w:t>)</w:t>
            </w:r>
          </w:p>
        </w:tc>
        <w:tc>
          <w:tcPr>
            <w:tcW w:w="0" w:type="dxa"/>
            <w:vAlign w:val="bottom"/>
          </w:tcPr>
          <w:p>
            <w:pPr>
              <w:spacing w:after="0"/>
              <w:rPr>
                <w:sz w:val="1"/>
                <w:szCs w:val="1"/>
                <w:color w:val="auto"/>
              </w:rPr>
            </w:pPr>
          </w:p>
        </w:tc>
      </w:tr>
      <w:tr>
        <w:trPr>
          <w:trHeight w:val="167"/>
        </w:trPr>
        <w:tc>
          <w:tcPr>
            <w:tcW w:w="5720" w:type="dxa"/>
            <w:vAlign w:val="bottom"/>
          </w:tcPr>
          <w:p>
            <w:pPr>
              <w:ind w:left="20"/>
              <w:spacing w:after="0" w:line="166" w:lineRule="exact"/>
              <w:rPr>
                <w:sz w:val="20"/>
                <w:szCs w:val="20"/>
                <w:color w:val="auto"/>
              </w:rPr>
            </w:pPr>
            <w:r>
              <w:rPr>
                <w:rFonts w:ascii="Calibri" w:cs="Calibri" w:eastAsia="Calibri" w:hAnsi="Calibri"/>
                <w:sz w:val="18"/>
                <w:szCs w:val="18"/>
                <w:color w:val="auto"/>
              </w:rPr>
              <w:t>Net loss atributable to Hoya Intermediate, LLC shareholders prior to reverse</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20"/>
              <w:spacing w:after="0" w:line="215" w:lineRule="exact"/>
              <w:rPr>
                <w:sz w:val="20"/>
                <w:szCs w:val="20"/>
                <w:color w:val="auto"/>
              </w:rPr>
            </w:pPr>
            <w:r>
              <w:rPr>
                <w:rFonts w:ascii="Calibri" w:cs="Calibri" w:eastAsia="Calibri" w:hAnsi="Calibri"/>
                <w:sz w:val="18"/>
                <w:szCs w:val="18"/>
                <w:color w:val="auto"/>
              </w:rPr>
              <w:t>recapitalizaton</w:t>
            </w:r>
          </w:p>
        </w:tc>
        <w:tc>
          <w:tcPr>
            <w:tcW w:w="100" w:type="dxa"/>
            <w:vAlign w:val="bottom"/>
          </w:tcPr>
          <w:p>
            <w:pPr>
              <w:spacing w:after="0"/>
              <w:rPr>
                <w:sz w:val="18"/>
                <w:szCs w:val="18"/>
                <w:color w:val="auto"/>
              </w:rPr>
            </w:pPr>
          </w:p>
        </w:tc>
        <w:tc>
          <w:tcPr>
            <w:tcW w:w="142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70"/>
              <w:spacing w:after="0" w:line="215" w:lineRule="exact"/>
              <w:rPr>
                <w:sz w:val="20"/>
                <w:szCs w:val="20"/>
                <w:color w:val="auto"/>
              </w:rPr>
            </w:pPr>
            <w:r>
              <w:rPr>
                <w:rFonts w:ascii="Calibri" w:cs="Calibri" w:eastAsia="Calibri" w:hAnsi="Calibri"/>
                <w:sz w:val="18"/>
                <w:szCs w:val="18"/>
                <w:color w:val="auto"/>
              </w:rPr>
              <w:t>(1,847 )</w:t>
            </w:r>
          </w:p>
        </w:tc>
        <w:tc>
          <w:tcPr>
            <w:tcW w:w="120" w:type="dxa"/>
            <w:vAlign w:val="bottom"/>
          </w:tcPr>
          <w:p>
            <w:pPr>
              <w:spacing w:after="0"/>
              <w:rPr>
                <w:sz w:val="18"/>
                <w:szCs w:val="18"/>
                <w:color w:val="auto"/>
              </w:rPr>
            </w:pPr>
          </w:p>
        </w:tc>
        <w:tc>
          <w:tcPr>
            <w:tcW w:w="138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(19,453 )</w:t>
            </w:r>
          </w:p>
        </w:tc>
        <w:tc>
          <w:tcPr>
            <w:tcW w:w="0" w:type="dxa"/>
            <w:vAlign w:val="bottom"/>
          </w:tcPr>
          <w:p>
            <w:pPr>
              <w:spacing w:after="0"/>
              <w:rPr>
                <w:sz w:val="1"/>
                <w:szCs w:val="1"/>
                <w:color w:val="auto"/>
              </w:rPr>
            </w:pPr>
          </w:p>
        </w:tc>
      </w:tr>
      <w:tr>
        <w:trPr>
          <w:trHeight w:val="23"/>
        </w:trPr>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57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income atributable to redeemable noncontrolling interests</w:t>
            </w:r>
          </w:p>
        </w:tc>
        <w:tc>
          <w:tcPr>
            <w:tcW w:w="1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11,084</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27,368</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Pr>
          <w:p>
            <w:pPr>
              <w:ind w:left="20"/>
              <w:spacing w:after="0" w:line="210" w:lineRule="exact"/>
              <w:rPr>
                <w:sz w:val="20"/>
                <w:szCs w:val="20"/>
                <w:color w:val="auto"/>
              </w:rPr>
            </w:pPr>
            <w:r>
              <w:rPr>
                <w:rFonts w:ascii="Calibri" w:cs="Calibri" w:eastAsia="Calibri" w:hAnsi="Calibri"/>
                <w:sz w:val="18"/>
                <w:szCs w:val="18"/>
                <w:b w:val="1"/>
                <w:bCs w:val="1"/>
                <w:color w:val="auto"/>
              </w:rPr>
              <w:t>Net income atributable to Class A Common Stockholders</w:t>
            </w:r>
          </w:p>
        </w:tc>
        <w:tc>
          <w:tcPr>
            <w:tcW w:w="100" w:type="dxa"/>
            <w:vAlign w:val="bottom"/>
          </w:tcPr>
          <w:p>
            <w:pPr>
              <w:jc w:val="right"/>
              <w:spacing w:after="0" w:line="210" w:lineRule="exact"/>
              <w:rPr>
                <w:sz w:val="20"/>
                <w:szCs w:val="20"/>
                <w:color w:val="auto"/>
              </w:rPr>
            </w:pPr>
            <w:r>
              <w:rPr>
                <w:rFonts w:ascii="Calibri" w:cs="Calibri" w:eastAsia="Calibri" w:hAnsi="Calibri"/>
                <w:sz w:val="18"/>
                <w:szCs w:val="18"/>
                <w:b w:val="1"/>
                <w:bCs w:val="1"/>
                <w:color w:val="auto"/>
                <w:w w:val="87"/>
              </w:rPr>
              <w:t>$</w:t>
            </w:r>
          </w:p>
        </w:tc>
        <w:tc>
          <w:tcPr>
            <w:tcW w:w="1180" w:type="dxa"/>
            <w:vAlign w:val="bottom"/>
          </w:tcPr>
          <w:p>
            <w:pPr>
              <w:jc w:val="right"/>
              <w:spacing w:after="0" w:line="210" w:lineRule="exact"/>
              <w:rPr>
                <w:sz w:val="20"/>
                <w:szCs w:val="20"/>
                <w:color w:val="auto"/>
              </w:rPr>
            </w:pPr>
            <w:r>
              <w:rPr>
                <w:rFonts w:ascii="Calibri" w:cs="Calibri" w:eastAsia="Calibri" w:hAnsi="Calibri"/>
                <w:sz w:val="18"/>
                <w:szCs w:val="18"/>
                <w:b w:val="1"/>
                <w:bCs w:val="1"/>
                <w:color w:val="auto"/>
              </w:rPr>
              <w:t>7,663</w:t>
            </w:r>
          </w:p>
        </w:tc>
        <w:tc>
          <w:tcPr>
            <w:tcW w:w="240" w:type="dxa"/>
            <w:vAlign w:val="bottom"/>
          </w:tcPr>
          <w:p>
            <w:pPr>
              <w:spacing w:after="0"/>
              <w:rPr>
                <w:sz w:val="18"/>
                <w:szCs w:val="18"/>
                <w:color w:val="auto"/>
              </w:rPr>
            </w:pPr>
          </w:p>
        </w:tc>
        <w:tc>
          <w:tcPr>
            <w:tcW w:w="240" w:type="dxa"/>
            <w:vAlign w:val="bottom"/>
          </w:tcPr>
          <w:p>
            <w:pPr>
              <w:jc w:val="right"/>
              <w:ind w:right="50"/>
              <w:spacing w:after="0" w:line="210" w:lineRule="exact"/>
              <w:rPr>
                <w:sz w:val="20"/>
                <w:szCs w:val="20"/>
                <w:color w:val="auto"/>
              </w:rPr>
            </w:pPr>
            <w:r>
              <w:rPr>
                <w:rFonts w:ascii="Calibri" w:cs="Calibri" w:eastAsia="Calibri" w:hAnsi="Calibri"/>
                <w:sz w:val="18"/>
                <w:szCs w:val="18"/>
                <w:b w:val="1"/>
                <w:bCs w:val="1"/>
                <w:color w:val="auto"/>
                <w:w w:val="87"/>
              </w:rPr>
              <w:t>$</w:t>
            </w:r>
          </w:p>
        </w:tc>
        <w:tc>
          <w:tcPr>
            <w:tcW w:w="1080" w:type="dxa"/>
            <w:vAlign w:val="bottom"/>
            <w:gridSpan w:val="2"/>
          </w:tcPr>
          <w:p>
            <w:pPr>
              <w:jc w:val="right"/>
              <w:ind w:right="150"/>
              <w:spacing w:after="0" w:line="210" w:lineRule="exact"/>
              <w:rPr>
                <w:sz w:val="20"/>
                <w:szCs w:val="20"/>
                <w:color w:val="auto"/>
              </w:rPr>
            </w:pPr>
            <w:r>
              <w:rPr>
                <w:rFonts w:ascii="Calibri" w:cs="Calibri" w:eastAsia="Calibri" w:hAnsi="Calibri"/>
                <w:sz w:val="18"/>
                <w:szCs w:val="18"/>
                <w:b w:val="1"/>
                <w:bCs w:val="1"/>
                <w:color w:val="auto"/>
              </w:rPr>
              <w:t>—</w:t>
            </w:r>
          </w:p>
        </w:tc>
        <w:tc>
          <w:tcPr>
            <w:tcW w:w="120" w:type="dxa"/>
            <w:vAlign w:val="bottom"/>
          </w:tcPr>
          <w:p>
            <w:pPr>
              <w:jc w:val="right"/>
              <w:spacing w:after="0" w:line="210" w:lineRule="exact"/>
              <w:rPr>
                <w:sz w:val="20"/>
                <w:szCs w:val="20"/>
                <w:color w:val="auto"/>
              </w:rPr>
            </w:pPr>
            <w:r>
              <w:rPr>
                <w:rFonts w:ascii="Calibri" w:cs="Calibri" w:eastAsia="Calibri" w:hAnsi="Calibri"/>
                <w:sz w:val="18"/>
                <w:szCs w:val="18"/>
                <w:b w:val="1"/>
                <w:bCs w:val="1"/>
                <w:color w:val="auto"/>
              </w:rPr>
              <w:t>$</w:t>
            </w: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b w:val="1"/>
                <w:bCs w:val="1"/>
                <w:color w:val="auto"/>
              </w:rPr>
              <w:t>18,577</w:t>
            </w:r>
          </w:p>
        </w:tc>
        <w:tc>
          <w:tcPr>
            <w:tcW w:w="220" w:type="dxa"/>
            <w:vAlign w:val="bottom"/>
          </w:tcPr>
          <w:p>
            <w:pPr>
              <w:spacing w:after="0"/>
              <w:rPr>
                <w:sz w:val="18"/>
                <w:szCs w:val="18"/>
                <w:color w:val="auto"/>
              </w:rPr>
            </w:pPr>
          </w:p>
        </w:tc>
        <w:tc>
          <w:tcPr>
            <w:tcW w:w="240" w:type="dxa"/>
            <w:vAlign w:val="bottom"/>
          </w:tcPr>
          <w:p>
            <w:pPr>
              <w:jc w:val="right"/>
              <w:ind w:right="30"/>
              <w:spacing w:after="0" w:line="210" w:lineRule="exact"/>
              <w:rPr>
                <w:sz w:val="20"/>
                <w:szCs w:val="20"/>
                <w:color w:val="auto"/>
              </w:rPr>
            </w:pPr>
            <w:r>
              <w:rPr>
                <w:rFonts w:ascii="Calibri" w:cs="Calibri" w:eastAsia="Calibri" w:hAnsi="Calibri"/>
                <w:sz w:val="18"/>
                <w:szCs w:val="18"/>
                <w:b w:val="1"/>
                <w:bCs w:val="1"/>
                <w:color w:val="auto"/>
              </w:rPr>
              <w:t>$</w:t>
            </w:r>
          </w:p>
        </w:tc>
        <w:tc>
          <w:tcPr>
            <w:tcW w:w="940" w:type="dxa"/>
            <w:vAlign w:val="bottom"/>
            <w:gridSpan w:val="2"/>
          </w:tcPr>
          <w:p>
            <w:pPr>
              <w:jc w:val="right"/>
              <w:ind w:right="30"/>
              <w:spacing w:after="0" w:line="210" w:lineRule="exact"/>
              <w:rPr>
                <w:sz w:val="20"/>
                <w:szCs w:val="20"/>
                <w:color w:val="auto"/>
              </w:rPr>
            </w:pPr>
            <w:r>
              <w:rPr>
                <w:rFonts w:ascii="Calibri" w:cs="Calibri" w:eastAsia="Calibri" w:hAnsi="Calibri"/>
                <w:sz w:val="18"/>
                <w:szCs w:val="18"/>
                <w:b w:val="1"/>
                <w:bCs w:val="1"/>
                <w:color w:val="auto"/>
              </w:rPr>
              <w:t>—</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20"/>
              <w:spacing w:after="0"/>
              <w:rPr>
                <w:sz w:val="20"/>
                <w:szCs w:val="20"/>
                <w:color w:val="auto"/>
              </w:rPr>
            </w:pPr>
            <w:r>
              <w:rPr>
                <w:rFonts w:ascii="Calibri" w:cs="Calibri" w:eastAsia="Calibri" w:hAnsi="Calibri"/>
                <w:sz w:val="18"/>
                <w:szCs w:val="18"/>
                <w:b w:val="1"/>
                <w:bCs w:val="1"/>
                <w:color w:val="auto"/>
              </w:rPr>
              <w:t>Income per Class A Common Stock</w:t>
            </w:r>
            <w:r>
              <w:rPr>
                <w:rFonts w:ascii="Calibri" w:cs="Calibri" w:eastAsia="Calibri" w:hAnsi="Calibri"/>
                <w:sz w:val="24"/>
                <w:szCs w:val="24"/>
                <w:b w:val="1"/>
                <w:bCs w:val="1"/>
                <w:color w:val="auto"/>
                <w:vertAlign w:val="superscript"/>
              </w:rPr>
              <w:t>(1)</w:t>
            </w:r>
            <w:r>
              <w:rPr>
                <w:rFonts w:ascii="Calibri" w:cs="Calibri" w:eastAsia="Calibri" w:hAnsi="Calibri"/>
                <w:sz w:val="18"/>
                <w:szCs w:val="18"/>
                <w:b w:val="1"/>
                <w:bCs w:val="1"/>
                <w:color w:val="auto"/>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Basic</w:t>
            </w:r>
          </w:p>
        </w:tc>
        <w:tc>
          <w:tcPr>
            <w:tcW w:w="1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0.09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0.23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720" w:type="dxa"/>
            <w:vAlign w:val="bottom"/>
          </w:tcPr>
          <w:p>
            <w:pPr>
              <w:ind w:left="20"/>
              <w:spacing w:after="0" w:line="156" w:lineRule="exact"/>
              <w:rPr>
                <w:sz w:val="20"/>
                <w:szCs w:val="20"/>
                <w:color w:val="auto"/>
              </w:rPr>
            </w:pPr>
            <w:r>
              <w:rPr>
                <w:rFonts w:ascii="Calibri" w:cs="Calibri" w:eastAsia="Calibri" w:hAnsi="Calibri"/>
                <w:sz w:val="16"/>
                <w:szCs w:val="16"/>
                <w:color w:val="auto"/>
              </w:rPr>
              <w:t>Diluted</w:t>
            </w:r>
          </w:p>
        </w:tc>
        <w:tc>
          <w:tcPr>
            <w:tcW w:w="100" w:type="dxa"/>
            <w:vAlign w:val="bottom"/>
          </w:tcPr>
          <w:p>
            <w:pPr>
              <w:jc w:val="right"/>
              <w:spacing w:after="0" w:line="156" w:lineRule="exact"/>
              <w:rPr>
                <w:sz w:val="20"/>
                <w:szCs w:val="20"/>
                <w:color w:val="auto"/>
              </w:rPr>
            </w:pPr>
            <w:r>
              <w:rPr>
                <w:rFonts w:ascii="Calibri" w:cs="Calibri" w:eastAsia="Calibri" w:hAnsi="Calibri"/>
                <w:sz w:val="16"/>
                <w:szCs w:val="16"/>
                <w:color w:val="auto"/>
                <w:w w:val="97"/>
              </w:rPr>
              <w:t>$</w:t>
            </w:r>
          </w:p>
        </w:tc>
        <w:tc>
          <w:tcPr>
            <w:tcW w:w="1180" w:type="dxa"/>
            <w:vAlign w:val="bottom"/>
          </w:tcPr>
          <w:p>
            <w:pPr>
              <w:jc w:val="right"/>
              <w:spacing w:after="0" w:line="156" w:lineRule="exact"/>
              <w:rPr>
                <w:sz w:val="20"/>
                <w:szCs w:val="20"/>
                <w:color w:val="auto"/>
              </w:rPr>
            </w:pPr>
            <w:r>
              <w:rPr>
                <w:rFonts w:ascii="Calibri" w:cs="Calibri" w:eastAsia="Calibri" w:hAnsi="Calibri"/>
                <w:sz w:val="16"/>
                <w:szCs w:val="16"/>
                <w:color w:val="auto"/>
              </w:rPr>
              <w:t>0.09</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jc w:val="right"/>
              <w:spacing w:after="0" w:line="156" w:lineRule="exact"/>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line="156" w:lineRule="exact"/>
              <w:rPr>
                <w:sz w:val="20"/>
                <w:szCs w:val="20"/>
                <w:color w:val="auto"/>
              </w:rPr>
            </w:pPr>
            <w:r>
              <w:rPr>
                <w:rFonts w:ascii="Calibri" w:cs="Calibri" w:eastAsia="Calibri" w:hAnsi="Calibri"/>
                <w:sz w:val="16"/>
                <w:szCs w:val="16"/>
                <w:color w:val="auto"/>
              </w:rPr>
              <w:t>0.23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5720" w:type="dxa"/>
            <w:vAlign w:val="bottom"/>
          </w:tcPr>
          <w:p>
            <w:pPr>
              <w:ind w:left="20"/>
              <w:spacing w:after="0" w:line="276" w:lineRule="exact"/>
              <w:rPr>
                <w:sz w:val="20"/>
                <w:szCs w:val="20"/>
                <w:color w:val="auto"/>
              </w:rPr>
            </w:pPr>
            <w:r>
              <w:rPr>
                <w:rFonts w:ascii="Calibri" w:cs="Calibri" w:eastAsia="Calibri" w:hAnsi="Calibri"/>
                <w:sz w:val="18"/>
                <w:szCs w:val="18"/>
                <w:b w:val="1"/>
                <w:bCs w:val="1"/>
                <w:color w:val="auto"/>
              </w:rPr>
              <w:t>Weighted average Class A Common Stock outstanding</w:t>
            </w:r>
            <w:r>
              <w:rPr>
                <w:rFonts w:ascii="Calibri" w:cs="Calibri" w:eastAsia="Calibri" w:hAnsi="Calibri"/>
                <w:sz w:val="24"/>
                <w:szCs w:val="24"/>
                <w:b w:val="1"/>
                <w:bCs w:val="1"/>
                <w:color w:val="auto"/>
                <w:vertAlign w:val="superscript"/>
              </w:rPr>
              <w:t>(1)</w:t>
            </w:r>
            <w:r>
              <w:rPr>
                <w:rFonts w:ascii="Calibri" w:cs="Calibri" w:eastAsia="Calibri" w:hAnsi="Calibri"/>
                <w:sz w:val="18"/>
                <w:szCs w:val="18"/>
                <w:b w:val="1"/>
                <w:bCs w:val="1"/>
                <w:color w:val="auto"/>
              </w:rPr>
              <w:t>:</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20"/>
              <w:spacing w:after="0" w:line="215" w:lineRule="exact"/>
              <w:rPr>
                <w:sz w:val="20"/>
                <w:szCs w:val="20"/>
                <w:color w:val="auto"/>
              </w:rPr>
            </w:pPr>
            <w:r>
              <w:rPr>
                <w:rFonts w:ascii="Calibri" w:cs="Calibri" w:eastAsia="Calibri" w:hAnsi="Calibri"/>
                <w:sz w:val="18"/>
                <w:szCs w:val="18"/>
                <w:color w:val="auto"/>
              </w:rPr>
              <w:t>Basic</w:t>
            </w:r>
          </w:p>
        </w:tc>
        <w:tc>
          <w:tcPr>
            <w:tcW w:w="10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81,996,447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80,145,329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Diluted</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82,023,463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198,709,769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-2648585</wp:posOffset>
            </wp:positionV>
            <wp:extent cx="7747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-2648585</wp:posOffset>
            </wp:positionV>
            <wp:extent cx="7747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-2648585</wp:posOffset>
            </wp:positionV>
            <wp:extent cx="6858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-2648585</wp:posOffset>
            </wp:positionV>
            <wp:extent cx="6858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3" w:lineRule="exact"/>
        <w:rPr>
          <w:sz w:val="20"/>
          <w:szCs w:val="20"/>
          <w:color w:val="auto"/>
        </w:rPr>
      </w:pPr>
    </w:p>
    <w:p>
      <w:pPr>
        <w:ind w:right="20" w:firstLine="8"/>
        <w:spacing w:after="0" w:line="245" w:lineRule="auto"/>
        <w:tabs>
          <w:tab w:leader="none" w:pos="248"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There were no shares of Class A Common Stock outstanding prior to October 18, 2021. Therefore, no income (loss) per share informaton has been presented for any period prior to that date.</w:t>
      </w:r>
    </w:p>
    <w:p>
      <w:pPr>
        <w:spacing w:after="0" w:line="14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10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 w:name="page7"/>
    <w:bookmarkEnd w:id="6"/>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CONDENSED CONSOLIDATED STATEMENTS OF COMPREHENSIVE INCOME (LOSS)</w:t>
      </w:r>
    </w:p>
    <w:p>
      <w:pPr>
        <w:jc w:val="center"/>
        <w:spacing w:after="0" w:line="236" w:lineRule="auto"/>
        <w:rPr>
          <w:sz w:val="20"/>
          <w:szCs w:val="20"/>
          <w:color w:val="auto"/>
        </w:rPr>
      </w:pPr>
      <w:r>
        <w:rPr>
          <w:rFonts w:ascii="Calibri" w:cs="Calibri" w:eastAsia="Calibri" w:hAnsi="Calibri"/>
          <w:sz w:val="18"/>
          <w:szCs w:val="18"/>
          <w:b w:val="1"/>
          <w:bCs w:val="1"/>
          <w:color w:val="auto"/>
        </w:rPr>
        <w:t>(in thousands) (Unaudited)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80" w:type="dxa"/>
            <w:vAlign w:val="bottom"/>
            <w:gridSpan w:val="5"/>
          </w:tcPr>
          <w:p>
            <w:pPr>
              <w:jc w:val="right"/>
              <w:ind w:right="330"/>
              <w:spacing w:after="0"/>
              <w:rPr>
                <w:sz w:val="20"/>
                <w:szCs w:val="20"/>
                <w:color w:val="auto"/>
              </w:rPr>
            </w:pPr>
            <w:r>
              <w:rPr>
                <w:rFonts w:ascii="Calibri" w:cs="Calibri" w:eastAsia="Calibri" w:hAnsi="Calibri"/>
                <w:sz w:val="18"/>
                <w:szCs w:val="18"/>
                <w:b w:val="1"/>
                <w:bCs w:val="1"/>
                <w:color w:val="auto"/>
                <w:w w:val="97"/>
              </w:rPr>
              <w:t>Three Months Ended September 30,</w:t>
            </w:r>
          </w:p>
        </w:tc>
        <w:tc>
          <w:tcPr>
            <w:tcW w:w="160" w:type="dxa"/>
            <w:vAlign w:val="bottom"/>
          </w:tcPr>
          <w:p>
            <w:pPr>
              <w:spacing w:after="0"/>
              <w:rPr>
                <w:sz w:val="19"/>
                <w:szCs w:val="19"/>
                <w:color w:val="auto"/>
              </w:rPr>
            </w:pPr>
          </w:p>
        </w:tc>
        <w:tc>
          <w:tcPr>
            <w:tcW w:w="2880" w:type="dxa"/>
            <w:vAlign w:val="bottom"/>
            <w:gridSpan w:val="5"/>
          </w:tcPr>
          <w:p>
            <w:pPr>
              <w:jc w:val="right"/>
              <w:ind w:right="210"/>
              <w:spacing w:after="0"/>
              <w:rPr>
                <w:sz w:val="20"/>
                <w:szCs w:val="20"/>
                <w:color w:val="auto"/>
              </w:rPr>
            </w:pPr>
            <w:r>
              <w:rPr>
                <w:rFonts w:ascii="Calibri" w:cs="Calibri" w:eastAsia="Calibri" w:hAnsi="Calibri"/>
                <w:sz w:val="18"/>
                <w:szCs w:val="18"/>
                <w:b w:val="1"/>
                <w:bCs w:val="1"/>
                <w:color w:val="auto"/>
                <w:w w:val="97"/>
              </w:rPr>
              <w:t>Nine Months Ended September 30,</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10"/>
              <w:spacing w:after="0" w:line="216" w:lineRule="exact"/>
              <w:rPr>
                <w:sz w:val="20"/>
                <w:szCs w:val="20"/>
                <w:color w:val="auto"/>
              </w:rPr>
            </w:pPr>
            <w:r>
              <w:rPr>
                <w:rFonts w:ascii="Calibri" w:cs="Calibri" w:eastAsia="Calibri" w:hAnsi="Calibri"/>
                <w:sz w:val="18"/>
                <w:szCs w:val="18"/>
                <w:b w:val="1"/>
                <w:bCs w:val="1"/>
                <w:color w:val="auto"/>
              </w:rPr>
              <w:t>2022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30"/>
              <w:spacing w:after="0" w:line="216" w:lineRule="exact"/>
              <w:rPr>
                <w:sz w:val="20"/>
                <w:szCs w:val="20"/>
                <w:color w:val="auto"/>
              </w:rPr>
            </w:pPr>
            <w:r>
              <w:rPr>
                <w:rFonts w:ascii="Calibri" w:cs="Calibri" w:eastAsia="Calibri" w:hAnsi="Calibri"/>
                <w:sz w:val="18"/>
                <w:szCs w:val="18"/>
                <w:b w:val="1"/>
                <w:bCs w:val="1"/>
                <w:color w:val="auto"/>
              </w:rPr>
              <w:t>2021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90"/>
              <w:spacing w:after="0" w:line="216" w:lineRule="exact"/>
              <w:rPr>
                <w:sz w:val="20"/>
                <w:szCs w:val="20"/>
                <w:color w:val="auto"/>
              </w:rPr>
            </w:pPr>
            <w:r>
              <w:rPr>
                <w:rFonts w:ascii="Calibri" w:cs="Calibri" w:eastAsia="Calibri" w:hAnsi="Calibri"/>
                <w:sz w:val="18"/>
                <w:szCs w:val="18"/>
                <w:b w:val="1"/>
                <w:bCs w:val="1"/>
                <w:color w:val="auto"/>
              </w:rPr>
              <w:t>2022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30"/>
              <w:spacing w:after="0" w:line="216" w:lineRule="exact"/>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Net income (loss)</w:t>
            </w:r>
          </w:p>
        </w:tc>
        <w:tc>
          <w:tcPr>
            <w:tcW w:w="16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2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18,747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line="209" w:lineRule="exact"/>
              <w:rPr>
                <w:sz w:val="20"/>
                <w:szCs w:val="20"/>
                <w:color w:val="auto"/>
              </w:rPr>
            </w:pPr>
            <w:r>
              <w:rPr>
                <w:rFonts w:ascii="Calibri" w:cs="Calibri" w:eastAsia="Calibri" w:hAnsi="Calibri"/>
                <w:sz w:val="18"/>
                <w:szCs w:val="18"/>
                <w:color w:val="auto"/>
              </w:rPr>
              <w:t>$</w:t>
            </w:r>
          </w:p>
        </w:tc>
        <w:tc>
          <w:tcPr>
            <w:tcW w:w="11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(1,847</w:t>
            </w:r>
          </w:p>
        </w:tc>
        <w:tc>
          <w:tcPr>
            <w:tcW w:w="220" w:type="dxa"/>
            <w:vAlign w:val="bottom"/>
            <w:shd w:val="clear" w:color="auto" w:fill="CFF0FC"/>
          </w:tcPr>
          <w:p>
            <w:pPr>
              <w:jc w:val="right"/>
              <w:ind w:right="70"/>
              <w:spacing w:after="0" w:line="209" w:lineRule="exact"/>
              <w:rPr>
                <w:sz w:val="20"/>
                <w:szCs w:val="20"/>
                <w:color w:val="auto"/>
              </w:rPr>
            </w:pPr>
            <w:r>
              <w:rPr>
                <w:rFonts w:ascii="Calibri" w:cs="Calibri" w:eastAsia="Calibri" w:hAnsi="Calibri"/>
                <w:sz w:val="18"/>
                <w:szCs w:val="18"/>
                <w:color w:val="auto"/>
                <w:w w:val="72"/>
              </w:rPr>
              <w:t>)</w:t>
            </w:r>
          </w:p>
        </w:tc>
        <w:tc>
          <w:tcPr>
            <w:tcW w:w="16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45,945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209"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(19,453</w:t>
            </w:r>
          </w:p>
        </w:tc>
        <w:tc>
          <w:tcPr>
            <w:tcW w:w="1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72"/>
              </w:rPr>
              <w:t>)</w:t>
            </w:r>
          </w:p>
        </w:tc>
        <w:tc>
          <w:tcPr>
            <w:tcW w:w="0" w:type="dxa"/>
            <w:vAlign w:val="bottom"/>
          </w:tcPr>
          <w:p>
            <w:pPr>
              <w:spacing w:after="0"/>
              <w:rPr>
                <w:sz w:val="1"/>
                <w:szCs w:val="1"/>
                <w:color w:val="auto"/>
              </w:rPr>
            </w:pPr>
          </w:p>
        </w:tc>
      </w:tr>
      <w:tr>
        <w:trPr>
          <w:trHeight w:val="215"/>
        </w:trPr>
        <w:tc>
          <w:tcPr>
            <w:tcW w:w="496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Other comprehensive income (loss):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bottom w:val="single" w:sz="8" w:color="CFF0FC"/>
            </w:tcBorders>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Unrealized gain on derivatve instruments</w:t>
            </w: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309</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Pr>
          <w:p>
            <w:pPr>
              <w:ind w:left="20"/>
              <w:spacing w:after="0" w:line="209" w:lineRule="exact"/>
              <w:rPr>
                <w:sz w:val="20"/>
                <w:szCs w:val="20"/>
                <w:color w:val="auto"/>
              </w:rPr>
            </w:pPr>
            <w:r>
              <w:rPr>
                <w:rFonts w:ascii="Calibri" w:cs="Calibri" w:eastAsia="Calibri" w:hAnsi="Calibri"/>
                <w:sz w:val="18"/>
                <w:szCs w:val="18"/>
                <w:color w:val="auto"/>
              </w:rPr>
              <w:t>Comprehensive income (loss), net of taxes</w:t>
            </w:r>
          </w:p>
        </w:tc>
        <w:tc>
          <w:tcPr>
            <w:tcW w:w="16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w w:val="87"/>
              </w:rPr>
              <w:t>$</w:t>
            </w:r>
          </w:p>
        </w:tc>
        <w:tc>
          <w:tcPr>
            <w:tcW w:w="120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18,747</w:t>
            </w:r>
          </w:p>
        </w:tc>
        <w:tc>
          <w:tcPr>
            <w:tcW w:w="560" w:type="dxa"/>
            <w:vAlign w:val="bottom"/>
            <w:gridSpan w:val="2"/>
          </w:tcPr>
          <w:p>
            <w:pPr>
              <w:jc w:val="right"/>
              <w:ind w:right="110"/>
              <w:spacing w:after="0" w:line="209" w:lineRule="exact"/>
              <w:rPr>
                <w:sz w:val="20"/>
                <w:szCs w:val="20"/>
                <w:color w:val="auto"/>
              </w:rPr>
            </w:pPr>
            <w:r>
              <w:rPr>
                <w:rFonts w:ascii="Calibri" w:cs="Calibri" w:eastAsia="Calibri" w:hAnsi="Calibri"/>
                <w:sz w:val="18"/>
                <w:szCs w:val="18"/>
                <w:b w:val="1"/>
                <w:bCs w:val="1"/>
                <w:color w:val="auto"/>
              </w:rPr>
              <w:t>$</w:t>
            </w:r>
          </w:p>
        </w:tc>
        <w:tc>
          <w:tcPr>
            <w:tcW w:w="1320" w:type="dxa"/>
            <w:vAlign w:val="bottom"/>
            <w:gridSpan w:val="2"/>
          </w:tcPr>
          <w:p>
            <w:pPr>
              <w:jc w:val="right"/>
              <w:ind w:right="70"/>
              <w:spacing w:after="0" w:line="209" w:lineRule="exact"/>
              <w:rPr>
                <w:sz w:val="20"/>
                <w:szCs w:val="20"/>
                <w:color w:val="auto"/>
              </w:rPr>
            </w:pPr>
            <w:r>
              <w:rPr>
                <w:rFonts w:ascii="Calibri" w:cs="Calibri" w:eastAsia="Calibri" w:hAnsi="Calibri"/>
                <w:sz w:val="18"/>
                <w:szCs w:val="18"/>
                <w:b w:val="1"/>
                <w:bCs w:val="1"/>
                <w:color w:val="auto"/>
              </w:rPr>
              <w:t>(1,538 )</w:t>
            </w:r>
          </w:p>
        </w:tc>
        <w:tc>
          <w:tcPr>
            <w:tcW w:w="16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w w:val="87"/>
              </w:rPr>
              <w:t>$</w:t>
            </w:r>
          </w:p>
        </w:tc>
        <w:tc>
          <w:tcPr>
            <w:tcW w:w="116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45,945</w:t>
            </w:r>
          </w:p>
        </w:tc>
        <w:tc>
          <w:tcPr>
            <w:tcW w:w="540" w:type="dxa"/>
            <w:vAlign w:val="bottom"/>
            <w:gridSpan w:val="2"/>
          </w:tcPr>
          <w:p>
            <w:pPr>
              <w:jc w:val="right"/>
              <w:ind w:right="110"/>
              <w:spacing w:after="0" w:line="209" w:lineRule="exact"/>
              <w:rPr>
                <w:sz w:val="20"/>
                <w:szCs w:val="20"/>
                <w:color w:val="auto"/>
              </w:rPr>
            </w:pPr>
            <w:r>
              <w:rPr>
                <w:rFonts w:ascii="Calibri" w:cs="Calibri" w:eastAsia="Calibri" w:hAnsi="Calibri"/>
                <w:sz w:val="18"/>
                <w:szCs w:val="18"/>
                <w:b w:val="1"/>
                <w:bCs w:val="1"/>
                <w:color w:val="auto"/>
              </w:rPr>
              <w:t>$</w:t>
            </w:r>
          </w:p>
        </w:tc>
        <w:tc>
          <w:tcPr>
            <w:tcW w:w="1180" w:type="dxa"/>
            <w:vAlign w:val="bottom"/>
            <w:gridSpan w:val="2"/>
          </w:tcPr>
          <w:p>
            <w:pPr>
              <w:jc w:val="right"/>
              <w:spacing w:after="0" w:line="209" w:lineRule="exact"/>
              <w:rPr>
                <w:sz w:val="20"/>
                <w:szCs w:val="20"/>
                <w:color w:val="auto"/>
              </w:rPr>
            </w:pPr>
            <w:r>
              <w:rPr>
                <w:rFonts w:ascii="Calibri" w:cs="Calibri" w:eastAsia="Calibri" w:hAnsi="Calibri"/>
                <w:sz w:val="18"/>
                <w:szCs w:val="18"/>
                <w:b w:val="1"/>
                <w:bCs w:val="1"/>
                <w:color w:val="auto"/>
              </w:rPr>
              <w:t>(18,631 )</w:t>
            </w:r>
          </w:p>
        </w:tc>
        <w:tc>
          <w:tcPr>
            <w:tcW w:w="0" w:type="dxa"/>
            <w:vAlign w:val="bottom"/>
          </w:tcPr>
          <w:p>
            <w:pPr>
              <w:spacing w:after="0"/>
              <w:rPr>
                <w:sz w:val="1"/>
                <w:szCs w:val="1"/>
                <w:color w:val="auto"/>
              </w:rPr>
            </w:pPr>
          </w:p>
        </w:tc>
      </w:tr>
      <w:tr>
        <w:trPr>
          <w:trHeight w:val="167"/>
        </w:trPr>
        <w:tc>
          <w:tcPr>
            <w:tcW w:w="4960" w:type="dxa"/>
            <w:vAlign w:val="bottom"/>
            <w:shd w:val="clear" w:color="auto" w:fill="CFF0FC"/>
          </w:tcPr>
          <w:p>
            <w:pPr>
              <w:ind w:left="120"/>
              <w:spacing w:after="0" w:line="167" w:lineRule="exact"/>
              <w:rPr>
                <w:sz w:val="20"/>
                <w:szCs w:val="20"/>
                <w:color w:val="auto"/>
              </w:rPr>
            </w:pPr>
            <w:r>
              <w:rPr>
                <w:rFonts w:ascii="Calibri" w:cs="Calibri" w:eastAsia="Calibri" w:hAnsi="Calibri"/>
                <w:sz w:val="18"/>
                <w:szCs w:val="18"/>
                <w:color w:val="auto"/>
              </w:rPr>
              <w:t>Comprehensive loss atributable to Hoya Intermediate, LLC</w:t>
            </w: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96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shareholders prior to reverse recapitalizaton</w:t>
            </w:r>
          </w:p>
        </w:tc>
        <w:tc>
          <w:tcPr>
            <w:tcW w:w="16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gridSpan w:val="2"/>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rPr>
              <w:t>(1,538 )</w:t>
            </w:r>
          </w:p>
        </w:tc>
        <w:tc>
          <w:tcPr>
            <w:tcW w:w="1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(18,631 )</w:t>
            </w:r>
          </w:p>
        </w:tc>
        <w:tc>
          <w:tcPr>
            <w:tcW w:w="0" w:type="dxa"/>
            <w:vAlign w:val="bottom"/>
          </w:tcPr>
          <w:p>
            <w:pPr>
              <w:spacing w:after="0"/>
              <w:rPr>
                <w:sz w:val="1"/>
                <w:szCs w:val="1"/>
                <w:color w:val="auto"/>
              </w:rPr>
            </w:pPr>
          </w:p>
        </w:tc>
      </w:tr>
      <w:tr>
        <w:trPr>
          <w:trHeight w:val="167"/>
        </w:trPr>
        <w:tc>
          <w:tcPr>
            <w:tcW w:w="4960" w:type="dxa"/>
            <w:vAlign w:val="bottom"/>
          </w:tcPr>
          <w:p>
            <w:pPr>
              <w:ind w:left="120"/>
              <w:spacing w:after="0" w:line="166" w:lineRule="exact"/>
              <w:rPr>
                <w:sz w:val="20"/>
                <w:szCs w:val="20"/>
                <w:color w:val="auto"/>
              </w:rPr>
            </w:pPr>
            <w:r>
              <w:rPr>
                <w:rFonts w:ascii="Calibri" w:cs="Calibri" w:eastAsia="Calibri" w:hAnsi="Calibri"/>
                <w:sz w:val="18"/>
                <w:szCs w:val="18"/>
                <w:color w:val="auto"/>
              </w:rPr>
              <w:t>Comprehensive income atributable to redeemable</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Calibri" w:cs="Calibri" w:eastAsia="Calibri" w:hAnsi="Calibri"/>
                <w:sz w:val="18"/>
                <w:szCs w:val="18"/>
                <w:color w:val="auto"/>
              </w:rPr>
              <w:t>11,084</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2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Calibri" w:cs="Calibri" w:eastAsia="Calibri" w:hAnsi="Calibri"/>
                <w:sz w:val="18"/>
                <w:szCs w:val="18"/>
                <w:color w:val="auto"/>
              </w:rPr>
              <w:t>27,368</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960" w:type="dxa"/>
            <w:vAlign w:val="bottom"/>
          </w:tcPr>
          <w:p>
            <w:pPr>
              <w:ind w:left="120"/>
              <w:spacing w:after="0" w:line="215" w:lineRule="exact"/>
              <w:rPr>
                <w:sz w:val="20"/>
                <w:szCs w:val="20"/>
                <w:color w:val="auto"/>
              </w:rPr>
            </w:pPr>
            <w:r>
              <w:rPr>
                <w:rFonts w:ascii="Calibri" w:cs="Calibri" w:eastAsia="Calibri" w:hAnsi="Calibri"/>
                <w:sz w:val="18"/>
                <w:szCs w:val="18"/>
                <w:color w:val="auto"/>
              </w:rPr>
              <w:t>noncontrolling interests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960" w:type="dxa"/>
            <w:vAlign w:val="bottom"/>
            <w:shd w:val="clear" w:color="auto" w:fill="CFF0FC"/>
          </w:tcPr>
          <w:p>
            <w:pPr>
              <w:ind w:left="20"/>
              <w:spacing w:after="0" w:line="166" w:lineRule="exact"/>
              <w:rPr>
                <w:sz w:val="20"/>
                <w:szCs w:val="20"/>
                <w:color w:val="auto"/>
              </w:rPr>
            </w:pPr>
            <w:r>
              <w:rPr>
                <w:rFonts w:ascii="Calibri" w:cs="Calibri" w:eastAsia="Calibri" w:hAnsi="Calibri"/>
                <w:sz w:val="18"/>
                <w:szCs w:val="18"/>
                <w:b w:val="1"/>
                <w:bCs w:val="1"/>
                <w:color w:val="auto"/>
              </w:rPr>
              <w:t>Comprehensive income atributable to Class A Common</w:t>
            </w:r>
          </w:p>
        </w:tc>
        <w:tc>
          <w:tcPr>
            <w:tcW w:w="1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b w:val="1"/>
                <w:bCs w:val="1"/>
                <w:color w:val="auto"/>
                <w:w w:val="87"/>
              </w:rPr>
              <w:t>$</w:t>
            </w:r>
          </w:p>
        </w:tc>
        <w:tc>
          <w:tcPr>
            <w:tcW w:w="12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b w:val="1"/>
                <w:bCs w:val="1"/>
                <w:color w:val="auto"/>
              </w:rPr>
              <w:t>7,663</w:t>
            </w:r>
          </w:p>
        </w:tc>
        <w:tc>
          <w:tcPr>
            <w:tcW w:w="240" w:type="dxa"/>
            <w:vAlign w:val="bottom"/>
            <w:vMerge w:val="restart"/>
            <w:shd w:val="clear" w:color="auto" w:fill="CFF0FC"/>
          </w:tcPr>
          <w:p>
            <w:pPr>
              <w:spacing w:after="0"/>
              <w:rPr>
                <w:sz w:val="14"/>
                <w:szCs w:val="14"/>
                <w:color w:val="auto"/>
              </w:rPr>
            </w:pPr>
          </w:p>
        </w:tc>
        <w:tc>
          <w:tcPr>
            <w:tcW w:w="320" w:type="dxa"/>
            <w:vAlign w:val="bottom"/>
            <w:vMerge w:val="restart"/>
            <w:shd w:val="clear" w:color="auto" w:fill="CFF0FC"/>
          </w:tcPr>
          <w:p>
            <w:pPr>
              <w:jc w:val="right"/>
              <w:ind w:right="110"/>
              <w:spacing w:after="0"/>
              <w:rPr>
                <w:sz w:val="20"/>
                <w:szCs w:val="20"/>
                <w:color w:val="auto"/>
              </w:rPr>
            </w:pPr>
            <w:r>
              <w:rPr>
                <w:rFonts w:ascii="Calibri" w:cs="Calibri" w:eastAsia="Calibri" w:hAnsi="Calibri"/>
                <w:sz w:val="18"/>
                <w:szCs w:val="18"/>
                <w:b w:val="1"/>
                <w:bCs w:val="1"/>
                <w:color w:val="auto"/>
              </w:rPr>
              <w:t>$</w:t>
            </w:r>
          </w:p>
        </w:tc>
        <w:tc>
          <w:tcPr>
            <w:tcW w:w="11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b w:val="1"/>
                <w:bCs w:val="1"/>
                <w:color w:val="auto"/>
              </w:rPr>
              <w:t>—</w:t>
            </w:r>
          </w:p>
        </w:tc>
        <w:tc>
          <w:tcPr>
            <w:tcW w:w="220" w:type="dxa"/>
            <w:vAlign w:val="bottom"/>
            <w:vMerge w:val="restart"/>
            <w:shd w:val="clear" w:color="auto" w:fill="CFF0FC"/>
          </w:tcPr>
          <w:p>
            <w:pPr>
              <w:spacing w:after="0"/>
              <w:rPr>
                <w:sz w:val="14"/>
                <w:szCs w:val="14"/>
                <w:color w:val="auto"/>
              </w:rPr>
            </w:pPr>
          </w:p>
        </w:tc>
        <w:tc>
          <w:tcPr>
            <w:tcW w:w="1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b w:val="1"/>
                <w:bCs w:val="1"/>
                <w:color w:val="auto"/>
                <w:w w:val="87"/>
              </w:rPr>
              <w:t>$</w:t>
            </w:r>
          </w:p>
        </w:tc>
        <w:tc>
          <w:tcPr>
            <w:tcW w:w="11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b w:val="1"/>
                <w:bCs w:val="1"/>
                <w:color w:val="auto"/>
              </w:rPr>
              <w:t>18,577</w:t>
            </w:r>
          </w:p>
        </w:tc>
        <w:tc>
          <w:tcPr>
            <w:tcW w:w="240" w:type="dxa"/>
            <w:vAlign w:val="bottom"/>
            <w:vMerge w:val="restart"/>
            <w:shd w:val="clear" w:color="auto" w:fill="CFF0FC"/>
          </w:tcPr>
          <w:p>
            <w:pPr>
              <w:spacing w:after="0"/>
              <w:rPr>
                <w:sz w:val="14"/>
                <w:szCs w:val="14"/>
                <w:color w:val="auto"/>
              </w:rPr>
            </w:pPr>
          </w:p>
        </w:tc>
        <w:tc>
          <w:tcPr>
            <w:tcW w:w="300" w:type="dxa"/>
            <w:vAlign w:val="bottom"/>
            <w:vMerge w:val="restart"/>
            <w:shd w:val="clear" w:color="auto" w:fill="CFF0FC"/>
          </w:tcPr>
          <w:p>
            <w:pPr>
              <w:jc w:val="right"/>
              <w:ind w:right="110"/>
              <w:spacing w:after="0"/>
              <w:rPr>
                <w:sz w:val="20"/>
                <w:szCs w:val="20"/>
                <w:color w:val="auto"/>
              </w:rPr>
            </w:pPr>
            <w:r>
              <w:rPr>
                <w:rFonts w:ascii="Calibri" w:cs="Calibri" w:eastAsia="Calibri" w:hAnsi="Calibri"/>
                <w:sz w:val="18"/>
                <w:szCs w:val="18"/>
                <w:b w:val="1"/>
                <w:bCs w:val="1"/>
                <w:color w:val="auto"/>
                <w:w w:val="87"/>
              </w:rPr>
              <w:t>$</w:t>
            </w:r>
          </w:p>
        </w:tc>
        <w:tc>
          <w:tcPr>
            <w:tcW w:w="108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b w:val="1"/>
                <w:bCs w:val="1"/>
                <w:color w:val="auto"/>
              </w:rPr>
              <w:t>—</w:t>
            </w:r>
          </w:p>
        </w:tc>
        <w:tc>
          <w:tcPr>
            <w:tcW w:w="100" w:type="dxa"/>
            <w:vAlign w:val="bottom"/>
            <w:vMerge w:val="restart"/>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960" w:type="dxa"/>
            <w:vAlign w:val="bottom"/>
            <w:tcBorders>
              <w:bottom w:val="single" w:sz="8" w:color="CFF0FC"/>
            </w:tcBorders>
            <w:shd w:val="clear" w:color="auto" w:fill="CFF0FC"/>
          </w:tcPr>
          <w:p>
            <w:pPr>
              <w:ind w:left="20"/>
              <w:spacing w:after="0" w:line="198" w:lineRule="exact"/>
              <w:rPr>
                <w:sz w:val="20"/>
                <w:szCs w:val="20"/>
                <w:color w:val="auto"/>
              </w:rPr>
            </w:pPr>
            <w:r>
              <w:rPr>
                <w:rFonts w:ascii="Calibri" w:cs="Calibri" w:eastAsia="Calibri" w:hAnsi="Calibri"/>
                <w:sz w:val="18"/>
                <w:szCs w:val="18"/>
                <w:b w:val="1"/>
                <w:bCs w:val="1"/>
                <w:color w:val="auto"/>
              </w:rPr>
              <w:t>Stockholders</w:t>
            </w:r>
          </w:p>
        </w:tc>
        <w:tc>
          <w:tcPr>
            <w:tcW w:w="160" w:type="dxa"/>
            <w:vAlign w:val="bottom"/>
            <w:tcBorders>
              <w:bottom w:val="single" w:sz="8" w:color="auto"/>
            </w:tcBorders>
            <w:vMerge w:val="continue"/>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vMerge w:val="continue"/>
            <w:shd w:val="clear" w:color="auto" w:fill="CFF0FC"/>
          </w:tcPr>
          <w:p>
            <w:pPr>
              <w:spacing w:after="0"/>
              <w:rPr>
                <w:sz w:val="20"/>
                <w:szCs w:val="20"/>
                <w:color w:val="auto"/>
              </w:rPr>
            </w:pPr>
          </w:p>
        </w:tc>
        <w:tc>
          <w:tcPr>
            <w:tcW w:w="320" w:type="dxa"/>
            <w:vAlign w:val="bottom"/>
            <w:tcBorders>
              <w:bottom w:val="single" w:sz="8" w:color="auto"/>
            </w:tcBorders>
            <w:vMerge w:val="continue"/>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vMerge w:val="continue"/>
            <w:shd w:val="clear" w:color="auto" w:fill="CFF0FC"/>
          </w:tcPr>
          <w:p>
            <w:pPr>
              <w:spacing w:after="0"/>
              <w:rPr>
                <w:sz w:val="20"/>
                <w:szCs w:val="20"/>
                <w:color w:val="auto"/>
              </w:rPr>
            </w:pPr>
          </w:p>
        </w:tc>
        <w:tc>
          <w:tcPr>
            <w:tcW w:w="160" w:type="dxa"/>
            <w:vAlign w:val="bottom"/>
            <w:tcBorders>
              <w:bottom w:val="single" w:sz="8" w:color="auto"/>
            </w:tcBorders>
            <w:vMerge w:val="continue"/>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vMerge w:val="continue"/>
            <w:shd w:val="clear" w:color="auto" w:fill="CFF0FC"/>
          </w:tcPr>
          <w:p>
            <w:pPr>
              <w:spacing w:after="0"/>
              <w:rPr>
                <w:sz w:val="20"/>
                <w:szCs w:val="20"/>
                <w:color w:val="auto"/>
              </w:rPr>
            </w:pPr>
          </w:p>
        </w:tc>
        <w:tc>
          <w:tcPr>
            <w:tcW w:w="300" w:type="dxa"/>
            <w:vAlign w:val="bottom"/>
            <w:tcBorders>
              <w:bottom w:val="single" w:sz="8" w:color="auto"/>
            </w:tcBorders>
            <w:vMerge w:val="continue"/>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-916305</wp:posOffset>
            </wp:positionV>
            <wp:extent cx="7683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-916305</wp:posOffset>
            </wp:positionV>
            <wp:extent cx="6858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-916305</wp:posOffset>
            </wp:positionV>
            <wp:extent cx="6858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-24765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11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 w:name="page8"/>
    <w:bookmarkEnd w:id="7"/>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CONDENSED CONSOLIDATED STATEMENTS OF DEFICIT</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share/unit data) (Unaudited)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20" w:type="dxa"/>
            <w:vAlign w:val="bottom"/>
          </w:tcPr>
          <w:p>
            <w:pPr>
              <w:spacing w:after="0"/>
              <w:rPr>
                <w:sz w:val="19"/>
                <w:szCs w:val="19"/>
                <w:color w:val="auto"/>
              </w:rPr>
            </w:pPr>
          </w:p>
        </w:tc>
        <w:tc>
          <w:tcPr>
            <w:tcW w:w="1320" w:type="dxa"/>
            <w:vAlign w:val="bottom"/>
            <w:gridSpan w:val="4"/>
          </w:tcPr>
          <w:p>
            <w:pPr>
              <w:jc w:val="center"/>
              <w:spacing w:after="0"/>
              <w:rPr>
                <w:sz w:val="20"/>
                <w:szCs w:val="20"/>
                <w:color w:val="auto"/>
              </w:rPr>
            </w:pPr>
            <w:r>
              <w:rPr>
                <w:rFonts w:ascii="Calibri" w:cs="Calibri" w:eastAsia="Calibri" w:hAnsi="Calibri"/>
                <w:sz w:val="18"/>
                <w:szCs w:val="18"/>
                <w:b w:val="1"/>
                <w:bCs w:val="1"/>
                <w:color w:val="auto"/>
                <w:w w:val="98"/>
              </w:rPr>
              <w:t>Redeemable</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320" w:type="dxa"/>
            <w:vAlign w:val="bottom"/>
            <w:gridSpan w:val="4"/>
          </w:tcPr>
          <w:p>
            <w:pPr>
              <w:jc w:val="center"/>
              <w:spacing w:after="0" w:line="189" w:lineRule="exact"/>
              <w:rPr>
                <w:sz w:val="20"/>
                <w:szCs w:val="20"/>
                <w:color w:val="auto"/>
              </w:rPr>
            </w:pPr>
            <w:r>
              <w:rPr>
                <w:rFonts w:ascii="Calibri" w:cs="Calibri" w:eastAsia="Calibri" w:hAnsi="Calibri"/>
                <w:sz w:val="18"/>
                <w:szCs w:val="18"/>
                <w:b w:val="1"/>
                <w:bCs w:val="1"/>
                <w:color w:val="auto"/>
                <w:w w:val="97"/>
              </w:rPr>
              <w:t>Senior preferred</w:t>
            </w:r>
          </w:p>
        </w:tc>
        <w:tc>
          <w:tcPr>
            <w:tcW w:w="220" w:type="dxa"/>
            <w:vAlign w:val="bottom"/>
          </w:tcPr>
          <w:p>
            <w:pPr>
              <w:spacing w:after="0"/>
              <w:rPr>
                <w:sz w:val="16"/>
                <w:szCs w:val="16"/>
                <w:color w:val="auto"/>
              </w:rPr>
            </w:pPr>
          </w:p>
        </w:tc>
        <w:tc>
          <w:tcPr>
            <w:tcW w:w="1260" w:type="dxa"/>
            <w:vAlign w:val="bottom"/>
            <w:gridSpan w:val="3"/>
          </w:tcPr>
          <w:p>
            <w:pPr>
              <w:jc w:val="right"/>
              <w:ind w:right="90"/>
              <w:spacing w:after="0" w:line="189" w:lineRule="exact"/>
              <w:rPr>
                <w:sz w:val="20"/>
                <w:szCs w:val="20"/>
                <w:color w:val="auto"/>
              </w:rPr>
            </w:pPr>
            <w:r>
              <w:rPr>
                <w:rFonts w:ascii="Calibri" w:cs="Calibri" w:eastAsia="Calibri" w:hAnsi="Calibri"/>
                <w:sz w:val="18"/>
                <w:szCs w:val="18"/>
                <w:b w:val="1"/>
                <w:bCs w:val="1"/>
                <w:color w:val="auto"/>
              </w:rPr>
              <w:t>Redeemable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spacing w:after="0" w:line="189" w:lineRule="exact"/>
              <w:rPr>
                <w:sz w:val="20"/>
                <w:szCs w:val="20"/>
                <w:color w:val="auto"/>
              </w:rPr>
            </w:pPr>
            <w:r>
              <w:rPr>
                <w:rFonts w:ascii="Calibri" w:cs="Calibri" w:eastAsia="Calibri" w:hAnsi="Calibri"/>
                <w:sz w:val="18"/>
                <w:szCs w:val="18"/>
                <w:b w:val="1"/>
                <w:bCs w:val="1"/>
                <w:color w:val="auto"/>
              </w:rPr>
              <w:t>Common</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3"/>
          </w:tcPr>
          <w:p>
            <w:pPr>
              <w:jc w:val="center"/>
              <w:ind w:right="370"/>
              <w:spacing w:after="0" w:line="215" w:lineRule="exact"/>
              <w:rPr>
                <w:sz w:val="20"/>
                <w:szCs w:val="20"/>
                <w:color w:val="auto"/>
              </w:rPr>
            </w:pPr>
            <w:r>
              <w:rPr>
                <w:rFonts w:ascii="Calibri" w:cs="Calibri" w:eastAsia="Calibri" w:hAnsi="Calibri"/>
                <w:sz w:val="18"/>
                <w:szCs w:val="18"/>
                <w:b w:val="1"/>
                <w:bCs w:val="1"/>
                <w:color w:val="auto"/>
                <w:w w:val="96"/>
              </w:rPr>
              <w:t>units</w:t>
            </w:r>
          </w:p>
        </w:tc>
        <w:tc>
          <w:tcPr>
            <w:tcW w:w="220" w:type="dxa"/>
            <w:vAlign w:val="bottom"/>
          </w:tcPr>
          <w:p>
            <w:pPr>
              <w:spacing w:after="0"/>
              <w:rPr>
                <w:sz w:val="18"/>
                <w:szCs w:val="18"/>
                <w:color w:val="auto"/>
              </w:rPr>
            </w:pPr>
          </w:p>
        </w:tc>
        <w:tc>
          <w:tcPr>
            <w:tcW w:w="1260" w:type="dxa"/>
            <w:vAlign w:val="bottom"/>
            <w:gridSpan w:val="3"/>
          </w:tcPr>
          <w:p>
            <w:pPr>
              <w:jc w:val="right"/>
              <w:spacing w:after="0" w:line="215" w:lineRule="exact"/>
              <w:rPr>
                <w:sz w:val="20"/>
                <w:szCs w:val="20"/>
                <w:color w:val="auto"/>
              </w:rPr>
            </w:pPr>
            <w:r>
              <w:rPr>
                <w:rFonts w:ascii="Calibri" w:cs="Calibri" w:eastAsia="Calibri" w:hAnsi="Calibri"/>
                <w:sz w:val="18"/>
                <w:szCs w:val="18"/>
                <w:b w:val="1"/>
                <w:bCs w:val="1"/>
                <w:color w:val="auto"/>
              </w:rPr>
              <w:t>Preferred units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b w:val="1"/>
                <w:bCs w:val="1"/>
                <w:color w:val="auto"/>
                <w:w w:val="96"/>
              </w:rPr>
              <w:t>units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vMerge w:val="restart"/>
          </w:tcPr>
          <w:p>
            <w:pPr>
              <w:jc w:val="center"/>
              <w:ind w:right="180"/>
              <w:spacing w:after="0"/>
              <w:rPr>
                <w:sz w:val="20"/>
                <w:szCs w:val="20"/>
                <w:color w:val="auto"/>
              </w:rPr>
            </w:pPr>
            <w:r>
              <w:rPr>
                <w:rFonts w:ascii="Calibri" w:cs="Calibri" w:eastAsia="Calibri" w:hAnsi="Calibri"/>
                <w:sz w:val="18"/>
                <w:szCs w:val="18"/>
                <w:b w:val="1"/>
                <w:bCs w:val="1"/>
                <w:color w:val="auto"/>
              </w:rPr>
              <w:t>Additona</w:t>
            </w: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vMerge w:val="restart"/>
          </w:tcPr>
          <w:p>
            <w:pPr>
              <w:jc w:val="center"/>
              <w:ind w:right="320"/>
              <w:spacing w:after="0" w:line="204" w:lineRule="exact"/>
              <w:rPr>
                <w:sz w:val="20"/>
                <w:szCs w:val="20"/>
                <w:color w:val="auto"/>
              </w:rPr>
            </w:pPr>
            <w:r>
              <w:rPr>
                <w:rFonts w:ascii="Calibri" w:cs="Calibri" w:eastAsia="Calibri" w:hAnsi="Calibri"/>
                <w:sz w:val="18"/>
                <w:szCs w:val="18"/>
                <w:b w:val="1"/>
                <w:bCs w:val="1"/>
                <w:color w:val="auto"/>
                <w:w w:val="97"/>
              </w:rPr>
              <w:t>Accumulated</w:t>
            </w:r>
          </w:p>
        </w:tc>
        <w:tc>
          <w:tcPr>
            <w:tcW w:w="140" w:type="dxa"/>
            <w:vAlign w:val="bottom"/>
          </w:tcPr>
          <w:p>
            <w:pPr>
              <w:spacing w:after="0"/>
              <w:rPr>
                <w:sz w:val="2"/>
                <w:szCs w:val="2"/>
                <w:color w:val="auto"/>
              </w:rPr>
            </w:pPr>
          </w:p>
        </w:tc>
        <w:tc>
          <w:tcPr>
            <w:tcW w:w="680" w:type="dxa"/>
            <w:vAlign w:val="bottom"/>
            <w:gridSpan w:val="2"/>
            <w:vMerge w:val="restart"/>
          </w:tcPr>
          <w:p>
            <w:pPr>
              <w:jc w:val="center"/>
              <w:ind w:right="280"/>
              <w:spacing w:after="0"/>
              <w:rPr>
                <w:sz w:val="20"/>
                <w:szCs w:val="20"/>
                <w:color w:val="auto"/>
              </w:rPr>
            </w:pPr>
            <w:r>
              <w:rPr>
                <w:rFonts w:ascii="Calibri" w:cs="Calibri" w:eastAsia="Calibri" w:hAnsi="Calibri"/>
                <w:sz w:val="18"/>
                <w:szCs w:val="18"/>
                <w:b w:val="1"/>
                <w:bCs w:val="1"/>
                <w:color w:val="auto"/>
                <w:w w:val="94"/>
              </w:rPr>
              <w:t>Total</w:t>
            </w:r>
          </w:p>
        </w:tc>
        <w:tc>
          <w:tcPr>
            <w:tcW w:w="0" w:type="dxa"/>
            <w:vAlign w:val="bottom"/>
          </w:tcPr>
          <w:p>
            <w:pPr>
              <w:spacing w:after="0"/>
              <w:rPr>
                <w:sz w:val="1"/>
                <w:szCs w:val="1"/>
                <w:color w:val="auto"/>
              </w:rPr>
            </w:pPr>
          </w:p>
        </w:tc>
      </w:tr>
      <w:tr>
        <w:trPr>
          <w:trHeight w:val="160"/>
        </w:trPr>
        <w:tc>
          <w:tcPr>
            <w:tcW w:w="2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restart"/>
          </w:tcPr>
          <w:p>
            <w:pPr>
              <w:jc w:val="right"/>
              <w:spacing w:after="0" w:line="189" w:lineRule="exact"/>
              <w:rPr>
                <w:sz w:val="20"/>
                <w:szCs w:val="20"/>
                <w:color w:val="auto"/>
              </w:rPr>
            </w:pPr>
            <w:r>
              <w:rPr>
                <w:rFonts w:ascii="Calibri" w:cs="Calibri" w:eastAsia="Calibri" w:hAnsi="Calibri"/>
                <w:sz w:val="18"/>
                <w:szCs w:val="18"/>
                <w:b w:val="1"/>
                <w:bCs w:val="1"/>
                <w:color w:val="auto"/>
                <w:w w:val="98"/>
              </w:rPr>
              <w:t>Amoun</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vMerge w:val="restart"/>
          </w:tcPr>
          <w:p>
            <w:pPr>
              <w:jc w:val="right"/>
              <w:spacing w:after="0" w:line="189" w:lineRule="exact"/>
              <w:rPr>
                <w:sz w:val="20"/>
                <w:szCs w:val="20"/>
                <w:color w:val="auto"/>
              </w:rPr>
            </w:pPr>
            <w:r>
              <w:rPr>
                <w:rFonts w:ascii="Calibri" w:cs="Calibri" w:eastAsia="Calibri" w:hAnsi="Calibri"/>
                <w:sz w:val="18"/>
                <w:szCs w:val="18"/>
                <w:b w:val="1"/>
                <w:bCs w:val="1"/>
                <w:color w:val="auto"/>
                <w:w w:val="92"/>
              </w:rPr>
              <w:t>Uni</w:t>
            </w:r>
          </w:p>
        </w:tc>
        <w:tc>
          <w:tcPr>
            <w:tcW w:w="180" w:type="dxa"/>
            <w:vAlign w:val="bottom"/>
          </w:tcPr>
          <w:p>
            <w:pPr>
              <w:spacing w:after="0"/>
              <w:rPr>
                <w:sz w:val="8"/>
                <w:szCs w:val="8"/>
                <w:color w:val="auto"/>
              </w:rPr>
            </w:pPr>
          </w:p>
        </w:tc>
        <w:tc>
          <w:tcPr>
            <w:tcW w:w="560" w:type="dxa"/>
            <w:vAlign w:val="bottom"/>
            <w:gridSpan w:val="2"/>
            <w:vMerge w:val="restart"/>
          </w:tcPr>
          <w:p>
            <w:pPr>
              <w:ind w:left="60"/>
              <w:spacing w:after="0" w:line="189" w:lineRule="exact"/>
              <w:rPr>
                <w:sz w:val="20"/>
                <w:szCs w:val="20"/>
                <w:color w:val="auto"/>
              </w:rPr>
            </w:pPr>
            <w:r>
              <w:rPr>
                <w:rFonts w:ascii="Calibri" w:cs="Calibri" w:eastAsia="Calibri" w:hAnsi="Calibri"/>
                <w:sz w:val="18"/>
                <w:szCs w:val="18"/>
                <w:b w:val="1"/>
                <w:bCs w:val="1"/>
                <w:color w:val="auto"/>
              </w:rPr>
              <w:t>Amou</w:t>
            </w:r>
          </w:p>
        </w:tc>
        <w:tc>
          <w:tcPr>
            <w:tcW w:w="1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120" w:type="dxa"/>
            <w:vAlign w:val="bottom"/>
            <w:gridSpan w:val="2"/>
            <w:vMerge w:val="restart"/>
          </w:tcPr>
          <w:p>
            <w:pPr>
              <w:jc w:val="right"/>
              <w:ind w:right="220"/>
              <w:spacing w:after="0" w:line="189" w:lineRule="exact"/>
              <w:rPr>
                <w:sz w:val="20"/>
                <w:szCs w:val="20"/>
                <w:color w:val="auto"/>
              </w:rPr>
            </w:pPr>
            <w:r>
              <w:rPr>
                <w:rFonts w:ascii="Calibri" w:cs="Calibri" w:eastAsia="Calibri" w:hAnsi="Calibri"/>
                <w:sz w:val="18"/>
                <w:szCs w:val="18"/>
                <w:b w:val="1"/>
                <w:bCs w:val="1"/>
                <w:color w:val="auto"/>
                <w:w w:val="99"/>
              </w:rPr>
              <w:t>Accumulate</w:t>
            </w:r>
          </w:p>
        </w:tc>
        <w:tc>
          <w:tcPr>
            <w:tcW w:w="100" w:type="dxa"/>
            <w:vAlign w:val="bottom"/>
          </w:tcPr>
          <w:p>
            <w:pPr>
              <w:spacing w:after="0"/>
              <w:rPr>
                <w:sz w:val="8"/>
                <w:szCs w:val="8"/>
                <w:color w:val="auto"/>
              </w:rPr>
            </w:pPr>
          </w:p>
        </w:tc>
        <w:tc>
          <w:tcPr>
            <w:tcW w:w="1280" w:type="dxa"/>
            <w:vAlign w:val="bottom"/>
            <w:gridSpan w:val="2"/>
            <w:vMerge w:val="restart"/>
          </w:tcPr>
          <w:p>
            <w:pPr>
              <w:jc w:val="center"/>
              <w:ind w:right="320"/>
              <w:spacing w:after="0" w:line="189" w:lineRule="exact"/>
              <w:rPr>
                <w:sz w:val="20"/>
                <w:szCs w:val="20"/>
                <w:color w:val="auto"/>
              </w:rPr>
            </w:pPr>
            <w:r>
              <w:rPr>
                <w:rFonts w:ascii="Calibri" w:cs="Calibri" w:eastAsia="Calibri" w:hAnsi="Calibri"/>
                <w:sz w:val="18"/>
                <w:szCs w:val="18"/>
                <w:b w:val="1"/>
                <w:bCs w:val="1"/>
                <w:color w:val="auto"/>
                <w:w w:val="97"/>
              </w:rPr>
              <w:t>other</w:t>
            </w: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620" w:type="dxa"/>
            <w:vAlign w:val="bottom"/>
          </w:tcPr>
          <w:p>
            <w:pPr>
              <w:spacing w:after="0"/>
              <w:rPr>
                <w:sz w:val="8"/>
                <w:szCs w:val="8"/>
                <w:color w:val="auto"/>
              </w:rPr>
            </w:pPr>
          </w:p>
        </w:tc>
        <w:tc>
          <w:tcPr>
            <w:tcW w:w="460" w:type="dxa"/>
            <w:vAlign w:val="bottom"/>
            <w:vMerge w:val="restart"/>
          </w:tcPr>
          <w:p>
            <w:pPr>
              <w:jc w:val="right"/>
              <w:spacing w:after="0" w:line="189" w:lineRule="exact"/>
              <w:rPr>
                <w:sz w:val="20"/>
                <w:szCs w:val="20"/>
                <w:color w:val="auto"/>
              </w:rPr>
            </w:pPr>
            <w:r>
              <w:rPr>
                <w:rFonts w:ascii="Calibri" w:cs="Calibri" w:eastAsia="Calibri" w:hAnsi="Calibri"/>
                <w:sz w:val="18"/>
                <w:szCs w:val="18"/>
                <w:b w:val="1"/>
                <w:bCs w:val="1"/>
                <w:color w:val="auto"/>
              </w:rPr>
              <w:t>Units</w:t>
            </w:r>
          </w:p>
        </w:tc>
        <w:tc>
          <w:tcPr>
            <w:tcW w:w="200" w:type="dxa"/>
            <w:vAlign w:val="bottom"/>
          </w:tcPr>
          <w:p>
            <w:pPr>
              <w:spacing w:after="0"/>
              <w:rPr>
                <w:sz w:val="8"/>
                <w:szCs w:val="8"/>
                <w:color w:val="auto"/>
              </w:rPr>
            </w:pPr>
          </w:p>
        </w:tc>
        <w:tc>
          <w:tcPr>
            <w:tcW w:w="660" w:type="dxa"/>
            <w:vAlign w:val="bottom"/>
            <w:gridSpan w:val="2"/>
            <w:vMerge w:val="restart"/>
          </w:tcPr>
          <w:p>
            <w:pPr>
              <w:ind w:left="40"/>
              <w:spacing w:after="0" w:line="189" w:lineRule="exact"/>
              <w:rPr>
                <w:sz w:val="20"/>
                <w:szCs w:val="20"/>
                <w:color w:val="auto"/>
              </w:rPr>
            </w:pPr>
            <w:r>
              <w:rPr>
                <w:rFonts w:ascii="Calibri" w:cs="Calibri" w:eastAsia="Calibri" w:hAnsi="Calibri"/>
                <w:sz w:val="18"/>
                <w:szCs w:val="18"/>
                <w:b w:val="1"/>
                <w:bCs w:val="1"/>
                <w:color w:val="auto"/>
                <w:w w:val="98"/>
              </w:rPr>
              <w:t>Amount</w:t>
            </w:r>
          </w:p>
        </w:tc>
        <w:tc>
          <w:tcPr>
            <w:tcW w:w="220" w:type="dxa"/>
            <w:vAlign w:val="bottom"/>
          </w:tcPr>
          <w:p>
            <w:pPr>
              <w:spacing w:after="0"/>
              <w:rPr>
                <w:sz w:val="8"/>
                <w:szCs w:val="8"/>
                <w:color w:val="auto"/>
              </w:rPr>
            </w:pPr>
          </w:p>
        </w:tc>
        <w:tc>
          <w:tcPr>
            <w:tcW w:w="460" w:type="dxa"/>
            <w:vAlign w:val="bottom"/>
            <w:vMerge w:val="restart"/>
          </w:tcPr>
          <w:p>
            <w:pPr>
              <w:jc w:val="right"/>
              <w:spacing w:after="0" w:line="189" w:lineRule="exact"/>
              <w:rPr>
                <w:sz w:val="20"/>
                <w:szCs w:val="20"/>
                <w:color w:val="auto"/>
              </w:rPr>
            </w:pPr>
            <w:r>
              <w:rPr>
                <w:rFonts w:ascii="Calibri" w:cs="Calibri" w:eastAsia="Calibri" w:hAnsi="Calibri"/>
                <w:sz w:val="18"/>
                <w:szCs w:val="18"/>
                <w:b w:val="1"/>
                <w:bCs w:val="1"/>
                <w:color w:val="auto"/>
              </w:rPr>
              <w:t>Units</w:t>
            </w: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vMerge w:val="restart"/>
          </w:tcPr>
          <w:p>
            <w:pPr>
              <w:jc w:val="center"/>
              <w:ind w:right="220"/>
              <w:spacing w:after="0" w:line="189" w:lineRule="exact"/>
              <w:rPr>
                <w:sz w:val="20"/>
                <w:szCs w:val="20"/>
                <w:color w:val="auto"/>
              </w:rPr>
            </w:pPr>
            <w:r>
              <w:rPr>
                <w:rFonts w:ascii="Calibri" w:cs="Calibri" w:eastAsia="Calibri" w:hAnsi="Calibri"/>
                <w:sz w:val="18"/>
                <w:szCs w:val="18"/>
                <w:b w:val="1"/>
                <w:bCs w:val="1"/>
                <w:color w:val="auto"/>
                <w:w w:val="98"/>
              </w:rPr>
              <w:t>l paid-in</w:t>
            </w:r>
          </w:p>
        </w:tc>
        <w:tc>
          <w:tcPr>
            <w:tcW w:w="11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820" w:type="dxa"/>
            <w:vAlign w:val="bottom"/>
            <w:gridSpan w:val="3"/>
            <w:vMerge w:val="restart"/>
          </w:tcPr>
          <w:p>
            <w:pPr>
              <w:jc w:val="center"/>
              <w:ind w:right="80"/>
              <w:spacing w:after="0" w:line="189" w:lineRule="exact"/>
              <w:rPr>
                <w:sz w:val="20"/>
                <w:szCs w:val="20"/>
                <w:color w:val="auto"/>
              </w:rPr>
            </w:pPr>
            <w:r>
              <w:rPr>
                <w:rFonts w:ascii="Calibri" w:cs="Calibri" w:eastAsia="Calibri" w:hAnsi="Calibri"/>
                <w:sz w:val="18"/>
                <w:szCs w:val="18"/>
                <w:b w:val="1"/>
                <w:bCs w:val="1"/>
                <w:color w:val="auto"/>
                <w:w w:val="97"/>
              </w:rPr>
              <w:t>member</w:t>
            </w:r>
          </w:p>
        </w:tc>
        <w:tc>
          <w:tcPr>
            <w:tcW w:w="0" w:type="dxa"/>
            <w:vAlign w:val="bottom"/>
          </w:tcPr>
          <w:p>
            <w:pPr>
              <w:spacing w:after="0"/>
              <w:rPr>
                <w:sz w:val="1"/>
                <w:szCs w:val="1"/>
                <w:color w:val="auto"/>
              </w:rPr>
            </w:pPr>
          </w:p>
        </w:tc>
      </w:tr>
      <w:tr>
        <w:trPr>
          <w:trHeight w:val="95"/>
        </w:trPr>
        <w:tc>
          <w:tcPr>
            <w:tcW w:w="26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restart"/>
          </w:tcPr>
          <w:p>
            <w:pPr>
              <w:jc w:val="right"/>
              <w:ind w:right="170"/>
              <w:spacing w:after="0" w:line="189" w:lineRule="exact"/>
              <w:rPr>
                <w:sz w:val="20"/>
                <w:szCs w:val="20"/>
                <w:color w:val="auto"/>
              </w:rPr>
            </w:pPr>
            <w:r>
              <w:rPr>
                <w:rFonts w:ascii="Calibri" w:cs="Calibri" w:eastAsia="Calibri" w:hAnsi="Calibri"/>
                <w:sz w:val="18"/>
                <w:szCs w:val="18"/>
                <w:b w:val="1"/>
                <w:bCs w:val="1"/>
                <w:color w:val="auto"/>
              </w:rPr>
              <w:t>t</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vMerge w:val="restart"/>
          </w:tcPr>
          <w:p>
            <w:pPr>
              <w:jc w:val="right"/>
              <w:ind w:right="31"/>
              <w:spacing w:after="0" w:line="189" w:lineRule="exact"/>
              <w:rPr>
                <w:sz w:val="20"/>
                <w:szCs w:val="20"/>
                <w:color w:val="auto"/>
              </w:rPr>
            </w:pPr>
            <w:r>
              <w:rPr>
                <w:rFonts w:ascii="Calibri" w:cs="Calibri" w:eastAsia="Calibri" w:hAnsi="Calibri"/>
                <w:sz w:val="18"/>
                <w:szCs w:val="18"/>
                <w:b w:val="1"/>
                <w:bCs w:val="1"/>
                <w:color w:val="auto"/>
              </w:rPr>
              <w:t>ts</w:t>
            </w:r>
          </w:p>
        </w:tc>
        <w:tc>
          <w:tcPr>
            <w:tcW w:w="180" w:type="dxa"/>
            <w:vAlign w:val="bottom"/>
          </w:tcPr>
          <w:p>
            <w:pPr>
              <w:spacing w:after="0"/>
              <w:rPr>
                <w:sz w:val="8"/>
                <w:szCs w:val="8"/>
                <w:color w:val="auto"/>
              </w:rPr>
            </w:pPr>
          </w:p>
        </w:tc>
        <w:tc>
          <w:tcPr>
            <w:tcW w:w="380" w:type="dxa"/>
            <w:vAlign w:val="bottom"/>
            <w:vMerge w:val="restart"/>
          </w:tcPr>
          <w:p>
            <w:pPr>
              <w:jc w:val="right"/>
              <w:spacing w:after="0" w:line="189" w:lineRule="exact"/>
              <w:rPr>
                <w:sz w:val="20"/>
                <w:szCs w:val="20"/>
                <w:color w:val="auto"/>
              </w:rPr>
            </w:pPr>
            <w:r>
              <w:rPr>
                <w:rFonts w:ascii="Calibri" w:cs="Calibri" w:eastAsia="Calibri" w:hAnsi="Calibri"/>
                <w:sz w:val="18"/>
                <w:szCs w:val="18"/>
                <w:b w:val="1"/>
                <w:bCs w:val="1"/>
                <w:color w:val="auto"/>
              </w:rPr>
              <w:t>nt</w:t>
            </w: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120" w:type="dxa"/>
            <w:vAlign w:val="bottom"/>
            <w:gridSpan w:val="2"/>
            <w:vMerge w:val="restart"/>
          </w:tcPr>
          <w:p>
            <w:pPr>
              <w:jc w:val="right"/>
              <w:ind w:right="360"/>
              <w:spacing w:after="0" w:line="189" w:lineRule="exact"/>
              <w:rPr>
                <w:sz w:val="20"/>
                <w:szCs w:val="20"/>
                <w:color w:val="auto"/>
              </w:rPr>
            </w:pPr>
            <w:r>
              <w:rPr>
                <w:rFonts w:ascii="Calibri" w:cs="Calibri" w:eastAsia="Calibri" w:hAnsi="Calibri"/>
                <w:sz w:val="18"/>
                <w:szCs w:val="18"/>
                <w:b w:val="1"/>
                <w:bCs w:val="1"/>
                <w:color w:val="auto"/>
              </w:rPr>
              <w:t>d defcit</w:t>
            </w:r>
          </w:p>
        </w:tc>
        <w:tc>
          <w:tcPr>
            <w:tcW w:w="1380" w:type="dxa"/>
            <w:vAlign w:val="bottom"/>
            <w:gridSpan w:val="3"/>
            <w:vMerge w:val="restart"/>
          </w:tcPr>
          <w:p>
            <w:pPr>
              <w:ind w:left="20"/>
              <w:spacing w:after="0" w:line="189" w:lineRule="exact"/>
              <w:rPr>
                <w:sz w:val="20"/>
                <w:szCs w:val="20"/>
                <w:color w:val="auto"/>
              </w:rPr>
            </w:pPr>
            <w:r>
              <w:rPr>
                <w:rFonts w:ascii="Calibri" w:cs="Calibri" w:eastAsia="Calibri" w:hAnsi="Calibri"/>
                <w:sz w:val="18"/>
                <w:szCs w:val="18"/>
                <w:b w:val="1"/>
                <w:bCs w:val="1"/>
                <w:color w:val="auto"/>
              </w:rPr>
              <w:t>comprehensive</w:t>
            </w: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vMerge w:val="restart"/>
          </w:tcPr>
          <w:p>
            <w:pPr>
              <w:jc w:val="center"/>
              <w:ind w:right="180"/>
              <w:spacing w:after="0" w:line="215" w:lineRule="exact"/>
              <w:rPr>
                <w:sz w:val="20"/>
                <w:szCs w:val="20"/>
                <w:color w:val="auto"/>
              </w:rPr>
            </w:pPr>
            <w:r>
              <w:rPr>
                <w:rFonts w:ascii="Calibri" w:cs="Calibri" w:eastAsia="Calibri" w:hAnsi="Calibri"/>
                <w:sz w:val="18"/>
                <w:szCs w:val="18"/>
                <w:b w:val="1"/>
                <w:bCs w:val="1"/>
                <w:color w:val="auto"/>
                <w:w w:val="95"/>
              </w:rPr>
              <w:t>capital</w:t>
            </w:r>
          </w:p>
        </w:tc>
        <w:tc>
          <w:tcPr>
            <w:tcW w:w="1120" w:type="dxa"/>
            <w:vAlign w:val="bottom"/>
            <w:gridSpan w:val="2"/>
            <w:vMerge w:val="continue"/>
          </w:tcPr>
          <w:p>
            <w:pPr>
              <w:spacing w:after="0"/>
              <w:rPr>
                <w:sz w:val="8"/>
                <w:szCs w:val="8"/>
                <w:color w:val="auto"/>
              </w:rPr>
            </w:pPr>
          </w:p>
        </w:tc>
        <w:tc>
          <w:tcPr>
            <w:tcW w:w="1380" w:type="dxa"/>
            <w:vAlign w:val="bottom"/>
            <w:gridSpan w:val="3"/>
            <w:vMerge w:val="continue"/>
          </w:tcPr>
          <w:p>
            <w:pPr>
              <w:spacing w:after="0"/>
              <w:rPr>
                <w:sz w:val="8"/>
                <w:szCs w:val="8"/>
                <w:color w:val="auto"/>
              </w:rPr>
            </w:pPr>
          </w:p>
        </w:tc>
        <w:tc>
          <w:tcPr>
            <w:tcW w:w="820" w:type="dxa"/>
            <w:vAlign w:val="bottom"/>
            <w:gridSpan w:val="3"/>
            <w:vMerge w:val="restart"/>
          </w:tcPr>
          <w:p>
            <w:pPr>
              <w:jc w:val="center"/>
              <w:ind w:right="100"/>
              <w:spacing w:after="0" w:line="215" w:lineRule="exact"/>
              <w:rPr>
                <w:sz w:val="20"/>
                <w:szCs w:val="20"/>
                <w:color w:val="auto"/>
              </w:rPr>
            </w:pPr>
            <w:r>
              <w:rPr>
                <w:rFonts w:ascii="Calibri" w:cs="Calibri" w:eastAsia="Calibri" w:hAnsi="Calibri"/>
                <w:sz w:val="18"/>
                <w:szCs w:val="18"/>
                <w:b w:val="1"/>
                <w:bCs w:val="1"/>
                <w:color w:val="auto"/>
              </w:rPr>
              <w:t>s' defcit</w:t>
            </w:r>
          </w:p>
        </w:tc>
        <w:tc>
          <w:tcPr>
            <w:tcW w:w="0" w:type="dxa"/>
            <w:vAlign w:val="bottom"/>
          </w:tcPr>
          <w:p>
            <w:pPr>
              <w:spacing w:after="0"/>
              <w:rPr>
                <w:sz w:val="1"/>
                <w:szCs w:val="1"/>
                <w:color w:val="auto"/>
              </w:rPr>
            </w:pPr>
          </w:p>
        </w:tc>
      </w:tr>
      <w:tr>
        <w:trPr>
          <w:trHeight w:val="120"/>
        </w:trPr>
        <w:tc>
          <w:tcPr>
            <w:tcW w:w="2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jc w:val="center"/>
              <w:ind w:right="280"/>
              <w:spacing w:after="0" w:line="215" w:lineRule="exact"/>
              <w:rPr>
                <w:sz w:val="20"/>
                <w:szCs w:val="20"/>
                <w:color w:val="auto"/>
              </w:rPr>
            </w:pPr>
            <w:r>
              <w:rPr>
                <w:rFonts w:ascii="Calibri" w:cs="Calibri" w:eastAsia="Calibri" w:hAnsi="Calibri"/>
                <w:sz w:val="18"/>
                <w:szCs w:val="18"/>
                <w:b w:val="1"/>
                <w:bCs w:val="1"/>
                <w:color w:val="auto"/>
                <w:w w:val="97"/>
              </w:rPr>
              <w:t>income (loss)</w:t>
            </w:r>
          </w:p>
        </w:tc>
        <w:tc>
          <w:tcPr>
            <w:tcW w:w="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tcBorders>
              <w:right w:val="single" w:sz="8" w:color="CFF0FC"/>
            </w:tcBorders>
            <w:gridSpan w:val="2"/>
            <w:shd w:val="clear" w:color="auto" w:fill="CFF0FC"/>
          </w:tcPr>
          <w:p>
            <w:pPr>
              <w:jc w:val="right"/>
              <w:spacing w:after="0" w:line="160" w:lineRule="exact"/>
              <w:rPr>
                <w:sz w:val="20"/>
                <w:szCs w:val="20"/>
                <w:color w:val="auto"/>
              </w:rPr>
            </w:pPr>
            <w:r>
              <w:rPr>
                <w:rFonts w:ascii="Calibri" w:cs="Calibri" w:eastAsia="Calibri" w:hAnsi="Calibri"/>
                <w:sz w:val="17"/>
                <w:szCs w:val="17"/>
                <w:color w:val="auto"/>
              </w:rPr>
              <w:t>1</w:t>
            </w:r>
          </w:p>
        </w:tc>
        <w:tc>
          <w:tcPr>
            <w:tcW w:w="1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line="189" w:lineRule="exact"/>
              <w:rPr>
                <w:sz w:val="20"/>
                <w:szCs w:val="20"/>
                <w:color w:val="auto"/>
              </w:rPr>
            </w:pPr>
            <w:r>
              <w:rPr>
                <w:rFonts w:ascii="Calibri" w:cs="Calibri" w:eastAsia="Calibri" w:hAnsi="Calibri"/>
                <w:sz w:val="18"/>
                <w:szCs w:val="18"/>
                <w:color w:val="auto"/>
                <w:w w:val="99"/>
              </w:rPr>
              <w:t>218,28</w:t>
            </w: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640" w:type="dxa"/>
            <w:vAlign w:val="bottom"/>
            <w:tcBorders>
              <w:right w:val="single" w:sz="8" w:color="CFF0FC"/>
            </w:tcBorders>
            <w:gridSpan w:val="3"/>
            <w:shd w:val="clear" w:color="auto" w:fill="CFF0FC"/>
          </w:tcPr>
          <w:p>
            <w:pPr>
              <w:jc w:val="right"/>
              <w:spacing w:after="0" w:line="189" w:lineRule="exact"/>
              <w:rPr>
                <w:sz w:val="20"/>
                <w:szCs w:val="20"/>
                <w:color w:val="auto"/>
              </w:rPr>
            </w:pPr>
            <w:r>
              <w:rPr>
                <w:rFonts w:ascii="Calibri" w:cs="Calibri" w:eastAsia="Calibri" w:hAnsi="Calibri"/>
                <w:sz w:val="18"/>
                <w:szCs w:val="18"/>
                <w:color w:val="auto"/>
              </w:rPr>
              <w:t>0</w:t>
            </w:r>
          </w:p>
        </w:tc>
        <w:tc>
          <w:tcPr>
            <w:tcW w:w="1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line="189" w:lineRule="exact"/>
              <w:rPr>
                <w:sz w:val="20"/>
                <w:szCs w:val="20"/>
                <w:color w:val="auto"/>
              </w:rPr>
            </w:pPr>
            <w:r>
              <w:rPr>
                <w:rFonts w:ascii="Calibri" w:cs="Calibri" w:eastAsia="Calibri" w:hAnsi="Calibri"/>
                <w:sz w:val="18"/>
                <w:szCs w:val="18"/>
                <w:color w:val="auto"/>
                <w:w w:val="97"/>
              </w:rPr>
              <w:t>(271,78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6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Balances at January 1, 2021</w:t>
            </w:r>
          </w:p>
        </w:tc>
        <w:tc>
          <w:tcPr>
            <w:tcW w:w="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100</w:t>
            </w:r>
          </w:p>
        </w:tc>
        <w:tc>
          <w:tcPr>
            <w:tcW w:w="340" w:type="dxa"/>
            <w:vAlign w:val="bottom"/>
            <w:tcBorders>
              <w:bottom w:val="single" w:sz="8" w:color="CFF0FC"/>
            </w:tcBorders>
            <w:gridSpan w:val="2"/>
            <w:shd w:val="clear" w:color="auto" w:fill="CFF0FC"/>
          </w:tcPr>
          <w:p>
            <w:pPr>
              <w:ind w:left="220"/>
              <w:spacing w:after="0" w:line="215" w:lineRule="exact"/>
              <w:rPr>
                <w:sz w:val="20"/>
                <w:szCs w:val="20"/>
                <w:color w:val="auto"/>
              </w:rPr>
            </w:pPr>
            <w:r>
              <w:rPr>
                <w:rFonts w:ascii="Calibri" w:cs="Calibri" w:eastAsia="Calibri" w:hAnsi="Calibri"/>
                <w:sz w:val="18"/>
                <w:szCs w:val="18"/>
                <w:color w:val="auto"/>
              </w:rPr>
              <w:t>$</w:t>
            </w:r>
          </w:p>
        </w:tc>
        <w:tc>
          <w:tcPr>
            <w:tcW w:w="5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6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100</w:t>
            </w:r>
          </w:p>
        </w:tc>
        <w:tc>
          <w:tcPr>
            <w:tcW w:w="8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$ 9,939</w:t>
            </w:r>
          </w:p>
        </w:tc>
        <w:tc>
          <w:tcPr>
            <w:tcW w:w="640" w:type="dxa"/>
            <w:vAlign w:val="bottom"/>
            <w:tcBorders>
              <w:bottom w:val="single" w:sz="8" w:color="CFF0FC"/>
              <w:right w:val="single" w:sz="8" w:color="CFF0FC"/>
            </w:tcBorders>
            <w:gridSpan w:val="3"/>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Borders>
              <w:bottom w:val="single" w:sz="8" w:color="CFF0FC"/>
            </w:tcBorders>
            <w:gridSpan w:val="2"/>
            <w:shd w:val="clear" w:color="auto" w:fill="CFF0FC"/>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w w:val="97"/>
              </w:rPr>
              <w:t>—</w:t>
            </w:r>
          </w:p>
        </w:tc>
        <w:tc>
          <w:tcPr>
            <w:tcW w:w="9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$ 755,716</w:t>
            </w:r>
          </w:p>
        </w:tc>
        <w:tc>
          <w:tcPr>
            <w:tcW w:w="2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w w:val="96"/>
              </w:rPr>
              <w:t>$ (1,026,675 )</w:t>
            </w:r>
          </w:p>
        </w:tc>
        <w:tc>
          <w:tcPr>
            <w:tcW w:w="1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6"/>
                <w:szCs w:val="16"/>
                <w:color w:val="auto"/>
                <w:w w:val="73"/>
              </w:rPr>
              <w:t>$</w:t>
            </w:r>
          </w:p>
        </w:tc>
        <w:tc>
          <w:tcPr>
            <w:tcW w:w="128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(822 )</w:t>
            </w:r>
          </w:p>
        </w:tc>
        <w:tc>
          <w:tcPr>
            <w:tcW w:w="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68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1 )</w:t>
            </w:r>
          </w:p>
        </w:tc>
        <w:tc>
          <w:tcPr>
            <w:tcW w:w="0" w:type="dxa"/>
            <w:vAlign w:val="bottom"/>
          </w:tcPr>
          <w:p>
            <w:pPr>
              <w:spacing w:after="0"/>
              <w:rPr>
                <w:sz w:val="1"/>
                <w:szCs w:val="1"/>
                <w:color w:val="auto"/>
              </w:rPr>
            </w:pPr>
          </w:p>
        </w:tc>
      </w:tr>
      <w:tr>
        <w:trPr>
          <w:trHeight w:val="215"/>
        </w:trPr>
        <w:tc>
          <w:tcPr>
            <w:tcW w:w="2620" w:type="dxa"/>
            <w:vAlign w:val="bottom"/>
          </w:tcPr>
          <w:p>
            <w:pPr>
              <w:ind w:left="20"/>
              <w:spacing w:after="0" w:line="215" w:lineRule="exact"/>
              <w:rPr>
                <w:sz w:val="20"/>
                <w:szCs w:val="20"/>
                <w:color w:val="auto"/>
              </w:rPr>
            </w:pPr>
            <w:r>
              <w:rPr>
                <w:rFonts w:ascii="Calibri" w:cs="Calibri" w:eastAsia="Calibri" w:hAnsi="Calibri"/>
                <w:sz w:val="18"/>
                <w:szCs w:val="18"/>
                <w:color w:val="auto"/>
              </w:rPr>
              <w:t>Net loss</w:t>
            </w: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line="215" w:lineRule="exact"/>
              <w:rPr>
                <w:sz w:val="20"/>
                <w:szCs w:val="20"/>
                <w:color w:val="auto"/>
              </w:rPr>
            </w:pPr>
            <w:r>
              <w:rPr>
                <w:rFonts w:ascii="Calibri" w:cs="Calibri" w:eastAsia="Calibri" w:hAnsi="Calibri"/>
                <w:sz w:val="18"/>
                <w:szCs w:val="18"/>
                <w:color w:val="auto"/>
                <w:w w:val="97"/>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(20,251 )</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w w:val="95"/>
              </w:rPr>
              <w:t>(20,251 )</w:t>
            </w: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20"/>
              <w:spacing w:after="0" w:line="167" w:lineRule="exact"/>
              <w:rPr>
                <w:sz w:val="20"/>
                <w:szCs w:val="20"/>
                <w:color w:val="auto"/>
              </w:rPr>
            </w:pPr>
            <w:r>
              <w:rPr>
                <w:rFonts w:ascii="Calibri" w:cs="Calibri" w:eastAsia="Calibri" w:hAnsi="Calibri"/>
                <w:sz w:val="18"/>
                <w:szCs w:val="18"/>
                <w:color w:val="auto"/>
              </w:rPr>
              <w:t>Unrealized gain on derivatve</w:t>
            </w: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6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instruments</w:t>
            </w:r>
          </w:p>
        </w:tc>
        <w:tc>
          <w:tcPr>
            <w:tcW w:w="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right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w w:val="97"/>
              </w:rPr>
              <w:t>—</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243</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20"/>
              <w:spacing w:after="0" w:line="166" w:lineRule="exact"/>
              <w:rPr>
                <w:sz w:val="20"/>
                <w:szCs w:val="20"/>
                <w:color w:val="auto"/>
              </w:rPr>
            </w:pPr>
            <w:r>
              <w:rPr>
                <w:rFonts w:ascii="Calibri" w:cs="Calibri" w:eastAsia="Calibri" w:hAnsi="Calibri"/>
                <w:sz w:val="18"/>
                <w:szCs w:val="18"/>
                <w:color w:val="auto"/>
              </w:rPr>
              <w:t>Deemed contributon from former</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620" w:type="dxa"/>
            <w:vAlign w:val="bottom"/>
          </w:tcPr>
          <w:p>
            <w:pPr>
              <w:ind w:left="20"/>
              <w:spacing w:after="0" w:line="215" w:lineRule="exact"/>
              <w:rPr>
                <w:sz w:val="20"/>
                <w:szCs w:val="20"/>
                <w:color w:val="auto"/>
              </w:rPr>
            </w:pPr>
            <w:r>
              <w:rPr>
                <w:rFonts w:ascii="Calibri" w:cs="Calibri" w:eastAsia="Calibri" w:hAnsi="Calibri"/>
                <w:sz w:val="18"/>
                <w:szCs w:val="18"/>
                <w:color w:val="auto"/>
              </w:rPr>
              <w:t>parent</w:t>
            </w: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line="215" w:lineRule="exact"/>
              <w:rPr>
                <w:sz w:val="20"/>
                <w:szCs w:val="20"/>
                <w:color w:val="auto"/>
              </w:rPr>
            </w:pPr>
            <w:r>
              <w:rPr>
                <w:rFonts w:ascii="Calibri" w:cs="Calibri" w:eastAsia="Calibri" w:hAnsi="Calibri"/>
                <w:sz w:val="18"/>
                <w:szCs w:val="18"/>
                <w:color w:val="auto"/>
                <w:w w:val="97"/>
              </w:rPr>
              <w:t>—</w:t>
            </w:r>
          </w:p>
        </w:tc>
        <w:tc>
          <w:tcPr>
            <w:tcW w:w="9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1,091</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1,091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62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Accreton of senior preferred units</w:t>
            </w:r>
          </w:p>
        </w:tc>
        <w:tc>
          <w:tcPr>
            <w:tcW w:w="4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6,822</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w w:val="97"/>
              </w:rPr>
              <w:t>—</w:t>
            </w:r>
          </w:p>
        </w:tc>
        <w:tc>
          <w:tcPr>
            <w:tcW w:w="1120" w:type="dxa"/>
            <w:vAlign w:val="bottom"/>
            <w:gridSpan w:val="3"/>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(6,822 )</w:t>
            </w:r>
          </w:p>
        </w:tc>
        <w:tc>
          <w:tcPr>
            <w:tcW w:w="112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(6,822 )</w:t>
            </w:r>
          </w:p>
        </w:tc>
        <w:tc>
          <w:tcPr>
            <w:tcW w:w="0" w:type="dxa"/>
            <w:vAlign w:val="bottom"/>
          </w:tcPr>
          <w:p>
            <w:pPr>
              <w:spacing w:after="0"/>
              <w:rPr>
                <w:sz w:val="1"/>
                <w:szCs w:val="1"/>
                <w:color w:val="auto"/>
              </w:rPr>
            </w:pPr>
          </w:p>
        </w:tc>
      </w:tr>
      <w:tr>
        <w:trPr>
          <w:trHeight w:val="161"/>
        </w:trPr>
        <w:tc>
          <w:tcPr>
            <w:tcW w:w="2620" w:type="dxa"/>
            <w:vAlign w:val="bottom"/>
            <w:tcBorders>
              <w:top w:val="single" w:sz="8" w:color="CFF0FC"/>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20" w:type="dxa"/>
            <w:vAlign w:val="bottom"/>
            <w:tcBorders>
              <w:top w:val="single" w:sz="8" w:color="CFF0FC"/>
            </w:tcBorders>
            <w:gridSpan w:val="2"/>
          </w:tcPr>
          <w:p>
            <w:pPr>
              <w:spacing w:after="0"/>
              <w:rPr>
                <w:sz w:val="13"/>
                <w:szCs w:val="13"/>
                <w:color w:val="auto"/>
              </w:rPr>
            </w:pPr>
          </w:p>
        </w:tc>
        <w:tc>
          <w:tcPr>
            <w:tcW w:w="320" w:type="dxa"/>
            <w:vAlign w:val="bottom"/>
            <w:tcBorders>
              <w:top w:val="single" w:sz="8" w:color="auto"/>
            </w:tcBorders>
          </w:tcPr>
          <w:p>
            <w:pPr>
              <w:jc w:val="right"/>
              <w:spacing w:after="0" w:line="160" w:lineRule="exact"/>
              <w:rPr>
                <w:sz w:val="20"/>
                <w:szCs w:val="20"/>
                <w:color w:val="auto"/>
              </w:rPr>
            </w:pPr>
            <w:r>
              <w:rPr>
                <w:rFonts w:ascii="Calibri" w:cs="Calibri" w:eastAsia="Calibri" w:hAnsi="Calibri"/>
                <w:sz w:val="17"/>
                <w:szCs w:val="17"/>
                <w:b w:val="1"/>
                <w:bCs w:val="1"/>
                <w:color w:val="auto"/>
              </w:rPr>
              <w:t>1</w:t>
            </w:r>
          </w:p>
        </w:tc>
        <w:tc>
          <w:tcPr>
            <w:tcW w:w="180" w:type="dxa"/>
            <w:vAlign w:val="bottom"/>
            <w:tcBorders>
              <w:top w:val="single" w:sz="8" w:color="CFF0FC"/>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Calibri" w:cs="Calibri" w:eastAsia="Calibri" w:hAnsi="Calibri"/>
                <w:sz w:val="18"/>
                <w:szCs w:val="18"/>
                <w:b w:val="1"/>
                <w:bCs w:val="1"/>
                <w:color w:val="auto"/>
                <w:w w:val="99"/>
              </w:rPr>
              <w:t>225,11</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gridSpan w:val="3"/>
          </w:tcPr>
          <w:p>
            <w:pPr>
              <w:jc w:val="right"/>
              <w:spacing w:after="0" w:line="189" w:lineRule="exact"/>
              <w:rPr>
                <w:sz w:val="20"/>
                <w:szCs w:val="20"/>
                <w:color w:val="auto"/>
              </w:rPr>
            </w:pPr>
            <w:r>
              <w:rPr>
                <w:rFonts w:ascii="Calibri" w:cs="Calibri" w:eastAsia="Calibri" w:hAnsi="Calibri"/>
                <w:sz w:val="18"/>
                <w:szCs w:val="18"/>
                <w:b w:val="1"/>
                <w:bCs w:val="1"/>
                <w:color w:val="auto"/>
              </w:rPr>
              <w:t>0</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Calibri" w:cs="Calibri" w:eastAsia="Calibri" w:hAnsi="Calibri"/>
                <w:sz w:val="18"/>
                <w:szCs w:val="18"/>
                <w:b w:val="1"/>
                <w:bCs w:val="1"/>
                <w:color w:val="auto"/>
                <w:w w:val="96"/>
              </w:rPr>
              <w:t>(297,52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6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Balances at March 31, 2021</w:t>
            </w:r>
          </w:p>
        </w:tc>
        <w:tc>
          <w:tcPr>
            <w:tcW w:w="4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100</w:t>
            </w:r>
          </w:p>
        </w:tc>
        <w:tc>
          <w:tcPr>
            <w:tcW w:w="340" w:type="dxa"/>
            <w:vAlign w:val="bottom"/>
            <w:gridSpan w:val="2"/>
          </w:tcPr>
          <w:p>
            <w:pPr>
              <w:ind w:left="220"/>
              <w:spacing w:after="0" w:line="215" w:lineRule="exact"/>
              <w:rPr>
                <w:sz w:val="20"/>
                <w:szCs w:val="20"/>
                <w:color w:val="auto"/>
              </w:rPr>
            </w:pPr>
            <w:r>
              <w:rPr>
                <w:rFonts w:ascii="Calibri" w:cs="Calibri" w:eastAsia="Calibri" w:hAnsi="Calibri"/>
                <w:sz w:val="18"/>
                <w:szCs w:val="18"/>
                <w:b w:val="1"/>
                <w:bCs w:val="1"/>
                <w:color w:val="auto"/>
              </w:rPr>
              <w:t>$</w:t>
            </w:r>
          </w:p>
        </w:tc>
        <w:tc>
          <w:tcPr>
            <w:tcW w:w="52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0</w:t>
            </w:r>
          </w:p>
        </w:tc>
        <w:tc>
          <w:tcPr>
            <w:tcW w:w="680" w:type="dxa"/>
            <w:vAlign w:val="bottom"/>
            <w:gridSpan w:val="2"/>
          </w:tcPr>
          <w:p>
            <w:pPr>
              <w:jc w:val="right"/>
              <w:spacing w:after="0" w:line="215" w:lineRule="exact"/>
              <w:rPr>
                <w:sz w:val="20"/>
                <w:szCs w:val="20"/>
                <w:color w:val="auto"/>
              </w:rPr>
            </w:pPr>
            <w:r>
              <w:rPr>
                <w:rFonts w:ascii="Calibri" w:cs="Calibri" w:eastAsia="Calibri" w:hAnsi="Calibri"/>
                <w:sz w:val="18"/>
                <w:szCs w:val="18"/>
                <w:b w:val="1"/>
                <w:bCs w:val="1"/>
                <w:color w:val="auto"/>
              </w:rPr>
              <w:t>100</w:t>
            </w:r>
          </w:p>
        </w:tc>
        <w:tc>
          <w:tcPr>
            <w:tcW w:w="800" w:type="dxa"/>
            <w:vAlign w:val="bottom"/>
            <w:gridSpan w:val="2"/>
          </w:tcPr>
          <w:p>
            <w:pPr>
              <w:jc w:val="right"/>
              <w:spacing w:after="0" w:line="215" w:lineRule="exact"/>
              <w:rPr>
                <w:sz w:val="20"/>
                <w:szCs w:val="20"/>
                <w:color w:val="auto"/>
              </w:rPr>
            </w:pPr>
            <w:r>
              <w:rPr>
                <w:rFonts w:ascii="Calibri" w:cs="Calibri" w:eastAsia="Calibri" w:hAnsi="Calibri"/>
                <w:sz w:val="18"/>
                <w:szCs w:val="18"/>
                <w:b w:val="1"/>
                <w:bCs w:val="1"/>
                <w:color w:val="auto"/>
              </w:rPr>
              <w:t>$ 9,939</w:t>
            </w:r>
          </w:p>
        </w:tc>
        <w:tc>
          <w:tcPr>
            <w:tcW w:w="640" w:type="dxa"/>
            <w:vAlign w:val="bottom"/>
            <w:gridSpan w:val="3"/>
          </w:tcPr>
          <w:p>
            <w:pPr>
              <w:jc w:val="right"/>
              <w:spacing w:after="0" w:line="215" w:lineRule="exact"/>
              <w:rPr>
                <w:sz w:val="20"/>
                <w:szCs w:val="20"/>
                <w:color w:val="auto"/>
              </w:rPr>
            </w:pPr>
            <w:r>
              <w:rPr>
                <w:rFonts w:ascii="Calibri" w:cs="Calibri" w:eastAsia="Calibri" w:hAnsi="Calibri"/>
                <w:sz w:val="18"/>
                <w:szCs w:val="18"/>
                <w:b w:val="1"/>
                <w:bCs w:val="1"/>
                <w:color w:val="auto"/>
              </w:rPr>
              <w:t>0</w:t>
            </w:r>
          </w:p>
        </w:tc>
        <w:tc>
          <w:tcPr>
            <w:tcW w:w="560" w:type="dxa"/>
            <w:vAlign w:val="bottom"/>
            <w:gridSpan w:val="2"/>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180" w:type="dxa"/>
            <w:vAlign w:val="bottom"/>
          </w:tcPr>
          <w:p>
            <w:pPr>
              <w:spacing w:after="0" w:line="215" w:lineRule="exact"/>
              <w:rPr>
                <w:sz w:val="20"/>
                <w:szCs w:val="20"/>
                <w:color w:val="auto"/>
              </w:rPr>
            </w:pPr>
            <w:r>
              <w:rPr>
                <w:rFonts w:ascii="Calibri" w:cs="Calibri" w:eastAsia="Calibri" w:hAnsi="Calibri"/>
                <w:sz w:val="18"/>
                <w:szCs w:val="18"/>
                <w:b w:val="1"/>
                <w:bCs w:val="1"/>
                <w:color w:val="auto"/>
                <w:w w:val="97"/>
              </w:rPr>
              <w:t>—</w:t>
            </w:r>
          </w:p>
        </w:tc>
        <w:tc>
          <w:tcPr>
            <w:tcW w:w="920" w:type="dxa"/>
            <w:vAlign w:val="bottom"/>
            <w:gridSpan w:val="2"/>
          </w:tcPr>
          <w:p>
            <w:pPr>
              <w:jc w:val="right"/>
              <w:spacing w:after="0" w:line="215" w:lineRule="exact"/>
              <w:rPr>
                <w:sz w:val="20"/>
                <w:szCs w:val="20"/>
                <w:color w:val="auto"/>
              </w:rPr>
            </w:pPr>
            <w:r>
              <w:rPr>
                <w:rFonts w:ascii="Calibri" w:cs="Calibri" w:eastAsia="Calibri" w:hAnsi="Calibri"/>
                <w:sz w:val="18"/>
                <w:szCs w:val="18"/>
                <w:b w:val="1"/>
                <w:bCs w:val="1"/>
                <w:color w:val="auto"/>
              </w:rPr>
              <w:t>$ 749,985</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b w:val="1"/>
                <w:bCs w:val="1"/>
                <w:color w:val="auto"/>
                <w:w w:val="96"/>
              </w:rPr>
              <w:t>$ (1,046,926 )</w:t>
            </w:r>
          </w:p>
        </w:tc>
        <w:tc>
          <w:tcPr>
            <w:tcW w:w="100" w:type="dxa"/>
            <w:vAlign w:val="bottom"/>
          </w:tcPr>
          <w:p>
            <w:pPr>
              <w:ind w:left="20"/>
              <w:spacing w:after="0"/>
              <w:rPr>
                <w:sz w:val="20"/>
                <w:szCs w:val="20"/>
                <w:color w:val="auto"/>
              </w:rPr>
            </w:pPr>
            <w:r>
              <w:rPr>
                <w:rFonts w:ascii="Calibri" w:cs="Calibri" w:eastAsia="Calibri" w:hAnsi="Calibri"/>
                <w:sz w:val="16"/>
                <w:szCs w:val="16"/>
                <w:b w:val="1"/>
                <w:bCs w:val="1"/>
                <w:color w:val="auto"/>
                <w:w w:val="73"/>
              </w:rPr>
              <w:t>$</w:t>
            </w:r>
          </w:p>
        </w:tc>
        <w:tc>
          <w:tcPr>
            <w:tcW w:w="12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b w:val="1"/>
                <w:bCs w:val="1"/>
                <w:color w:val="auto"/>
              </w:rPr>
              <w:t>(579 )</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6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b w:val="1"/>
                <w:bCs w:val="1"/>
                <w:color w:val="auto"/>
              </w:rPr>
              <w:t>0 )</w:t>
            </w: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income</w:t>
            </w:r>
          </w:p>
        </w:tc>
        <w:tc>
          <w:tcPr>
            <w:tcW w:w="4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w w:val="97"/>
              </w:rPr>
              <w:t>—</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9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2,645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20"/>
              <w:spacing w:after="0" w:line="166" w:lineRule="exact"/>
              <w:rPr>
                <w:sz w:val="20"/>
                <w:szCs w:val="20"/>
                <w:color w:val="auto"/>
              </w:rPr>
            </w:pPr>
            <w:r>
              <w:rPr>
                <w:rFonts w:ascii="Calibri" w:cs="Calibri" w:eastAsia="Calibri" w:hAnsi="Calibri"/>
                <w:sz w:val="18"/>
                <w:szCs w:val="18"/>
                <w:color w:val="auto"/>
              </w:rPr>
              <w:t>Unrealized gain on derivatve</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620" w:type="dxa"/>
            <w:vAlign w:val="bottom"/>
          </w:tcPr>
          <w:p>
            <w:pPr>
              <w:ind w:left="20"/>
              <w:spacing w:after="0" w:line="215" w:lineRule="exact"/>
              <w:rPr>
                <w:sz w:val="20"/>
                <w:szCs w:val="20"/>
                <w:color w:val="auto"/>
              </w:rPr>
            </w:pPr>
            <w:r>
              <w:rPr>
                <w:rFonts w:ascii="Calibri" w:cs="Calibri" w:eastAsia="Calibri" w:hAnsi="Calibri"/>
                <w:sz w:val="18"/>
                <w:szCs w:val="18"/>
                <w:color w:val="auto"/>
              </w:rPr>
              <w:t>instruments</w:t>
            </w: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line="215" w:lineRule="exact"/>
              <w:rPr>
                <w:sz w:val="20"/>
                <w:szCs w:val="20"/>
                <w:color w:val="auto"/>
              </w:rPr>
            </w:pPr>
            <w:r>
              <w:rPr>
                <w:rFonts w:ascii="Calibri" w:cs="Calibri" w:eastAsia="Calibri" w:hAnsi="Calibri"/>
                <w:sz w:val="18"/>
                <w:szCs w:val="18"/>
                <w:color w:val="auto"/>
                <w:w w:val="97"/>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270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620" w:type="dxa"/>
            <w:vAlign w:val="bottom"/>
            <w:shd w:val="clear" w:color="auto" w:fill="CFF0FC"/>
          </w:tcPr>
          <w:p>
            <w:pPr>
              <w:ind w:left="20"/>
              <w:spacing w:after="0" w:line="166" w:lineRule="exact"/>
              <w:rPr>
                <w:sz w:val="20"/>
                <w:szCs w:val="20"/>
                <w:color w:val="auto"/>
              </w:rPr>
            </w:pPr>
            <w:r>
              <w:rPr>
                <w:rFonts w:ascii="Calibri" w:cs="Calibri" w:eastAsia="Calibri" w:hAnsi="Calibri"/>
                <w:sz w:val="18"/>
                <w:szCs w:val="18"/>
                <w:color w:val="auto"/>
              </w:rPr>
              <w:t>Deemed contributon from former</w:t>
            </w: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6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parent</w:t>
            </w:r>
          </w:p>
        </w:tc>
        <w:tc>
          <w:tcPr>
            <w:tcW w:w="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right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w w:val="97"/>
              </w:rPr>
              <w:t>—</w:t>
            </w:r>
          </w:p>
        </w:tc>
        <w:tc>
          <w:tcPr>
            <w:tcW w:w="9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1,183</w:t>
            </w:r>
          </w:p>
        </w:tc>
        <w:tc>
          <w:tcPr>
            <w:tcW w:w="2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1,183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20" w:type="dxa"/>
            <w:vAlign w:val="bottom"/>
          </w:tcPr>
          <w:p>
            <w:pPr>
              <w:ind w:left="20"/>
              <w:spacing w:after="0" w:line="215" w:lineRule="exact"/>
              <w:rPr>
                <w:sz w:val="20"/>
                <w:szCs w:val="20"/>
                <w:color w:val="auto"/>
              </w:rPr>
            </w:pPr>
            <w:r>
              <w:rPr>
                <w:rFonts w:ascii="Calibri" w:cs="Calibri" w:eastAsia="Calibri" w:hAnsi="Calibri"/>
                <w:sz w:val="18"/>
                <w:szCs w:val="18"/>
                <w:color w:val="auto"/>
              </w:rPr>
              <w:t>Accreton of senior preferred units</w:t>
            </w: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6,821</w:t>
            </w:r>
          </w:p>
        </w:tc>
        <w:tc>
          <w:tcPr>
            <w:tcW w:w="22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line="215" w:lineRule="exact"/>
              <w:rPr>
                <w:sz w:val="20"/>
                <w:szCs w:val="20"/>
                <w:color w:val="auto"/>
              </w:rPr>
            </w:pPr>
            <w:r>
              <w:rPr>
                <w:rFonts w:ascii="Calibri" w:cs="Calibri" w:eastAsia="Calibri" w:hAnsi="Calibri"/>
                <w:sz w:val="18"/>
                <w:szCs w:val="18"/>
                <w:color w:val="auto"/>
                <w:w w:val="97"/>
              </w:rPr>
              <w:t>—</w:t>
            </w:r>
          </w:p>
        </w:tc>
        <w:tc>
          <w:tcPr>
            <w:tcW w:w="1120" w:type="dxa"/>
            <w:vAlign w:val="bottom"/>
            <w:gridSpan w:val="3"/>
          </w:tcPr>
          <w:p>
            <w:pPr>
              <w:jc w:val="right"/>
              <w:ind w:right="120"/>
              <w:spacing w:after="0" w:line="215" w:lineRule="exact"/>
              <w:rPr>
                <w:sz w:val="20"/>
                <w:szCs w:val="20"/>
                <w:color w:val="auto"/>
              </w:rPr>
            </w:pPr>
            <w:r>
              <w:rPr>
                <w:rFonts w:ascii="Calibri" w:cs="Calibri" w:eastAsia="Calibri" w:hAnsi="Calibri"/>
                <w:sz w:val="18"/>
                <w:szCs w:val="18"/>
                <w:color w:val="auto"/>
              </w:rPr>
              <w:t>(6,821 )</w:t>
            </w:r>
          </w:p>
        </w:tc>
        <w:tc>
          <w:tcPr>
            <w:tcW w:w="11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(6,821 )</w:t>
            </w:r>
          </w:p>
        </w:tc>
        <w:tc>
          <w:tcPr>
            <w:tcW w:w="0" w:type="dxa"/>
            <w:vAlign w:val="bottom"/>
          </w:tcPr>
          <w:p>
            <w:pPr>
              <w:spacing w:after="0"/>
              <w:rPr>
                <w:sz w:val="1"/>
                <w:szCs w:val="1"/>
                <w:color w:val="auto"/>
              </w:rPr>
            </w:pPr>
          </w:p>
        </w:tc>
      </w:tr>
      <w:tr>
        <w:trPr>
          <w:trHeight w:val="161"/>
        </w:trPr>
        <w:tc>
          <w:tcPr>
            <w:tcW w:w="2620" w:type="dxa"/>
            <w:vAlign w:val="bottom"/>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320" w:type="dxa"/>
            <w:vAlign w:val="bottom"/>
            <w:gridSpan w:val="2"/>
            <w:shd w:val="clear" w:color="auto" w:fill="CFF0FC"/>
          </w:tcPr>
          <w:p>
            <w:pPr>
              <w:spacing w:after="0"/>
              <w:rPr>
                <w:sz w:val="14"/>
                <w:szCs w:val="14"/>
                <w:color w:val="auto"/>
              </w:rPr>
            </w:pPr>
          </w:p>
        </w:tc>
        <w:tc>
          <w:tcPr>
            <w:tcW w:w="320" w:type="dxa"/>
            <w:vAlign w:val="bottom"/>
            <w:tcBorders>
              <w:top w:val="single" w:sz="8" w:color="auto"/>
              <w:right w:val="single" w:sz="8" w:color="CFF0FC"/>
            </w:tcBorders>
            <w:shd w:val="clear" w:color="auto" w:fill="CFF0FC"/>
          </w:tcPr>
          <w:p>
            <w:pPr>
              <w:jc w:val="right"/>
              <w:spacing w:after="0" w:line="161" w:lineRule="exact"/>
              <w:rPr>
                <w:sz w:val="20"/>
                <w:szCs w:val="20"/>
                <w:color w:val="auto"/>
              </w:rPr>
            </w:pPr>
            <w:r>
              <w:rPr>
                <w:rFonts w:ascii="Calibri" w:cs="Calibri" w:eastAsia="Calibri" w:hAnsi="Calibri"/>
                <w:sz w:val="17"/>
                <w:szCs w:val="17"/>
                <w:b w:val="1"/>
                <w:bCs w:val="1"/>
                <w:color w:val="auto"/>
              </w:rPr>
              <w:t>1</w:t>
            </w:r>
          </w:p>
        </w:tc>
        <w:tc>
          <w:tcPr>
            <w:tcW w:w="180" w:type="dxa"/>
            <w:vAlign w:val="bottom"/>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line="189" w:lineRule="exact"/>
              <w:rPr>
                <w:sz w:val="20"/>
                <w:szCs w:val="20"/>
                <w:color w:val="auto"/>
              </w:rPr>
            </w:pPr>
            <w:r>
              <w:rPr>
                <w:rFonts w:ascii="Calibri" w:cs="Calibri" w:eastAsia="Calibri" w:hAnsi="Calibri"/>
                <w:sz w:val="18"/>
                <w:szCs w:val="18"/>
                <w:b w:val="1"/>
                <w:bCs w:val="1"/>
                <w:color w:val="auto"/>
                <w:w w:val="99"/>
              </w:rPr>
              <w:t>231,93</w:t>
            </w: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640" w:type="dxa"/>
            <w:vAlign w:val="bottom"/>
            <w:tcBorders>
              <w:right w:val="single" w:sz="8" w:color="CFF0FC"/>
            </w:tcBorders>
            <w:gridSpan w:val="3"/>
            <w:shd w:val="clear" w:color="auto" w:fill="CFF0FC"/>
          </w:tcPr>
          <w:p>
            <w:pPr>
              <w:jc w:val="right"/>
              <w:spacing w:after="0" w:line="189" w:lineRule="exact"/>
              <w:rPr>
                <w:sz w:val="20"/>
                <w:szCs w:val="20"/>
                <w:color w:val="auto"/>
              </w:rPr>
            </w:pPr>
            <w:r>
              <w:rPr>
                <w:rFonts w:ascii="Calibri" w:cs="Calibri" w:eastAsia="Calibri" w:hAnsi="Calibri"/>
                <w:sz w:val="18"/>
                <w:szCs w:val="18"/>
                <w:b w:val="1"/>
                <w:bCs w:val="1"/>
                <w:color w:val="auto"/>
              </w:rPr>
              <w:t>0</w:t>
            </w:r>
          </w:p>
        </w:tc>
        <w:tc>
          <w:tcPr>
            <w:tcW w:w="1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line="189" w:lineRule="exact"/>
              <w:rPr>
                <w:sz w:val="20"/>
                <w:szCs w:val="20"/>
                <w:color w:val="auto"/>
              </w:rPr>
            </w:pPr>
            <w:r>
              <w:rPr>
                <w:rFonts w:ascii="Calibri" w:cs="Calibri" w:eastAsia="Calibri" w:hAnsi="Calibri"/>
                <w:sz w:val="18"/>
                <w:szCs w:val="18"/>
                <w:b w:val="1"/>
                <w:bCs w:val="1"/>
                <w:color w:val="auto"/>
                <w:w w:val="96"/>
              </w:rPr>
              <w:t>(300,24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620" w:type="dxa"/>
            <w:vAlign w:val="bottom"/>
            <w:shd w:val="clear" w:color="auto" w:fill="CFF0FC"/>
          </w:tcPr>
          <w:p>
            <w:pPr>
              <w:ind w:left="20"/>
              <w:spacing w:after="0"/>
              <w:rPr>
                <w:sz w:val="20"/>
                <w:szCs w:val="20"/>
                <w:color w:val="auto"/>
              </w:rPr>
            </w:pPr>
            <w:r>
              <w:rPr>
                <w:rFonts w:ascii="Calibri" w:cs="Calibri" w:eastAsia="Calibri" w:hAnsi="Calibri"/>
                <w:sz w:val="18"/>
                <w:szCs w:val="18"/>
                <w:b w:val="1"/>
                <w:bCs w:val="1"/>
                <w:color w:val="auto"/>
              </w:rPr>
              <w:t>Balances at June 30, 2021</w:t>
            </w:r>
          </w:p>
        </w:tc>
        <w:tc>
          <w:tcPr>
            <w:tcW w:w="4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100</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w:t>
            </w:r>
          </w:p>
        </w:tc>
        <w:tc>
          <w:tcPr>
            <w:tcW w:w="5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w:t>
            </w:r>
          </w:p>
        </w:tc>
        <w:tc>
          <w:tcPr>
            <w:tcW w:w="22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100</w:t>
            </w:r>
          </w:p>
        </w:tc>
        <w:tc>
          <w:tcPr>
            <w:tcW w:w="22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$ 9,939</w:t>
            </w:r>
          </w:p>
        </w:tc>
        <w:tc>
          <w:tcPr>
            <w:tcW w:w="320" w:type="dxa"/>
            <w:vAlign w:val="bottom"/>
            <w:gridSpan w:val="2"/>
            <w:shd w:val="clear" w:color="auto" w:fill="CFF0FC"/>
          </w:tcPr>
          <w:p>
            <w:pPr>
              <w:spacing w:after="0"/>
              <w:rPr>
                <w:sz w:val="22"/>
                <w:szCs w:val="22"/>
                <w:color w:val="auto"/>
              </w:rPr>
            </w:pPr>
          </w:p>
        </w:tc>
        <w:tc>
          <w:tcPr>
            <w:tcW w:w="320" w:type="dxa"/>
            <w:vAlign w:val="bottom"/>
            <w:tcBorders>
              <w:right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0</w:t>
            </w:r>
          </w:p>
        </w:tc>
        <w:tc>
          <w:tcPr>
            <w:tcW w:w="18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line="215" w:lineRule="exact"/>
              <w:rPr>
                <w:sz w:val="20"/>
                <w:szCs w:val="20"/>
                <w:color w:val="auto"/>
              </w:rPr>
            </w:pPr>
            <w:r>
              <w:rPr>
                <w:rFonts w:ascii="Calibri" w:cs="Calibri" w:eastAsia="Calibri" w:hAnsi="Calibri"/>
                <w:sz w:val="18"/>
                <w:szCs w:val="18"/>
                <w:b w:val="1"/>
                <w:bCs w:val="1"/>
                <w:color w:val="auto"/>
                <w:w w:val="87"/>
              </w:rPr>
              <w:t>$</w:t>
            </w:r>
          </w:p>
        </w:tc>
        <w:tc>
          <w:tcPr>
            <w:tcW w:w="180" w:type="dxa"/>
            <w:vAlign w:val="bottom"/>
            <w:shd w:val="clear" w:color="auto" w:fill="CFF0FC"/>
          </w:tcPr>
          <w:p>
            <w:pPr>
              <w:spacing w:after="0" w:line="215" w:lineRule="exact"/>
              <w:rPr>
                <w:sz w:val="20"/>
                <w:szCs w:val="20"/>
                <w:color w:val="auto"/>
              </w:rPr>
            </w:pPr>
            <w:r>
              <w:rPr>
                <w:rFonts w:ascii="Calibri" w:cs="Calibri" w:eastAsia="Calibri" w:hAnsi="Calibri"/>
                <w:sz w:val="18"/>
                <w:szCs w:val="18"/>
                <w:b w:val="1"/>
                <w:bCs w:val="1"/>
                <w:color w:val="auto"/>
                <w:w w:val="97"/>
              </w:rPr>
              <w:t>—</w:t>
            </w:r>
          </w:p>
        </w:tc>
        <w:tc>
          <w:tcPr>
            <w:tcW w:w="18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w w:val="99"/>
              </w:rPr>
              <w:t>$ 744,347</w:t>
            </w:r>
          </w:p>
        </w:tc>
        <w:tc>
          <w:tcPr>
            <w:tcW w:w="20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b w:val="1"/>
                <w:bCs w:val="1"/>
                <w:color w:val="auto"/>
                <w:w w:val="96"/>
              </w:rPr>
              <w:t>$ (1,044,281 )</w:t>
            </w:r>
          </w:p>
        </w:tc>
        <w:tc>
          <w:tcPr>
            <w:tcW w:w="100" w:type="dxa"/>
            <w:vAlign w:val="bottom"/>
            <w:shd w:val="clear" w:color="auto" w:fill="CFF0FC"/>
          </w:tcPr>
          <w:p>
            <w:pPr>
              <w:ind w:left="20"/>
              <w:spacing w:after="0"/>
              <w:rPr>
                <w:sz w:val="20"/>
                <w:szCs w:val="20"/>
                <w:color w:val="auto"/>
              </w:rPr>
            </w:pPr>
            <w:r>
              <w:rPr>
                <w:rFonts w:ascii="Calibri" w:cs="Calibri" w:eastAsia="Calibri" w:hAnsi="Calibri"/>
                <w:sz w:val="16"/>
                <w:szCs w:val="16"/>
                <w:b w:val="1"/>
                <w:bCs w:val="1"/>
                <w:color w:val="auto"/>
                <w:w w:val="73"/>
              </w:rPr>
              <w:t>$</w:t>
            </w:r>
          </w:p>
        </w:tc>
        <w:tc>
          <w:tcPr>
            <w:tcW w:w="1280" w:type="dxa"/>
            <w:vAlign w:val="bottom"/>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b w:val="1"/>
                <w:bCs w:val="1"/>
                <w:color w:val="auto"/>
              </w:rPr>
              <w:t>(309 )</w:t>
            </w:r>
          </w:p>
        </w:tc>
        <w:tc>
          <w:tcPr>
            <w:tcW w:w="1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68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b w:val="1"/>
                <w:bCs w:val="1"/>
                <w:color w:val="auto"/>
              </w:rPr>
              <w:t>3 )</w:t>
            </w:r>
          </w:p>
        </w:tc>
        <w:tc>
          <w:tcPr>
            <w:tcW w:w="0" w:type="dxa"/>
            <w:vAlign w:val="bottom"/>
          </w:tcPr>
          <w:p>
            <w:pPr>
              <w:spacing w:after="0"/>
              <w:rPr>
                <w:sz w:val="1"/>
                <w:szCs w:val="1"/>
                <w:color w:val="auto"/>
              </w:rPr>
            </w:pPr>
          </w:p>
        </w:tc>
      </w:tr>
      <w:tr>
        <w:trPr>
          <w:trHeight w:val="20"/>
        </w:trPr>
        <w:tc>
          <w:tcPr>
            <w:tcW w:w="26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20" w:type="dxa"/>
            <w:vAlign w:val="bottom"/>
          </w:tcPr>
          <w:p>
            <w:pPr>
              <w:ind w:left="20"/>
              <w:spacing w:after="0" w:line="196" w:lineRule="exact"/>
              <w:rPr>
                <w:sz w:val="20"/>
                <w:szCs w:val="20"/>
                <w:color w:val="auto"/>
              </w:rPr>
            </w:pPr>
            <w:r>
              <w:rPr>
                <w:rFonts w:ascii="Calibri" w:cs="Calibri" w:eastAsia="Calibri" w:hAnsi="Calibri"/>
                <w:sz w:val="18"/>
                <w:szCs w:val="18"/>
                <w:color w:val="auto"/>
              </w:rPr>
              <w:t>Net income</w:t>
            </w:r>
          </w:p>
        </w:tc>
        <w:tc>
          <w:tcPr>
            <w:tcW w:w="460" w:type="dxa"/>
            <w:vAlign w:val="bottom"/>
          </w:tcPr>
          <w:p>
            <w:pPr>
              <w:jc w:val="right"/>
              <w:spacing w:after="0" w:line="196"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line="196" w:lineRule="exact"/>
              <w:rPr>
                <w:sz w:val="20"/>
                <w:szCs w:val="20"/>
                <w:color w:val="auto"/>
              </w:rPr>
            </w:pPr>
            <w:r>
              <w:rPr>
                <w:rFonts w:ascii="Calibri" w:cs="Calibri" w:eastAsia="Calibri" w:hAnsi="Calibri"/>
                <w:sz w:val="18"/>
                <w:szCs w:val="18"/>
                <w:color w:val="auto"/>
                <w:w w:val="97"/>
              </w:rPr>
              <w:t>—</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line="196" w:lineRule="exact"/>
              <w:rPr>
                <w:sz w:val="20"/>
                <w:szCs w:val="20"/>
                <w:color w:val="auto"/>
              </w:rPr>
            </w:pPr>
            <w:r>
              <w:rPr>
                <w:rFonts w:ascii="Calibri" w:cs="Calibri" w:eastAsia="Calibri" w:hAnsi="Calibri"/>
                <w:sz w:val="18"/>
                <w:szCs w:val="18"/>
                <w:color w:val="auto"/>
              </w:rPr>
              <w:t>—</w:t>
            </w:r>
          </w:p>
        </w:tc>
        <w:tc>
          <w:tcPr>
            <w:tcW w:w="1120" w:type="dxa"/>
            <w:vAlign w:val="bottom"/>
            <w:gridSpan w:val="2"/>
          </w:tcPr>
          <w:p>
            <w:pPr>
              <w:jc w:val="right"/>
              <w:ind w:right="120"/>
              <w:spacing w:after="0" w:line="196" w:lineRule="exact"/>
              <w:rPr>
                <w:sz w:val="20"/>
                <w:szCs w:val="20"/>
                <w:color w:val="auto"/>
              </w:rPr>
            </w:pPr>
            <w:r>
              <w:rPr>
                <w:rFonts w:ascii="Calibri" w:cs="Calibri" w:eastAsia="Calibri" w:hAnsi="Calibri"/>
                <w:sz w:val="18"/>
                <w:szCs w:val="18"/>
                <w:color w:val="auto"/>
              </w:rPr>
              <w:t>(1,847 )</w:t>
            </w:r>
          </w:p>
        </w:tc>
        <w:tc>
          <w:tcPr>
            <w:tcW w:w="100" w:type="dxa"/>
            <w:vAlign w:val="bottom"/>
          </w:tcPr>
          <w:p>
            <w:pPr>
              <w:spacing w:after="0"/>
              <w:rPr>
                <w:sz w:val="17"/>
                <w:szCs w:val="17"/>
                <w:color w:val="auto"/>
              </w:rPr>
            </w:pPr>
          </w:p>
        </w:tc>
        <w:tc>
          <w:tcPr>
            <w:tcW w:w="1280" w:type="dxa"/>
            <w:vAlign w:val="bottom"/>
            <w:gridSpan w:val="2"/>
          </w:tcPr>
          <w:p>
            <w:pPr>
              <w:jc w:val="right"/>
              <w:ind w:right="180"/>
              <w:spacing w:after="0" w:line="196"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40"/>
              <w:spacing w:after="0" w:line="196" w:lineRule="exact"/>
              <w:rPr>
                <w:sz w:val="20"/>
                <w:szCs w:val="20"/>
                <w:color w:val="auto"/>
              </w:rPr>
            </w:pPr>
            <w:r>
              <w:rPr>
                <w:rFonts w:ascii="Calibri" w:cs="Calibri" w:eastAsia="Calibri" w:hAnsi="Calibri"/>
                <w:sz w:val="18"/>
                <w:szCs w:val="18"/>
                <w:color w:val="auto"/>
              </w:rPr>
              <w:t>(1,847 )</w:t>
            </w: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20"/>
              <w:spacing w:after="0" w:line="167" w:lineRule="exact"/>
              <w:rPr>
                <w:sz w:val="20"/>
                <w:szCs w:val="20"/>
                <w:color w:val="auto"/>
              </w:rPr>
            </w:pPr>
            <w:r>
              <w:rPr>
                <w:rFonts w:ascii="Calibri" w:cs="Calibri" w:eastAsia="Calibri" w:hAnsi="Calibri"/>
                <w:sz w:val="18"/>
                <w:szCs w:val="18"/>
                <w:color w:val="auto"/>
              </w:rPr>
              <w:t>Unrealized gain on derivatve</w:t>
            </w: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6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instruments</w:t>
            </w:r>
          </w:p>
        </w:tc>
        <w:tc>
          <w:tcPr>
            <w:tcW w:w="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right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w w:val="97"/>
              </w:rPr>
              <w:t>—</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309</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20"/>
              <w:spacing w:after="0" w:line="166" w:lineRule="exact"/>
              <w:rPr>
                <w:sz w:val="20"/>
                <w:szCs w:val="20"/>
                <w:color w:val="auto"/>
              </w:rPr>
            </w:pPr>
            <w:r>
              <w:rPr>
                <w:rFonts w:ascii="Calibri" w:cs="Calibri" w:eastAsia="Calibri" w:hAnsi="Calibri"/>
                <w:sz w:val="18"/>
                <w:szCs w:val="18"/>
                <w:color w:val="auto"/>
              </w:rPr>
              <w:t>Deemed contributon from former</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620" w:type="dxa"/>
            <w:vAlign w:val="bottom"/>
          </w:tcPr>
          <w:p>
            <w:pPr>
              <w:ind w:left="20"/>
              <w:spacing w:after="0" w:line="215" w:lineRule="exact"/>
              <w:rPr>
                <w:sz w:val="20"/>
                <w:szCs w:val="20"/>
                <w:color w:val="auto"/>
              </w:rPr>
            </w:pPr>
            <w:r>
              <w:rPr>
                <w:rFonts w:ascii="Calibri" w:cs="Calibri" w:eastAsia="Calibri" w:hAnsi="Calibri"/>
                <w:sz w:val="18"/>
                <w:szCs w:val="18"/>
                <w:color w:val="auto"/>
              </w:rPr>
              <w:t>parent</w:t>
            </w: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line="215" w:lineRule="exact"/>
              <w:rPr>
                <w:sz w:val="20"/>
                <w:szCs w:val="20"/>
                <w:color w:val="auto"/>
              </w:rPr>
            </w:pPr>
            <w:r>
              <w:rPr>
                <w:rFonts w:ascii="Calibri" w:cs="Calibri" w:eastAsia="Calibri" w:hAnsi="Calibri"/>
                <w:sz w:val="18"/>
                <w:szCs w:val="18"/>
                <w:color w:val="auto"/>
                <w:w w:val="97"/>
              </w:rPr>
              <w:t>—</w:t>
            </w:r>
          </w:p>
        </w:tc>
        <w:tc>
          <w:tcPr>
            <w:tcW w:w="9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1,197</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1,197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62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Accreton of senior preferred units</w:t>
            </w:r>
          </w:p>
        </w:tc>
        <w:tc>
          <w:tcPr>
            <w:tcW w:w="4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2,558</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w w:val="97"/>
              </w:rPr>
              <w:t>—</w:t>
            </w:r>
          </w:p>
        </w:tc>
        <w:tc>
          <w:tcPr>
            <w:tcW w:w="1120" w:type="dxa"/>
            <w:vAlign w:val="bottom"/>
            <w:gridSpan w:val="3"/>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(2,558 )</w:t>
            </w:r>
          </w:p>
        </w:tc>
        <w:tc>
          <w:tcPr>
            <w:tcW w:w="112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(2,558 )</w:t>
            </w:r>
          </w:p>
        </w:tc>
        <w:tc>
          <w:tcPr>
            <w:tcW w:w="0" w:type="dxa"/>
            <w:vAlign w:val="bottom"/>
          </w:tcPr>
          <w:p>
            <w:pPr>
              <w:spacing w:after="0"/>
              <w:rPr>
                <w:sz w:val="1"/>
                <w:szCs w:val="1"/>
                <w:color w:val="auto"/>
              </w:rPr>
            </w:pPr>
          </w:p>
        </w:tc>
      </w:tr>
      <w:tr>
        <w:trPr>
          <w:trHeight w:val="161"/>
        </w:trPr>
        <w:tc>
          <w:tcPr>
            <w:tcW w:w="2620" w:type="dxa"/>
            <w:vAlign w:val="bottom"/>
            <w:tcBorders>
              <w:top w:val="single" w:sz="8" w:color="CFF0FC"/>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20" w:type="dxa"/>
            <w:vAlign w:val="bottom"/>
            <w:tcBorders>
              <w:top w:val="single" w:sz="8" w:color="CFF0FC"/>
            </w:tcBorders>
            <w:gridSpan w:val="2"/>
          </w:tcPr>
          <w:p>
            <w:pPr>
              <w:spacing w:after="0"/>
              <w:rPr>
                <w:sz w:val="13"/>
                <w:szCs w:val="13"/>
                <w:color w:val="auto"/>
              </w:rPr>
            </w:pPr>
          </w:p>
        </w:tc>
        <w:tc>
          <w:tcPr>
            <w:tcW w:w="320" w:type="dxa"/>
            <w:vAlign w:val="bottom"/>
            <w:tcBorders>
              <w:top w:val="single" w:sz="8" w:color="auto"/>
            </w:tcBorders>
          </w:tcPr>
          <w:p>
            <w:pPr>
              <w:jc w:val="right"/>
              <w:spacing w:after="0" w:line="160" w:lineRule="exact"/>
              <w:rPr>
                <w:sz w:val="20"/>
                <w:szCs w:val="20"/>
                <w:color w:val="auto"/>
              </w:rPr>
            </w:pPr>
            <w:r>
              <w:rPr>
                <w:rFonts w:ascii="Calibri" w:cs="Calibri" w:eastAsia="Calibri" w:hAnsi="Calibri"/>
                <w:sz w:val="17"/>
                <w:szCs w:val="17"/>
                <w:b w:val="1"/>
                <w:bCs w:val="1"/>
                <w:color w:val="auto"/>
              </w:rPr>
              <w:t>1</w:t>
            </w:r>
          </w:p>
        </w:tc>
        <w:tc>
          <w:tcPr>
            <w:tcW w:w="180" w:type="dxa"/>
            <w:vAlign w:val="bottom"/>
            <w:tcBorders>
              <w:top w:val="single" w:sz="8" w:color="CFF0FC"/>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Calibri" w:cs="Calibri" w:eastAsia="Calibri" w:hAnsi="Calibri"/>
                <w:sz w:val="18"/>
                <w:szCs w:val="18"/>
                <w:b w:val="1"/>
                <w:bCs w:val="1"/>
                <w:color w:val="auto"/>
                <w:w w:val="99"/>
              </w:rPr>
              <w:t>234,48</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gridSpan w:val="3"/>
          </w:tcPr>
          <w:p>
            <w:pPr>
              <w:jc w:val="right"/>
              <w:spacing w:after="0" w:line="189" w:lineRule="exact"/>
              <w:rPr>
                <w:sz w:val="20"/>
                <w:szCs w:val="20"/>
                <w:color w:val="auto"/>
              </w:rPr>
            </w:pPr>
            <w:r>
              <w:rPr>
                <w:rFonts w:ascii="Calibri" w:cs="Calibri" w:eastAsia="Calibri" w:hAnsi="Calibri"/>
                <w:sz w:val="18"/>
                <w:szCs w:val="18"/>
                <w:b w:val="1"/>
                <w:bCs w:val="1"/>
                <w:color w:val="auto"/>
              </w:rPr>
              <w:t>0</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Calibri" w:cs="Calibri" w:eastAsia="Calibri" w:hAnsi="Calibri"/>
                <w:sz w:val="18"/>
                <w:szCs w:val="18"/>
                <w:b w:val="1"/>
                <w:bCs w:val="1"/>
                <w:color w:val="auto"/>
                <w:w w:val="96"/>
              </w:rPr>
              <w:t>(303,14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20" w:type="dxa"/>
            <w:vAlign w:val="bottom"/>
          </w:tcPr>
          <w:p>
            <w:pPr>
              <w:ind w:left="20"/>
              <w:spacing w:after="0"/>
              <w:rPr>
                <w:sz w:val="20"/>
                <w:szCs w:val="20"/>
                <w:color w:val="auto"/>
              </w:rPr>
            </w:pPr>
            <w:r>
              <w:rPr>
                <w:rFonts w:ascii="Calibri" w:cs="Calibri" w:eastAsia="Calibri" w:hAnsi="Calibri"/>
                <w:sz w:val="18"/>
                <w:szCs w:val="18"/>
                <w:b w:val="1"/>
                <w:bCs w:val="1"/>
                <w:color w:val="auto"/>
              </w:rPr>
              <w:t>Balances at September 30, 2021</w:t>
            </w:r>
          </w:p>
        </w:tc>
        <w:tc>
          <w:tcPr>
            <w:tcW w:w="4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100</w:t>
            </w:r>
          </w:p>
        </w:tc>
        <w:tc>
          <w:tcPr>
            <w:tcW w:w="340" w:type="dxa"/>
            <w:vAlign w:val="bottom"/>
            <w:gridSpan w:val="2"/>
          </w:tcPr>
          <w:p>
            <w:pPr>
              <w:ind w:left="220"/>
              <w:spacing w:after="0" w:line="215" w:lineRule="exact"/>
              <w:rPr>
                <w:sz w:val="20"/>
                <w:szCs w:val="20"/>
                <w:color w:val="auto"/>
              </w:rPr>
            </w:pPr>
            <w:r>
              <w:rPr>
                <w:rFonts w:ascii="Calibri" w:cs="Calibri" w:eastAsia="Calibri" w:hAnsi="Calibri"/>
                <w:sz w:val="18"/>
                <w:szCs w:val="18"/>
                <w:b w:val="1"/>
                <w:bCs w:val="1"/>
                <w:color w:val="auto"/>
              </w:rPr>
              <w:t>$</w:t>
            </w:r>
          </w:p>
        </w:tc>
        <w:tc>
          <w:tcPr>
            <w:tcW w:w="52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9</w:t>
            </w:r>
          </w:p>
        </w:tc>
        <w:tc>
          <w:tcPr>
            <w:tcW w:w="680" w:type="dxa"/>
            <w:vAlign w:val="bottom"/>
            <w:gridSpan w:val="2"/>
          </w:tcPr>
          <w:p>
            <w:pPr>
              <w:jc w:val="right"/>
              <w:spacing w:after="0" w:line="215" w:lineRule="exact"/>
              <w:rPr>
                <w:sz w:val="20"/>
                <w:szCs w:val="20"/>
                <w:color w:val="auto"/>
              </w:rPr>
            </w:pPr>
            <w:r>
              <w:rPr>
                <w:rFonts w:ascii="Calibri" w:cs="Calibri" w:eastAsia="Calibri" w:hAnsi="Calibri"/>
                <w:sz w:val="18"/>
                <w:szCs w:val="18"/>
                <w:b w:val="1"/>
                <w:bCs w:val="1"/>
                <w:color w:val="auto"/>
              </w:rPr>
              <w:t>100</w:t>
            </w:r>
          </w:p>
        </w:tc>
        <w:tc>
          <w:tcPr>
            <w:tcW w:w="800" w:type="dxa"/>
            <w:vAlign w:val="bottom"/>
            <w:gridSpan w:val="2"/>
          </w:tcPr>
          <w:p>
            <w:pPr>
              <w:jc w:val="right"/>
              <w:spacing w:after="0" w:line="215" w:lineRule="exact"/>
              <w:rPr>
                <w:sz w:val="20"/>
                <w:szCs w:val="20"/>
                <w:color w:val="auto"/>
              </w:rPr>
            </w:pPr>
            <w:r>
              <w:rPr>
                <w:rFonts w:ascii="Calibri" w:cs="Calibri" w:eastAsia="Calibri" w:hAnsi="Calibri"/>
                <w:sz w:val="18"/>
                <w:szCs w:val="18"/>
                <w:b w:val="1"/>
                <w:bCs w:val="1"/>
                <w:color w:val="auto"/>
              </w:rPr>
              <w:t>$ 9,939</w:t>
            </w:r>
          </w:p>
        </w:tc>
        <w:tc>
          <w:tcPr>
            <w:tcW w:w="640" w:type="dxa"/>
            <w:vAlign w:val="bottom"/>
            <w:gridSpan w:val="3"/>
          </w:tcPr>
          <w:p>
            <w:pPr>
              <w:jc w:val="right"/>
              <w:spacing w:after="0" w:line="215" w:lineRule="exact"/>
              <w:rPr>
                <w:sz w:val="20"/>
                <w:szCs w:val="20"/>
                <w:color w:val="auto"/>
              </w:rPr>
            </w:pPr>
            <w:r>
              <w:rPr>
                <w:rFonts w:ascii="Calibri" w:cs="Calibri" w:eastAsia="Calibri" w:hAnsi="Calibri"/>
                <w:sz w:val="18"/>
                <w:szCs w:val="18"/>
                <w:b w:val="1"/>
                <w:bCs w:val="1"/>
                <w:color w:val="auto"/>
              </w:rPr>
              <w:t>0</w:t>
            </w:r>
          </w:p>
        </w:tc>
        <w:tc>
          <w:tcPr>
            <w:tcW w:w="560" w:type="dxa"/>
            <w:vAlign w:val="bottom"/>
            <w:gridSpan w:val="2"/>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180" w:type="dxa"/>
            <w:vAlign w:val="bottom"/>
          </w:tcPr>
          <w:p>
            <w:pPr>
              <w:spacing w:after="0" w:line="215" w:lineRule="exact"/>
              <w:rPr>
                <w:sz w:val="20"/>
                <w:szCs w:val="20"/>
                <w:color w:val="auto"/>
              </w:rPr>
            </w:pPr>
            <w:r>
              <w:rPr>
                <w:rFonts w:ascii="Calibri" w:cs="Calibri" w:eastAsia="Calibri" w:hAnsi="Calibri"/>
                <w:sz w:val="18"/>
                <w:szCs w:val="18"/>
                <w:b w:val="1"/>
                <w:bCs w:val="1"/>
                <w:color w:val="auto"/>
                <w:w w:val="97"/>
              </w:rPr>
              <w:t>—</w:t>
            </w:r>
          </w:p>
        </w:tc>
        <w:tc>
          <w:tcPr>
            <w:tcW w:w="920" w:type="dxa"/>
            <w:vAlign w:val="bottom"/>
            <w:gridSpan w:val="2"/>
          </w:tcPr>
          <w:p>
            <w:pPr>
              <w:jc w:val="right"/>
              <w:spacing w:after="0" w:line="215" w:lineRule="exact"/>
              <w:rPr>
                <w:sz w:val="20"/>
                <w:szCs w:val="20"/>
                <w:color w:val="auto"/>
              </w:rPr>
            </w:pPr>
            <w:r>
              <w:rPr>
                <w:rFonts w:ascii="Calibri" w:cs="Calibri" w:eastAsia="Calibri" w:hAnsi="Calibri"/>
                <w:sz w:val="18"/>
                <w:szCs w:val="18"/>
                <w:b w:val="1"/>
                <w:bCs w:val="1"/>
                <w:color w:val="auto"/>
              </w:rPr>
              <w:t>$ 742,986</w:t>
            </w:r>
          </w:p>
        </w:tc>
        <w:tc>
          <w:tcPr>
            <w:tcW w:w="200" w:type="dxa"/>
            <w:vAlign w:val="bottom"/>
          </w:tcPr>
          <w:p>
            <w:pPr>
              <w:spacing w:after="0"/>
              <w:rPr>
                <w:sz w:val="20"/>
                <w:szCs w:val="20"/>
                <w:color w:val="auto"/>
              </w:rPr>
            </w:pPr>
          </w:p>
        </w:tc>
        <w:tc>
          <w:tcPr>
            <w:tcW w:w="11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b w:val="1"/>
                <w:bCs w:val="1"/>
                <w:color w:val="auto"/>
                <w:w w:val="96"/>
              </w:rPr>
              <w:t>$ (1,046,128 )</w:t>
            </w:r>
          </w:p>
        </w:tc>
        <w:tc>
          <w:tcPr>
            <w:tcW w:w="100" w:type="dxa"/>
            <w:vAlign w:val="bottom"/>
          </w:tcPr>
          <w:p>
            <w:pPr>
              <w:ind w:left="20"/>
              <w:spacing w:after="0"/>
              <w:rPr>
                <w:sz w:val="20"/>
                <w:szCs w:val="20"/>
                <w:color w:val="auto"/>
              </w:rPr>
            </w:pPr>
            <w:r>
              <w:rPr>
                <w:rFonts w:ascii="Calibri" w:cs="Calibri" w:eastAsia="Calibri" w:hAnsi="Calibri"/>
                <w:sz w:val="16"/>
                <w:szCs w:val="16"/>
                <w:b w:val="1"/>
                <w:bCs w:val="1"/>
                <w:color w:val="auto"/>
                <w:w w:val="73"/>
              </w:rPr>
              <w:t>$</w:t>
            </w:r>
          </w:p>
        </w:tc>
        <w:tc>
          <w:tcPr>
            <w:tcW w:w="12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b w:val="1"/>
                <w:bCs w:val="1"/>
                <w:color w:val="auto"/>
              </w:rPr>
              <w:t>—</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6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b w:val="1"/>
                <w:bCs w:val="1"/>
                <w:color w:val="auto"/>
              </w:rPr>
              <w:t>2 )</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vMerge w:val="restart"/>
          </w:tcPr>
          <w:p>
            <w:pPr>
              <w:jc w:val="right"/>
              <w:spacing w:after="0"/>
              <w:rPr>
                <w:sz w:val="20"/>
                <w:szCs w:val="20"/>
                <w:color w:val="auto"/>
              </w:rPr>
            </w:pPr>
            <w:r>
              <w:rPr>
                <w:rFonts w:ascii="Calibri" w:cs="Calibri" w:eastAsia="Calibri" w:hAnsi="Calibri"/>
                <w:sz w:val="18"/>
                <w:szCs w:val="18"/>
                <w:color w:val="auto"/>
              </w:rPr>
              <w:t>6</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2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6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-3299460</wp:posOffset>
            </wp:positionV>
            <wp:extent cx="76835" cy="3854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38544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-3299460</wp:posOffset>
            </wp:positionV>
            <wp:extent cx="77470" cy="3854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38544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-3299460</wp:posOffset>
            </wp:positionV>
            <wp:extent cx="76835" cy="3854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38544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-3299460</wp:posOffset>
            </wp:positionV>
            <wp:extent cx="76835" cy="3854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38544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-3299460</wp:posOffset>
            </wp:positionV>
            <wp:extent cx="77470" cy="3854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3854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-3299460</wp:posOffset>
            </wp:positionV>
            <wp:extent cx="68580" cy="3854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3854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-3299460</wp:posOffset>
            </wp:positionV>
            <wp:extent cx="68580" cy="3854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38544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-3299460</wp:posOffset>
            </wp:positionV>
            <wp:extent cx="68580" cy="3854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38544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-3299460</wp:posOffset>
            </wp:positionV>
            <wp:extent cx="68580" cy="3854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3854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-3299460</wp:posOffset>
            </wp:positionV>
            <wp:extent cx="68580" cy="3854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38544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-1739265</wp:posOffset>
            </wp:positionV>
            <wp:extent cx="5186045"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86045" cy="16319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-925195</wp:posOffset>
            </wp:positionV>
            <wp:extent cx="76835" cy="411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41148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-925195</wp:posOffset>
            </wp:positionV>
            <wp:extent cx="77470" cy="411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41148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-925195</wp:posOffset>
            </wp:positionV>
            <wp:extent cx="76835" cy="411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41148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-925195</wp:posOffset>
            </wp:positionV>
            <wp:extent cx="76835" cy="411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41148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-925195</wp:posOffset>
            </wp:positionV>
            <wp:extent cx="77470" cy="411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41148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-925195</wp:posOffset>
            </wp:positionV>
            <wp:extent cx="68580" cy="411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41148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-925195</wp:posOffset>
            </wp:positionV>
            <wp:extent cx="68580" cy="411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41148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-925195</wp:posOffset>
            </wp:positionV>
            <wp:extent cx="68580" cy="411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41148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-925195</wp:posOffset>
            </wp:positionV>
            <wp:extent cx="68580" cy="411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4114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411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41148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 w:name="page9"/>
    <w:bookmarkEnd w:id="8"/>
    <w:tbl>
      <w:tblPr>
        <w:tblLayout w:type="fixed"/>
        <w:tblInd w:w="2080" w:type="dxa"/>
        <w:tblCellMar>
          <w:top w:w="0" w:type="dxa"/>
          <w:left w:w="0" w:type="dxa"/>
          <w:bottom w:w="0" w:type="dxa"/>
          <w:right w:w="0" w:type="dxa"/>
        </w:tblCellMar>
      </w:tblPr>
      <w:tr>
        <w:trPr>
          <w:trHeight w:val="220"/>
        </w:trPr>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80" w:type="dxa"/>
            <w:vAlign w:val="bottom"/>
            <w:gridSpan w:val="3"/>
          </w:tcPr>
          <w:p>
            <w:pPr>
              <w:jc w:val="center"/>
              <w:ind w:right="70"/>
              <w:spacing w:after="0"/>
              <w:rPr>
                <w:sz w:val="20"/>
                <w:szCs w:val="20"/>
                <w:color w:val="auto"/>
              </w:rPr>
            </w:pPr>
            <w:r>
              <w:rPr>
                <w:rFonts w:ascii="Calibri" w:cs="Calibri" w:eastAsia="Calibri" w:hAnsi="Calibri"/>
                <w:sz w:val="18"/>
                <w:szCs w:val="18"/>
                <w:b w:val="1"/>
                <w:bCs w:val="1"/>
                <w:color w:val="auto"/>
                <w:w w:val="96"/>
              </w:rPr>
              <w:t>VIVID SEATS INC.</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00" w:type="dxa"/>
            <w:vAlign w:val="bottom"/>
          </w:tcPr>
          <w:p>
            <w:pPr>
              <w:spacing w:after="0"/>
              <w:rPr>
                <w:sz w:val="18"/>
                <w:szCs w:val="18"/>
                <w:color w:val="auto"/>
              </w:rPr>
            </w:pPr>
          </w:p>
        </w:tc>
        <w:tc>
          <w:tcPr>
            <w:tcW w:w="4300" w:type="dxa"/>
            <w:vAlign w:val="bottom"/>
            <w:gridSpan w:val="6"/>
          </w:tcPr>
          <w:p>
            <w:pPr>
              <w:jc w:val="center"/>
              <w:ind w:left="310"/>
              <w:spacing w:after="0" w:line="215" w:lineRule="exact"/>
              <w:rPr>
                <w:sz w:val="20"/>
                <w:szCs w:val="20"/>
                <w:color w:val="auto"/>
              </w:rPr>
            </w:pPr>
            <w:r>
              <w:rPr>
                <w:rFonts w:ascii="Calibri" w:cs="Calibri" w:eastAsia="Calibri" w:hAnsi="Calibri"/>
                <w:sz w:val="18"/>
                <w:szCs w:val="18"/>
                <w:b w:val="1"/>
                <w:bCs w:val="1"/>
                <w:color w:val="auto"/>
                <w:w w:val="96"/>
              </w:rPr>
              <w:t>CONDENSED CONSOLIDATED STATEMENTS OF DEFICIT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4300" w:type="dxa"/>
            <w:vAlign w:val="bottom"/>
            <w:gridSpan w:val="6"/>
          </w:tcPr>
          <w:p>
            <w:pPr>
              <w:jc w:val="center"/>
              <w:ind w:left="310"/>
              <w:spacing w:after="0" w:line="216" w:lineRule="exact"/>
              <w:rPr>
                <w:sz w:val="20"/>
                <w:szCs w:val="20"/>
                <w:color w:val="auto"/>
              </w:rPr>
            </w:pPr>
            <w:r>
              <w:rPr>
                <w:rFonts w:ascii="Calibri" w:cs="Calibri" w:eastAsia="Calibri" w:hAnsi="Calibri"/>
                <w:sz w:val="18"/>
                <w:szCs w:val="18"/>
                <w:b w:val="1"/>
                <w:bCs w:val="1"/>
                <w:color w:val="auto"/>
                <w:w w:val="97"/>
              </w:rPr>
              <w:t>(in thousands, except share/unit data) (Unaudited)</w:t>
            </w:r>
          </w:p>
        </w:tc>
        <w:tc>
          <w:tcPr>
            <w:tcW w:w="0" w:type="dxa"/>
            <w:vAlign w:val="bottom"/>
          </w:tcPr>
          <w:p>
            <w:pPr>
              <w:spacing w:after="0"/>
              <w:rPr>
                <w:sz w:val="1"/>
                <w:szCs w:val="1"/>
                <w:color w:val="auto"/>
              </w:rPr>
            </w:pPr>
          </w:p>
        </w:tc>
      </w:tr>
      <w:tr>
        <w:trPr>
          <w:trHeight w:val="379"/>
        </w:trPr>
        <w:tc>
          <w:tcPr>
            <w:tcW w:w="1200" w:type="dxa"/>
            <w:vAlign w:val="bottom"/>
          </w:tcPr>
          <w:p>
            <w:pPr>
              <w:spacing w:after="0"/>
              <w:rPr>
                <w:sz w:val="24"/>
                <w:szCs w:val="24"/>
                <w:color w:val="auto"/>
              </w:rPr>
            </w:pPr>
          </w:p>
        </w:tc>
        <w:tc>
          <w:tcPr>
            <w:tcW w:w="1540" w:type="dxa"/>
            <w:vAlign w:val="bottom"/>
            <w:gridSpan w:val="2"/>
          </w:tcPr>
          <w:p>
            <w:pPr>
              <w:ind w:left="140"/>
              <w:spacing w:after="0"/>
              <w:rPr>
                <w:sz w:val="20"/>
                <w:szCs w:val="20"/>
                <w:color w:val="auto"/>
              </w:rPr>
            </w:pPr>
            <w:r>
              <w:rPr>
                <w:rFonts w:ascii="Calibri" w:cs="Calibri" w:eastAsia="Calibri" w:hAnsi="Calibri"/>
                <w:sz w:val="18"/>
                <w:szCs w:val="18"/>
                <w:b w:val="1"/>
                <w:bCs w:val="1"/>
                <w:color w:val="auto"/>
              </w:rPr>
              <w:t>Class A Common</w:t>
            </w:r>
          </w:p>
        </w:tc>
        <w:tc>
          <w:tcPr>
            <w:tcW w:w="200" w:type="dxa"/>
            <w:vAlign w:val="bottom"/>
          </w:tcPr>
          <w:p>
            <w:pPr>
              <w:spacing w:after="0"/>
              <w:rPr>
                <w:sz w:val="24"/>
                <w:szCs w:val="24"/>
                <w:color w:val="auto"/>
              </w:rPr>
            </w:pPr>
          </w:p>
        </w:tc>
        <w:tc>
          <w:tcPr>
            <w:tcW w:w="1580" w:type="dxa"/>
            <w:vAlign w:val="bottom"/>
            <w:gridSpan w:val="2"/>
          </w:tcPr>
          <w:p>
            <w:pPr>
              <w:ind w:left="180"/>
              <w:spacing w:after="0"/>
              <w:rPr>
                <w:sz w:val="20"/>
                <w:szCs w:val="20"/>
                <w:color w:val="auto"/>
              </w:rPr>
            </w:pPr>
            <w:r>
              <w:rPr>
                <w:rFonts w:ascii="Calibri" w:cs="Calibri" w:eastAsia="Calibri" w:hAnsi="Calibri"/>
                <w:sz w:val="18"/>
                <w:szCs w:val="18"/>
                <w:b w:val="1"/>
                <w:bCs w:val="1"/>
                <w:color w:val="auto"/>
              </w:rPr>
              <w:t>Class B Common</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200" w:type="dxa"/>
            <w:vAlign w:val="bottom"/>
          </w:tcPr>
          <w:p>
            <w:pPr>
              <w:spacing w:after="0"/>
              <w:rPr>
                <w:sz w:val="18"/>
                <w:szCs w:val="18"/>
                <w:color w:val="auto"/>
              </w:rPr>
            </w:pPr>
          </w:p>
        </w:tc>
        <w:tc>
          <w:tcPr>
            <w:tcW w:w="980" w:type="dxa"/>
            <w:vAlign w:val="bottom"/>
          </w:tcPr>
          <w:p>
            <w:pPr>
              <w:ind w:left="580"/>
              <w:spacing w:after="0" w:line="215" w:lineRule="exact"/>
              <w:rPr>
                <w:sz w:val="20"/>
                <w:szCs w:val="20"/>
                <w:color w:val="auto"/>
              </w:rPr>
            </w:pPr>
            <w:r>
              <w:rPr>
                <w:rFonts w:ascii="Calibri" w:cs="Calibri" w:eastAsia="Calibri" w:hAnsi="Calibri"/>
                <w:sz w:val="18"/>
                <w:szCs w:val="18"/>
                <w:b w:val="1"/>
                <w:bCs w:val="1"/>
                <w:color w:val="auto"/>
                <w:w w:val="93"/>
              </w:rPr>
              <w:t>Stock</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ind w:left="600"/>
              <w:spacing w:after="0" w:line="215" w:lineRule="exact"/>
              <w:rPr>
                <w:sz w:val="20"/>
                <w:szCs w:val="20"/>
                <w:color w:val="auto"/>
              </w:rPr>
            </w:pPr>
            <w:r>
              <w:rPr>
                <w:rFonts w:ascii="Calibri" w:cs="Calibri" w:eastAsia="Calibri" w:hAnsi="Calibri"/>
                <w:sz w:val="18"/>
                <w:szCs w:val="18"/>
                <w:b w:val="1"/>
                <w:bCs w:val="1"/>
                <w:color w:val="auto"/>
                <w:w w:val="98"/>
              </w:rPr>
              <w:t>Stock</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200" w:type="dxa"/>
            <w:vAlign w:val="bottom"/>
            <w:vMerge w:val="restart"/>
          </w:tcPr>
          <w:p>
            <w:pPr>
              <w:jc w:val="center"/>
              <w:ind w:right="170"/>
              <w:spacing w:after="0" w:line="204" w:lineRule="exact"/>
              <w:rPr>
                <w:sz w:val="20"/>
                <w:szCs w:val="20"/>
                <w:color w:val="auto"/>
              </w:rPr>
            </w:pPr>
            <w:r>
              <w:rPr>
                <w:rFonts w:ascii="Calibri" w:cs="Calibri" w:eastAsia="Calibri" w:hAnsi="Calibri"/>
                <w:sz w:val="18"/>
                <w:szCs w:val="18"/>
                <w:b w:val="1"/>
                <w:bCs w:val="1"/>
                <w:color w:val="auto"/>
                <w:w w:val="96"/>
              </w:rPr>
              <w:t>Redeemable</w:t>
            </w: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vMerge w:val="restart"/>
          </w:tcPr>
          <w:p>
            <w:pPr>
              <w:jc w:val="center"/>
              <w:spacing w:after="0" w:line="204" w:lineRule="exact"/>
              <w:rPr>
                <w:sz w:val="20"/>
                <w:szCs w:val="20"/>
                <w:color w:val="auto"/>
              </w:rPr>
            </w:pPr>
            <w:r>
              <w:rPr>
                <w:rFonts w:ascii="Calibri" w:cs="Calibri" w:eastAsia="Calibri" w:hAnsi="Calibri"/>
                <w:sz w:val="18"/>
                <w:szCs w:val="18"/>
                <w:b w:val="1"/>
                <w:bCs w:val="1"/>
                <w:color w:val="auto"/>
              </w:rPr>
              <w:t>Additon</w:t>
            </w:r>
          </w:p>
        </w:tc>
        <w:tc>
          <w:tcPr>
            <w:tcW w:w="0" w:type="dxa"/>
            <w:vAlign w:val="bottom"/>
          </w:tcPr>
          <w:p>
            <w:pPr>
              <w:spacing w:after="0"/>
              <w:rPr>
                <w:sz w:val="1"/>
                <w:szCs w:val="1"/>
                <w:color w:val="auto"/>
              </w:rPr>
            </w:pPr>
          </w:p>
        </w:tc>
      </w:tr>
      <w:tr>
        <w:trPr>
          <w:trHeight w:val="160"/>
        </w:trPr>
        <w:tc>
          <w:tcPr>
            <w:tcW w:w="120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Calibri" w:cs="Calibri" w:eastAsia="Calibri" w:hAnsi="Calibri"/>
                <w:sz w:val="18"/>
                <w:szCs w:val="18"/>
                <w:b w:val="1"/>
                <w:bCs w:val="1"/>
                <w:color w:val="auto"/>
                <w:w w:val="98"/>
              </w:rPr>
              <w:t>Amoun</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Calibri" w:cs="Calibri" w:eastAsia="Calibri" w:hAnsi="Calibri"/>
                <w:sz w:val="18"/>
                <w:szCs w:val="18"/>
                <w:b w:val="1"/>
                <w:bCs w:val="1"/>
                <w:color w:val="auto"/>
                <w:w w:val="98"/>
              </w:rPr>
              <w:t>Amoun</w:t>
            </w: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200" w:type="dxa"/>
            <w:vAlign w:val="bottom"/>
            <w:vMerge w:val="restart"/>
          </w:tcPr>
          <w:p>
            <w:pPr>
              <w:jc w:val="center"/>
              <w:ind w:right="130"/>
              <w:spacing w:after="0" w:line="189" w:lineRule="exact"/>
              <w:rPr>
                <w:sz w:val="20"/>
                <w:szCs w:val="20"/>
                <w:color w:val="auto"/>
              </w:rPr>
            </w:pPr>
            <w:r>
              <w:rPr>
                <w:rFonts w:ascii="Calibri" w:cs="Calibri" w:eastAsia="Calibri" w:hAnsi="Calibri"/>
                <w:sz w:val="18"/>
                <w:szCs w:val="18"/>
                <w:b w:val="1"/>
                <w:bCs w:val="1"/>
                <w:color w:val="auto"/>
                <w:w w:val="96"/>
              </w:rPr>
              <w:t>noncontrollin</w:t>
            </w:r>
          </w:p>
        </w:tc>
        <w:tc>
          <w:tcPr>
            <w:tcW w:w="980" w:type="dxa"/>
            <w:vAlign w:val="bottom"/>
            <w:vMerge w:val="restart"/>
          </w:tcPr>
          <w:p>
            <w:pPr>
              <w:ind w:left="140"/>
              <w:spacing w:after="0" w:line="189" w:lineRule="exact"/>
              <w:rPr>
                <w:sz w:val="20"/>
                <w:szCs w:val="20"/>
                <w:color w:val="auto"/>
              </w:rPr>
            </w:pPr>
            <w:r>
              <w:rPr>
                <w:rFonts w:ascii="Calibri" w:cs="Calibri" w:eastAsia="Calibri" w:hAnsi="Calibri"/>
                <w:sz w:val="18"/>
                <w:szCs w:val="18"/>
                <w:b w:val="1"/>
                <w:bCs w:val="1"/>
                <w:color w:val="auto"/>
              </w:rPr>
              <w:t>Shares</w:t>
            </w:r>
          </w:p>
        </w:tc>
        <w:tc>
          <w:tcPr>
            <w:tcW w:w="5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vMerge w:val="restart"/>
          </w:tcPr>
          <w:p>
            <w:pPr>
              <w:ind w:left="180"/>
              <w:spacing w:after="0" w:line="189" w:lineRule="exact"/>
              <w:rPr>
                <w:sz w:val="20"/>
                <w:szCs w:val="20"/>
                <w:color w:val="auto"/>
              </w:rPr>
            </w:pPr>
            <w:r>
              <w:rPr>
                <w:rFonts w:ascii="Calibri" w:cs="Calibri" w:eastAsia="Calibri" w:hAnsi="Calibri"/>
                <w:sz w:val="18"/>
                <w:szCs w:val="18"/>
                <w:b w:val="1"/>
                <w:bCs w:val="1"/>
                <w:color w:val="auto"/>
              </w:rPr>
              <w:t>Shares</w:t>
            </w:r>
          </w:p>
        </w:tc>
        <w:tc>
          <w:tcPr>
            <w:tcW w:w="560" w:type="dxa"/>
            <w:vAlign w:val="bottom"/>
            <w:vMerge w:val="continue"/>
          </w:tcPr>
          <w:p>
            <w:pPr>
              <w:spacing w:after="0"/>
              <w:rPr>
                <w:sz w:val="8"/>
                <w:szCs w:val="8"/>
                <w:color w:val="auto"/>
              </w:rPr>
            </w:pPr>
          </w:p>
        </w:tc>
        <w:tc>
          <w:tcPr>
            <w:tcW w:w="980" w:type="dxa"/>
            <w:vAlign w:val="bottom"/>
            <w:vMerge w:val="restart"/>
          </w:tcPr>
          <w:p>
            <w:pPr>
              <w:jc w:val="center"/>
              <w:spacing w:after="0" w:line="189" w:lineRule="exact"/>
              <w:rPr>
                <w:sz w:val="20"/>
                <w:szCs w:val="20"/>
                <w:color w:val="auto"/>
              </w:rPr>
            </w:pPr>
            <w:r>
              <w:rPr>
                <w:rFonts w:ascii="Calibri" w:cs="Calibri" w:eastAsia="Calibri" w:hAnsi="Calibri"/>
                <w:sz w:val="18"/>
                <w:szCs w:val="18"/>
                <w:b w:val="1"/>
                <w:bCs w:val="1"/>
                <w:color w:val="auto"/>
                <w:w w:val="97"/>
              </w:rPr>
              <w:t>al paid-in</w:t>
            </w:r>
          </w:p>
        </w:tc>
        <w:tc>
          <w:tcPr>
            <w:tcW w:w="0" w:type="dxa"/>
            <w:vAlign w:val="bottom"/>
          </w:tcPr>
          <w:p>
            <w:pPr>
              <w:spacing w:after="0"/>
              <w:rPr>
                <w:sz w:val="1"/>
                <w:szCs w:val="1"/>
                <w:color w:val="auto"/>
              </w:rPr>
            </w:pPr>
          </w:p>
        </w:tc>
      </w:tr>
      <w:tr>
        <w:trPr>
          <w:trHeight w:val="94"/>
        </w:trPr>
        <w:tc>
          <w:tcPr>
            <w:tcW w:w="12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560" w:type="dxa"/>
            <w:vAlign w:val="bottom"/>
            <w:vMerge w:val="restart"/>
          </w:tcPr>
          <w:p>
            <w:pPr>
              <w:jc w:val="center"/>
              <w:spacing w:after="0" w:line="215" w:lineRule="exact"/>
              <w:rPr>
                <w:sz w:val="20"/>
                <w:szCs w:val="20"/>
                <w:color w:val="auto"/>
              </w:rPr>
            </w:pPr>
            <w:r>
              <w:rPr>
                <w:rFonts w:ascii="Calibri" w:cs="Calibri" w:eastAsia="Calibri" w:hAnsi="Calibri"/>
                <w:sz w:val="18"/>
                <w:szCs w:val="18"/>
                <w:b w:val="1"/>
                <w:bCs w:val="1"/>
                <w:color w:val="auto"/>
                <w:w w:val="95"/>
              </w:rPr>
              <w:t>t</w:t>
            </w:r>
          </w:p>
        </w:tc>
        <w:tc>
          <w:tcPr>
            <w:tcW w:w="2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560" w:type="dxa"/>
            <w:vAlign w:val="bottom"/>
            <w:vMerge w:val="restart"/>
          </w:tcPr>
          <w:p>
            <w:pPr>
              <w:jc w:val="center"/>
              <w:spacing w:after="0" w:line="215" w:lineRule="exact"/>
              <w:rPr>
                <w:sz w:val="20"/>
                <w:szCs w:val="20"/>
                <w:color w:val="auto"/>
              </w:rPr>
            </w:pPr>
            <w:r>
              <w:rPr>
                <w:rFonts w:ascii="Calibri" w:cs="Calibri" w:eastAsia="Calibri" w:hAnsi="Calibri"/>
                <w:sz w:val="18"/>
                <w:szCs w:val="18"/>
                <w:b w:val="1"/>
                <w:bCs w:val="1"/>
                <w:color w:val="auto"/>
              </w:rPr>
              <w:t>t</w:t>
            </w: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00" w:type="dxa"/>
            <w:vAlign w:val="bottom"/>
            <w:vMerge w:val="restart"/>
          </w:tcPr>
          <w:p>
            <w:pPr>
              <w:jc w:val="center"/>
              <w:ind w:right="150"/>
              <w:spacing w:after="0" w:line="215" w:lineRule="exact"/>
              <w:rPr>
                <w:sz w:val="20"/>
                <w:szCs w:val="20"/>
                <w:color w:val="auto"/>
              </w:rPr>
            </w:pPr>
            <w:r>
              <w:rPr>
                <w:rFonts w:ascii="Calibri" w:cs="Calibri" w:eastAsia="Calibri" w:hAnsi="Calibri"/>
                <w:sz w:val="18"/>
                <w:szCs w:val="18"/>
                <w:b w:val="1"/>
                <w:bCs w:val="1"/>
                <w:color w:val="auto"/>
                <w:w w:val="97"/>
              </w:rPr>
              <w:t>g interests</w:t>
            </w:r>
          </w:p>
        </w:tc>
        <w:tc>
          <w:tcPr>
            <w:tcW w:w="9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980" w:type="dxa"/>
            <w:vAlign w:val="bottom"/>
            <w:vMerge w:val="restart"/>
          </w:tcPr>
          <w:p>
            <w:pPr>
              <w:jc w:val="center"/>
              <w:spacing w:after="0" w:line="215" w:lineRule="exact"/>
              <w:rPr>
                <w:sz w:val="20"/>
                <w:szCs w:val="20"/>
                <w:color w:val="auto"/>
              </w:rPr>
            </w:pPr>
            <w:r>
              <w:rPr>
                <w:rFonts w:ascii="Calibri" w:cs="Calibri" w:eastAsia="Calibri" w:hAnsi="Calibri"/>
                <w:sz w:val="18"/>
                <w:szCs w:val="18"/>
                <w:b w:val="1"/>
                <w:bCs w:val="1"/>
                <w:color w:val="auto"/>
                <w:w w:val="99"/>
              </w:rPr>
              <w:t>capital</w:t>
            </w:r>
          </w:p>
        </w:tc>
        <w:tc>
          <w:tcPr>
            <w:tcW w:w="0" w:type="dxa"/>
            <w:vAlign w:val="bottom"/>
          </w:tcPr>
          <w:p>
            <w:pPr>
              <w:spacing w:after="0"/>
              <w:rPr>
                <w:sz w:val="1"/>
                <w:szCs w:val="1"/>
                <w:color w:val="auto"/>
              </w:rPr>
            </w:pPr>
          </w:p>
        </w:tc>
      </w:tr>
      <w:tr>
        <w:trPr>
          <w:trHeight w:val="95"/>
        </w:trPr>
        <w:tc>
          <w:tcPr>
            <w:tcW w:w="1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340" w:type="dxa"/>
            <w:vAlign w:val="bottom"/>
            <w:gridSpan w:val="2"/>
          </w:tcPr>
          <w:p>
            <w:pPr>
              <w:ind w:left="140"/>
              <w:spacing w:after="0"/>
              <w:rPr>
                <w:sz w:val="20"/>
                <w:szCs w:val="20"/>
                <w:color w:val="auto"/>
              </w:rPr>
            </w:pPr>
            <w:r>
              <w:rPr>
                <w:rFonts w:ascii="Calibri" w:cs="Calibri" w:eastAsia="Calibri" w:hAnsi="Calibri"/>
                <w:sz w:val="18"/>
                <w:szCs w:val="18"/>
                <w:b w:val="1"/>
                <w:bCs w:val="1"/>
                <w:color w:val="auto"/>
              </w:rPr>
              <w:t>Treasury Stock</w:t>
            </w: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vMerge w:val="restart"/>
          </w:tcPr>
          <w:p>
            <w:pPr>
              <w:jc w:val="center"/>
              <w:spacing w:after="0" w:line="204" w:lineRule="exact"/>
              <w:rPr>
                <w:sz w:val="20"/>
                <w:szCs w:val="20"/>
                <w:color w:val="auto"/>
              </w:rPr>
            </w:pPr>
            <w:r>
              <w:rPr>
                <w:rFonts w:ascii="Calibri" w:cs="Calibri" w:eastAsia="Calibri" w:hAnsi="Calibri"/>
                <w:sz w:val="18"/>
                <w:szCs w:val="18"/>
                <w:b w:val="1"/>
                <w:bCs w:val="1"/>
                <w:color w:val="auto"/>
                <w:w w:val="94"/>
              </w:rPr>
              <w:t>Total</w:t>
            </w: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Calibri" w:cs="Calibri" w:eastAsia="Calibri" w:hAnsi="Calibri"/>
                <w:sz w:val="18"/>
                <w:szCs w:val="18"/>
                <w:b w:val="1"/>
                <w:bCs w:val="1"/>
                <w:color w:val="auto"/>
                <w:w w:val="97"/>
              </w:rPr>
              <w:t>Amou</w:t>
            </w:r>
          </w:p>
        </w:tc>
        <w:tc>
          <w:tcPr>
            <w:tcW w:w="1140" w:type="dxa"/>
            <w:vAlign w:val="bottom"/>
            <w:vMerge w:val="restart"/>
          </w:tcPr>
          <w:p>
            <w:pPr>
              <w:jc w:val="center"/>
              <w:spacing w:after="0"/>
              <w:rPr>
                <w:sz w:val="20"/>
                <w:szCs w:val="20"/>
                <w:color w:val="auto"/>
              </w:rPr>
            </w:pPr>
            <w:r>
              <w:rPr>
                <w:rFonts w:ascii="Calibri" w:cs="Calibri" w:eastAsia="Calibri" w:hAnsi="Calibri"/>
                <w:sz w:val="18"/>
                <w:szCs w:val="18"/>
                <w:b w:val="1"/>
                <w:bCs w:val="1"/>
                <w:color w:val="auto"/>
                <w:w w:val="97"/>
              </w:rPr>
              <w:t>Accumulate</w:t>
            </w: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700" w:type="dxa"/>
            <w:vAlign w:val="bottom"/>
            <w:vMerge w:val="restart"/>
          </w:tcPr>
          <w:p>
            <w:pPr>
              <w:ind w:left="80"/>
              <w:spacing w:after="0" w:line="189" w:lineRule="exact"/>
              <w:rPr>
                <w:sz w:val="20"/>
                <w:szCs w:val="20"/>
                <w:color w:val="auto"/>
              </w:rPr>
            </w:pPr>
            <w:r>
              <w:rPr>
                <w:rFonts w:ascii="Calibri" w:cs="Calibri" w:eastAsia="Calibri" w:hAnsi="Calibri"/>
                <w:sz w:val="18"/>
                <w:szCs w:val="18"/>
                <w:b w:val="1"/>
                <w:bCs w:val="1"/>
                <w:color w:val="auto"/>
              </w:rPr>
              <w:t>Shares</w:t>
            </w:r>
          </w:p>
        </w:tc>
        <w:tc>
          <w:tcPr>
            <w:tcW w:w="64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980" w:type="dxa"/>
            <w:vAlign w:val="bottom"/>
            <w:vMerge w:val="restart"/>
          </w:tcPr>
          <w:p>
            <w:pPr>
              <w:jc w:val="center"/>
              <w:ind w:left="10"/>
              <w:spacing w:after="0" w:line="189" w:lineRule="exact"/>
              <w:rPr>
                <w:sz w:val="20"/>
                <w:szCs w:val="20"/>
                <w:color w:val="auto"/>
              </w:rPr>
            </w:pPr>
            <w:r>
              <w:rPr>
                <w:rFonts w:ascii="Calibri" w:cs="Calibri" w:eastAsia="Calibri" w:hAnsi="Calibri"/>
                <w:sz w:val="18"/>
                <w:szCs w:val="18"/>
                <w:b w:val="1"/>
                <w:bCs w:val="1"/>
                <w:color w:val="auto"/>
                <w:w w:val="97"/>
              </w:rPr>
              <w:t>shareholder</w:t>
            </w:r>
          </w:p>
        </w:tc>
        <w:tc>
          <w:tcPr>
            <w:tcW w:w="0" w:type="dxa"/>
            <w:vAlign w:val="bottom"/>
          </w:tcPr>
          <w:p>
            <w:pPr>
              <w:spacing w:after="0"/>
              <w:rPr>
                <w:sz w:val="1"/>
                <w:szCs w:val="1"/>
                <w:color w:val="auto"/>
              </w:rPr>
            </w:pPr>
          </w:p>
        </w:tc>
      </w:tr>
      <w:tr>
        <w:trPr>
          <w:trHeight w:val="94"/>
        </w:trPr>
        <w:tc>
          <w:tcPr>
            <w:tcW w:w="700" w:type="dxa"/>
            <w:vAlign w:val="bottom"/>
            <w:vMerge w:val="continue"/>
          </w:tcPr>
          <w:p>
            <w:pPr>
              <w:spacing w:after="0"/>
              <w:rPr>
                <w:sz w:val="8"/>
                <w:szCs w:val="8"/>
                <w:color w:val="auto"/>
              </w:rPr>
            </w:pPr>
          </w:p>
        </w:tc>
        <w:tc>
          <w:tcPr>
            <w:tcW w:w="640" w:type="dxa"/>
            <w:vAlign w:val="bottom"/>
            <w:vMerge w:val="restart"/>
          </w:tcPr>
          <w:p>
            <w:pPr>
              <w:jc w:val="center"/>
              <w:spacing w:after="0" w:line="215" w:lineRule="exact"/>
              <w:rPr>
                <w:sz w:val="20"/>
                <w:szCs w:val="20"/>
                <w:color w:val="auto"/>
              </w:rPr>
            </w:pPr>
            <w:r>
              <w:rPr>
                <w:rFonts w:ascii="Calibri" w:cs="Calibri" w:eastAsia="Calibri" w:hAnsi="Calibri"/>
                <w:sz w:val="18"/>
                <w:szCs w:val="18"/>
                <w:b w:val="1"/>
                <w:bCs w:val="1"/>
                <w:color w:val="auto"/>
              </w:rPr>
              <w:t>nt</w:t>
            </w:r>
          </w:p>
        </w:tc>
        <w:tc>
          <w:tcPr>
            <w:tcW w:w="1140" w:type="dxa"/>
            <w:vAlign w:val="bottom"/>
            <w:vMerge w:val="restart"/>
          </w:tcPr>
          <w:p>
            <w:pPr>
              <w:jc w:val="center"/>
              <w:spacing w:after="0" w:line="215" w:lineRule="exact"/>
              <w:rPr>
                <w:sz w:val="20"/>
                <w:szCs w:val="20"/>
                <w:color w:val="auto"/>
              </w:rPr>
            </w:pPr>
            <w:r>
              <w:rPr>
                <w:rFonts w:ascii="Calibri" w:cs="Calibri" w:eastAsia="Calibri" w:hAnsi="Calibri"/>
                <w:sz w:val="18"/>
                <w:szCs w:val="18"/>
                <w:b w:val="1"/>
                <w:bCs w:val="1"/>
                <w:color w:val="auto"/>
              </w:rPr>
              <w:t>d defcit</w:t>
            </w: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7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80" w:type="dxa"/>
            <w:vAlign w:val="bottom"/>
            <w:vMerge w:val="restart"/>
          </w:tcPr>
          <w:p>
            <w:pPr>
              <w:jc w:val="center"/>
              <w:ind w:left="30"/>
              <w:spacing w:after="0" w:line="215" w:lineRule="exact"/>
              <w:rPr>
                <w:sz w:val="20"/>
                <w:szCs w:val="20"/>
                <w:color w:val="auto"/>
              </w:rPr>
            </w:pPr>
            <w:r>
              <w:rPr>
                <w:rFonts w:ascii="Calibri" w:cs="Calibri" w:eastAsia="Calibri" w:hAnsi="Calibri"/>
                <w:sz w:val="18"/>
                <w:szCs w:val="18"/>
                <w:b w:val="1"/>
                <w:bCs w:val="1"/>
                <w:color w:val="auto"/>
              </w:rPr>
              <w:t>s' defcit</w:t>
            </w: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2">
            <w:col w:w="7580" w:space="60"/>
            <w:col w:w="3600"/>
          </w:cols>
          <w:pgMar w:left="320" w:top="100" w:right="339" w:bottom="1440" w:gutter="0" w:footer="0" w:header="0"/>
        </w:sectPr>
      </w:pPr>
    </w:p>
    <w:tbl>
      <w:tblPr>
        <w:tblLayout w:type="fixed"/>
        <w:tblInd w:w="0" w:type="dxa"/>
        <w:tblCellMar>
          <w:top w:w="0" w:type="dxa"/>
          <w:left w:w="0" w:type="dxa"/>
          <w:bottom w:w="0" w:type="dxa"/>
          <w:right w:w="0" w:type="dxa"/>
        </w:tblCellMar>
      </w:tblPr>
      <w:tr>
        <w:trPr>
          <w:trHeight w:val="180"/>
        </w:trPr>
        <w:tc>
          <w:tcPr>
            <w:tcW w:w="2040" w:type="dxa"/>
            <w:vAlign w:val="bottom"/>
            <w:shd w:val="clear" w:color="auto" w:fill="CFF0FC"/>
          </w:tcPr>
          <w:p>
            <w:pPr>
              <w:ind w:left="20"/>
              <w:spacing w:after="0" w:line="180" w:lineRule="exact"/>
              <w:rPr>
                <w:sz w:val="20"/>
                <w:szCs w:val="20"/>
                <w:color w:val="auto"/>
              </w:rPr>
            </w:pPr>
            <w:r>
              <w:rPr>
                <w:rFonts w:ascii="Calibri" w:cs="Calibri" w:eastAsia="Calibri" w:hAnsi="Calibri"/>
                <w:sz w:val="18"/>
                <w:szCs w:val="18"/>
                <w:color w:val="auto"/>
              </w:rPr>
              <w:t>Balances at January 1,</w:t>
            </w:r>
          </w:p>
        </w:tc>
        <w:tc>
          <w:tcPr>
            <w:tcW w:w="22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spacing w:after="0" w:line="180" w:lineRule="exact"/>
              <w:rPr>
                <w:sz w:val="20"/>
                <w:szCs w:val="20"/>
                <w:color w:val="auto"/>
              </w:rPr>
            </w:pPr>
            <w:r>
              <w:rPr>
                <w:rFonts w:ascii="Calibri" w:cs="Calibri" w:eastAsia="Calibri" w:hAnsi="Calibri"/>
                <w:sz w:val="18"/>
                <w:szCs w:val="18"/>
                <w:color w:val="auto"/>
              </w:rPr>
              <w:t>79,091,</w:t>
            </w:r>
          </w:p>
        </w:tc>
        <w:tc>
          <w:tcPr>
            <w:tcW w:w="20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jc w:val="right"/>
              <w:spacing w:after="0" w:line="180" w:lineRule="exact"/>
              <w:rPr>
                <w:sz w:val="20"/>
                <w:szCs w:val="20"/>
                <w:color w:val="auto"/>
              </w:rPr>
            </w:pPr>
            <w:r>
              <w:rPr>
                <w:rFonts w:ascii="Calibri" w:cs="Calibri" w:eastAsia="Calibri" w:hAnsi="Calibri"/>
                <w:sz w:val="18"/>
                <w:szCs w:val="18"/>
                <w:color w:val="auto"/>
              </w:rPr>
              <w:t>118,200,</w:t>
            </w:r>
          </w:p>
        </w:tc>
        <w:tc>
          <w:tcPr>
            <w:tcW w:w="16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2022</w:t>
            </w:r>
          </w:p>
        </w:tc>
        <w:tc>
          <w:tcPr>
            <w:tcW w:w="22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1,286,016</w:t>
            </w:r>
          </w:p>
        </w:tc>
        <w:tc>
          <w:tcPr>
            <w:tcW w:w="2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871</w:t>
            </w:r>
          </w:p>
        </w:tc>
        <w:tc>
          <w:tcPr>
            <w:tcW w:w="46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104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000</w:t>
            </w:r>
          </w:p>
        </w:tc>
        <w:tc>
          <w:tcPr>
            <w:tcW w:w="4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w:t>
            </w:r>
          </w:p>
        </w:tc>
        <w:tc>
          <w:tcPr>
            <w:tcW w:w="8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$ 182,091</w:t>
            </w:r>
          </w:p>
        </w:tc>
        <w:tc>
          <w:tcPr>
            <w:tcW w:w="16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ind w:left="460"/>
              <w:spacing w:after="0" w:line="215" w:lineRule="exact"/>
              <w:rPr>
                <w:sz w:val="20"/>
                <w:szCs w:val="20"/>
                <w:color w:val="auto"/>
              </w:rPr>
            </w:pPr>
            <w:r>
              <w:rPr>
                <w:rFonts w:ascii="Calibri" w:cs="Calibri" w:eastAsia="Calibri" w:hAnsi="Calibri"/>
                <w:sz w:val="18"/>
                <w:szCs w:val="18"/>
                <w:color w:val="auto"/>
                <w:w w:val="85"/>
              </w:rPr>
              <w:t>—</w:t>
            </w:r>
          </w:p>
        </w:tc>
        <w:tc>
          <w:tcPr>
            <w:tcW w:w="40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32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1420" w:type="dxa"/>
            <w:vAlign w:val="bottom"/>
            <w:tcBorders>
              <w:bottom w:val="single" w:sz="8" w:color="CFF0FC"/>
            </w:tcBorders>
            <w:gridSpan w:val="4"/>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 (1,042,794 ) $</w:t>
            </w:r>
          </w:p>
        </w:tc>
        <w:tc>
          <w:tcPr>
            <w:tcW w:w="84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(860,683 )</w:t>
            </w: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line="215" w:lineRule="exact"/>
              <w:rPr>
                <w:sz w:val="20"/>
                <w:szCs w:val="20"/>
                <w:color w:val="auto"/>
              </w:rPr>
            </w:pPr>
            <w:r>
              <w:rPr>
                <w:rFonts w:ascii="Calibri" w:cs="Calibri" w:eastAsia="Calibri" w:hAnsi="Calibri"/>
                <w:sz w:val="18"/>
                <w:szCs w:val="18"/>
                <w:color w:val="auto"/>
              </w:rPr>
              <w:t>Net income</w:t>
            </w:r>
          </w:p>
        </w:tc>
        <w:tc>
          <w:tcPr>
            <w:tcW w:w="22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1,879</w:t>
            </w:r>
          </w:p>
        </w:tc>
        <w:tc>
          <w:tcPr>
            <w:tcW w:w="20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620" w:type="dxa"/>
            <w:vAlign w:val="bottom"/>
          </w:tcPr>
          <w:p>
            <w:pPr>
              <w:ind w:left="460"/>
              <w:spacing w:after="0" w:line="215" w:lineRule="exact"/>
              <w:rPr>
                <w:sz w:val="20"/>
                <w:szCs w:val="20"/>
                <w:color w:val="auto"/>
              </w:rPr>
            </w:pPr>
            <w:r>
              <w:rPr>
                <w:rFonts w:ascii="Calibri" w:cs="Calibri" w:eastAsia="Calibri" w:hAnsi="Calibri"/>
                <w:sz w:val="18"/>
                <w:szCs w:val="18"/>
                <w:color w:val="auto"/>
                <w:w w:val="85"/>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10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1,259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1,259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Issuance of shares</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7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75,072</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w:t>
            </w:r>
          </w:p>
        </w:tc>
        <w:tc>
          <w:tcPr>
            <w:tcW w:w="620" w:type="dxa"/>
            <w:vAlign w:val="bottom"/>
            <w:shd w:val="clear" w:color="auto" w:fill="CFF0FC"/>
          </w:tcPr>
          <w:p>
            <w:pPr>
              <w:ind w:left="460"/>
              <w:spacing w:after="0" w:line="216" w:lineRule="exact"/>
              <w:rPr>
                <w:sz w:val="20"/>
                <w:szCs w:val="20"/>
                <w:color w:val="auto"/>
              </w:rPr>
            </w:pPr>
            <w:r>
              <w:rPr>
                <w:rFonts w:ascii="Calibri" w:cs="Calibri" w:eastAsia="Calibri" w:hAnsi="Calibri"/>
                <w:sz w:val="18"/>
                <w:szCs w:val="18"/>
                <w:color w:val="auto"/>
                <w:w w:val="85"/>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ind w:left="140"/>
              <w:spacing w:after="0" w:line="216" w:lineRule="exact"/>
              <w:rPr>
                <w:sz w:val="20"/>
                <w:szCs w:val="20"/>
                <w:color w:val="auto"/>
              </w:rPr>
            </w:pPr>
            <w:r>
              <w:rPr>
                <w:rFonts w:ascii="Calibri" w:cs="Calibri" w:eastAsia="Calibri" w:hAnsi="Calibri"/>
                <w:sz w:val="18"/>
                <w:szCs w:val="18"/>
                <w:color w:val="auto"/>
                <w:w w:val="97"/>
              </w:rPr>
              <w:t>—</w:t>
            </w:r>
          </w:p>
        </w:tc>
        <w:tc>
          <w:tcPr>
            <w:tcW w:w="16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380"/>
              <w:spacing w:after="0" w:line="216" w:lineRule="exact"/>
              <w:rPr>
                <w:sz w:val="20"/>
                <w:szCs w:val="20"/>
                <w:color w:val="auto"/>
              </w:rPr>
            </w:pPr>
            <w:r>
              <w:rPr>
                <w:rFonts w:ascii="Calibri" w:cs="Calibri" w:eastAsia="Calibri" w:hAnsi="Calibri"/>
                <w:sz w:val="18"/>
                <w:szCs w:val="18"/>
                <w:color w:val="auto"/>
              </w:rPr>
              <w:t>—</w:t>
            </w:r>
          </w:p>
        </w:tc>
        <w:tc>
          <w:tcPr>
            <w:tcW w:w="84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line="166" w:lineRule="exact"/>
              <w:rPr>
                <w:sz w:val="20"/>
                <w:szCs w:val="20"/>
                <w:color w:val="auto"/>
              </w:rPr>
            </w:pPr>
            <w:r>
              <w:rPr>
                <w:rFonts w:ascii="Calibri" w:cs="Calibri" w:eastAsia="Calibri" w:hAnsi="Calibri"/>
                <w:sz w:val="18"/>
                <w:szCs w:val="18"/>
                <w:color w:val="auto"/>
              </w:rPr>
              <w:t>Deemed contributon from</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line="215" w:lineRule="exact"/>
              <w:rPr>
                <w:sz w:val="20"/>
                <w:szCs w:val="20"/>
                <w:color w:val="auto"/>
              </w:rPr>
            </w:pPr>
            <w:r>
              <w:rPr>
                <w:rFonts w:ascii="Calibri" w:cs="Calibri" w:eastAsia="Calibri" w:hAnsi="Calibri"/>
                <w:sz w:val="18"/>
                <w:szCs w:val="18"/>
                <w:color w:val="auto"/>
              </w:rPr>
              <w:t>former parent</w:t>
            </w:r>
          </w:p>
        </w:tc>
        <w:tc>
          <w:tcPr>
            <w:tcW w:w="22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691</w:t>
            </w:r>
          </w:p>
        </w:tc>
        <w:tc>
          <w:tcPr>
            <w:tcW w:w="20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8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463</w:t>
            </w:r>
          </w:p>
        </w:tc>
        <w:tc>
          <w:tcPr>
            <w:tcW w:w="160" w:type="dxa"/>
            <w:vAlign w:val="bottom"/>
          </w:tcPr>
          <w:p>
            <w:pPr>
              <w:spacing w:after="0"/>
              <w:rPr>
                <w:sz w:val="18"/>
                <w:szCs w:val="18"/>
                <w:color w:val="auto"/>
              </w:rPr>
            </w:pPr>
          </w:p>
        </w:tc>
        <w:tc>
          <w:tcPr>
            <w:tcW w:w="620" w:type="dxa"/>
            <w:vAlign w:val="bottom"/>
          </w:tcPr>
          <w:p>
            <w:pPr>
              <w:ind w:left="460"/>
              <w:spacing w:after="0" w:line="215" w:lineRule="exact"/>
              <w:rPr>
                <w:sz w:val="20"/>
                <w:szCs w:val="20"/>
                <w:color w:val="auto"/>
              </w:rPr>
            </w:pPr>
            <w:r>
              <w:rPr>
                <w:rFonts w:ascii="Calibri" w:cs="Calibri" w:eastAsia="Calibri" w:hAnsi="Calibri"/>
                <w:sz w:val="18"/>
                <w:szCs w:val="18"/>
                <w:color w:val="auto"/>
                <w:w w:val="85"/>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160" w:type="dxa"/>
            <w:vAlign w:val="bottom"/>
          </w:tcPr>
          <w:p>
            <w:pPr>
              <w:spacing w:after="0"/>
              <w:rPr>
                <w:sz w:val="18"/>
                <w:szCs w:val="18"/>
                <w:color w:val="auto"/>
              </w:rPr>
            </w:pPr>
          </w:p>
        </w:tc>
        <w:tc>
          <w:tcPr>
            <w:tcW w:w="1260" w:type="dxa"/>
            <w:vAlign w:val="bottom"/>
            <w:gridSpan w:val="3"/>
          </w:tcPr>
          <w:p>
            <w:pPr>
              <w:jc w:val="right"/>
              <w:ind w:right="38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463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40" w:type="dxa"/>
            <w:vAlign w:val="bottom"/>
            <w:shd w:val="clear" w:color="auto" w:fill="CFF0FC"/>
          </w:tcPr>
          <w:p>
            <w:pPr>
              <w:ind w:left="20"/>
              <w:spacing w:after="0" w:line="166" w:lineRule="exact"/>
              <w:rPr>
                <w:sz w:val="20"/>
                <w:szCs w:val="20"/>
                <w:color w:val="auto"/>
              </w:rPr>
            </w:pPr>
            <w:r>
              <w:rPr>
                <w:rFonts w:ascii="Calibri" w:cs="Calibri" w:eastAsia="Calibri" w:hAnsi="Calibri"/>
                <w:sz w:val="18"/>
                <w:szCs w:val="18"/>
                <w:color w:val="auto"/>
              </w:rPr>
              <w:t>Equity-based</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compensaton</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2,443</w:t>
            </w:r>
          </w:p>
        </w:tc>
        <w:tc>
          <w:tcPr>
            <w:tcW w:w="16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ind w:left="460"/>
              <w:spacing w:after="0" w:line="215" w:lineRule="exact"/>
              <w:rPr>
                <w:sz w:val="20"/>
                <w:szCs w:val="20"/>
                <w:color w:val="auto"/>
              </w:rPr>
            </w:pPr>
            <w:r>
              <w:rPr>
                <w:rFonts w:ascii="Calibri" w:cs="Calibri" w:eastAsia="Calibri" w:hAnsi="Calibri"/>
                <w:sz w:val="18"/>
                <w:szCs w:val="18"/>
                <w:color w:val="auto"/>
                <w:w w:val="85"/>
              </w:rPr>
              <w:t>—</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1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gridSpan w:val="3"/>
            <w:shd w:val="clear" w:color="auto" w:fill="CFF0FC"/>
          </w:tcPr>
          <w:p>
            <w:pPr>
              <w:jc w:val="right"/>
              <w:ind w:right="38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2,443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line="166" w:lineRule="exact"/>
              <w:rPr>
                <w:sz w:val="20"/>
                <w:szCs w:val="20"/>
                <w:color w:val="auto"/>
              </w:rPr>
            </w:pPr>
            <w:r>
              <w:rPr>
                <w:rFonts w:ascii="Calibri" w:cs="Calibri" w:eastAsia="Calibri" w:hAnsi="Calibri"/>
                <w:sz w:val="18"/>
                <w:szCs w:val="18"/>
                <w:color w:val="auto"/>
              </w:rPr>
              <w:t>Subsequent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40" w:type="dxa"/>
            <w:vAlign w:val="bottom"/>
          </w:tcPr>
          <w:p>
            <w:pPr>
              <w:ind w:left="20"/>
              <w:spacing w:after="0" w:line="189" w:lineRule="exact"/>
              <w:rPr>
                <w:sz w:val="20"/>
                <w:szCs w:val="20"/>
                <w:color w:val="auto"/>
              </w:rPr>
            </w:pPr>
            <w:r>
              <w:rPr>
                <w:rFonts w:ascii="Calibri" w:cs="Calibri" w:eastAsia="Calibri" w:hAnsi="Calibri"/>
                <w:sz w:val="18"/>
                <w:szCs w:val="18"/>
                <w:color w:val="auto"/>
              </w:rPr>
              <w:t>remeasurement of</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tcPr>
          <w:p>
            <w:pPr>
              <w:ind w:left="20"/>
              <w:spacing w:after="0" w:line="189" w:lineRule="exact"/>
              <w:rPr>
                <w:sz w:val="20"/>
                <w:szCs w:val="20"/>
                <w:color w:val="auto"/>
              </w:rPr>
            </w:pPr>
            <w:r>
              <w:rPr>
                <w:rFonts w:ascii="Calibri" w:cs="Calibri" w:eastAsia="Calibri" w:hAnsi="Calibri"/>
                <w:sz w:val="18"/>
                <w:szCs w:val="18"/>
                <w:color w:val="auto"/>
              </w:rPr>
              <w:t>Redeemable</w:t>
            </w:r>
          </w:p>
        </w:tc>
        <w:tc>
          <w:tcPr>
            <w:tcW w:w="2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alibri" w:cs="Calibri" w:eastAsia="Calibri" w:hAnsi="Calibri"/>
                <w:sz w:val="18"/>
                <w:szCs w:val="18"/>
                <w:color w:val="auto"/>
              </w:rPr>
              <w:t>18,706</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1040" w:type="dxa"/>
            <w:vAlign w:val="bottom"/>
            <w:gridSpan w:val="3"/>
            <w:vMerge w:val="restart"/>
          </w:tcPr>
          <w:p>
            <w:pPr>
              <w:jc w:val="right"/>
              <w:ind w:right="80"/>
              <w:spacing w:after="0"/>
              <w:rPr>
                <w:sz w:val="20"/>
                <w:szCs w:val="20"/>
                <w:color w:val="auto"/>
              </w:rPr>
            </w:pPr>
            <w:r>
              <w:rPr>
                <w:rFonts w:ascii="Calibri" w:cs="Calibri" w:eastAsia="Calibri" w:hAnsi="Calibri"/>
                <w:sz w:val="18"/>
                <w:szCs w:val="18"/>
                <w:color w:val="auto"/>
              </w:rPr>
              <w:t>(18,706 )</w:t>
            </w:r>
          </w:p>
        </w:tc>
        <w:tc>
          <w:tcPr>
            <w:tcW w:w="620" w:type="dxa"/>
            <w:vAlign w:val="bottom"/>
            <w:vMerge w:val="restart"/>
          </w:tcPr>
          <w:p>
            <w:pPr>
              <w:ind w:left="460"/>
              <w:spacing w:after="0"/>
              <w:rPr>
                <w:sz w:val="20"/>
                <w:szCs w:val="20"/>
                <w:color w:val="auto"/>
              </w:rPr>
            </w:pPr>
            <w:r>
              <w:rPr>
                <w:rFonts w:ascii="Calibri" w:cs="Calibri" w:eastAsia="Calibri" w:hAnsi="Calibri"/>
                <w:sz w:val="18"/>
                <w:szCs w:val="18"/>
                <w:color w:val="auto"/>
                <w:w w:val="85"/>
              </w:rPr>
              <w:t>—</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vMerge w:val="restart"/>
          </w:tcPr>
          <w:p>
            <w:pPr>
              <w:ind w:left="140"/>
              <w:spacing w:after="0"/>
              <w:rPr>
                <w:sz w:val="20"/>
                <w:szCs w:val="20"/>
                <w:color w:val="auto"/>
              </w:rPr>
            </w:pPr>
            <w:r>
              <w:rPr>
                <w:rFonts w:ascii="Calibri" w:cs="Calibri" w:eastAsia="Calibri" w:hAnsi="Calibri"/>
                <w:sz w:val="18"/>
                <w:szCs w:val="18"/>
                <w:color w:val="auto"/>
                <w:w w:val="97"/>
              </w:rPr>
              <w:t>—</w:t>
            </w:r>
          </w:p>
        </w:tc>
        <w:tc>
          <w:tcPr>
            <w:tcW w:w="160" w:type="dxa"/>
            <w:vAlign w:val="bottom"/>
          </w:tcPr>
          <w:p>
            <w:pPr>
              <w:spacing w:after="0"/>
              <w:rPr>
                <w:sz w:val="16"/>
                <w:szCs w:val="16"/>
                <w:color w:val="auto"/>
              </w:rPr>
            </w:pPr>
          </w:p>
        </w:tc>
        <w:tc>
          <w:tcPr>
            <w:tcW w:w="1260" w:type="dxa"/>
            <w:vAlign w:val="bottom"/>
            <w:gridSpan w:val="3"/>
            <w:vMerge w:val="restart"/>
          </w:tcPr>
          <w:p>
            <w:pPr>
              <w:jc w:val="right"/>
              <w:ind w:right="380"/>
              <w:spacing w:after="0"/>
              <w:rPr>
                <w:sz w:val="20"/>
                <w:szCs w:val="20"/>
                <w:color w:val="auto"/>
              </w:rPr>
            </w:pPr>
            <w:r>
              <w:rPr>
                <w:rFonts w:ascii="Calibri" w:cs="Calibri" w:eastAsia="Calibri" w:hAnsi="Calibri"/>
                <w:sz w:val="18"/>
                <w:szCs w:val="18"/>
                <w:color w:val="auto"/>
              </w:rPr>
              <w:t>—</w:t>
            </w:r>
          </w:p>
        </w:tc>
        <w:tc>
          <w:tcPr>
            <w:tcW w:w="840" w:type="dxa"/>
            <w:vAlign w:val="bottom"/>
            <w:gridSpan w:val="2"/>
            <w:vMerge w:val="restart"/>
          </w:tcPr>
          <w:p>
            <w:pPr>
              <w:jc w:val="right"/>
              <w:ind w:right="40"/>
              <w:spacing w:after="0"/>
              <w:rPr>
                <w:sz w:val="20"/>
                <w:szCs w:val="20"/>
                <w:color w:val="auto"/>
              </w:rPr>
            </w:pPr>
            <w:r>
              <w:rPr>
                <w:rFonts w:ascii="Calibri" w:cs="Calibri" w:eastAsia="Calibri" w:hAnsi="Calibri"/>
                <w:sz w:val="18"/>
                <w:szCs w:val="18"/>
                <w:color w:val="auto"/>
              </w:rPr>
              <w:t>(18,706 )</w:t>
            </w:r>
          </w:p>
        </w:tc>
        <w:tc>
          <w:tcPr>
            <w:tcW w:w="0" w:type="dxa"/>
            <w:vAlign w:val="bottom"/>
          </w:tcPr>
          <w:p>
            <w:pPr>
              <w:spacing w:after="0"/>
              <w:rPr>
                <w:sz w:val="1"/>
                <w:szCs w:val="1"/>
                <w:color w:val="auto"/>
              </w:rPr>
            </w:pPr>
          </w:p>
        </w:tc>
      </w:tr>
      <w:tr>
        <w:trPr>
          <w:trHeight w:val="218"/>
        </w:trPr>
        <w:tc>
          <w:tcPr>
            <w:tcW w:w="2040" w:type="dxa"/>
            <w:vAlign w:val="bottom"/>
          </w:tcPr>
          <w:p>
            <w:pPr>
              <w:ind w:left="20"/>
              <w:spacing w:after="0" w:line="215" w:lineRule="exact"/>
              <w:rPr>
                <w:sz w:val="20"/>
                <w:szCs w:val="20"/>
                <w:color w:val="auto"/>
              </w:rPr>
            </w:pPr>
            <w:r>
              <w:rPr>
                <w:rFonts w:ascii="Calibri" w:cs="Calibri" w:eastAsia="Calibri" w:hAnsi="Calibri"/>
                <w:sz w:val="18"/>
                <w:szCs w:val="18"/>
                <w:color w:val="auto"/>
              </w:rPr>
              <w:t>noncontrolling interests</w:t>
            </w: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40" w:type="dxa"/>
            <w:vAlign w:val="bottom"/>
            <w:shd w:val="clear" w:color="auto" w:fill="CFF0FC"/>
          </w:tcPr>
          <w:p>
            <w:pPr>
              <w:ind w:left="20"/>
              <w:spacing w:after="0" w:line="166" w:lineRule="exact"/>
              <w:rPr>
                <w:sz w:val="20"/>
                <w:szCs w:val="20"/>
                <w:color w:val="auto"/>
              </w:rPr>
            </w:pPr>
            <w:r>
              <w:rPr>
                <w:rFonts w:ascii="Calibri" w:cs="Calibri" w:eastAsia="Calibri" w:hAnsi="Calibri"/>
                <w:sz w:val="18"/>
                <w:szCs w:val="18"/>
                <w:b w:val="1"/>
                <w:bCs w:val="1"/>
                <w:color w:val="auto"/>
              </w:rPr>
              <w:t>Balances at March 31,</w:t>
            </w:r>
          </w:p>
        </w:tc>
        <w:tc>
          <w:tcPr>
            <w:tcW w:w="22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line="166" w:lineRule="exact"/>
              <w:rPr>
                <w:sz w:val="20"/>
                <w:szCs w:val="20"/>
                <w:color w:val="auto"/>
              </w:rPr>
            </w:pPr>
            <w:r>
              <w:rPr>
                <w:rFonts w:ascii="Calibri" w:cs="Calibri" w:eastAsia="Calibri" w:hAnsi="Calibri"/>
                <w:sz w:val="18"/>
                <w:szCs w:val="18"/>
                <w:b w:val="1"/>
                <w:bCs w:val="1"/>
                <w:color w:val="auto"/>
              </w:rPr>
              <w:t>79,166,</w:t>
            </w:r>
          </w:p>
        </w:tc>
        <w:tc>
          <w:tcPr>
            <w:tcW w:w="20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jc w:val="right"/>
              <w:spacing w:after="0" w:line="166" w:lineRule="exact"/>
              <w:rPr>
                <w:sz w:val="20"/>
                <w:szCs w:val="20"/>
                <w:color w:val="auto"/>
              </w:rPr>
            </w:pPr>
            <w:r>
              <w:rPr>
                <w:rFonts w:ascii="Calibri" w:cs="Calibri" w:eastAsia="Calibri" w:hAnsi="Calibri"/>
                <w:sz w:val="18"/>
                <w:szCs w:val="18"/>
                <w:b w:val="1"/>
                <w:bCs w:val="1"/>
                <w:color w:val="auto"/>
              </w:rPr>
              <w:t>118,200,</w:t>
            </w:r>
          </w:p>
        </w:tc>
        <w:tc>
          <w:tcPr>
            <w:tcW w:w="16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2022</w:t>
            </w:r>
          </w:p>
        </w:tc>
        <w:tc>
          <w:tcPr>
            <w:tcW w:w="22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1,307,292</w:t>
            </w:r>
          </w:p>
        </w:tc>
        <w:tc>
          <w:tcPr>
            <w:tcW w:w="2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943</w:t>
            </w:r>
          </w:p>
        </w:tc>
        <w:tc>
          <w:tcPr>
            <w:tcW w:w="46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b w:val="1"/>
                <w:bCs w:val="1"/>
                <w:color w:val="auto"/>
              </w:rPr>
              <w:t>$</w:t>
            </w:r>
          </w:p>
        </w:tc>
        <w:tc>
          <w:tcPr>
            <w:tcW w:w="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8</w:t>
            </w:r>
          </w:p>
        </w:tc>
        <w:tc>
          <w:tcPr>
            <w:tcW w:w="104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000</w:t>
            </w:r>
          </w:p>
        </w:tc>
        <w:tc>
          <w:tcPr>
            <w:tcW w:w="4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b w:val="1"/>
                <w:bCs w:val="1"/>
                <w:color w:val="auto"/>
              </w:rPr>
              <w:t>$</w:t>
            </w:r>
          </w:p>
        </w:tc>
        <w:tc>
          <w:tcPr>
            <w:tcW w:w="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12</w:t>
            </w:r>
          </w:p>
        </w:tc>
        <w:tc>
          <w:tcPr>
            <w:tcW w:w="8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$ 166,291</w:t>
            </w:r>
          </w:p>
        </w:tc>
        <w:tc>
          <w:tcPr>
            <w:tcW w:w="16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ind w:left="460"/>
              <w:spacing w:after="0" w:line="215" w:lineRule="exact"/>
              <w:rPr>
                <w:sz w:val="20"/>
                <w:szCs w:val="20"/>
                <w:color w:val="auto"/>
              </w:rPr>
            </w:pPr>
            <w:r>
              <w:rPr>
                <w:rFonts w:ascii="Calibri" w:cs="Calibri" w:eastAsia="Calibri" w:hAnsi="Calibri"/>
                <w:sz w:val="18"/>
                <w:szCs w:val="18"/>
                <w:b w:val="1"/>
                <w:bCs w:val="1"/>
                <w:color w:val="auto"/>
                <w:w w:val="85"/>
              </w:rPr>
              <w:t>—</w:t>
            </w:r>
          </w:p>
        </w:tc>
        <w:tc>
          <w:tcPr>
            <w:tcW w:w="40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b w:val="1"/>
                <w:bCs w:val="1"/>
                <w:color w:val="auto"/>
              </w:rPr>
              <w:t>$</w:t>
            </w:r>
          </w:p>
        </w:tc>
        <w:tc>
          <w:tcPr>
            <w:tcW w:w="32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b w:val="1"/>
                <w:bCs w:val="1"/>
                <w:color w:val="auto"/>
                <w:w w:val="97"/>
              </w:rPr>
              <w:t>—</w:t>
            </w:r>
          </w:p>
        </w:tc>
        <w:tc>
          <w:tcPr>
            <w:tcW w:w="1420" w:type="dxa"/>
            <w:vAlign w:val="bottom"/>
            <w:tcBorders>
              <w:bottom w:val="single" w:sz="8" w:color="CFF0FC"/>
            </w:tcBorders>
            <w:gridSpan w:val="4"/>
            <w:shd w:val="clear" w:color="auto" w:fill="CFF0FC"/>
          </w:tcPr>
          <w:p>
            <w:pPr>
              <w:jc w:val="right"/>
              <w:ind w:right="100"/>
              <w:spacing w:after="0" w:line="215" w:lineRule="exact"/>
              <w:rPr>
                <w:sz w:val="20"/>
                <w:szCs w:val="20"/>
                <w:color w:val="auto"/>
              </w:rPr>
            </w:pPr>
            <w:r>
              <w:rPr>
                <w:rFonts w:ascii="Calibri" w:cs="Calibri" w:eastAsia="Calibri" w:hAnsi="Calibri"/>
                <w:sz w:val="18"/>
                <w:szCs w:val="18"/>
                <w:b w:val="1"/>
                <w:bCs w:val="1"/>
                <w:color w:val="auto"/>
              </w:rPr>
              <w:t>$ (1,041,535 ) $</w:t>
            </w:r>
          </w:p>
        </w:tc>
        <w:tc>
          <w:tcPr>
            <w:tcW w:w="84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b w:val="1"/>
                <w:bCs w:val="1"/>
                <w:color w:val="auto"/>
              </w:rPr>
              <w:t>(875,224 )</w:t>
            </w: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line="215" w:lineRule="exact"/>
              <w:rPr>
                <w:sz w:val="20"/>
                <w:szCs w:val="20"/>
                <w:color w:val="auto"/>
              </w:rPr>
            </w:pPr>
            <w:r>
              <w:rPr>
                <w:rFonts w:ascii="Calibri" w:cs="Calibri" w:eastAsia="Calibri" w:hAnsi="Calibri"/>
                <w:sz w:val="18"/>
                <w:szCs w:val="18"/>
                <w:color w:val="auto"/>
              </w:rPr>
              <w:t>Net income</w:t>
            </w:r>
          </w:p>
        </w:tc>
        <w:tc>
          <w:tcPr>
            <w:tcW w:w="22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14,405</w:t>
            </w:r>
          </w:p>
        </w:tc>
        <w:tc>
          <w:tcPr>
            <w:tcW w:w="20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620" w:type="dxa"/>
            <w:vAlign w:val="bottom"/>
          </w:tcPr>
          <w:p>
            <w:pPr>
              <w:ind w:left="460"/>
              <w:spacing w:after="0" w:line="215" w:lineRule="exact"/>
              <w:rPr>
                <w:sz w:val="20"/>
                <w:szCs w:val="20"/>
                <w:color w:val="auto"/>
              </w:rPr>
            </w:pPr>
            <w:r>
              <w:rPr>
                <w:rFonts w:ascii="Calibri" w:cs="Calibri" w:eastAsia="Calibri" w:hAnsi="Calibri"/>
                <w:sz w:val="18"/>
                <w:szCs w:val="18"/>
                <w:color w:val="auto"/>
                <w:w w:val="85"/>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10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9,655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9,655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Issuance of shares</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7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74,089</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w:t>
            </w:r>
          </w:p>
        </w:tc>
        <w:tc>
          <w:tcPr>
            <w:tcW w:w="620" w:type="dxa"/>
            <w:vAlign w:val="bottom"/>
            <w:shd w:val="clear" w:color="auto" w:fill="CFF0FC"/>
          </w:tcPr>
          <w:p>
            <w:pPr>
              <w:ind w:left="460"/>
              <w:spacing w:after="0" w:line="216" w:lineRule="exact"/>
              <w:rPr>
                <w:sz w:val="20"/>
                <w:szCs w:val="20"/>
                <w:color w:val="auto"/>
              </w:rPr>
            </w:pPr>
            <w:r>
              <w:rPr>
                <w:rFonts w:ascii="Calibri" w:cs="Calibri" w:eastAsia="Calibri" w:hAnsi="Calibri"/>
                <w:sz w:val="18"/>
                <w:szCs w:val="18"/>
                <w:color w:val="auto"/>
                <w:w w:val="85"/>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ind w:left="140"/>
              <w:spacing w:after="0" w:line="216" w:lineRule="exact"/>
              <w:rPr>
                <w:sz w:val="20"/>
                <w:szCs w:val="20"/>
                <w:color w:val="auto"/>
              </w:rPr>
            </w:pPr>
            <w:r>
              <w:rPr>
                <w:rFonts w:ascii="Calibri" w:cs="Calibri" w:eastAsia="Calibri" w:hAnsi="Calibri"/>
                <w:sz w:val="18"/>
                <w:szCs w:val="18"/>
                <w:color w:val="auto"/>
                <w:w w:val="97"/>
              </w:rPr>
              <w:t>—</w:t>
            </w:r>
          </w:p>
        </w:tc>
        <w:tc>
          <w:tcPr>
            <w:tcW w:w="16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380"/>
              <w:spacing w:after="0" w:line="216" w:lineRule="exact"/>
              <w:rPr>
                <w:sz w:val="20"/>
                <w:szCs w:val="20"/>
                <w:color w:val="auto"/>
              </w:rPr>
            </w:pPr>
            <w:r>
              <w:rPr>
                <w:rFonts w:ascii="Calibri" w:cs="Calibri" w:eastAsia="Calibri" w:hAnsi="Calibri"/>
                <w:sz w:val="18"/>
                <w:szCs w:val="18"/>
                <w:color w:val="auto"/>
              </w:rPr>
              <w:t>—</w:t>
            </w:r>
          </w:p>
        </w:tc>
        <w:tc>
          <w:tcPr>
            <w:tcW w:w="84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line="166" w:lineRule="exact"/>
              <w:rPr>
                <w:sz w:val="20"/>
                <w:szCs w:val="20"/>
                <w:color w:val="auto"/>
              </w:rPr>
            </w:pPr>
            <w:r>
              <w:rPr>
                <w:rFonts w:ascii="Calibri" w:cs="Calibri" w:eastAsia="Calibri" w:hAnsi="Calibri"/>
                <w:sz w:val="18"/>
                <w:szCs w:val="18"/>
                <w:color w:val="auto"/>
              </w:rPr>
              <w:t>Deemed contributon from</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line="215" w:lineRule="exact"/>
              <w:rPr>
                <w:sz w:val="20"/>
                <w:szCs w:val="20"/>
                <w:color w:val="auto"/>
              </w:rPr>
            </w:pPr>
            <w:r>
              <w:rPr>
                <w:rFonts w:ascii="Calibri" w:cs="Calibri" w:eastAsia="Calibri" w:hAnsi="Calibri"/>
                <w:sz w:val="18"/>
                <w:szCs w:val="18"/>
                <w:color w:val="auto"/>
              </w:rPr>
              <w:t>former parent</w:t>
            </w:r>
          </w:p>
        </w:tc>
        <w:tc>
          <w:tcPr>
            <w:tcW w:w="22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699</w:t>
            </w:r>
          </w:p>
        </w:tc>
        <w:tc>
          <w:tcPr>
            <w:tcW w:w="20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8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468</w:t>
            </w:r>
          </w:p>
        </w:tc>
        <w:tc>
          <w:tcPr>
            <w:tcW w:w="160" w:type="dxa"/>
            <w:vAlign w:val="bottom"/>
          </w:tcPr>
          <w:p>
            <w:pPr>
              <w:spacing w:after="0"/>
              <w:rPr>
                <w:sz w:val="18"/>
                <w:szCs w:val="18"/>
                <w:color w:val="auto"/>
              </w:rPr>
            </w:pPr>
          </w:p>
        </w:tc>
        <w:tc>
          <w:tcPr>
            <w:tcW w:w="620" w:type="dxa"/>
            <w:vAlign w:val="bottom"/>
          </w:tcPr>
          <w:p>
            <w:pPr>
              <w:ind w:left="460"/>
              <w:spacing w:after="0" w:line="215" w:lineRule="exact"/>
              <w:rPr>
                <w:sz w:val="20"/>
                <w:szCs w:val="20"/>
                <w:color w:val="auto"/>
              </w:rPr>
            </w:pPr>
            <w:r>
              <w:rPr>
                <w:rFonts w:ascii="Calibri" w:cs="Calibri" w:eastAsia="Calibri" w:hAnsi="Calibri"/>
                <w:sz w:val="18"/>
                <w:szCs w:val="18"/>
                <w:color w:val="auto"/>
                <w:w w:val="85"/>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160" w:type="dxa"/>
            <w:vAlign w:val="bottom"/>
          </w:tcPr>
          <w:p>
            <w:pPr>
              <w:spacing w:after="0"/>
              <w:rPr>
                <w:sz w:val="18"/>
                <w:szCs w:val="18"/>
                <w:color w:val="auto"/>
              </w:rPr>
            </w:pPr>
          </w:p>
        </w:tc>
        <w:tc>
          <w:tcPr>
            <w:tcW w:w="1260" w:type="dxa"/>
            <w:vAlign w:val="bottom"/>
            <w:gridSpan w:val="3"/>
          </w:tcPr>
          <w:p>
            <w:pPr>
              <w:jc w:val="right"/>
              <w:ind w:right="38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40" w:type="dxa"/>
            <w:vAlign w:val="bottom"/>
            <w:shd w:val="clear" w:color="auto" w:fill="CFF0FC"/>
          </w:tcPr>
          <w:p>
            <w:pPr>
              <w:ind w:left="20"/>
              <w:spacing w:after="0" w:line="166" w:lineRule="exact"/>
              <w:rPr>
                <w:sz w:val="20"/>
                <w:szCs w:val="20"/>
                <w:color w:val="auto"/>
              </w:rPr>
            </w:pPr>
            <w:r>
              <w:rPr>
                <w:rFonts w:ascii="Calibri" w:cs="Calibri" w:eastAsia="Calibri" w:hAnsi="Calibri"/>
                <w:sz w:val="18"/>
                <w:szCs w:val="18"/>
                <w:color w:val="auto"/>
              </w:rPr>
              <w:t>Equity-based</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compensaton</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4,145</w:t>
            </w:r>
          </w:p>
        </w:tc>
        <w:tc>
          <w:tcPr>
            <w:tcW w:w="16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ind w:left="460"/>
              <w:spacing w:after="0" w:line="215" w:lineRule="exact"/>
              <w:rPr>
                <w:sz w:val="20"/>
                <w:szCs w:val="20"/>
                <w:color w:val="auto"/>
              </w:rPr>
            </w:pPr>
            <w:r>
              <w:rPr>
                <w:rFonts w:ascii="Calibri" w:cs="Calibri" w:eastAsia="Calibri" w:hAnsi="Calibri"/>
                <w:sz w:val="18"/>
                <w:szCs w:val="18"/>
                <w:color w:val="auto"/>
                <w:w w:val="85"/>
              </w:rPr>
              <w:t>—</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1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gridSpan w:val="3"/>
            <w:shd w:val="clear" w:color="auto" w:fill="CFF0FC"/>
          </w:tcPr>
          <w:p>
            <w:pPr>
              <w:jc w:val="right"/>
              <w:ind w:right="38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4,145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line="166" w:lineRule="exact"/>
              <w:rPr>
                <w:sz w:val="20"/>
                <w:szCs w:val="20"/>
                <w:color w:val="auto"/>
              </w:rPr>
            </w:pPr>
            <w:r>
              <w:rPr>
                <w:rFonts w:ascii="Calibri" w:cs="Calibri" w:eastAsia="Calibri" w:hAnsi="Calibri"/>
                <w:sz w:val="18"/>
                <w:szCs w:val="18"/>
                <w:color w:val="auto"/>
              </w:rPr>
              <w:t>Distributons to non-</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line="215" w:lineRule="exact"/>
              <w:rPr>
                <w:sz w:val="20"/>
                <w:szCs w:val="20"/>
                <w:color w:val="auto"/>
              </w:rPr>
            </w:pPr>
            <w:r>
              <w:rPr>
                <w:rFonts w:ascii="Calibri" w:cs="Calibri" w:eastAsia="Calibri" w:hAnsi="Calibri"/>
                <w:sz w:val="18"/>
                <w:szCs w:val="18"/>
                <w:color w:val="auto"/>
              </w:rPr>
              <w:t>controlling interest</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gridSpan w:val="3"/>
          </w:tcPr>
          <w:p>
            <w:pPr>
              <w:jc w:val="right"/>
              <w:ind w:right="80"/>
              <w:spacing w:after="0" w:line="215" w:lineRule="exact"/>
              <w:rPr>
                <w:sz w:val="20"/>
                <w:szCs w:val="20"/>
                <w:color w:val="auto"/>
              </w:rPr>
            </w:pPr>
            <w:r>
              <w:rPr>
                <w:rFonts w:ascii="Calibri" w:cs="Calibri" w:eastAsia="Calibri" w:hAnsi="Calibri"/>
                <w:sz w:val="18"/>
                <w:szCs w:val="18"/>
                <w:color w:val="auto"/>
              </w:rPr>
              <w:t>(4,108 )</w:t>
            </w:r>
          </w:p>
        </w:tc>
        <w:tc>
          <w:tcPr>
            <w:tcW w:w="620" w:type="dxa"/>
            <w:vAlign w:val="bottom"/>
          </w:tcPr>
          <w:p>
            <w:pPr>
              <w:ind w:left="460"/>
              <w:spacing w:after="0" w:line="215" w:lineRule="exact"/>
              <w:rPr>
                <w:sz w:val="20"/>
                <w:szCs w:val="20"/>
                <w:color w:val="auto"/>
              </w:rPr>
            </w:pPr>
            <w:r>
              <w:rPr>
                <w:rFonts w:ascii="Calibri" w:cs="Calibri" w:eastAsia="Calibri" w:hAnsi="Calibri"/>
                <w:sz w:val="18"/>
                <w:szCs w:val="18"/>
                <w:color w:val="auto"/>
                <w:w w:val="85"/>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160" w:type="dxa"/>
            <w:vAlign w:val="bottom"/>
          </w:tcPr>
          <w:p>
            <w:pPr>
              <w:spacing w:after="0"/>
              <w:rPr>
                <w:sz w:val="18"/>
                <w:szCs w:val="18"/>
                <w:color w:val="auto"/>
              </w:rPr>
            </w:pPr>
          </w:p>
        </w:tc>
        <w:tc>
          <w:tcPr>
            <w:tcW w:w="1260" w:type="dxa"/>
            <w:vAlign w:val="bottom"/>
            <w:gridSpan w:val="3"/>
          </w:tcPr>
          <w:p>
            <w:pPr>
              <w:jc w:val="right"/>
              <w:ind w:right="38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(4,108 )</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40" w:type="dxa"/>
            <w:vAlign w:val="bottom"/>
            <w:shd w:val="clear" w:color="auto" w:fill="CFF0FC"/>
          </w:tcPr>
          <w:p>
            <w:pPr>
              <w:ind w:left="20"/>
              <w:spacing w:after="0" w:line="166" w:lineRule="exact"/>
              <w:rPr>
                <w:sz w:val="20"/>
                <w:szCs w:val="20"/>
                <w:color w:val="auto"/>
              </w:rPr>
            </w:pPr>
            <w:r>
              <w:rPr>
                <w:rFonts w:ascii="Calibri" w:cs="Calibri" w:eastAsia="Calibri" w:hAnsi="Calibri"/>
                <w:sz w:val="18"/>
                <w:szCs w:val="18"/>
                <w:color w:val="auto"/>
              </w:rPr>
              <w:t>Subsequent</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FF0FC"/>
          </w:tcPr>
          <w:p>
            <w:pPr>
              <w:ind w:left="20"/>
              <w:spacing w:after="0" w:line="189" w:lineRule="exact"/>
              <w:rPr>
                <w:sz w:val="20"/>
                <w:szCs w:val="20"/>
                <w:color w:val="auto"/>
              </w:rPr>
            </w:pPr>
            <w:r>
              <w:rPr>
                <w:rFonts w:ascii="Calibri" w:cs="Calibri" w:eastAsia="Calibri" w:hAnsi="Calibri"/>
                <w:sz w:val="18"/>
                <w:szCs w:val="18"/>
                <w:color w:val="auto"/>
              </w:rPr>
              <w:t>remeasurement of</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FF0FC"/>
          </w:tcPr>
          <w:p>
            <w:pPr>
              <w:ind w:left="20"/>
              <w:spacing w:after="0" w:line="189" w:lineRule="exact"/>
              <w:rPr>
                <w:sz w:val="20"/>
                <w:szCs w:val="20"/>
                <w:color w:val="auto"/>
              </w:rPr>
            </w:pPr>
            <w:r>
              <w:rPr>
                <w:rFonts w:ascii="Calibri" w:cs="Calibri" w:eastAsia="Calibri" w:hAnsi="Calibri"/>
                <w:sz w:val="18"/>
                <w:szCs w:val="18"/>
                <w:color w:val="auto"/>
              </w:rPr>
              <w:t>Redeemable</w:t>
            </w:r>
          </w:p>
        </w:tc>
        <w:tc>
          <w:tcPr>
            <w:tcW w:w="220" w:type="dxa"/>
            <w:vAlign w:val="bottom"/>
            <w:shd w:val="clear" w:color="auto" w:fill="CFF0FC"/>
          </w:tcPr>
          <w:p>
            <w:pPr>
              <w:spacing w:after="0"/>
              <w:rPr>
                <w:sz w:val="16"/>
                <w:szCs w:val="16"/>
                <w:color w:val="auto"/>
              </w:rPr>
            </w:pPr>
          </w:p>
        </w:tc>
        <w:tc>
          <w:tcPr>
            <w:tcW w:w="1020" w:type="dxa"/>
            <w:vAlign w:val="bottom"/>
            <w:gridSpan w:val="2"/>
            <w:vMerge w:val="restart"/>
            <w:shd w:val="clear" w:color="auto" w:fill="CFF0FC"/>
          </w:tcPr>
          <w:p>
            <w:pPr>
              <w:jc w:val="right"/>
              <w:ind w:right="120"/>
              <w:spacing w:after="0"/>
              <w:rPr>
                <w:sz w:val="20"/>
                <w:szCs w:val="20"/>
                <w:color w:val="auto"/>
              </w:rPr>
            </w:pPr>
            <w:r>
              <w:rPr>
                <w:rFonts w:ascii="Calibri" w:cs="Calibri" w:eastAsia="Calibri" w:hAnsi="Calibri"/>
                <w:sz w:val="18"/>
                <w:szCs w:val="18"/>
                <w:color w:val="auto"/>
              </w:rPr>
              <w:t>(439,442 )</w:t>
            </w:r>
          </w:p>
        </w:tc>
        <w:tc>
          <w:tcPr>
            <w:tcW w:w="7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880" w:type="dxa"/>
            <w:vAlign w:val="bottom"/>
            <w:gridSpan w:val="2"/>
            <w:vMerge w:val="restart"/>
            <w:shd w:val="clear" w:color="auto" w:fill="CFF0FC"/>
          </w:tcPr>
          <w:p>
            <w:pPr>
              <w:jc w:val="right"/>
              <w:spacing w:after="0"/>
              <w:rPr>
                <w:sz w:val="20"/>
                <w:szCs w:val="20"/>
                <w:color w:val="auto"/>
              </w:rPr>
            </w:pPr>
            <w:r>
              <w:rPr>
                <w:rFonts w:ascii="Calibri" w:cs="Calibri" w:eastAsia="Calibri" w:hAnsi="Calibri"/>
                <w:sz w:val="18"/>
                <w:szCs w:val="18"/>
                <w:color w:val="auto"/>
              </w:rPr>
              <w:t>439,442</w:t>
            </w:r>
          </w:p>
        </w:tc>
        <w:tc>
          <w:tcPr>
            <w:tcW w:w="160" w:type="dxa"/>
            <w:vAlign w:val="bottom"/>
            <w:shd w:val="clear" w:color="auto" w:fill="CFF0FC"/>
          </w:tcPr>
          <w:p>
            <w:pPr>
              <w:spacing w:after="0"/>
              <w:rPr>
                <w:sz w:val="16"/>
                <w:szCs w:val="16"/>
                <w:color w:val="auto"/>
              </w:rPr>
            </w:pPr>
          </w:p>
        </w:tc>
        <w:tc>
          <w:tcPr>
            <w:tcW w:w="620" w:type="dxa"/>
            <w:vAlign w:val="bottom"/>
            <w:vMerge w:val="restart"/>
            <w:shd w:val="clear" w:color="auto" w:fill="CFF0FC"/>
          </w:tcPr>
          <w:p>
            <w:pPr>
              <w:ind w:left="460"/>
              <w:spacing w:after="0"/>
              <w:rPr>
                <w:sz w:val="20"/>
                <w:szCs w:val="20"/>
                <w:color w:val="auto"/>
              </w:rPr>
            </w:pPr>
            <w:r>
              <w:rPr>
                <w:rFonts w:ascii="Calibri" w:cs="Calibri" w:eastAsia="Calibri" w:hAnsi="Calibri"/>
                <w:sz w:val="18"/>
                <w:szCs w:val="18"/>
                <w:color w:val="auto"/>
                <w:w w:val="85"/>
              </w:rPr>
              <w:t>—</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vMerge w:val="restart"/>
            <w:shd w:val="clear" w:color="auto" w:fill="CFF0FC"/>
          </w:tcPr>
          <w:p>
            <w:pPr>
              <w:ind w:left="140"/>
              <w:spacing w:after="0"/>
              <w:rPr>
                <w:sz w:val="20"/>
                <w:szCs w:val="20"/>
                <w:color w:val="auto"/>
              </w:rPr>
            </w:pPr>
            <w:r>
              <w:rPr>
                <w:rFonts w:ascii="Calibri" w:cs="Calibri" w:eastAsia="Calibri" w:hAnsi="Calibri"/>
                <w:sz w:val="18"/>
                <w:szCs w:val="18"/>
                <w:color w:val="auto"/>
                <w:w w:val="97"/>
              </w:rPr>
              <w:t>—</w:t>
            </w:r>
          </w:p>
        </w:tc>
        <w:tc>
          <w:tcPr>
            <w:tcW w:w="160" w:type="dxa"/>
            <w:vAlign w:val="bottom"/>
            <w:shd w:val="clear" w:color="auto" w:fill="CFF0FC"/>
          </w:tcPr>
          <w:p>
            <w:pPr>
              <w:spacing w:after="0"/>
              <w:rPr>
                <w:sz w:val="16"/>
                <w:szCs w:val="16"/>
                <w:color w:val="auto"/>
              </w:rPr>
            </w:pPr>
          </w:p>
        </w:tc>
        <w:tc>
          <w:tcPr>
            <w:tcW w:w="1260" w:type="dxa"/>
            <w:vAlign w:val="bottom"/>
            <w:gridSpan w:val="3"/>
            <w:vMerge w:val="restart"/>
            <w:shd w:val="clear" w:color="auto" w:fill="CFF0FC"/>
          </w:tcPr>
          <w:p>
            <w:pPr>
              <w:jc w:val="right"/>
              <w:ind w:right="380"/>
              <w:spacing w:after="0"/>
              <w:rPr>
                <w:sz w:val="20"/>
                <w:szCs w:val="20"/>
                <w:color w:val="auto"/>
              </w:rPr>
            </w:pPr>
            <w:r>
              <w:rPr>
                <w:rFonts w:ascii="Calibri" w:cs="Calibri" w:eastAsia="Calibri" w:hAnsi="Calibri"/>
                <w:sz w:val="18"/>
                <w:szCs w:val="18"/>
                <w:color w:val="auto"/>
              </w:rPr>
              <w:t>—</w:t>
            </w:r>
          </w:p>
        </w:tc>
        <w:tc>
          <w:tcPr>
            <w:tcW w:w="74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439,442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4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noncontrolling interests</w:t>
            </w:r>
          </w:p>
        </w:tc>
        <w:tc>
          <w:tcPr>
            <w:tcW w:w="220" w:type="dxa"/>
            <w:vAlign w:val="bottom"/>
            <w:shd w:val="clear" w:color="auto" w:fill="CFF0FC"/>
          </w:tcPr>
          <w:p>
            <w:pPr>
              <w:spacing w:after="0"/>
              <w:rPr>
                <w:sz w:val="19"/>
                <w:szCs w:val="19"/>
                <w:color w:val="auto"/>
              </w:rPr>
            </w:pPr>
          </w:p>
        </w:tc>
        <w:tc>
          <w:tcPr>
            <w:tcW w:w="1020" w:type="dxa"/>
            <w:vAlign w:val="bottom"/>
            <w:gridSpan w:val="2"/>
            <w:vMerge w:val="continue"/>
            <w:shd w:val="clear" w:color="auto" w:fill="CFF0FC"/>
          </w:tcPr>
          <w:p>
            <w:pPr>
              <w:spacing w:after="0"/>
              <w:rPr>
                <w:sz w:val="19"/>
                <w:szCs w:val="19"/>
                <w:color w:val="auto"/>
              </w:rPr>
            </w:pPr>
          </w:p>
        </w:tc>
        <w:tc>
          <w:tcPr>
            <w:tcW w:w="76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vMerge w:val="continue"/>
            <w:shd w:val="clear" w:color="auto" w:fill="CFF0FC"/>
          </w:tcPr>
          <w:p>
            <w:pPr>
              <w:spacing w:after="0"/>
              <w:rPr>
                <w:sz w:val="19"/>
                <w:szCs w:val="19"/>
                <w:color w:val="auto"/>
              </w:rPr>
            </w:pPr>
          </w:p>
        </w:tc>
        <w:tc>
          <w:tcPr>
            <w:tcW w:w="88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3"/>
            <w:vMerge w:val="continue"/>
            <w:shd w:val="clear" w:color="auto" w:fill="CFF0FC"/>
          </w:tcPr>
          <w:p>
            <w:pPr>
              <w:spacing w:after="0"/>
              <w:rPr>
                <w:sz w:val="19"/>
                <w:szCs w:val="19"/>
                <w:color w:val="auto"/>
              </w:rPr>
            </w:pPr>
          </w:p>
        </w:tc>
        <w:tc>
          <w:tcPr>
            <w:tcW w:w="7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4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760" w:type="dxa"/>
            <w:vAlign w:val="bottom"/>
            <w:tcBorders>
              <w:top w:val="single" w:sz="8" w:color="auto"/>
            </w:tcBorders>
          </w:tcPr>
          <w:p>
            <w:pPr>
              <w:jc w:val="right"/>
              <w:spacing w:after="0" w:line="165" w:lineRule="exact"/>
              <w:rPr>
                <w:sz w:val="20"/>
                <w:szCs w:val="20"/>
                <w:color w:val="auto"/>
              </w:rPr>
            </w:pPr>
            <w:r>
              <w:rPr>
                <w:rFonts w:ascii="Calibri" w:cs="Calibri" w:eastAsia="Calibri" w:hAnsi="Calibri"/>
                <w:sz w:val="18"/>
                <w:szCs w:val="18"/>
                <w:b w:val="1"/>
                <w:bCs w:val="1"/>
                <w:color w:val="auto"/>
              </w:rPr>
              <w:t>79,241,</w:t>
            </w:r>
          </w:p>
        </w:tc>
        <w:tc>
          <w:tcPr>
            <w:tcW w:w="20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840" w:type="dxa"/>
            <w:vAlign w:val="bottom"/>
            <w:tcBorders>
              <w:top w:val="single" w:sz="8" w:color="auto"/>
            </w:tcBorders>
          </w:tcPr>
          <w:p>
            <w:pPr>
              <w:jc w:val="right"/>
              <w:spacing w:after="0" w:line="165" w:lineRule="exact"/>
              <w:rPr>
                <w:sz w:val="20"/>
                <w:szCs w:val="20"/>
                <w:color w:val="auto"/>
              </w:rPr>
            </w:pPr>
            <w:r>
              <w:rPr>
                <w:rFonts w:ascii="Calibri" w:cs="Calibri" w:eastAsia="Calibri" w:hAnsi="Calibri"/>
                <w:sz w:val="18"/>
                <w:szCs w:val="18"/>
                <w:b w:val="1"/>
                <w:bCs w:val="1"/>
                <w:color w:val="auto"/>
              </w:rPr>
              <w:t>118,200,</w:t>
            </w:r>
          </w:p>
        </w:tc>
        <w:tc>
          <w:tcPr>
            <w:tcW w:w="16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40" w:type="dxa"/>
            <w:vAlign w:val="bottom"/>
          </w:tcPr>
          <w:p>
            <w:pPr>
              <w:ind w:left="20"/>
              <w:spacing w:after="0"/>
              <w:rPr>
                <w:sz w:val="20"/>
                <w:szCs w:val="20"/>
                <w:color w:val="auto"/>
              </w:rPr>
            </w:pPr>
            <w:r>
              <w:rPr>
                <w:rFonts w:ascii="Calibri" w:cs="Calibri" w:eastAsia="Calibri" w:hAnsi="Calibri"/>
                <w:sz w:val="18"/>
                <w:szCs w:val="18"/>
                <w:b w:val="1"/>
                <w:bCs w:val="1"/>
                <w:color w:val="auto"/>
              </w:rPr>
              <w:t>Balances at June 30, 2022</w:t>
            </w:r>
          </w:p>
        </w:tc>
        <w:tc>
          <w:tcPr>
            <w:tcW w:w="22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882,954</w:t>
            </w:r>
          </w:p>
        </w:tc>
        <w:tc>
          <w:tcPr>
            <w:tcW w:w="200" w:type="dxa"/>
            <w:vAlign w:val="bottom"/>
          </w:tcPr>
          <w:p>
            <w:pPr>
              <w:spacing w:after="0"/>
              <w:rPr>
                <w:sz w:val="20"/>
                <w:szCs w:val="20"/>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032</w:t>
            </w:r>
          </w:p>
        </w:tc>
        <w:tc>
          <w:tcPr>
            <w:tcW w:w="4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b w:val="1"/>
                <w:bCs w:val="1"/>
                <w:color w:val="auto"/>
              </w:rPr>
              <w:t>$</w:t>
            </w:r>
          </w:p>
        </w:tc>
        <w:tc>
          <w:tcPr>
            <w:tcW w:w="32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8</w:t>
            </w:r>
          </w:p>
        </w:tc>
        <w:tc>
          <w:tcPr>
            <w:tcW w:w="1040" w:type="dxa"/>
            <w:vAlign w:val="bottom"/>
            <w:gridSpan w:val="2"/>
          </w:tcPr>
          <w:p>
            <w:pPr>
              <w:jc w:val="right"/>
              <w:spacing w:after="0" w:line="215" w:lineRule="exact"/>
              <w:rPr>
                <w:sz w:val="20"/>
                <w:szCs w:val="20"/>
                <w:color w:val="auto"/>
              </w:rPr>
            </w:pPr>
            <w:r>
              <w:rPr>
                <w:rFonts w:ascii="Calibri" w:cs="Calibri" w:eastAsia="Calibri" w:hAnsi="Calibri"/>
                <w:sz w:val="18"/>
                <w:szCs w:val="18"/>
                <w:b w:val="1"/>
                <w:bCs w:val="1"/>
                <w:color w:val="auto"/>
              </w:rPr>
              <w:t>000</w:t>
            </w:r>
          </w:p>
        </w:tc>
        <w:tc>
          <w:tcPr>
            <w:tcW w:w="4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b w:val="1"/>
                <w:bCs w:val="1"/>
                <w:color w:val="auto"/>
              </w:rPr>
              <w:t>$</w:t>
            </w:r>
          </w:p>
        </w:tc>
        <w:tc>
          <w:tcPr>
            <w:tcW w:w="32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12</w:t>
            </w:r>
          </w:p>
        </w:tc>
        <w:tc>
          <w:tcPr>
            <w:tcW w:w="880" w:type="dxa"/>
            <w:vAlign w:val="bottom"/>
            <w:gridSpan w:val="2"/>
          </w:tcPr>
          <w:p>
            <w:pPr>
              <w:jc w:val="right"/>
              <w:spacing w:after="0" w:line="215" w:lineRule="exact"/>
              <w:rPr>
                <w:sz w:val="20"/>
                <w:szCs w:val="20"/>
                <w:color w:val="auto"/>
              </w:rPr>
            </w:pPr>
            <w:r>
              <w:rPr>
                <w:rFonts w:ascii="Calibri" w:cs="Calibri" w:eastAsia="Calibri" w:hAnsi="Calibri"/>
                <w:sz w:val="18"/>
                <w:szCs w:val="18"/>
                <w:b w:val="1"/>
                <w:bCs w:val="1"/>
                <w:color w:val="auto"/>
              </w:rPr>
              <w:t>$ 606,238</w:t>
            </w:r>
          </w:p>
        </w:tc>
        <w:tc>
          <w:tcPr>
            <w:tcW w:w="160" w:type="dxa"/>
            <w:vAlign w:val="bottom"/>
          </w:tcPr>
          <w:p>
            <w:pPr>
              <w:spacing w:after="0"/>
              <w:rPr>
                <w:sz w:val="20"/>
                <w:szCs w:val="20"/>
                <w:color w:val="auto"/>
              </w:rPr>
            </w:pPr>
          </w:p>
        </w:tc>
        <w:tc>
          <w:tcPr>
            <w:tcW w:w="620" w:type="dxa"/>
            <w:vAlign w:val="bottom"/>
          </w:tcPr>
          <w:p>
            <w:pPr>
              <w:ind w:left="460"/>
              <w:spacing w:after="0" w:line="215" w:lineRule="exact"/>
              <w:rPr>
                <w:sz w:val="20"/>
                <w:szCs w:val="20"/>
                <w:color w:val="auto"/>
              </w:rPr>
            </w:pPr>
            <w:r>
              <w:rPr>
                <w:rFonts w:ascii="Calibri" w:cs="Calibri" w:eastAsia="Calibri" w:hAnsi="Calibri"/>
                <w:sz w:val="18"/>
                <w:szCs w:val="18"/>
                <w:b w:val="1"/>
                <w:bCs w:val="1"/>
                <w:color w:val="auto"/>
                <w:w w:val="85"/>
              </w:rPr>
              <w:t>—</w:t>
            </w:r>
          </w:p>
        </w:tc>
        <w:tc>
          <w:tcPr>
            <w:tcW w:w="4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b w:val="1"/>
                <w:bCs w:val="1"/>
                <w:color w:val="auto"/>
              </w:rPr>
              <w:t>$</w:t>
            </w:r>
          </w:p>
        </w:tc>
        <w:tc>
          <w:tcPr>
            <w:tcW w:w="320" w:type="dxa"/>
            <w:vAlign w:val="bottom"/>
          </w:tcPr>
          <w:p>
            <w:pPr>
              <w:ind w:left="140"/>
              <w:spacing w:after="0" w:line="215" w:lineRule="exact"/>
              <w:rPr>
                <w:sz w:val="20"/>
                <w:szCs w:val="20"/>
                <w:color w:val="auto"/>
              </w:rPr>
            </w:pPr>
            <w:r>
              <w:rPr>
                <w:rFonts w:ascii="Calibri" w:cs="Calibri" w:eastAsia="Calibri" w:hAnsi="Calibri"/>
                <w:sz w:val="18"/>
                <w:szCs w:val="18"/>
                <w:b w:val="1"/>
                <w:bCs w:val="1"/>
                <w:color w:val="auto"/>
                <w:w w:val="97"/>
              </w:rPr>
              <w:t>—</w:t>
            </w:r>
          </w:p>
        </w:tc>
        <w:tc>
          <w:tcPr>
            <w:tcW w:w="1420" w:type="dxa"/>
            <w:vAlign w:val="bottom"/>
            <w:gridSpan w:val="4"/>
          </w:tcPr>
          <w:p>
            <w:pPr>
              <w:jc w:val="right"/>
              <w:ind w:right="100"/>
              <w:spacing w:after="0" w:line="215" w:lineRule="exact"/>
              <w:rPr>
                <w:sz w:val="20"/>
                <w:szCs w:val="20"/>
                <w:color w:val="auto"/>
              </w:rPr>
            </w:pPr>
            <w:r>
              <w:rPr>
                <w:rFonts w:ascii="Calibri" w:cs="Calibri" w:eastAsia="Calibri" w:hAnsi="Calibri"/>
                <w:sz w:val="18"/>
                <w:szCs w:val="18"/>
                <w:b w:val="1"/>
                <w:bCs w:val="1"/>
                <w:color w:val="auto"/>
              </w:rPr>
              <w:t>$ (1,031,880 ) $</w:t>
            </w:r>
          </w:p>
        </w:tc>
        <w:tc>
          <w:tcPr>
            <w:tcW w:w="8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b w:val="1"/>
                <w:bCs w:val="1"/>
                <w:color w:val="auto"/>
              </w:rPr>
              <w:t>(425,622 )</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40" w:type="dxa"/>
            <w:vAlign w:val="bottom"/>
            <w:shd w:val="clear" w:color="auto" w:fill="CFF0FC"/>
          </w:tcPr>
          <w:p>
            <w:pPr>
              <w:ind w:left="20"/>
              <w:spacing w:after="0" w:line="196" w:lineRule="exact"/>
              <w:rPr>
                <w:sz w:val="20"/>
                <w:szCs w:val="20"/>
                <w:color w:val="auto"/>
              </w:rPr>
            </w:pPr>
            <w:r>
              <w:rPr>
                <w:rFonts w:ascii="Calibri" w:cs="Calibri" w:eastAsia="Calibri" w:hAnsi="Calibri"/>
                <w:sz w:val="18"/>
                <w:szCs w:val="18"/>
                <w:color w:val="auto"/>
              </w:rPr>
              <w:t>Net income</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Calibri" w:cs="Calibri" w:eastAsia="Calibri" w:hAnsi="Calibri"/>
                <w:sz w:val="18"/>
                <w:szCs w:val="18"/>
                <w:color w:val="auto"/>
              </w:rPr>
              <w:t>11,084</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line="196"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line="196"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6"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ind w:left="460"/>
              <w:spacing w:after="0" w:line="196" w:lineRule="exact"/>
              <w:rPr>
                <w:sz w:val="20"/>
                <w:szCs w:val="20"/>
                <w:color w:val="auto"/>
              </w:rPr>
            </w:pPr>
            <w:r>
              <w:rPr>
                <w:rFonts w:ascii="Calibri" w:cs="Calibri" w:eastAsia="Calibri" w:hAnsi="Calibri"/>
                <w:sz w:val="18"/>
                <w:szCs w:val="18"/>
                <w:color w:val="auto"/>
                <w:w w:val="85"/>
              </w:rPr>
              <w:t>—</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ind w:left="140"/>
              <w:spacing w:after="0" w:line="196" w:lineRule="exact"/>
              <w:rPr>
                <w:sz w:val="20"/>
                <w:szCs w:val="20"/>
                <w:color w:val="auto"/>
              </w:rPr>
            </w:pPr>
            <w:r>
              <w:rPr>
                <w:rFonts w:ascii="Calibri" w:cs="Calibri" w:eastAsia="Calibri" w:hAnsi="Calibri"/>
                <w:sz w:val="18"/>
                <w:szCs w:val="18"/>
                <w:color w:val="auto"/>
                <w:w w:val="97"/>
              </w:rPr>
              <w:t>—</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Calibri" w:cs="Calibri" w:eastAsia="Calibri" w:hAnsi="Calibri"/>
                <w:sz w:val="18"/>
                <w:szCs w:val="18"/>
                <w:color w:val="auto"/>
              </w:rPr>
              <w:t>7,663</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6" w:lineRule="exact"/>
              <w:rPr>
                <w:sz w:val="20"/>
                <w:szCs w:val="20"/>
                <w:color w:val="auto"/>
              </w:rPr>
            </w:pPr>
            <w:r>
              <w:rPr>
                <w:rFonts w:ascii="Calibri" w:cs="Calibri" w:eastAsia="Calibri" w:hAnsi="Calibri"/>
                <w:sz w:val="18"/>
                <w:szCs w:val="18"/>
                <w:color w:val="auto"/>
              </w:rPr>
              <w:t>7,663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line="215" w:lineRule="exact"/>
              <w:rPr>
                <w:sz w:val="20"/>
                <w:szCs w:val="20"/>
                <w:color w:val="auto"/>
              </w:rPr>
            </w:pPr>
            <w:r>
              <w:rPr>
                <w:rFonts w:ascii="Calibri" w:cs="Calibri" w:eastAsia="Calibri" w:hAnsi="Calibri"/>
                <w:sz w:val="18"/>
                <w:szCs w:val="18"/>
                <w:color w:val="auto"/>
              </w:rPr>
              <w:t>Issuance of shares</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72,325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620" w:type="dxa"/>
            <w:vAlign w:val="bottom"/>
          </w:tcPr>
          <w:p>
            <w:pPr>
              <w:ind w:left="460"/>
              <w:spacing w:after="0" w:line="215" w:lineRule="exact"/>
              <w:rPr>
                <w:sz w:val="20"/>
                <w:szCs w:val="20"/>
                <w:color w:val="auto"/>
              </w:rPr>
            </w:pPr>
            <w:r>
              <w:rPr>
                <w:rFonts w:ascii="Calibri" w:cs="Calibri" w:eastAsia="Calibri" w:hAnsi="Calibri"/>
                <w:sz w:val="18"/>
                <w:szCs w:val="18"/>
                <w:color w:val="auto"/>
                <w:w w:val="85"/>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160" w:type="dxa"/>
            <w:vAlign w:val="bottom"/>
          </w:tcPr>
          <w:p>
            <w:pPr>
              <w:spacing w:after="0"/>
              <w:rPr>
                <w:sz w:val="18"/>
                <w:szCs w:val="18"/>
                <w:color w:val="auto"/>
              </w:rPr>
            </w:pPr>
          </w:p>
        </w:tc>
        <w:tc>
          <w:tcPr>
            <w:tcW w:w="1260" w:type="dxa"/>
            <w:vAlign w:val="bottom"/>
            <w:gridSpan w:val="3"/>
          </w:tcPr>
          <w:p>
            <w:pPr>
              <w:jc w:val="right"/>
              <w:ind w:right="38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167"/>
        </w:trPr>
        <w:tc>
          <w:tcPr>
            <w:tcW w:w="2040" w:type="dxa"/>
            <w:vAlign w:val="bottom"/>
            <w:shd w:val="clear" w:color="auto" w:fill="CFF0FC"/>
          </w:tcPr>
          <w:p>
            <w:pPr>
              <w:ind w:left="20"/>
              <w:spacing w:after="0" w:line="167" w:lineRule="exact"/>
              <w:rPr>
                <w:sz w:val="20"/>
                <w:szCs w:val="20"/>
                <w:color w:val="auto"/>
              </w:rPr>
            </w:pPr>
            <w:r>
              <w:rPr>
                <w:rFonts w:ascii="Calibri" w:cs="Calibri" w:eastAsia="Calibri" w:hAnsi="Calibri"/>
                <w:sz w:val="18"/>
                <w:szCs w:val="18"/>
                <w:color w:val="auto"/>
              </w:rPr>
              <w:t>Deemed contributon from</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former parent</w:t>
            </w:r>
          </w:p>
        </w:tc>
        <w:tc>
          <w:tcPr>
            <w:tcW w:w="2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617</w:t>
            </w:r>
          </w:p>
        </w:tc>
        <w:tc>
          <w:tcPr>
            <w:tcW w:w="2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427</w:t>
            </w:r>
          </w:p>
        </w:tc>
        <w:tc>
          <w:tcPr>
            <w:tcW w:w="16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ind w:left="460"/>
              <w:spacing w:after="0" w:line="215" w:lineRule="exact"/>
              <w:rPr>
                <w:sz w:val="20"/>
                <w:szCs w:val="20"/>
                <w:color w:val="auto"/>
              </w:rPr>
            </w:pPr>
            <w:r>
              <w:rPr>
                <w:rFonts w:ascii="Calibri" w:cs="Calibri" w:eastAsia="Calibri" w:hAnsi="Calibri"/>
                <w:sz w:val="18"/>
                <w:szCs w:val="18"/>
                <w:color w:val="auto"/>
                <w:w w:val="85"/>
              </w:rPr>
              <w:t>—</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1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gridSpan w:val="3"/>
            <w:shd w:val="clear" w:color="auto" w:fill="CFF0FC"/>
          </w:tcPr>
          <w:p>
            <w:pPr>
              <w:jc w:val="right"/>
              <w:ind w:right="38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2"/>
          </w:tcPr>
          <w:p>
            <w:pPr>
              <w:jc w:val="right"/>
              <w:ind w:right="90"/>
              <w:spacing w:after="0"/>
              <w:rPr>
                <w:sz w:val="20"/>
                <w:szCs w:val="20"/>
                <w:color w:val="auto"/>
              </w:rPr>
            </w:pPr>
            <w:r>
              <w:rPr>
                <w:rFonts w:ascii="Calibri" w:cs="Calibri" w:eastAsia="Calibri" w:hAnsi="Calibri"/>
                <w:sz w:val="18"/>
                <w:szCs w:val="18"/>
                <w:color w:val="auto"/>
              </w:rPr>
              <w:t>7</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-1174115</wp:posOffset>
            </wp:positionV>
            <wp:extent cx="76835" cy="291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-1174115</wp:posOffset>
            </wp:positionV>
            <wp:extent cx="76835" cy="291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-1174115</wp:posOffset>
            </wp:positionV>
            <wp:extent cx="77470" cy="291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29146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-1174115</wp:posOffset>
            </wp:positionV>
            <wp:extent cx="68580" cy="291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-1174115</wp:posOffset>
            </wp:positionV>
            <wp:extent cx="68580" cy="291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-1174115</wp:posOffset>
            </wp:positionV>
            <wp:extent cx="68580" cy="291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-1174115</wp:posOffset>
            </wp:positionV>
            <wp:extent cx="68580" cy="291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-1174115</wp:posOffset>
            </wp:positionV>
            <wp:extent cx="68580" cy="291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-1174115</wp:posOffset>
            </wp:positionV>
            <wp:extent cx="68580" cy="291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-1174115</wp:posOffset>
            </wp:positionV>
            <wp:extent cx="68580" cy="291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type w:val="continuous"/>
        </w:sectPr>
      </w:pPr>
    </w:p>
    <w:bookmarkStart w:id="9" w:name="page10"/>
    <w:bookmarkEnd w:id="9"/>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CONDENSED CONSOLIDATED STATEMENTS OF DEFICIT</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share/unit data)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40" w:type="dxa"/>
            <w:vAlign w:val="bottom"/>
          </w:tcPr>
          <w:p>
            <w:pPr>
              <w:ind w:left="20"/>
              <w:spacing w:after="0"/>
              <w:rPr>
                <w:sz w:val="20"/>
                <w:szCs w:val="20"/>
                <w:color w:val="auto"/>
              </w:rPr>
            </w:pPr>
            <w:r>
              <w:rPr>
                <w:rFonts w:ascii="Calibri" w:cs="Calibri" w:eastAsia="Calibri" w:hAnsi="Calibri"/>
                <w:sz w:val="18"/>
                <w:szCs w:val="18"/>
                <w:color w:val="auto"/>
              </w:rPr>
              <w:t>Equity-based</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line="215" w:lineRule="exact"/>
              <w:rPr>
                <w:sz w:val="20"/>
                <w:szCs w:val="20"/>
                <w:color w:val="auto"/>
              </w:rPr>
            </w:pPr>
            <w:r>
              <w:rPr>
                <w:rFonts w:ascii="Calibri" w:cs="Calibri" w:eastAsia="Calibri" w:hAnsi="Calibri"/>
                <w:sz w:val="18"/>
                <w:szCs w:val="18"/>
                <w:color w:val="auto"/>
              </w:rPr>
              <w:t>compensaton</w:t>
            </w:r>
          </w:p>
        </w:tc>
        <w:tc>
          <w:tcPr>
            <w:tcW w:w="280" w:type="dxa"/>
            <w:vAlign w:val="bottom"/>
          </w:tcPr>
          <w:p>
            <w:pPr>
              <w:spacing w:after="0"/>
              <w:rPr>
                <w:sz w:val="18"/>
                <w:szCs w:val="18"/>
                <w:color w:val="auto"/>
              </w:rPr>
            </w:pPr>
          </w:p>
        </w:tc>
        <w:tc>
          <w:tcPr>
            <w:tcW w:w="9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8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4,029</w:t>
            </w:r>
          </w:p>
        </w:tc>
        <w:tc>
          <w:tcPr>
            <w:tcW w:w="160" w:type="dxa"/>
            <w:vAlign w:val="bottom"/>
          </w:tcPr>
          <w:p>
            <w:pPr>
              <w:spacing w:after="0"/>
              <w:rPr>
                <w:sz w:val="18"/>
                <w:szCs w:val="18"/>
                <w:color w:val="auto"/>
              </w:rPr>
            </w:pPr>
          </w:p>
        </w:tc>
        <w:tc>
          <w:tcPr>
            <w:tcW w:w="920" w:type="dxa"/>
            <w:vAlign w:val="bottom"/>
            <w:gridSpan w:val="3"/>
          </w:tcPr>
          <w:p>
            <w:pPr>
              <w:jc w:val="right"/>
              <w:ind w:right="300"/>
              <w:spacing w:after="0" w:line="215" w:lineRule="exact"/>
              <w:rPr>
                <w:sz w:val="20"/>
                <w:szCs w:val="20"/>
                <w:color w:val="auto"/>
              </w:rPr>
            </w:pPr>
            <w:r>
              <w:rPr>
                <w:rFonts w:ascii="Calibri" w:cs="Calibri" w:eastAsia="Calibri" w:hAnsi="Calibri"/>
                <w:sz w:val="18"/>
                <w:szCs w:val="18"/>
                <w:color w:val="auto"/>
              </w:rPr>
              <w:t>—</w:t>
            </w:r>
          </w:p>
        </w:tc>
        <w:tc>
          <w:tcPr>
            <w:tcW w:w="5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gridSpan w:val="3"/>
          </w:tcPr>
          <w:p>
            <w:pPr>
              <w:jc w:val="right"/>
              <w:ind w:right="38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4,029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40" w:type="dxa"/>
            <w:vAlign w:val="bottom"/>
            <w:shd w:val="clear" w:color="auto" w:fill="CFF0FC"/>
          </w:tcPr>
          <w:p>
            <w:pPr>
              <w:ind w:left="20"/>
              <w:spacing w:after="0" w:line="166" w:lineRule="exact"/>
              <w:rPr>
                <w:sz w:val="20"/>
                <w:szCs w:val="20"/>
                <w:color w:val="auto"/>
              </w:rPr>
            </w:pPr>
            <w:r>
              <w:rPr>
                <w:rFonts w:ascii="Calibri" w:cs="Calibri" w:eastAsia="Calibri" w:hAnsi="Calibri"/>
                <w:sz w:val="18"/>
                <w:szCs w:val="18"/>
                <w:color w:val="auto"/>
              </w:rPr>
              <w:t>Repurchases of common</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6" w:lineRule="exact"/>
              <w:rPr>
                <w:sz w:val="20"/>
                <w:szCs w:val="20"/>
                <w:color w:val="auto"/>
              </w:rPr>
            </w:pPr>
            <w:r>
              <w:rPr>
                <w:rFonts w:ascii="Calibri" w:cs="Calibri" w:eastAsia="Calibri" w:hAnsi="Calibri"/>
                <w:sz w:val="18"/>
                <w:szCs w:val="18"/>
                <w:color w:val="auto"/>
              </w:rPr>
              <w:t>(397,5</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line="166" w:lineRule="exact"/>
              <w:rPr>
                <w:sz w:val="20"/>
                <w:szCs w:val="20"/>
                <w:color w:val="auto"/>
              </w:rPr>
            </w:pPr>
            <w:r>
              <w:rPr>
                <w:rFonts w:ascii="Calibri" w:cs="Calibri" w:eastAsia="Calibri" w:hAnsi="Calibri"/>
                <w:sz w:val="18"/>
                <w:szCs w:val="18"/>
                <w:color w:val="auto"/>
              </w:rPr>
              <w:t>(3,05</w:t>
            </w: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stock</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Borders>
              <w:bottom w:val="single" w:sz="8" w:color="CFF0FC"/>
            </w:tcBorders>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51 )</w:t>
            </w:r>
          </w:p>
        </w:tc>
        <w:tc>
          <w:tcPr>
            <w:tcW w:w="1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0 )</w:t>
            </w:r>
          </w:p>
        </w:tc>
        <w:tc>
          <w:tcPr>
            <w:tcW w:w="1260" w:type="dxa"/>
            <w:vAlign w:val="bottom"/>
            <w:tcBorders>
              <w:bottom w:val="single" w:sz="8" w:color="CFF0FC"/>
            </w:tcBorders>
            <w:gridSpan w:val="3"/>
            <w:shd w:val="clear" w:color="auto" w:fill="CFF0FC"/>
          </w:tcPr>
          <w:p>
            <w:pPr>
              <w:jc w:val="right"/>
              <w:ind w:right="38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(3,050 )</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line="166" w:lineRule="exact"/>
              <w:rPr>
                <w:sz w:val="20"/>
                <w:szCs w:val="20"/>
                <w:color w:val="auto"/>
              </w:rPr>
            </w:pPr>
            <w:r>
              <w:rPr>
                <w:rFonts w:ascii="Calibri" w:cs="Calibri" w:eastAsia="Calibri" w:hAnsi="Calibri"/>
                <w:sz w:val="18"/>
                <w:szCs w:val="18"/>
                <w:color w:val="auto"/>
              </w:rPr>
              <w:t>Distributons to non-</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line="215" w:lineRule="exact"/>
              <w:rPr>
                <w:sz w:val="20"/>
                <w:szCs w:val="20"/>
                <w:color w:val="auto"/>
              </w:rPr>
            </w:pPr>
            <w:r>
              <w:rPr>
                <w:rFonts w:ascii="Calibri" w:cs="Calibri" w:eastAsia="Calibri" w:hAnsi="Calibri"/>
                <w:sz w:val="18"/>
                <w:szCs w:val="18"/>
                <w:color w:val="auto"/>
              </w:rPr>
              <w:t>controlling interest</w:t>
            </w:r>
          </w:p>
        </w:tc>
        <w:tc>
          <w:tcPr>
            <w:tcW w:w="280" w:type="dxa"/>
            <w:vAlign w:val="bottom"/>
          </w:tcPr>
          <w:p>
            <w:pPr>
              <w:spacing w:after="0"/>
              <w:rPr>
                <w:sz w:val="18"/>
                <w:szCs w:val="18"/>
                <w:color w:val="auto"/>
              </w:rPr>
            </w:pPr>
          </w:p>
        </w:tc>
        <w:tc>
          <w:tcPr>
            <w:tcW w:w="9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(810 )</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gridSpan w:val="3"/>
          </w:tcPr>
          <w:p>
            <w:pPr>
              <w:jc w:val="right"/>
              <w:ind w:right="300"/>
              <w:spacing w:after="0" w:line="215" w:lineRule="exact"/>
              <w:rPr>
                <w:sz w:val="20"/>
                <w:szCs w:val="20"/>
                <w:color w:val="auto"/>
              </w:rPr>
            </w:pPr>
            <w:r>
              <w:rPr>
                <w:rFonts w:ascii="Calibri" w:cs="Calibri" w:eastAsia="Calibri" w:hAnsi="Calibri"/>
                <w:sz w:val="18"/>
                <w:szCs w:val="18"/>
                <w:color w:val="auto"/>
              </w:rPr>
              <w:t>—</w:t>
            </w:r>
          </w:p>
        </w:tc>
        <w:tc>
          <w:tcPr>
            <w:tcW w:w="5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gridSpan w:val="3"/>
          </w:tcPr>
          <w:p>
            <w:pPr>
              <w:jc w:val="right"/>
              <w:ind w:right="38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40" w:type="dxa"/>
            <w:vAlign w:val="bottom"/>
            <w:shd w:val="clear" w:color="auto" w:fill="CFF0FC"/>
          </w:tcPr>
          <w:p>
            <w:pPr>
              <w:ind w:left="20"/>
              <w:spacing w:after="0" w:line="166" w:lineRule="exact"/>
              <w:rPr>
                <w:sz w:val="20"/>
                <w:szCs w:val="20"/>
                <w:color w:val="auto"/>
              </w:rPr>
            </w:pPr>
            <w:r>
              <w:rPr>
                <w:rFonts w:ascii="Calibri" w:cs="Calibri" w:eastAsia="Calibri" w:hAnsi="Calibri"/>
                <w:sz w:val="18"/>
                <w:szCs w:val="18"/>
                <w:color w:val="auto"/>
              </w:rPr>
              <w:t>Reclassifcaton of</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contngent consideraton</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2,657</w:t>
            </w:r>
          </w:p>
        </w:tc>
        <w:tc>
          <w:tcPr>
            <w:tcW w:w="16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2,657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line="166" w:lineRule="exact"/>
              <w:rPr>
                <w:sz w:val="20"/>
                <w:szCs w:val="20"/>
                <w:color w:val="auto"/>
              </w:rPr>
            </w:pPr>
            <w:r>
              <w:rPr>
                <w:rFonts w:ascii="Calibri" w:cs="Calibri" w:eastAsia="Calibri" w:hAnsi="Calibri"/>
                <w:sz w:val="18"/>
                <w:szCs w:val="18"/>
                <w:color w:val="auto"/>
              </w:rPr>
              <w:t>Subsequent</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40" w:type="dxa"/>
            <w:vAlign w:val="bottom"/>
          </w:tcPr>
          <w:p>
            <w:pPr>
              <w:ind w:left="20"/>
              <w:spacing w:after="0" w:line="189" w:lineRule="exact"/>
              <w:rPr>
                <w:sz w:val="20"/>
                <w:szCs w:val="20"/>
                <w:color w:val="auto"/>
              </w:rPr>
            </w:pPr>
            <w:r>
              <w:rPr>
                <w:rFonts w:ascii="Calibri" w:cs="Calibri" w:eastAsia="Calibri" w:hAnsi="Calibri"/>
                <w:sz w:val="18"/>
                <w:szCs w:val="18"/>
                <w:color w:val="auto"/>
              </w:rPr>
              <w:t>remeasurement of</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tcPr>
          <w:p>
            <w:pPr>
              <w:ind w:left="20"/>
              <w:spacing w:after="0" w:line="189" w:lineRule="exact"/>
              <w:rPr>
                <w:sz w:val="20"/>
                <w:szCs w:val="20"/>
                <w:color w:val="auto"/>
              </w:rPr>
            </w:pPr>
            <w:r>
              <w:rPr>
                <w:rFonts w:ascii="Calibri" w:cs="Calibri" w:eastAsia="Calibri" w:hAnsi="Calibri"/>
                <w:sz w:val="18"/>
                <w:szCs w:val="18"/>
                <w:color w:val="auto"/>
              </w:rPr>
              <w:t>Redeemable</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line="215" w:lineRule="exact"/>
              <w:rPr>
                <w:sz w:val="20"/>
                <w:szCs w:val="20"/>
                <w:color w:val="auto"/>
              </w:rPr>
            </w:pPr>
            <w:r>
              <w:rPr>
                <w:rFonts w:ascii="Calibri" w:cs="Calibri" w:eastAsia="Calibri" w:hAnsi="Calibri"/>
                <w:sz w:val="18"/>
                <w:szCs w:val="18"/>
                <w:color w:val="auto"/>
              </w:rPr>
              <w:t>noncontrolling interests</w:t>
            </w:r>
          </w:p>
        </w:tc>
        <w:tc>
          <w:tcPr>
            <w:tcW w:w="28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11,567</w:t>
            </w:r>
          </w:p>
        </w:tc>
        <w:tc>
          <w:tcPr>
            <w:tcW w:w="20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gridSpan w:val="3"/>
          </w:tcPr>
          <w:p>
            <w:pPr>
              <w:jc w:val="right"/>
              <w:ind w:right="80"/>
              <w:spacing w:after="0" w:line="215" w:lineRule="exact"/>
              <w:rPr>
                <w:sz w:val="20"/>
                <w:szCs w:val="20"/>
                <w:color w:val="auto"/>
              </w:rPr>
            </w:pPr>
            <w:r>
              <w:rPr>
                <w:rFonts w:ascii="Calibri" w:cs="Calibri" w:eastAsia="Calibri" w:hAnsi="Calibri"/>
                <w:sz w:val="18"/>
                <w:szCs w:val="18"/>
                <w:color w:val="auto"/>
              </w:rPr>
              <w:t>(11,567 )</w:t>
            </w:r>
          </w:p>
        </w:tc>
        <w:tc>
          <w:tcPr>
            <w:tcW w:w="920" w:type="dxa"/>
            <w:vAlign w:val="bottom"/>
            <w:gridSpan w:val="3"/>
          </w:tcPr>
          <w:p>
            <w:pPr>
              <w:jc w:val="right"/>
              <w:ind w:right="300"/>
              <w:spacing w:after="0" w:line="215" w:lineRule="exact"/>
              <w:rPr>
                <w:sz w:val="20"/>
                <w:szCs w:val="20"/>
                <w:color w:val="auto"/>
              </w:rPr>
            </w:pPr>
            <w:r>
              <w:rPr>
                <w:rFonts w:ascii="Calibri" w:cs="Calibri" w:eastAsia="Calibri" w:hAnsi="Calibri"/>
                <w:sz w:val="18"/>
                <w:szCs w:val="18"/>
                <w:color w:val="auto"/>
              </w:rPr>
              <w:t>—</w:t>
            </w:r>
          </w:p>
        </w:tc>
        <w:tc>
          <w:tcPr>
            <w:tcW w:w="5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gridSpan w:val="3"/>
          </w:tcPr>
          <w:p>
            <w:pPr>
              <w:jc w:val="right"/>
              <w:ind w:right="38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(11,567 )</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40" w:type="dxa"/>
            <w:vAlign w:val="bottom"/>
            <w:shd w:val="clear" w:color="auto" w:fill="CFF0FC"/>
          </w:tcPr>
          <w:p>
            <w:pPr>
              <w:ind w:left="20"/>
              <w:spacing w:after="0" w:line="166" w:lineRule="exact"/>
              <w:rPr>
                <w:sz w:val="20"/>
                <w:szCs w:val="20"/>
                <w:color w:val="auto"/>
              </w:rPr>
            </w:pPr>
            <w:r>
              <w:rPr>
                <w:rFonts w:ascii="Calibri" w:cs="Calibri" w:eastAsia="Calibri" w:hAnsi="Calibri"/>
                <w:sz w:val="18"/>
                <w:szCs w:val="18"/>
                <w:color w:val="auto"/>
              </w:rPr>
              <w:t>Increase in common shares</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2,727,7</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40" w:type="dxa"/>
            <w:vAlign w:val="bottom"/>
            <w:shd w:val="clear" w:color="auto" w:fill="CFF0FC"/>
          </w:tcPr>
          <w:p>
            <w:pPr>
              <w:ind w:left="20"/>
              <w:spacing w:after="0" w:line="175" w:lineRule="exact"/>
              <w:rPr>
                <w:sz w:val="20"/>
                <w:szCs w:val="20"/>
                <w:color w:val="auto"/>
              </w:rPr>
            </w:pPr>
            <w:r>
              <w:rPr>
                <w:rFonts w:ascii="Calibri" w:cs="Calibri" w:eastAsia="Calibri" w:hAnsi="Calibri"/>
                <w:sz w:val="18"/>
                <w:szCs w:val="18"/>
                <w:color w:val="auto"/>
              </w:rPr>
              <w:t>outstanding following</w:t>
            </w: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40" w:type="dxa"/>
            <w:vAlign w:val="bottom"/>
            <w:shd w:val="clear" w:color="auto" w:fill="CFF0FC"/>
          </w:tcPr>
          <w:p>
            <w:pPr>
              <w:ind w:left="20"/>
              <w:spacing w:after="0"/>
              <w:rPr>
                <w:sz w:val="20"/>
                <w:szCs w:val="20"/>
                <w:color w:val="auto"/>
              </w:rPr>
            </w:pPr>
            <w:r>
              <w:rPr>
                <w:rFonts w:ascii="Calibri" w:cs="Calibri" w:eastAsia="Calibri" w:hAnsi="Calibri"/>
                <w:sz w:val="18"/>
                <w:szCs w:val="18"/>
                <w:color w:val="auto"/>
              </w:rPr>
              <w:t>warrant exchange</w:t>
            </w: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85</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300"/>
              <w:spacing w:after="0" w:line="215" w:lineRule="exact"/>
              <w:rPr>
                <w:sz w:val="20"/>
                <w:szCs w:val="20"/>
                <w:color w:val="auto"/>
              </w:rPr>
            </w:pPr>
            <w:r>
              <w:rPr>
                <w:rFonts w:ascii="Calibri" w:cs="Calibri" w:eastAsia="Calibri" w:hAnsi="Calibri"/>
                <w:sz w:val="18"/>
                <w:szCs w:val="18"/>
                <w:color w:val="auto"/>
              </w:rPr>
              <w:t>—</w:t>
            </w:r>
          </w:p>
        </w:tc>
        <w:tc>
          <w:tcPr>
            <w:tcW w:w="580" w:type="dxa"/>
            <w:vAlign w:val="bottom"/>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gridSpan w:val="3"/>
            <w:shd w:val="clear" w:color="auto" w:fill="CFF0FC"/>
          </w:tcPr>
          <w:p>
            <w:pPr>
              <w:jc w:val="right"/>
              <w:ind w:right="38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188"/>
        </w:trPr>
        <w:tc>
          <w:tcPr>
            <w:tcW w:w="2040" w:type="dxa"/>
            <w:vAlign w:val="bottom"/>
            <w:tcBorders>
              <w:top w:val="single" w:sz="8" w:color="CFF0FC"/>
            </w:tcBorders>
          </w:tcPr>
          <w:p>
            <w:pPr>
              <w:ind w:left="20"/>
              <w:spacing w:after="0" w:line="187" w:lineRule="exact"/>
              <w:rPr>
                <w:sz w:val="20"/>
                <w:szCs w:val="20"/>
                <w:color w:val="auto"/>
              </w:rPr>
            </w:pPr>
            <w:r>
              <w:rPr>
                <w:rFonts w:ascii="Calibri" w:cs="Calibri" w:eastAsia="Calibri" w:hAnsi="Calibri"/>
                <w:sz w:val="18"/>
                <w:szCs w:val="18"/>
                <w:b w:val="1"/>
                <w:bCs w:val="1"/>
                <w:color w:val="auto"/>
              </w:rPr>
              <w:t>Balances at September 30,</w:t>
            </w:r>
          </w:p>
        </w:tc>
        <w:tc>
          <w:tcPr>
            <w:tcW w:w="2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7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8"/>
                <w:szCs w:val="18"/>
                <w:b w:val="1"/>
                <w:bCs w:val="1"/>
                <w:color w:val="auto"/>
              </w:rPr>
              <w:t>82,041,</w:t>
            </w:r>
          </w:p>
        </w:tc>
        <w:tc>
          <w:tcPr>
            <w:tcW w:w="200" w:type="dxa"/>
            <w:vAlign w:val="bottom"/>
            <w:tcBorders>
              <w:top w:val="single" w:sz="8" w:color="CFF0FC"/>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8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8"/>
                <w:szCs w:val="18"/>
                <w:b w:val="1"/>
                <w:bCs w:val="1"/>
                <w:color w:val="auto"/>
              </w:rPr>
              <w:t>118,200,</w:t>
            </w:r>
          </w:p>
        </w:tc>
        <w:tc>
          <w:tcPr>
            <w:tcW w:w="160" w:type="dxa"/>
            <w:vAlign w:val="bottom"/>
            <w:tcBorders>
              <w:top w:val="single" w:sz="8" w:color="CFF0FC"/>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6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8"/>
                <w:szCs w:val="18"/>
                <w:b w:val="1"/>
                <w:bCs w:val="1"/>
                <w:color w:val="auto"/>
              </w:rPr>
              <w:t>(397,5</w:t>
            </w:r>
          </w:p>
        </w:tc>
        <w:tc>
          <w:tcPr>
            <w:tcW w:w="18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8"/>
                <w:szCs w:val="18"/>
                <w:b w:val="1"/>
                <w:bCs w:val="1"/>
                <w:color w:val="auto"/>
              </w:rPr>
              <w:t>(3,05</w:t>
            </w:r>
          </w:p>
        </w:tc>
        <w:tc>
          <w:tcPr>
            <w:tcW w:w="160" w:type="dxa"/>
            <w:vAlign w:val="bottom"/>
            <w:tcBorders>
              <w:top w:val="single" w:sz="8" w:color="CFF0FC"/>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line="216" w:lineRule="exact"/>
              <w:rPr>
                <w:sz w:val="20"/>
                <w:szCs w:val="20"/>
                <w:color w:val="auto"/>
              </w:rPr>
            </w:pPr>
            <w:r>
              <w:rPr>
                <w:rFonts w:ascii="Calibri" w:cs="Calibri" w:eastAsia="Calibri" w:hAnsi="Calibri"/>
                <w:sz w:val="18"/>
                <w:szCs w:val="18"/>
                <w:b w:val="1"/>
                <w:bCs w:val="1"/>
                <w:color w:val="auto"/>
              </w:rPr>
              <w:t>2022</w:t>
            </w:r>
          </w:p>
        </w:tc>
        <w:tc>
          <w:tcPr>
            <w:tcW w:w="280" w:type="dxa"/>
            <w:vAlign w:val="bottom"/>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905,412</w:t>
            </w:r>
          </w:p>
        </w:tc>
        <w:tc>
          <w:tcPr>
            <w:tcW w:w="20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142</w:t>
            </w:r>
          </w:p>
        </w:tc>
        <w:tc>
          <w:tcPr>
            <w:tcW w:w="4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b w:val="1"/>
                <w:bCs w:val="1"/>
                <w:color w:val="auto"/>
              </w:rPr>
              <w:t>$</w:t>
            </w:r>
          </w:p>
        </w:tc>
        <w:tc>
          <w:tcPr>
            <w:tcW w:w="32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8</w:t>
            </w:r>
          </w:p>
        </w:tc>
        <w:tc>
          <w:tcPr>
            <w:tcW w:w="1040" w:type="dxa"/>
            <w:vAlign w:val="bottom"/>
            <w:gridSpan w:val="2"/>
          </w:tcPr>
          <w:p>
            <w:pPr>
              <w:jc w:val="right"/>
              <w:spacing w:after="0" w:line="215" w:lineRule="exact"/>
              <w:rPr>
                <w:sz w:val="20"/>
                <w:szCs w:val="20"/>
                <w:color w:val="auto"/>
              </w:rPr>
            </w:pPr>
            <w:r>
              <w:rPr>
                <w:rFonts w:ascii="Calibri" w:cs="Calibri" w:eastAsia="Calibri" w:hAnsi="Calibri"/>
                <w:sz w:val="18"/>
                <w:szCs w:val="18"/>
                <w:b w:val="1"/>
                <w:bCs w:val="1"/>
                <w:color w:val="auto"/>
              </w:rPr>
              <w:t>000</w:t>
            </w:r>
          </w:p>
        </w:tc>
        <w:tc>
          <w:tcPr>
            <w:tcW w:w="4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b w:val="1"/>
                <w:bCs w:val="1"/>
                <w:color w:val="auto"/>
              </w:rPr>
              <w:t>$</w:t>
            </w:r>
          </w:p>
        </w:tc>
        <w:tc>
          <w:tcPr>
            <w:tcW w:w="32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12</w:t>
            </w:r>
          </w:p>
        </w:tc>
        <w:tc>
          <w:tcPr>
            <w:tcW w:w="880" w:type="dxa"/>
            <w:vAlign w:val="bottom"/>
            <w:gridSpan w:val="2"/>
          </w:tcPr>
          <w:p>
            <w:pPr>
              <w:jc w:val="right"/>
              <w:spacing w:after="0" w:line="215" w:lineRule="exact"/>
              <w:rPr>
                <w:sz w:val="20"/>
                <w:szCs w:val="20"/>
                <w:color w:val="auto"/>
              </w:rPr>
            </w:pPr>
            <w:r>
              <w:rPr>
                <w:rFonts w:ascii="Calibri" w:cs="Calibri" w:eastAsia="Calibri" w:hAnsi="Calibri"/>
                <w:sz w:val="18"/>
                <w:szCs w:val="18"/>
                <w:b w:val="1"/>
                <w:bCs w:val="1"/>
                <w:color w:val="auto"/>
              </w:rPr>
              <w:t>$ 601,784</w:t>
            </w:r>
          </w:p>
        </w:tc>
        <w:tc>
          <w:tcPr>
            <w:tcW w:w="160" w:type="dxa"/>
            <w:vAlign w:val="bottom"/>
          </w:tcPr>
          <w:p>
            <w:pPr>
              <w:spacing w:after="0"/>
              <w:rPr>
                <w:sz w:val="18"/>
                <w:szCs w:val="18"/>
                <w:color w:val="auto"/>
              </w:rPr>
            </w:pPr>
          </w:p>
        </w:tc>
        <w:tc>
          <w:tcPr>
            <w:tcW w:w="920" w:type="dxa"/>
            <w:vAlign w:val="bottom"/>
            <w:gridSpan w:val="3"/>
          </w:tcPr>
          <w:p>
            <w:pPr>
              <w:jc w:val="right"/>
              <w:ind w:right="20"/>
              <w:spacing w:after="0" w:line="215" w:lineRule="exact"/>
              <w:rPr>
                <w:sz w:val="20"/>
                <w:szCs w:val="20"/>
                <w:color w:val="auto"/>
              </w:rPr>
            </w:pPr>
            <w:r>
              <w:rPr>
                <w:rFonts w:ascii="Calibri" w:cs="Calibri" w:eastAsia="Calibri" w:hAnsi="Calibri"/>
                <w:sz w:val="18"/>
                <w:szCs w:val="18"/>
                <w:b w:val="1"/>
                <w:bCs w:val="1"/>
                <w:color w:val="auto"/>
              </w:rPr>
              <w:t>51 ) $</w:t>
            </w:r>
          </w:p>
        </w:tc>
        <w:tc>
          <w:tcPr>
            <w:tcW w:w="5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b w:val="1"/>
                <w:bCs w:val="1"/>
                <w:color w:val="auto"/>
              </w:rPr>
              <w:t>0 )</w:t>
            </w:r>
          </w:p>
        </w:tc>
        <w:tc>
          <w:tcPr>
            <w:tcW w:w="1260" w:type="dxa"/>
            <w:vAlign w:val="bottom"/>
            <w:gridSpan w:val="3"/>
          </w:tcPr>
          <w:p>
            <w:pPr>
              <w:jc w:val="right"/>
              <w:ind w:right="100"/>
              <w:spacing w:after="0" w:line="215" w:lineRule="exact"/>
              <w:rPr>
                <w:sz w:val="20"/>
                <w:szCs w:val="20"/>
                <w:color w:val="auto"/>
              </w:rPr>
            </w:pPr>
            <w:r>
              <w:rPr>
                <w:rFonts w:ascii="Calibri" w:cs="Calibri" w:eastAsia="Calibri" w:hAnsi="Calibri"/>
                <w:sz w:val="18"/>
                <w:szCs w:val="18"/>
                <w:b w:val="1"/>
                <w:bCs w:val="1"/>
                <w:color w:val="auto"/>
                <w:w w:val="99"/>
              </w:rPr>
              <w:t>$ (1,024,217 ) $</w:t>
            </w:r>
          </w:p>
        </w:tc>
        <w:tc>
          <w:tcPr>
            <w:tcW w:w="8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b w:val="1"/>
                <w:bCs w:val="1"/>
                <w:color w:val="auto"/>
              </w:rPr>
              <w:t>(425,463 )</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-290830</wp:posOffset>
            </wp:positionV>
            <wp:extent cx="76835" cy="291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-290830</wp:posOffset>
            </wp:positionV>
            <wp:extent cx="76835" cy="291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-290830</wp:posOffset>
            </wp:positionV>
            <wp:extent cx="77470" cy="291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29146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-290830</wp:posOffset>
            </wp:positionV>
            <wp:extent cx="68580" cy="291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-290830</wp:posOffset>
            </wp:positionV>
            <wp:extent cx="68580" cy="291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-290830</wp:posOffset>
            </wp:positionV>
            <wp:extent cx="68580" cy="291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-290830</wp:posOffset>
            </wp:positionV>
            <wp:extent cx="68580" cy="291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-290830</wp:posOffset>
            </wp:positionV>
            <wp:extent cx="68580" cy="291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-290830</wp:posOffset>
            </wp:positionV>
            <wp:extent cx="68580" cy="291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291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29146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32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 w:name="page11"/>
    <w:bookmarkEnd w:id="10"/>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CONDENSED CONSOLIDATED STATEMENTS OF CASH FLOWS</w:t>
      </w:r>
    </w:p>
    <w:p>
      <w:pPr>
        <w:jc w:val="center"/>
        <w:spacing w:after="0" w:line="236" w:lineRule="auto"/>
        <w:rPr>
          <w:sz w:val="20"/>
          <w:szCs w:val="20"/>
          <w:color w:val="auto"/>
        </w:rPr>
      </w:pPr>
      <w:r>
        <w:rPr>
          <w:rFonts w:ascii="Calibri" w:cs="Calibri" w:eastAsia="Calibri" w:hAnsi="Calibri"/>
          <w:sz w:val="18"/>
          <w:szCs w:val="18"/>
          <w:b w:val="1"/>
          <w:bCs w:val="1"/>
          <w:color w:val="auto"/>
        </w:rPr>
        <w:t>(in thousands)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540" w:type="dxa"/>
            <w:vAlign w:val="bottom"/>
          </w:tcPr>
          <w:p>
            <w:pPr>
              <w:spacing w:after="0"/>
              <w:rPr>
                <w:sz w:val="19"/>
                <w:szCs w:val="19"/>
                <w:color w:val="auto"/>
              </w:rPr>
            </w:pPr>
          </w:p>
        </w:tc>
        <w:tc>
          <w:tcPr>
            <w:tcW w:w="3700" w:type="dxa"/>
            <w:vAlign w:val="bottom"/>
            <w:gridSpan w:val="6"/>
          </w:tcPr>
          <w:p>
            <w:pPr>
              <w:jc w:val="right"/>
              <w:ind w:right="550"/>
              <w:spacing w:after="0"/>
              <w:rPr>
                <w:sz w:val="20"/>
                <w:szCs w:val="20"/>
                <w:color w:val="auto"/>
              </w:rPr>
            </w:pPr>
            <w:r>
              <w:rPr>
                <w:rFonts w:ascii="Calibri" w:cs="Calibri" w:eastAsia="Calibri" w:hAnsi="Calibri"/>
                <w:sz w:val="18"/>
                <w:szCs w:val="18"/>
                <w:b w:val="1"/>
                <w:bCs w:val="1"/>
                <w:color w:val="auto"/>
              </w:rPr>
              <w:t>Nine Months Ended September 30,</w:t>
            </w:r>
          </w:p>
        </w:tc>
      </w:tr>
      <w:tr>
        <w:trPr>
          <w:trHeight w:val="23"/>
        </w:trPr>
        <w:tc>
          <w:tcPr>
            <w:tcW w:w="75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8"/>
        </w:trPr>
        <w:tc>
          <w:tcPr>
            <w:tcW w:w="754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2022</w:t>
            </w:r>
          </w:p>
        </w:tc>
        <w:tc>
          <w:tcPr>
            <w:tcW w:w="6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0"/>
              <w:spacing w:after="0" w:line="208" w:lineRule="exact"/>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8"/>
                <w:szCs w:val="18"/>
                <w:color w:val="auto"/>
              </w:rPr>
            </w:pPr>
          </w:p>
        </w:tc>
      </w:tr>
      <w:tr>
        <w:trPr>
          <w:trHeight w:val="211"/>
        </w:trPr>
        <w:tc>
          <w:tcPr>
            <w:tcW w:w="754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Cash fows from operatng actvites</w:t>
            </w:r>
          </w:p>
        </w:tc>
        <w:tc>
          <w:tcPr>
            <w:tcW w:w="10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Net income (loss)</w:t>
            </w:r>
          </w:p>
        </w:tc>
        <w:tc>
          <w:tcPr>
            <w:tcW w:w="1020" w:type="dxa"/>
            <w:vAlign w:val="bottom"/>
          </w:tcPr>
          <w:p>
            <w:pPr>
              <w:jc w:val="right"/>
              <w:ind w:right="830"/>
              <w:spacing w:after="0" w:line="215" w:lineRule="exact"/>
              <w:rPr>
                <w:sz w:val="20"/>
                <w:szCs w:val="20"/>
                <w:color w:val="auto"/>
              </w:rPr>
            </w:pPr>
            <w:r>
              <w:rPr>
                <w:rFonts w:ascii="Calibri" w:cs="Calibri" w:eastAsia="Calibri" w:hAnsi="Calibri"/>
                <w:sz w:val="18"/>
                <w:szCs w:val="18"/>
                <w:color w:val="auto"/>
                <w:w w:val="87"/>
              </w:rPr>
              <w:t>$</w:t>
            </w: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45,945</w:t>
            </w:r>
          </w:p>
        </w:tc>
        <w:tc>
          <w:tcPr>
            <w:tcW w:w="260" w:type="dxa"/>
            <w:vAlign w:val="bottom"/>
          </w:tcPr>
          <w:p>
            <w:pPr>
              <w:spacing w:after="0"/>
              <w:rPr>
                <w:sz w:val="18"/>
                <w:szCs w:val="18"/>
                <w:color w:val="auto"/>
              </w:rPr>
            </w:pPr>
          </w:p>
        </w:tc>
        <w:tc>
          <w:tcPr>
            <w:tcW w:w="38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4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(19,453 )</w:t>
            </w:r>
          </w:p>
        </w:tc>
      </w:tr>
      <w:tr>
        <w:trPr>
          <w:trHeight w:val="217"/>
        </w:trPr>
        <w:tc>
          <w:tcPr>
            <w:tcW w:w="75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b w:val="1"/>
                <w:bCs w:val="1"/>
                <w:color w:val="auto"/>
              </w:rPr>
              <w:t>Adjustments to reconcile net income (loss) to net cash provided by operatng actvites:</w:t>
            </w:r>
          </w:p>
        </w:tc>
        <w:tc>
          <w:tcPr>
            <w:tcW w:w="10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Depreciaton and amortzaton</w:t>
            </w:r>
          </w:p>
        </w:tc>
        <w:tc>
          <w:tcPr>
            <w:tcW w:w="102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5,269</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1,506</w:t>
            </w:r>
          </w:p>
        </w:tc>
        <w:tc>
          <w:tcPr>
            <w:tcW w:w="100" w:type="dxa"/>
            <w:vAlign w:val="bottom"/>
          </w:tcPr>
          <w:p>
            <w:pPr>
              <w:spacing w:after="0"/>
              <w:rPr>
                <w:sz w:val="18"/>
                <w:szCs w:val="18"/>
                <w:color w:val="auto"/>
              </w:rPr>
            </w:pPr>
          </w:p>
        </w:tc>
      </w:tr>
      <w:tr>
        <w:trPr>
          <w:trHeight w:val="217"/>
        </w:trPr>
        <w:tc>
          <w:tcPr>
            <w:tcW w:w="75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Amortzaton of deferred fnancing costs and interest rate cap</w:t>
            </w:r>
          </w:p>
        </w:tc>
        <w:tc>
          <w:tcPr>
            <w:tcW w:w="10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819</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4,120</w:t>
            </w:r>
          </w:p>
        </w:tc>
        <w:tc>
          <w:tcPr>
            <w:tcW w:w="100" w:type="dxa"/>
            <w:vAlign w:val="bottom"/>
            <w:shd w:val="clear" w:color="auto" w:fill="CFF0FC"/>
          </w:tcPr>
          <w:p>
            <w:pPr>
              <w:spacing w:after="0"/>
              <w:rPr>
                <w:sz w:val="18"/>
                <w:szCs w:val="18"/>
                <w:color w:val="auto"/>
              </w:rPr>
            </w:pP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Equity-based compensaton expense</w:t>
            </w:r>
          </w:p>
        </w:tc>
        <w:tc>
          <w:tcPr>
            <w:tcW w:w="102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13,982</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3,471</w:t>
            </w:r>
          </w:p>
        </w:tc>
        <w:tc>
          <w:tcPr>
            <w:tcW w:w="100" w:type="dxa"/>
            <w:vAlign w:val="bottom"/>
          </w:tcPr>
          <w:p>
            <w:pPr>
              <w:spacing w:after="0"/>
              <w:rPr>
                <w:sz w:val="18"/>
                <w:szCs w:val="18"/>
                <w:color w:val="auto"/>
              </w:rPr>
            </w:pPr>
          </w:p>
        </w:tc>
      </w:tr>
      <w:tr>
        <w:trPr>
          <w:trHeight w:val="217"/>
        </w:trPr>
        <w:tc>
          <w:tcPr>
            <w:tcW w:w="75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Loss on extnguishment of debt</w:t>
            </w:r>
          </w:p>
        </w:tc>
        <w:tc>
          <w:tcPr>
            <w:tcW w:w="10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4,285</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Change in fair value of warrants</w:t>
            </w:r>
          </w:p>
        </w:tc>
        <w:tc>
          <w:tcPr>
            <w:tcW w:w="1020" w:type="dxa"/>
            <w:vAlign w:val="bottom"/>
          </w:tcPr>
          <w:p>
            <w:pPr>
              <w:spacing w:after="0"/>
              <w:rPr>
                <w:sz w:val="18"/>
                <w:szCs w:val="18"/>
                <w:color w:val="auto"/>
              </w:rPr>
            </w:pPr>
          </w:p>
        </w:tc>
        <w:tc>
          <w:tcPr>
            <w:tcW w:w="90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(6,618 )</w:t>
            </w:r>
          </w:p>
        </w:tc>
        <w:tc>
          <w:tcPr>
            <w:tcW w:w="380" w:type="dxa"/>
            <w:vAlign w:val="bottom"/>
          </w:tcPr>
          <w:p>
            <w:pPr>
              <w:spacing w:after="0"/>
              <w:rPr>
                <w:sz w:val="18"/>
                <w:szCs w:val="18"/>
                <w:color w:val="auto"/>
              </w:rPr>
            </w:pPr>
          </w:p>
        </w:tc>
        <w:tc>
          <w:tcPr>
            <w:tcW w:w="140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75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Interest expense paid-in-kind</w:t>
            </w:r>
          </w:p>
        </w:tc>
        <w:tc>
          <w:tcPr>
            <w:tcW w:w="10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70"/>
              <w:spacing w:after="0" w:line="216" w:lineRule="exact"/>
              <w:rPr>
                <w:sz w:val="20"/>
                <w:szCs w:val="20"/>
                <w:color w:val="auto"/>
              </w:rPr>
            </w:pPr>
            <w:r>
              <w:rPr>
                <w:rFonts w:ascii="Calibri" w:cs="Calibri" w:eastAsia="Calibri" w:hAnsi="Calibri"/>
                <w:sz w:val="18"/>
                <w:szCs w:val="18"/>
                <w:color w:val="auto"/>
              </w:rPr>
              <w:t>—</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25,117</w:t>
            </w:r>
          </w:p>
        </w:tc>
        <w:tc>
          <w:tcPr>
            <w:tcW w:w="100" w:type="dxa"/>
            <w:vAlign w:val="bottom"/>
            <w:shd w:val="clear" w:color="auto" w:fill="CFF0FC"/>
          </w:tcPr>
          <w:p>
            <w:pPr>
              <w:spacing w:after="0"/>
              <w:rPr>
                <w:sz w:val="18"/>
                <w:szCs w:val="18"/>
                <w:color w:val="auto"/>
              </w:rPr>
            </w:pP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Amortzaton of leases</w:t>
            </w:r>
          </w:p>
        </w:tc>
        <w:tc>
          <w:tcPr>
            <w:tcW w:w="102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1,591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75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Loss on asset disposals</w:t>
            </w:r>
          </w:p>
        </w:tc>
        <w:tc>
          <w:tcPr>
            <w:tcW w:w="10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63</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Change in fair value of contngent consideraton</w:t>
            </w:r>
          </w:p>
        </w:tc>
        <w:tc>
          <w:tcPr>
            <w:tcW w:w="1020" w:type="dxa"/>
            <w:vAlign w:val="bottom"/>
          </w:tcPr>
          <w:p>
            <w:pPr>
              <w:spacing w:after="0"/>
              <w:rPr>
                <w:sz w:val="18"/>
                <w:szCs w:val="18"/>
                <w:color w:val="auto"/>
              </w:rPr>
            </w:pPr>
          </w:p>
        </w:tc>
        <w:tc>
          <w:tcPr>
            <w:tcW w:w="90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(1,220 )</w:t>
            </w:r>
          </w:p>
        </w:tc>
        <w:tc>
          <w:tcPr>
            <w:tcW w:w="380" w:type="dxa"/>
            <w:vAlign w:val="bottom"/>
          </w:tcPr>
          <w:p>
            <w:pPr>
              <w:spacing w:after="0"/>
              <w:rPr>
                <w:sz w:val="18"/>
                <w:szCs w:val="18"/>
                <w:color w:val="auto"/>
              </w:rPr>
            </w:pPr>
          </w:p>
        </w:tc>
        <w:tc>
          <w:tcPr>
            <w:tcW w:w="140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75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b w:val="1"/>
                <w:bCs w:val="1"/>
                <w:color w:val="auto"/>
              </w:rPr>
              <w:t>Change in assets and liabilites:</w:t>
            </w:r>
          </w:p>
        </w:tc>
        <w:tc>
          <w:tcPr>
            <w:tcW w:w="10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Accounts receivable</w:t>
            </w:r>
          </w:p>
        </w:tc>
        <w:tc>
          <w:tcPr>
            <w:tcW w:w="1020" w:type="dxa"/>
            <w:vAlign w:val="bottom"/>
          </w:tcPr>
          <w:p>
            <w:pPr>
              <w:spacing w:after="0"/>
              <w:rPr>
                <w:sz w:val="18"/>
                <w:szCs w:val="18"/>
                <w:color w:val="auto"/>
              </w:rPr>
            </w:pPr>
          </w:p>
        </w:tc>
        <w:tc>
          <w:tcPr>
            <w:tcW w:w="90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(4,292 )</w:t>
            </w:r>
          </w:p>
        </w:tc>
        <w:tc>
          <w:tcPr>
            <w:tcW w:w="380" w:type="dxa"/>
            <w:vAlign w:val="bottom"/>
          </w:tcPr>
          <w:p>
            <w:pPr>
              <w:spacing w:after="0"/>
              <w:rPr>
                <w:sz w:val="18"/>
                <w:szCs w:val="18"/>
                <w:color w:val="auto"/>
              </w:rPr>
            </w:pPr>
          </w:p>
        </w:tc>
        <w:tc>
          <w:tcPr>
            <w:tcW w:w="14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(18,784 )</w:t>
            </w:r>
          </w:p>
        </w:tc>
      </w:tr>
      <w:tr>
        <w:trPr>
          <w:trHeight w:val="217"/>
        </w:trPr>
        <w:tc>
          <w:tcPr>
            <w:tcW w:w="75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Inventory</w:t>
            </w:r>
          </w:p>
        </w:tc>
        <w:tc>
          <w:tcPr>
            <w:tcW w:w="10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10"/>
              <w:spacing w:after="0" w:line="216" w:lineRule="exact"/>
              <w:rPr>
                <w:sz w:val="20"/>
                <w:szCs w:val="20"/>
                <w:color w:val="auto"/>
              </w:rPr>
            </w:pPr>
            <w:r>
              <w:rPr>
                <w:rFonts w:ascii="Calibri" w:cs="Calibri" w:eastAsia="Calibri" w:hAnsi="Calibri"/>
                <w:sz w:val="18"/>
                <w:szCs w:val="18"/>
                <w:color w:val="auto"/>
              </w:rPr>
              <w:t>(2,350 )</w:t>
            </w: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(9,660 )</w:t>
            </w: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Prepaid expenses and other current assets</w:t>
            </w:r>
          </w:p>
        </w:tc>
        <w:tc>
          <w:tcPr>
            <w:tcW w:w="102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37,778</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(16,694 )</w:t>
            </w:r>
          </w:p>
        </w:tc>
      </w:tr>
      <w:tr>
        <w:trPr>
          <w:trHeight w:val="217"/>
        </w:trPr>
        <w:tc>
          <w:tcPr>
            <w:tcW w:w="75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Accounts payable</w:t>
            </w:r>
          </w:p>
        </w:tc>
        <w:tc>
          <w:tcPr>
            <w:tcW w:w="10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10"/>
              <w:spacing w:after="0" w:line="216" w:lineRule="exact"/>
              <w:rPr>
                <w:sz w:val="20"/>
                <w:szCs w:val="20"/>
                <w:color w:val="auto"/>
              </w:rPr>
            </w:pPr>
            <w:r>
              <w:rPr>
                <w:rFonts w:ascii="Calibri" w:cs="Calibri" w:eastAsia="Calibri" w:hAnsi="Calibri"/>
                <w:sz w:val="18"/>
                <w:szCs w:val="18"/>
                <w:color w:val="auto"/>
              </w:rPr>
              <w:t>(26,737 )</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143,481</w:t>
            </w:r>
          </w:p>
        </w:tc>
        <w:tc>
          <w:tcPr>
            <w:tcW w:w="100" w:type="dxa"/>
            <w:vAlign w:val="bottom"/>
            <w:shd w:val="clear" w:color="auto" w:fill="CFF0FC"/>
          </w:tcPr>
          <w:p>
            <w:pPr>
              <w:spacing w:after="0"/>
              <w:rPr>
                <w:sz w:val="18"/>
                <w:szCs w:val="18"/>
                <w:color w:val="auto"/>
              </w:rPr>
            </w:pP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Accrued expenses and other current liabilites</w:t>
            </w:r>
          </w:p>
        </w:tc>
        <w:tc>
          <w:tcPr>
            <w:tcW w:w="1020" w:type="dxa"/>
            <w:vAlign w:val="bottom"/>
          </w:tcPr>
          <w:p>
            <w:pPr>
              <w:spacing w:after="0"/>
              <w:rPr>
                <w:sz w:val="18"/>
                <w:szCs w:val="18"/>
                <w:color w:val="auto"/>
              </w:rPr>
            </w:pPr>
          </w:p>
        </w:tc>
        <w:tc>
          <w:tcPr>
            <w:tcW w:w="90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(73,938 )</w:t>
            </w:r>
          </w:p>
        </w:tc>
        <w:tc>
          <w:tcPr>
            <w:tcW w:w="38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87,339</w:t>
            </w:r>
          </w:p>
        </w:tc>
        <w:tc>
          <w:tcPr>
            <w:tcW w:w="100" w:type="dxa"/>
            <w:vAlign w:val="bottom"/>
          </w:tcPr>
          <w:p>
            <w:pPr>
              <w:spacing w:after="0"/>
              <w:rPr>
                <w:sz w:val="18"/>
                <w:szCs w:val="18"/>
                <w:color w:val="auto"/>
              </w:rPr>
            </w:pPr>
          </w:p>
        </w:tc>
      </w:tr>
      <w:tr>
        <w:trPr>
          <w:trHeight w:val="217"/>
        </w:trPr>
        <w:tc>
          <w:tcPr>
            <w:tcW w:w="75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Deferred revenue</w:t>
            </w:r>
          </w:p>
        </w:tc>
        <w:tc>
          <w:tcPr>
            <w:tcW w:w="10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8,492</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14,567</w:t>
            </w:r>
          </w:p>
        </w:tc>
        <w:tc>
          <w:tcPr>
            <w:tcW w:w="100" w:type="dxa"/>
            <w:vAlign w:val="bottom"/>
            <w:shd w:val="clear" w:color="auto" w:fill="CFF0FC"/>
          </w:tcPr>
          <w:p>
            <w:pPr>
              <w:spacing w:after="0"/>
              <w:rPr>
                <w:sz w:val="18"/>
                <w:szCs w:val="18"/>
                <w:color w:val="auto"/>
              </w:rPr>
            </w:pP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Other assets and liabilites</w:t>
            </w:r>
          </w:p>
        </w:tc>
        <w:tc>
          <w:tcPr>
            <w:tcW w:w="1020" w:type="dxa"/>
            <w:vAlign w:val="bottom"/>
          </w:tcPr>
          <w:p>
            <w:pPr>
              <w:spacing w:after="0"/>
              <w:rPr>
                <w:sz w:val="18"/>
                <w:szCs w:val="18"/>
                <w:color w:val="auto"/>
              </w:rPr>
            </w:pPr>
          </w:p>
        </w:tc>
        <w:tc>
          <w:tcPr>
            <w:tcW w:w="90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(1,680 )</w:t>
            </w:r>
          </w:p>
        </w:tc>
        <w:tc>
          <w:tcPr>
            <w:tcW w:w="38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252</w:t>
            </w:r>
          </w:p>
        </w:tc>
        <w:tc>
          <w:tcPr>
            <w:tcW w:w="100" w:type="dxa"/>
            <w:vAlign w:val="bottom"/>
          </w:tcPr>
          <w:p>
            <w:pPr>
              <w:spacing w:after="0"/>
              <w:rPr>
                <w:sz w:val="18"/>
                <w:szCs w:val="18"/>
                <w:color w:val="auto"/>
              </w:rPr>
            </w:pPr>
          </w:p>
        </w:tc>
      </w:tr>
      <w:tr>
        <w:trPr>
          <w:trHeight w:val="211"/>
        </w:trPr>
        <w:tc>
          <w:tcPr>
            <w:tcW w:w="754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Net cash provided by operatng actvites</w:t>
            </w:r>
          </w:p>
        </w:tc>
        <w:tc>
          <w:tcPr>
            <w:tcW w:w="10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1,389</w:t>
            </w:r>
          </w:p>
        </w:tc>
        <w:tc>
          <w:tcPr>
            <w:tcW w:w="26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215,262</w:t>
            </w:r>
          </w:p>
        </w:tc>
        <w:tc>
          <w:tcPr>
            <w:tcW w:w="100" w:type="dxa"/>
            <w:vAlign w:val="bottom"/>
            <w:shd w:val="clear" w:color="auto" w:fill="CFF0FC"/>
          </w:tcPr>
          <w:p>
            <w:pPr>
              <w:spacing w:after="0"/>
              <w:rPr>
                <w:sz w:val="18"/>
                <w:szCs w:val="18"/>
                <w:color w:val="auto"/>
              </w:rPr>
            </w:pPr>
          </w:p>
        </w:tc>
      </w:tr>
      <w:tr>
        <w:trPr>
          <w:trHeight w:val="215"/>
        </w:trPr>
        <w:tc>
          <w:tcPr>
            <w:tcW w:w="754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Cash fows from investng actvites</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5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Purchases of property and equipment</w:t>
            </w:r>
          </w:p>
        </w:tc>
        <w:tc>
          <w:tcPr>
            <w:tcW w:w="10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10"/>
              <w:spacing w:after="0" w:line="216" w:lineRule="exact"/>
              <w:rPr>
                <w:sz w:val="20"/>
                <w:szCs w:val="20"/>
                <w:color w:val="auto"/>
              </w:rPr>
            </w:pPr>
            <w:r>
              <w:rPr>
                <w:rFonts w:ascii="Calibri" w:cs="Calibri" w:eastAsia="Calibri" w:hAnsi="Calibri"/>
                <w:sz w:val="18"/>
                <w:szCs w:val="18"/>
                <w:color w:val="auto"/>
              </w:rPr>
              <w:t>(2,727 )</w:t>
            </w: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(689 )</w:t>
            </w: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Purchases of personal seat licenses</w:t>
            </w:r>
          </w:p>
        </w:tc>
        <w:tc>
          <w:tcPr>
            <w:tcW w:w="1020" w:type="dxa"/>
            <w:vAlign w:val="bottom"/>
          </w:tcPr>
          <w:p>
            <w:pPr>
              <w:spacing w:after="0"/>
              <w:rPr>
                <w:sz w:val="18"/>
                <w:szCs w:val="18"/>
                <w:color w:val="auto"/>
              </w:rPr>
            </w:pPr>
          </w:p>
        </w:tc>
        <w:tc>
          <w:tcPr>
            <w:tcW w:w="90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(165 )</w:t>
            </w:r>
          </w:p>
        </w:tc>
        <w:tc>
          <w:tcPr>
            <w:tcW w:w="380" w:type="dxa"/>
            <w:vAlign w:val="bottom"/>
          </w:tcPr>
          <w:p>
            <w:pPr>
              <w:spacing w:after="0"/>
              <w:rPr>
                <w:sz w:val="18"/>
                <w:szCs w:val="18"/>
                <w:color w:val="auto"/>
              </w:rPr>
            </w:pPr>
          </w:p>
        </w:tc>
        <w:tc>
          <w:tcPr>
            <w:tcW w:w="14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(76 )</w:t>
            </w:r>
          </w:p>
        </w:tc>
      </w:tr>
      <w:tr>
        <w:trPr>
          <w:trHeight w:val="217"/>
        </w:trPr>
        <w:tc>
          <w:tcPr>
            <w:tcW w:w="75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Investments in developed technology</w:t>
            </w:r>
          </w:p>
        </w:tc>
        <w:tc>
          <w:tcPr>
            <w:tcW w:w="10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10"/>
              <w:spacing w:after="0" w:line="216" w:lineRule="exact"/>
              <w:rPr>
                <w:sz w:val="20"/>
                <w:szCs w:val="20"/>
                <w:color w:val="auto"/>
              </w:rPr>
            </w:pPr>
            <w:r>
              <w:rPr>
                <w:rFonts w:ascii="Calibri" w:cs="Calibri" w:eastAsia="Calibri" w:hAnsi="Calibri"/>
                <w:sz w:val="18"/>
                <w:szCs w:val="18"/>
                <w:color w:val="auto"/>
              </w:rPr>
              <w:t>(8,988 )</w:t>
            </w: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(6,558 )</w:t>
            </w: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Cash adjustment in acquisiton</w:t>
            </w:r>
          </w:p>
        </w:tc>
        <w:tc>
          <w:tcPr>
            <w:tcW w:w="1020" w:type="dxa"/>
            <w:vAlign w:val="bottom"/>
          </w:tcPr>
          <w:p>
            <w:pPr>
              <w:spacing w:after="0"/>
              <w:rPr>
                <w:sz w:val="18"/>
                <w:szCs w:val="18"/>
                <w:color w:val="auto"/>
              </w:rPr>
            </w:pPr>
          </w:p>
        </w:tc>
        <w:tc>
          <w:tcPr>
            <w:tcW w:w="90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(8 )</w:t>
            </w:r>
          </w:p>
        </w:tc>
        <w:tc>
          <w:tcPr>
            <w:tcW w:w="380" w:type="dxa"/>
            <w:vAlign w:val="bottom"/>
          </w:tcPr>
          <w:p>
            <w:pPr>
              <w:spacing w:after="0"/>
              <w:rPr>
                <w:sz w:val="18"/>
                <w:szCs w:val="18"/>
                <w:color w:val="auto"/>
              </w:rPr>
            </w:pPr>
          </w:p>
        </w:tc>
        <w:tc>
          <w:tcPr>
            <w:tcW w:w="140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1"/>
        </w:trPr>
        <w:tc>
          <w:tcPr>
            <w:tcW w:w="754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Net cash used in investng actvites</w:t>
            </w:r>
          </w:p>
        </w:tc>
        <w:tc>
          <w:tcPr>
            <w:tcW w:w="10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(11,888</w:t>
            </w:r>
          </w:p>
        </w:tc>
        <w:tc>
          <w:tcPr>
            <w:tcW w:w="260" w:type="dxa"/>
            <w:vAlign w:val="bottom"/>
            <w:shd w:val="clear" w:color="auto" w:fill="CFF0FC"/>
          </w:tcPr>
          <w:p>
            <w:pPr>
              <w:jc w:val="right"/>
              <w:ind w:right="90"/>
              <w:spacing w:after="0" w:line="210" w:lineRule="exact"/>
              <w:rPr>
                <w:sz w:val="20"/>
                <w:szCs w:val="20"/>
                <w:color w:val="auto"/>
              </w:rPr>
            </w:pPr>
            <w:r>
              <w:rPr>
                <w:rFonts w:ascii="Calibri" w:cs="Calibri" w:eastAsia="Calibri" w:hAnsi="Calibri"/>
                <w:sz w:val="18"/>
                <w:szCs w:val="18"/>
                <w:b w:val="1"/>
                <w:bCs w:val="1"/>
                <w:color w:val="auto"/>
              </w:rPr>
              <w:t>)</w:t>
            </w:r>
          </w:p>
        </w:tc>
        <w:tc>
          <w:tcPr>
            <w:tcW w:w="38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(7,323</w:t>
            </w:r>
          </w:p>
        </w:tc>
        <w:tc>
          <w:tcPr>
            <w:tcW w:w="1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w w:val="70"/>
              </w:rPr>
              <w:t>)</w:t>
            </w:r>
          </w:p>
        </w:tc>
      </w:tr>
      <w:tr>
        <w:trPr>
          <w:trHeight w:val="215"/>
        </w:trPr>
        <w:tc>
          <w:tcPr>
            <w:tcW w:w="754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Cash fows from fnancing actvites</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5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Payments of June 2017 First Lien Loan</w:t>
            </w:r>
          </w:p>
        </w:tc>
        <w:tc>
          <w:tcPr>
            <w:tcW w:w="10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10"/>
              <w:spacing w:after="0" w:line="216" w:lineRule="exact"/>
              <w:rPr>
                <w:sz w:val="20"/>
                <w:szCs w:val="20"/>
                <w:color w:val="auto"/>
              </w:rPr>
            </w:pPr>
            <w:r>
              <w:rPr>
                <w:rFonts w:ascii="Calibri" w:cs="Calibri" w:eastAsia="Calibri" w:hAnsi="Calibri"/>
                <w:sz w:val="18"/>
                <w:szCs w:val="18"/>
                <w:color w:val="auto"/>
                <w:w w:val="91"/>
              </w:rPr>
              <w:t>(465,712 )</w:t>
            </w: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(4,809 )</w:t>
            </w: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Proceeds from February 2022 First Lien Loan</w:t>
            </w:r>
          </w:p>
        </w:tc>
        <w:tc>
          <w:tcPr>
            <w:tcW w:w="102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275,000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75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Payments of deferred fnancing costs and other debt-related costs</w:t>
            </w:r>
          </w:p>
        </w:tc>
        <w:tc>
          <w:tcPr>
            <w:tcW w:w="10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10"/>
              <w:spacing w:after="0" w:line="216" w:lineRule="exact"/>
              <w:rPr>
                <w:sz w:val="20"/>
                <w:szCs w:val="20"/>
                <w:color w:val="auto"/>
              </w:rPr>
            </w:pPr>
            <w:r>
              <w:rPr>
                <w:rFonts w:ascii="Calibri" w:cs="Calibri" w:eastAsia="Calibri" w:hAnsi="Calibri"/>
                <w:sz w:val="18"/>
                <w:szCs w:val="18"/>
                <w:color w:val="auto"/>
              </w:rPr>
              <w:t>(4,856 )</w:t>
            </w: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Payments of February 2022 First Lien Loan</w:t>
            </w:r>
          </w:p>
        </w:tc>
        <w:tc>
          <w:tcPr>
            <w:tcW w:w="1020" w:type="dxa"/>
            <w:vAlign w:val="bottom"/>
          </w:tcPr>
          <w:p>
            <w:pPr>
              <w:spacing w:after="0"/>
              <w:rPr>
                <w:sz w:val="18"/>
                <w:szCs w:val="18"/>
                <w:color w:val="auto"/>
              </w:rPr>
            </w:pPr>
          </w:p>
        </w:tc>
        <w:tc>
          <w:tcPr>
            <w:tcW w:w="90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(1,375 )</w:t>
            </w:r>
          </w:p>
        </w:tc>
        <w:tc>
          <w:tcPr>
            <w:tcW w:w="380" w:type="dxa"/>
            <w:vAlign w:val="bottom"/>
          </w:tcPr>
          <w:p>
            <w:pPr>
              <w:spacing w:after="0"/>
              <w:rPr>
                <w:sz w:val="18"/>
                <w:szCs w:val="18"/>
                <w:color w:val="auto"/>
              </w:rPr>
            </w:pPr>
          </w:p>
        </w:tc>
        <w:tc>
          <w:tcPr>
            <w:tcW w:w="140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75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Distributons to non-controlling interests</w:t>
            </w:r>
          </w:p>
        </w:tc>
        <w:tc>
          <w:tcPr>
            <w:tcW w:w="10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10"/>
              <w:spacing w:after="0" w:line="216" w:lineRule="exact"/>
              <w:rPr>
                <w:sz w:val="20"/>
                <w:szCs w:val="20"/>
                <w:color w:val="auto"/>
              </w:rPr>
            </w:pPr>
            <w:r>
              <w:rPr>
                <w:rFonts w:ascii="Calibri" w:cs="Calibri" w:eastAsia="Calibri" w:hAnsi="Calibri"/>
                <w:sz w:val="18"/>
                <w:szCs w:val="18"/>
                <w:color w:val="auto"/>
              </w:rPr>
              <w:t>(4,918 )</w:t>
            </w: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Repurchase of Common Stock as Treasury Stock</w:t>
            </w:r>
          </w:p>
        </w:tc>
        <w:tc>
          <w:tcPr>
            <w:tcW w:w="1020" w:type="dxa"/>
            <w:vAlign w:val="bottom"/>
          </w:tcPr>
          <w:p>
            <w:pPr>
              <w:spacing w:after="0"/>
              <w:rPr>
                <w:sz w:val="18"/>
                <w:szCs w:val="18"/>
                <w:color w:val="auto"/>
              </w:rPr>
            </w:pPr>
          </w:p>
        </w:tc>
        <w:tc>
          <w:tcPr>
            <w:tcW w:w="90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(3,050 )</w:t>
            </w:r>
          </w:p>
        </w:tc>
        <w:tc>
          <w:tcPr>
            <w:tcW w:w="380" w:type="dxa"/>
            <w:vAlign w:val="bottom"/>
          </w:tcPr>
          <w:p>
            <w:pPr>
              <w:spacing w:after="0"/>
              <w:rPr>
                <w:sz w:val="18"/>
                <w:szCs w:val="18"/>
                <w:color w:val="auto"/>
              </w:rPr>
            </w:pPr>
          </w:p>
        </w:tc>
        <w:tc>
          <w:tcPr>
            <w:tcW w:w="140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0"/>
        </w:trPr>
        <w:tc>
          <w:tcPr>
            <w:tcW w:w="754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Net cash used in fnancing actvites</w:t>
            </w:r>
          </w:p>
        </w:tc>
        <w:tc>
          <w:tcPr>
            <w:tcW w:w="102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w w:val="95"/>
              </w:rPr>
              <w:t>(204,911</w:t>
            </w:r>
          </w:p>
        </w:tc>
        <w:tc>
          <w:tcPr>
            <w:tcW w:w="260" w:type="dxa"/>
            <w:vAlign w:val="bottom"/>
            <w:tcBorders>
              <w:bottom w:val="single" w:sz="8" w:color="CFF0FC"/>
            </w:tcBorders>
            <w:shd w:val="clear" w:color="auto" w:fill="CFF0FC"/>
          </w:tcPr>
          <w:p>
            <w:pPr>
              <w:jc w:val="right"/>
              <w:ind w:right="90"/>
              <w:spacing w:after="0" w:line="210" w:lineRule="exact"/>
              <w:rPr>
                <w:sz w:val="20"/>
                <w:szCs w:val="20"/>
                <w:color w:val="auto"/>
              </w:rPr>
            </w:pPr>
            <w:r>
              <w:rPr>
                <w:rFonts w:ascii="Calibri" w:cs="Calibri" w:eastAsia="Calibri" w:hAnsi="Calibri"/>
                <w:sz w:val="18"/>
                <w:szCs w:val="18"/>
                <w:b w:val="1"/>
                <w:bCs w:val="1"/>
                <w:color w:val="auto"/>
              </w:rPr>
              <w:t>)</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(4,809</w:t>
            </w:r>
          </w:p>
        </w:tc>
        <w:tc>
          <w:tcPr>
            <w:tcW w:w="100" w:type="dxa"/>
            <w:vAlign w:val="bottom"/>
            <w:tcBorders>
              <w:bottom w:val="single" w:sz="8" w:color="CFF0FC"/>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w w:val="70"/>
              </w:rPr>
              <w:t>)</w:t>
            </w:r>
          </w:p>
        </w:tc>
      </w:tr>
      <w:tr>
        <w:trPr>
          <w:trHeight w:val="209"/>
        </w:trPr>
        <w:tc>
          <w:tcPr>
            <w:tcW w:w="754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Net increase (decrease) in cash, cash equivalents, and restricted cash</w:t>
            </w:r>
          </w:p>
        </w:tc>
        <w:tc>
          <w:tcPr>
            <w:tcW w:w="1020" w:type="dxa"/>
            <w:vAlign w:val="bottom"/>
          </w:tcPr>
          <w:p>
            <w:pPr>
              <w:spacing w:after="0"/>
              <w:rPr>
                <w:sz w:val="18"/>
                <w:szCs w:val="18"/>
                <w:color w:val="auto"/>
              </w:rPr>
            </w:pPr>
          </w:p>
        </w:tc>
        <w:tc>
          <w:tcPr>
            <w:tcW w:w="900" w:type="dxa"/>
            <w:vAlign w:val="bottom"/>
            <w:gridSpan w:val="2"/>
          </w:tcPr>
          <w:p>
            <w:pPr>
              <w:jc w:val="right"/>
              <w:ind w:right="90"/>
              <w:spacing w:after="0" w:line="209" w:lineRule="exact"/>
              <w:rPr>
                <w:sz w:val="20"/>
                <w:szCs w:val="20"/>
                <w:color w:val="auto"/>
              </w:rPr>
            </w:pPr>
            <w:r>
              <w:rPr>
                <w:rFonts w:ascii="Calibri" w:cs="Calibri" w:eastAsia="Calibri" w:hAnsi="Calibri"/>
                <w:sz w:val="18"/>
                <w:szCs w:val="18"/>
                <w:b w:val="1"/>
                <w:bCs w:val="1"/>
                <w:color w:val="auto"/>
                <w:w w:val="93"/>
              </w:rPr>
              <w:t>(215,410 )</w:t>
            </w:r>
          </w:p>
        </w:tc>
        <w:tc>
          <w:tcPr>
            <w:tcW w:w="380" w:type="dxa"/>
            <w:vAlign w:val="bottom"/>
          </w:tcPr>
          <w:p>
            <w:pPr>
              <w:spacing w:after="0"/>
              <w:rPr>
                <w:sz w:val="18"/>
                <w:szCs w:val="18"/>
                <w:color w:val="auto"/>
              </w:rPr>
            </w:pPr>
          </w:p>
        </w:tc>
        <w:tc>
          <w:tcPr>
            <w:tcW w:w="130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203,130</w:t>
            </w:r>
          </w:p>
        </w:tc>
        <w:tc>
          <w:tcPr>
            <w:tcW w:w="100" w:type="dxa"/>
            <w:vAlign w:val="bottom"/>
          </w:tcPr>
          <w:p>
            <w:pPr>
              <w:spacing w:after="0"/>
              <w:rPr>
                <w:sz w:val="18"/>
                <w:szCs w:val="18"/>
                <w:color w:val="auto"/>
              </w:rPr>
            </w:pPr>
          </w:p>
        </w:tc>
      </w:tr>
      <w:tr>
        <w:trPr>
          <w:trHeight w:val="210"/>
        </w:trPr>
        <w:tc>
          <w:tcPr>
            <w:tcW w:w="754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Cash, cash equivalents, and restricted cash – beginning of period</w:t>
            </w:r>
          </w:p>
        </w:tc>
        <w:tc>
          <w:tcPr>
            <w:tcW w:w="102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489,810</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285,337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20"/>
              <w:spacing w:after="0" w:line="210" w:lineRule="exact"/>
              <w:rPr>
                <w:sz w:val="20"/>
                <w:szCs w:val="20"/>
                <w:color w:val="auto"/>
              </w:rPr>
            </w:pPr>
            <w:r>
              <w:rPr>
                <w:rFonts w:ascii="Calibri" w:cs="Calibri" w:eastAsia="Calibri" w:hAnsi="Calibri"/>
                <w:sz w:val="18"/>
                <w:szCs w:val="18"/>
                <w:b w:val="1"/>
                <w:bCs w:val="1"/>
                <w:color w:val="auto"/>
              </w:rPr>
              <w:t>Cash, cash equivalents, and restricted cash – end of period</w:t>
            </w:r>
          </w:p>
        </w:tc>
        <w:tc>
          <w:tcPr>
            <w:tcW w:w="1020" w:type="dxa"/>
            <w:vAlign w:val="bottom"/>
            <w:tcBorders>
              <w:bottom w:val="single" w:sz="8" w:color="auto"/>
            </w:tcBorders>
          </w:tcPr>
          <w:p>
            <w:pPr>
              <w:jc w:val="right"/>
              <w:ind w:right="830"/>
              <w:spacing w:after="0" w:line="210" w:lineRule="exact"/>
              <w:rPr>
                <w:sz w:val="20"/>
                <w:szCs w:val="20"/>
                <w:color w:val="auto"/>
              </w:rPr>
            </w:pPr>
            <w:r>
              <w:rPr>
                <w:rFonts w:ascii="Calibri" w:cs="Calibri" w:eastAsia="Calibri" w:hAnsi="Calibri"/>
                <w:sz w:val="18"/>
                <w:szCs w:val="18"/>
                <w:b w:val="1"/>
                <w:bCs w:val="1"/>
                <w:color w:val="auto"/>
                <w:w w:val="87"/>
              </w:rPr>
              <w:t>$</w:t>
            </w:r>
          </w:p>
        </w:tc>
        <w:tc>
          <w:tcPr>
            <w:tcW w:w="64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274,400</w:t>
            </w:r>
          </w:p>
        </w:tc>
        <w:tc>
          <w:tcPr>
            <w:tcW w:w="26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line="210" w:lineRule="exact"/>
              <w:rPr>
                <w:sz w:val="20"/>
                <w:szCs w:val="20"/>
                <w:color w:val="auto"/>
              </w:rPr>
            </w:pPr>
            <w:r>
              <w:rPr>
                <w:rFonts w:ascii="Calibri" w:cs="Calibri" w:eastAsia="Calibri" w:hAnsi="Calibri"/>
                <w:sz w:val="18"/>
                <w:szCs w:val="18"/>
                <w:b w:val="1"/>
                <w:bCs w:val="1"/>
                <w:color w:val="auto"/>
                <w:w w:val="87"/>
              </w:rPr>
              <w:t>$</w:t>
            </w:r>
          </w:p>
        </w:tc>
        <w:tc>
          <w:tcPr>
            <w:tcW w:w="13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488,467</w:t>
            </w:r>
          </w:p>
        </w:tc>
        <w:tc>
          <w:tcPr>
            <w:tcW w:w="10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540" w:type="dxa"/>
            <w:vAlign w:val="bottom"/>
            <w:shd w:val="clear" w:color="auto" w:fill="CFF0FC"/>
          </w:tcPr>
          <w:p>
            <w:pPr>
              <w:ind w:left="20"/>
              <w:spacing w:after="0" w:line="196" w:lineRule="exact"/>
              <w:rPr>
                <w:sz w:val="20"/>
                <w:szCs w:val="20"/>
                <w:color w:val="auto"/>
              </w:rPr>
            </w:pPr>
            <w:r>
              <w:rPr>
                <w:rFonts w:ascii="Calibri" w:cs="Calibri" w:eastAsia="Calibri" w:hAnsi="Calibri"/>
                <w:sz w:val="18"/>
                <w:szCs w:val="18"/>
                <w:b w:val="1"/>
                <w:bCs w:val="1"/>
                <w:color w:val="auto"/>
              </w:rPr>
              <w:t>Supplemental disclosure of cash fow informaton:</w:t>
            </w:r>
          </w:p>
        </w:tc>
        <w:tc>
          <w:tcPr>
            <w:tcW w:w="10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Paid-in-kind interest added to May 2020 First Lien Loan principal</w:t>
            </w:r>
          </w:p>
        </w:tc>
        <w:tc>
          <w:tcPr>
            <w:tcW w:w="1020" w:type="dxa"/>
            <w:vAlign w:val="bottom"/>
          </w:tcPr>
          <w:p>
            <w:pPr>
              <w:jc w:val="right"/>
              <w:ind w:right="830"/>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gridSpan w:val="2"/>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38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28,463</w:t>
            </w:r>
          </w:p>
        </w:tc>
        <w:tc>
          <w:tcPr>
            <w:tcW w:w="100" w:type="dxa"/>
            <w:vAlign w:val="bottom"/>
          </w:tcPr>
          <w:p>
            <w:pPr>
              <w:spacing w:after="0"/>
              <w:rPr>
                <w:sz w:val="18"/>
                <w:szCs w:val="18"/>
                <w:color w:val="auto"/>
              </w:rPr>
            </w:pPr>
          </w:p>
        </w:tc>
      </w:tr>
      <w:tr>
        <w:trPr>
          <w:trHeight w:val="217"/>
        </w:trPr>
        <w:tc>
          <w:tcPr>
            <w:tcW w:w="75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Cash paid for interest</w:t>
            </w:r>
          </w:p>
        </w:tc>
        <w:tc>
          <w:tcPr>
            <w:tcW w:w="1020" w:type="dxa"/>
            <w:vAlign w:val="bottom"/>
            <w:shd w:val="clear" w:color="auto" w:fill="CFF0FC"/>
          </w:tcPr>
          <w:p>
            <w:pPr>
              <w:jc w:val="right"/>
              <w:ind w:right="830"/>
              <w:spacing w:after="0" w:line="216" w:lineRule="exact"/>
              <w:rPr>
                <w:sz w:val="20"/>
                <w:szCs w:val="20"/>
                <w:color w:val="auto"/>
              </w:rPr>
            </w:pPr>
            <w:r>
              <w:rPr>
                <w:rFonts w:ascii="Calibri" w:cs="Calibri" w:eastAsia="Calibri" w:hAnsi="Calibri"/>
                <w:sz w:val="18"/>
                <w:szCs w:val="18"/>
                <w:color w:val="auto"/>
                <w:w w:val="87"/>
              </w:rPr>
              <w:t>$</w:t>
            </w:r>
          </w:p>
        </w:tc>
        <w:tc>
          <w:tcPr>
            <w:tcW w:w="6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9,886</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line="216" w:lineRule="exact"/>
              <w:rPr>
                <w:sz w:val="20"/>
                <w:szCs w:val="20"/>
                <w:color w:val="auto"/>
              </w:rPr>
            </w:pPr>
            <w:r>
              <w:rPr>
                <w:rFonts w:ascii="Calibri" w:cs="Calibri" w:eastAsia="Calibri" w:hAnsi="Calibri"/>
                <w:sz w:val="18"/>
                <w:szCs w:val="18"/>
                <w:color w:val="auto"/>
                <w:w w:val="87"/>
              </w:rPr>
              <w:t>$</w:t>
            </w: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21,143</w:t>
            </w:r>
          </w:p>
        </w:tc>
        <w:tc>
          <w:tcPr>
            <w:tcW w:w="100" w:type="dxa"/>
            <w:vAlign w:val="bottom"/>
            <w:shd w:val="clear" w:color="auto" w:fill="CFF0FC"/>
          </w:tcPr>
          <w:p>
            <w:pPr>
              <w:spacing w:after="0"/>
              <w:rPr>
                <w:sz w:val="18"/>
                <w:szCs w:val="18"/>
                <w:color w:val="auto"/>
              </w:rPr>
            </w:pP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Property and equipment acquired through tenant improvement allowance</w:t>
            </w:r>
          </w:p>
        </w:tc>
        <w:tc>
          <w:tcPr>
            <w:tcW w:w="1020" w:type="dxa"/>
            <w:vAlign w:val="bottom"/>
          </w:tcPr>
          <w:p>
            <w:pPr>
              <w:jc w:val="right"/>
              <w:ind w:right="830"/>
              <w:spacing w:after="0" w:line="215" w:lineRule="exact"/>
              <w:rPr>
                <w:sz w:val="20"/>
                <w:szCs w:val="20"/>
                <w:color w:val="auto"/>
              </w:rPr>
            </w:pPr>
            <w:r>
              <w:rPr>
                <w:rFonts w:ascii="Calibri" w:cs="Calibri" w:eastAsia="Calibri" w:hAnsi="Calibri"/>
                <w:sz w:val="18"/>
                <w:szCs w:val="18"/>
                <w:color w:val="auto"/>
                <w:w w:val="87"/>
              </w:rPr>
              <w:t>$</w:t>
            </w: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5,346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6"/>
        </w:trPr>
        <w:tc>
          <w:tcPr>
            <w:tcW w:w="7540" w:type="dxa"/>
            <w:vAlign w:val="bottom"/>
            <w:tcBorders>
              <w:bottom w:val="single" w:sz="8" w:color="CFF0FC"/>
            </w:tcBorders>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Right-of-use assets obtained in exchange for lease obligatons</w:t>
            </w:r>
          </w:p>
        </w:tc>
        <w:tc>
          <w:tcPr>
            <w:tcW w:w="1020" w:type="dxa"/>
            <w:vAlign w:val="bottom"/>
            <w:tcBorders>
              <w:bottom w:val="single" w:sz="8" w:color="auto"/>
            </w:tcBorders>
            <w:shd w:val="clear" w:color="auto" w:fill="CFF0FC"/>
          </w:tcPr>
          <w:p>
            <w:pPr>
              <w:jc w:val="right"/>
              <w:ind w:right="830"/>
              <w:spacing w:after="0" w:line="216" w:lineRule="exact"/>
              <w:rPr>
                <w:sz w:val="20"/>
                <w:szCs w:val="20"/>
                <w:color w:val="auto"/>
              </w:rPr>
            </w:pPr>
            <w:r>
              <w:rPr>
                <w:rFonts w:ascii="Calibri" w:cs="Calibri" w:eastAsia="Calibri" w:hAnsi="Calibri"/>
                <w:sz w:val="18"/>
                <w:szCs w:val="18"/>
                <w:color w:val="auto"/>
                <w:w w:val="87"/>
              </w:rPr>
              <w:t>$</w:t>
            </w:r>
          </w:p>
        </w:tc>
        <w:tc>
          <w:tcPr>
            <w:tcW w:w="6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3,406</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line="216" w:lineRule="exact"/>
              <w:rPr>
                <w:sz w:val="20"/>
                <w:szCs w:val="20"/>
                <w:color w:val="auto"/>
              </w:rPr>
            </w:pPr>
            <w:r>
              <w:rPr>
                <w:rFonts w:ascii="Calibri" w:cs="Calibri" w:eastAsia="Calibri" w:hAnsi="Calibri"/>
                <w:sz w:val="18"/>
                <w:szCs w:val="18"/>
                <w:color w:val="auto"/>
                <w:w w:val="87"/>
              </w:rPr>
              <w:t>$</w:t>
            </w:r>
          </w:p>
        </w:tc>
        <w:tc>
          <w:tcPr>
            <w:tcW w:w="13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-1156970</wp:posOffset>
            </wp:positionV>
            <wp:extent cx="6858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-864870</wp:posOffset>
            </wp:positionV>
            <wp:extent cx="6858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10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 Background and Basis of Presentation</w:t>
      </w:r>
    </w:p>
    <w:p>
      <w:pPr>
        <w:spacing w:after="0" w:line="136" w:lineRule="exact"/>
        <w:rPr>
          <w:sz w:val="20"/>
          <w:szCs w:val="20"/>
          <w:color w:val="auto"/>
        </w:rPr>
      </w:pPr>
    </w:p>
    <w:p>
      <w:pPr>
        <w:jc w:val="both"/>
        <w:spacing w:after="0" w:line="226" w:lineRule="auto"/>
        <w:rPr>
          <w:sz w:val="20"/>
          <w:szCs w:val="20"/>
          <w:color w:val="auto"/>
        </w:rPr>
      </w:pPr>
      <w:r>
        <w:rPr>
          <w:rFonts w:ascii="Calibri" w:cs="Calibri" w:eastAsia="Calibri" w:hAnsi="Calibri"/>
          <w:sz w:val="18"/>
          <w:szCs w:val="18"/>
          <w:color w:val="auto"/>
        </w:rPr>
        <w:t>Vivid Seats Inc. and its subsidiaries including Hoya Intermediate, LLC, Hoya Midco, LLC, and Vivid Seats LLC (collectvely the “Company,” “us,” “we,” and “our”) provide an online secondary tcket marketplace that enables tcket buyers to discover and easily purchase tckets to sports, concerts, theater, and other live events in the United States and Canada. Through our Marketplace segment, we operate an online platorm enabling tcket buyers to purchase tckets to live events, while enabling tcket sellers to seamlessly manage their operatons. In our Resale segment, we acquire tckets to resell on secondary tcket marketplaces, including our own.</w:t>
      </w:r>
    </w:p>
    <w:p>
      <w:pPr>
        <w:spacing w:after="0" w:line="140"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We have prepared the accompanying unaudited condensed consolidated fnancial statements in accordance with accountng principles generally accepted in the United States of America ("GAAP") for interim fnancial informaton and the instructons to the Quarterly Report on Form 10-Q and Artcle 10 of Regulaton S-X issued by the U.S. Securites and Exchange Commission ("SEC"). Accordingly, they do not include all of the informaton and notes required by GAAP for comprehensive annual fnancial statements. Our condensed consolidated fnancial statements are not necessarily indicatve of results that may be expected for any other interim period or for the full year. These condensed consolidated fnancial statements should be read in conjuncton with the audited annual consolidated fnancial statements and related notes included in our Annual Report on Form 10-K for the fscal year ended December 31, 2021 which was fled with the SEC on March 15, 2022. Our condensed consolidated fnancial statements include all of our accounts, including those of our consolidated subsidiaries. All intercompany transactons and balances have been eliminated in consolidaton.</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COVID-19 Update</w:t>
      </w:r>
    </w:p>
    <w:p>
      <w:pPr>
        <w:spacing w:after="0" w:line="136"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Beginning in the second quarter of 2021, and contnuing through the third quarter of 2022, we have seen a recovery in tcket orders as mitgaton measures ease. While we have experienced recovery from the COVID-19 pandemic, given the emergence of new variants and contnued infectous cases, uncertainty remains. We expect uncertaintes around our key accountng estmates to contnue to evolve depending on the duraton and degree of impact associated with the COVID-19 pandemic. Our estmates may change as new events occur and additonal informaton emerges, and such changes are recognized or disclosed in our condensed consolidated fnancial statements. If economic conditons caused by the pandemic worsen, our fnancial conditon, cash fows, and results of operatons may be further materially impacted.</w:t>
      </w:r>
    </w:p>
    <w:p>
      <w:pPr>
        <w:spacing w:after="0" w:line="13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 New Accounting Standards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Recently adopted accountng standards</w:t>
      </w:r>
    </w:p>
    <w:p>
      <w:pPr>
        <w:spacing w:after="0" w:line="150"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 xml:space="preserve">In February 2016, the Financial Accountng Standards Board ("FASB") issued Accountng Standards Update ("ASU") 2016-02, </w:t>
      </w:r>
      <w:r>
        <w:rPr>
          <w:rFonts w:ascii="Calibri" w:cs="Calibri" w:eastAsia="Calibri" w:hAnsi="Calibri"/>
          <w:sz w:val="18"/>
          <w:szCs w:val="18"/>
          <w:i w:val="1"/>
          <w:iCs w:val="1"/>
          <w:color w:val="auto"/>
        </w:rPr>
        <w:t>Leases (Topic 842)</w:t>
      </w:r>
      <w:r>
        <w:rPr>
          <w:rFonts w:ascii="Calibri" w:cs="Calibri" w:eastAsia="Calibri" w:hAnsi="Calibri"/>
          <w:sz w:val="18"/>
          <w:szCs w:val="18"/>
          <w:color w:val="auto"/>
        </w:rPr>
        <w:t>, which requires lessees to recognize a right-of-use asset and a lease liability for virtually all of their leases (other than leases that meet the defniton of a short-term lease) in the balance sheet. Lease liabilites are equal to the present value of lease payments, while right-of-use assets are based on the associated lease liabilites, subject to certain adjustments, such as for inital direct costs. We elected the extended transiton period available to emerging growth companies and adopted Accountng Standards Codifcaton ("ASC") 842 efectve January 1, 2022 on a modifed retrospectve basis by applying the new standard to all leases existng at the date of inital applicaton. We elected to present the fnancial statements for all periods prior to January 1, 2022 under the previous lease standard ("ASC 840"), as well as elected other optons, which allow us to use our previous evaluatons regarding if an arrangement contains a lease, if a lease is an operatng or fnancing lease, and what costs are capitalized as inital direct costs prior to adopton. We also elected to combine lease and non-lease components.</w:t>
      </w:r>
    </w:p>
    <w:p>
      <w:pPr>
        <w:spacing w:after="0" w:line="155"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Upon the adopton of the new lease standard, on January 1, 2022, we recognized right-of-use assets of $6.6 million and lease liabilites of $8.1 million (including a current liability of $3.0 million) in the Condensed Consolidated Balance Sheets and reclassifed certain balances related to existng leases. The right-of-use assets balance as of January 1, 2022 is adjusted for $1.5 million of lease terminaton liabilites and deferred rent liabilites recognized under the</w:t>
      </w:r>
    </w:p>
    <w:p>
      <w:pPr>
        <w:spacing w:after="0" w:line="11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jc w:val="both"/>
        <w:spacing w:after="0" w:line="245" w:lineRule="auto"/>
        <w:rPr>
          <w:sz w:val="20"/>
          <w:szCs w:val="20"/>
          <w:color w:val="auto"/>
        </w:rPr>
      </w:pPr>
      <w:r>
        <w:rPr>
          <w:rFonts w:ascii="Calibri" w:cs="Calibri" w:eastAsia="Calibri" w:hAnsi="Calibri"/>
          <w:sz w:val="18"/>
          <w:szCs w:val="18"/>
          <w:color w:val="auto"/>
        </w:rPr>
        <w:t>previous lease standard. There was no impact to Accumulated defcit on the Condensed Consolidated Balance Sheets at adopton. Refer to Note 6, Leases, for more informaton on leases.</w:t>
      </w:r>
    </w:p>
    <w:p>
      <w:pPr>
        <w:spacing w:after="0" w:line="14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Accountng standards issued but not yet adopted</w:t>
      </w:r>
    </w:p>
    <w:p>
      <w:pPr>
        <w:spacing w:after="0" w:line="150" w:lineRule="exact"/>
        <w:rPr>
          <w:sz w:val="20"/>
          <w:szCs w:val="20"/>
          <w:color w:val="auto"/>
        </w:rPr>
      </w:pPr>
    </w:p>
    <w:p>
      <w:pPr>
        <w:jc w:val="both"/>
        <w:spacing w:after="0" w:line="256" w:lineRule="auto"/>
        <w:rPr>
          <w:sz w:val="20"/>
          <w:szCs w:val="20"/>
          <w:color w:val="auto"/>
        </w:rPr>
      </w:pPr>
      <w:r>
        <w:rPr>
          <w:rFonts w:ascii="Calibri" w:cs="Calibri" w:eastAsia="Calibri" w:hAnsi="Calibri"/>
          <w:sz w:val="17"/>
          <w:szCs w:val="17"/>
          <w:color w:val="auto"/>
        </w:rPr>
        <w:t xml:space="preserve">In June 2016, the FASB issued ASU 2016-13, </w:t>
      </w:r>
      <w:r>
        <w:rPr>
          <w:rFonts w:ascii="Calibri" w:cs="Calibri" w:eastAsia="Calibri" w:hAnsi="Calibri"/>
          <w:sz w:val="17"/>
          <w:szCs w:val="17"/>
          <w:i w:val="1"/>
          <w:iCs w:val="1"/>
          <w:color w:val="auto"/>
        </w:rPr>
        <w:t>Financial Instruments-Credit Losses (Topic 326): Measurement of Credit Losses on Financial Instruments</w:t>
      </w:r>
      <w:r>
        <w:rPr>
          <w:rFonts w:ascii="Calibri" w:cs="Calibri" w:eastAsia="Calibri" w:hAnsi="Calibri"/>
          <w:sz w:val="17"/>
          <w:szCs w:val="17"/>
          <w:color w:val="auto"/>
        </w:rPr>
        <w:t xml:space="preserve">, which changes how enttes will measure credit losses for fnancial assets and certain other instruments that are not measured at fair value through net income. The new expected credit loss impairment model requires immediate recogniton of estmated credit losses expected to occur. Additonal disclosures are required regarding assumptons, models, and methods for estmatng the credit losses. ASU 2019-10, </w:t>
      </w:r>
      <w:r>
        <w:rPr>
          <w:rFonts w:ascii="Calibri" w:cs="Calibri" w:eastAsia="Calibri" w:hAnsi="Calibri"/>
          <w:sz w:val="17"/>
          <w:szCs w:val="17"/>
          <w:i w:val="1"/>
          <w:iCs w:val="1"/>
          <w:color w:val="auto"/>
        </w:rPr>
        <w:t>Financial Instruments-Credit Losses (Topic 326), Derivatves and</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Hedging (Topic 815), and Leases (Topic 842): Efectve Dates</w:t>
      </w:r>
      <w:r>
        <w:rPr>
          <w:rFonts w:ascii="Calibri" w:cs="Calibri" w:eastAsia="Calibri" w:hAnsi="Calibri"/>
          <w:sz w:val="17"/>
          <w:szCs w:val="17"/>
          <w:color w:val="auto"/>
        </w:rPr>
        <w:t>, deferred the efectve date for non-public companies. The standard is efectve for non-public</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companies for fscal years beginning afer December 15, 2022. We elected the extended transiton period available to emerging growth companies and are currently evaluatng the efect of adopton of the standard on our condensed consolidated fnancial statements and related disclosures.</w:t>
      </w:r>
    </w:p>
    <w:p>
      <w:pPr>
        <w:spacing w:after="0" w:line="138" w:lineRule="exact"/>
        <w:rPr>
          <w:sz w:val="20"/>
          <w:szCs w:val="20"/>
          <w:color w:val="auto"/>
        </w:rPr>
      </w:pPr>
    </w:p>
    <w:p>
      <w:pPr>
        <w:jc w:val="both"/>
        <w:spacing w:after="0" w:line="242" w:lineRule="auto"/>
        <w:rPr>
          <w:sz w:val="20"/>
          <w:szCs w:val="20"/>
          <w:color w:val="auto"/>
        </w:rPr>
      </w:pPr>
      <w:r>
        <w:rPr>
          <w:rFonts w:ascii="Calibri" w:cs="Calibri" w:eastAsia="Calibri" w:hAnsi="Calibri"/>
          <w:sz w:val="18"/>
          <w:szCs w:val="18"/>
          <w:color w:val="auto"/>
        </w:rPr>
        <w:t>In March 2020, the FASB issued ASU 2020-04, Reference Rate Reform (Topic 848), Facilitaton of the Efects of Reference Rate Reform on Financial Reportng, as modifed in January 2021. The ASU is intended to help stakeholders during the global market-wide reference rate transiton period. The new guidance provides optonal expedients and exceptons for applying GAAP to contract modifcatons and hedging relatonships, subject to meetng certain criteria, that reference LIBOR or another reference rate expected to be discontnued. The guidance also establishes (1) a general contract modifcaton principle that enttes can apply in other areas that may be afected by reference rate reform and (2) certain electve hedge accountng expedients. The amendment is efectve for all enttes startng March 12, 2020 and can be adopted through December 31, 2022. We have not yet decided the date of adopton of this standard. The adopton of this standard will not have a material impact on our condensed consolidated fnancial statements.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3. Business Acquisition</w:t>
      </w:r>
    </w:p>
    <w:p>
      <w:pPr>
        <w:spacing w:after="0" w:line="136" w:lineRule="exact"/>
        <w:rPr>
          <w:sz w:val="20"/>
          <w:szCs w:val="20"/>
          <w:color w:val="auto"/>
        </w:rPr>
      </w:pPr>
    </w:p>
    <w:p>
      <w:pPr>
        <w:jc w:val="both"/>
        <w:spacing w:after="0" w:line="226" w:lineRule="auto"/>
        <w:rPr>
          <w:sz w:val="20"/>
          <w:szCs w:val="20"/>
          <w:color w:val="auto"/>
        </w:rPr>
      </w:pPr>
      <w:r>
        <w:rPr>
          <w:rFonts w:ascii="Calibri" w:cs="Calibri" w:eastAsia="Calibri" w:hAnsi="Calibri"/>
          <w:sz w:val="18"/>
          <w:szCs w:val="18"/>
          <w:color w:val="auto"/>
        </w:rPr>
        <w:t>On December 13, 2021, we acquired 100% of the equity of Betcha Sports, Inc. (“Betcha”). In August 2022, we rebranded Betcha as Vivid Picks, LLC ("Vivid Picks"). Vivid Picks is a real money daily fantasy sports app with social and gamifcaton features that enhance fans' connecton with their favorite live sports. The acquisiton was accounted for as an acquisiton of a business in accordance with the acquisiton method of accountng. Acquisiton costs directly related to the transacton for the three and nine months ended September 30, 2022 were not material and are included in General and administratve expenses in the Condensed Consolidated Statements of Operatons.</w:t>
      </w:r>
    </w:p>
    <w:p>
      <w:pPr>
        <w:spacing w:after="0" w:line="140"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The acquisiton date fair value of the consideraton consisted of $0.8 million in cash and 2.1 million shares of our Class A common stock ("Class A Common Stock"). The total consideraton includes cash earnouts of $3.4 million as of the acquisiton date representng the estmated fair value that we may be obligated to pay if Vivid Picks meets certain earnings objectves. In additon, the consideraton includes future milestone payments of $9.5 million as of the acquisiton date representng the estmated fair value that we may be obligated to pay upon the achievement of certain integraton objectves. For the three and nine months ended September 30, 2022, we made no payments related to cash earnouts and milestone payments. For the three and nine months ended September 30, 2022, the estmated fair value of cash earnouts decreased by $1.2 million, which is presented in Change in fair value of contngent consideraton on the Condensed Consolidated Statements of Operatons. As of September 30, 2022, $2.6 million was recorded in Additonal paid-in capital in the Condensed Consolidated Balance Sheets related to our frst milestone payment. In October 2022, we paid the frst milestone payment which consisted of $0.2 million in cash and 0.3 million in shares of our Class A common stock.</w:t>
      </w:r>
    </w:p>
    <w:p>
      <w:pPr>
        <w:spacing w:after="0" w:line="11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part of the acquisiton, we agreed to pay cash bonuses to certain Vivid Picks employees over three years following the anniversary of the employee start date. The payouts are subject to contnued employment, and therefore treated as compensaton and expensed.</w:t>
      </w:r>
    </w:p>
    <w:p>
      <w:pPr>
        <w:spacing w:after="0" w:line="137" w:lineRule="exact"/>
        <w:rPr>
          <w:sz w:val="20"/>
          <w:szCs w:val="20"/>
          <w:color w:val="auto"/>
        </w:rPr>
      </w:pPr>
    </w:p>
    <w:p>
      <w:pPr>
        <w:jc w:val="both"/>
        <w:ind w:right="20"/>
        <w:spacing w:after="0" w:line="227" w:lineRule="auto"/>
        <w:rPr>
          <w:sz w:val="20"/>
          <w:szCs w:val="20"/>
          <w:color w:val="auto"/>
        </w:rPr>
      </w:pPr>
      <w:r>
        <w:rPr>
          <w:rFonts w:ascii="Calibri" w:cs="Calibri" w:eastAsia="Calibri" w:hAnsi="Calibri"/>
          <w:sz w:val="18"/>
          <w:szCs w:val="18"/>
          <w:color w:val="auto"/>
        </w:rPr>
        <w:t>Proforma fnancial informaton has not been presented as the Vivid Picks acquisiton was not considered material to our Condensed Consolidated Financial Statements.</w:t>
      </w:r>
    </w:p>
    <w:p>
      <w:pPr>
        <w:spacing w:after="0" w:line="138"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The consideraton was allocated to the assets acquired and liabilites assumed based on their fair value as of the acquisiton date. The excess of the purchase price over the net assets acquired was recorded as goodwill. The goodwill recorded is not deductble for tax purposes as the Vivid Picks acquisiton was primarily a stock acquisiton and is atributable to the assembled workforce as well as the antcipated synergies from the integraton of Vivid Picks's technology with our technology.</w:t>
      </w:r>
    </w:p>
    <w:p>
      <w:pPr>
        <w:spacing w:after="0" w:line="137"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The consideraton allocaton for Vivid Picks is preliminary because the evaluatons necessary to assess the fair value of the net assets acquired are stll in process. The primary areas that are not yet fnalized relate to the valuatons of certain intangible assets, cash earnouts, milestone payments, and acquired income tax assets and liabilites. As a result, these allocatons are subject to change during the purchase price allocaton period as the valuatons are fnalized. During the second quarter of 2022, we recognized adjustments related to the estmated fair values of the assets acquired and liabilites assumed at the acquisiton date. The adjustments primarily consisted of $0.9 million in defnite-lived intangible assets and $2.9 million in goodwill. Refer to Note 7, Goodwill and Intangible Assets, for the acquisiton adjustment.</w:t>
      </w:r>
    </w:p>
    <w:p>
      <w:pPr>
        <w:spacing w:after="0" w:line="136"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the estmated fair values of the assets acquired and liabilites assumed as of the acquisiton date (in thousands):</w:t>
      </w:r>
    </w:p>
    <w:p>
      <w:pPr>
        <w:sectPr>
          <w:pgSz w:w="11900" w:h="16838" w:orient="portrait"/>
          <w:cols w:equalWidth="0" w:num="1">
            <w:col w:w="11240"/>
          </w:cols>
          <w:pgMar w:left="320" w:top="112" w:right="339" w:bottom="1440" w:gutter="0" w:footer="0" w:header="0"/>
        </w:sectPr>
      </w:pPr>
    </w:p>
    <w:p>
      <w:pPr>
        <w:spacing w:after="0" w:line="10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line="235" w:lineRule="auto"/>
        <w:rPr>
          <w:sz w:val="20"/>
          <w:szCs w:val="20"/>
          <w:color w:val="auto"/>
        </w:rPr>
      </w:pPr>
      <w:r>
        <w:rPr>
          <w:rFonts w:ascii="Calibri" w:cs="Calibri" w:eastAsia="Calibri" w:hAnsi="Calibri"/>
          <w:sz w:val="18"/>
          <w:szCs w:val="18"/>
          <w:color w:val="auto"/>
        </w:rPr>
        <w:t>Restricted cash</w:t>
      </w:r>
    </w:p>
    <w:p>
      <w:pPr>
        <w:ind w:left="20"/>
        <w:spacing w:after="0" w:line="236" w:lineRule="auto"/>
        <w:rPr>
          <w:sz w:val="20"/>
          <w:szCs w:val="20"/>
          <w:color w:val="auto"/>
        </w:rPr>
      </w:pPr>
      <w:r>
        <w:rPr>
          <w:rFonts w:ascii="Calibri" w:cs="Calibri" w:eastAsia="Calibri" w:hAnsi="Calibri"/>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line="236" w:lineRule="auto"/>
        <w:rPr>
          <w:sz w:val="20"/>
          <w:szCs w:val="20"/>
          <w:color w:val="auto"/>
        </w:rPr>
      </w:pPr>
      <w:r>
        <w:rPr>
          <w:rFonts w:ascii="Calibri" w:cs="Calibri" w:eastAsia="Calibri" w:hAnsi="Calibri"/>
          <w:sz w:val="18"/>
          <w:szCs w:val="18"/>
          <w:color w:val="auto"/>
        </w:rPr>
        <w:t>Prepaid expenses and other current assets</w:t>
      </w:r>
    </w:p>
    <w:p>
      <w:pPr>
        <w:ind w:left="20"/>
        <w:spacing w:after="0" w:line="236" w:lineRule="auto"/>
        <w:rPr>
          <w:sz w:val="20"/>
          <w:szCs w:val="20"/>
          <w:color w:val="auto"/>
        </w:rPr>
      </w:pPr>
      <w:r>
        <w:rPr>
          <w:rFonts w:ascii="Calibri" w:cs="Calibri" w:eastAsia="Calibri" w:hAnsi="Calibri"/>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line="236" w:lineRule="auto"/>
        <w:rPr>
          <w:sz w:val="20"/>
          <w:szCs w:val="20"/>
          <w:color w:val="auto"/>
        </w:rPr>
      </w:pPr>
      <w:r>
        <w:rPr>
          <w:rFonts w:ascii="Calibri" w:cs="Calibri" w:eastAsia="Calibri" w:hAnsi="Calibri"/>
          <w:sz w:val="18"/>
          <w:szCs w:val="18"/>
          <w:color w:val="auto"/>
        </w:rPr>
        <w:t>Goodwill</w:t>
      </w:r>
    </w:p>
    <w:p>
      <w:pPr>
        <w:ind w:left="20"/>
        <w:spacing w:after="0" w:line="236" w:lineRule="auto"/>
        <w:rPr>
          <w:sz w:val="20"/>
          <w:szCs w:val="20"/>
          <w:color w:val="auto"/>
        </w:rPr>
      </w:pPr>
      <w:r>
        <w:rPr>
          <w:rFonts w:ascii="Calibri" w:cs="Calibri" w:eastAsia="Calibri" w:hAnsi="Calibri"/>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Calibri" w:cs="Calibri" w:eastAsia="Calibri" w:hAnsi="Calibri"/>
          <w:sz w:val="18"/>
          <w:szCs w:val="18"/>
          <w:color w:val="auto"/>
        </w:rPr>
        <w:t>Accrued expenses and other current liabilites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auto"/>
        </w:rPr>
        <w:t>Net assets acquired</w:t>
      </w:r>
    </w:p>
    <w:p>
      <w:pPr>
        <w:spacing w:after="0" w:line="136"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table summarizes the purchase consideraton (in thousands):</w:t>
      </w:r>
    </w:p>
    <w:p>
      <w:pPr>
        <w:spacing w:after="0" w:line="112"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Fair value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line="235" w:lineRule="auto"/>
        <w:rPr>
          <w:sz w:val="20"/>
          <w:szCs w:val="20"/>
          <w:color w:val="auto"/>
        </w:rPr>
      </w:pPr>
      <w:r>
        <w:rPr>
          <w:rFonts w:ascii="Calibri" w:cs="Calibri" w:eastAsia="Calibri" w:hAnsi="Calibri"/>
          <w:sz w:val="18"/>
          <w:szCs w:val="18"/>
          <w:color w:val="auto"/>
        </w:rPr>
        <w:t>Cash consideraton</w:t>
      </w:r>
    </w:p>
    <w:p>
      <w:pPr>
        <w:ind w:left="20"/>
        <w:spacing w:after="0" w:line="236" w:lineRule="auto"/>
        <w:rPr>
          <w:sz w:val="20"/>
          <w:szCs w:val="20"/>
          <w:color w:val="auto"/>
        </w:rPr>
      </w:pPr>
      <w:r>
        <w:rPr>
          <w:rFonts w:ascii="Calibri" w:cs="Calibri" w:eastAsia="Calibri" w:hAnsi="Calibri"/>
          <w:sz w:val="18"/>
          <w:szCs w:val="18"/>
          <w:color w:val="auto"/>
        </w:rPr>
        <w:t>Fair value of milestone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Calibri" w:cs="Calibri" w:eastAsia="Calibri" w:hAnsi="Calibri"/>
          <w:sz w:val="18"/>
          <w:szCs w:val="18"/>
          <w:color w:val="auto"/>
        </w:rPr>
        <w:t>Fair value of earnouts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auto"/>
        </w:rPr>
        <w:t>Total purchase consideraton</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960" w:type="dxa"/>
            <w:vAlign w:val="bottom"/>
            <w:gridSpan w:val="2"/>
          </w:tcPr>
          <w:p>
            <w:pPr>
              <w:jc w:val="right"/>
              <w:ind w:right="730"/>
              <w:spacing w:after="0"/>
              <w:rPr>
                <w:sz w:val="20"/>
                <w:szCs w:val="20"/>
                <w:color w:val="auto"/>
              </w:rPr>
            </w:pPr>
            <w:r>
              <w:rPr>
                <w:rFonts w:ascii="Calibri" w:cs="Calibri" w:eastAsia="Calibri" w:hAnsi="Calibri"/>
                <w:sz w:val="18"/>
                <w:szCs w:val="18"/>
                <w:color w:val="auto"/>
              </w:rPr>
              <w:t>$</w:t>
            </w:r>
          </w:p>
        </w:tc>
        <w:tc>
          <w:tcPr>
            <w:tcW w:w="1320" w:type="dxa"/>
            <w:vAlign w:val="bottom"/>
          </w:tcPr>
          <w:p>
            <w:pPr>
              <w:jc w:val="right"/>
              <w:spacing w:after="0"/>
              <w:rPr>
                <w:sz w:val="20"/>
                <w:szCs w:val="20"/>
                <w:color w:val="auto"/>
              </w:rPr>
            </w:pPr>
            <w:r>
              <w:rPr>
                <w:rFonts w:ascii="Calibri" w:cs="Calibri" w:eastAsia="Calibri" w:hAnsi="Calibri"/>
                <w:sz w:val="18"/>
                <w:szCs w:val="18"/>
                <w:color w:val="auto"/>
              </w:rPr>
              <w:t>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jc w:val="right"/>
              <w:spacing w:after="0" w:line="216" w:lineRule="exact"/>
              <w:rPr>
                <w:sz w:val="20"/>
                <w:szCs w:val="20"/>
                <w:color w:val="auto"/>
              </w:rPr>
            </w:pPr>
            <w:r>
              <w:rPr>
                <w:rFonts w:ascii="Calibri" w:cs="Calibri" w:eastAsia="Calibri" w:hAnsi="Calibri"/>
                <w:sz w:val="18"/>
                <w:szCs w:val="18"/>
                <w:color w:val="auto"/>
              </w:rPr>
              <w:t>245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jc w:val="right"/>
              <w:spacing w:after="0" w:line="216" w:lineRule="exact"/>
              <w:rPr>
                <w:sz w:val="20"/>
                <w:szCs w:val="20"/>
                <w:color w:val="auto"/>
              </w:rPr>
            </w:pPr>
            <w:r>
              <w:rPr>
                <w:rFonts w:ascii="Calibri" w:cs="Calibri" w:eastAsia="Calibri" w:hAnsi="Calibri"/>
                <w:sz w:val="18"/>
                <w:szCs w:val="18"/>
                <w:color w:val="auto"/>
              </w:rPr>
              <w:t>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jc w:val="right"/>
              <w:spacing w:after="0" w:line="216" w:lineRule="exact"/>
              <w:rPr>
                <w:sz w:val="20"/>
                <w:szCs w:val="20"/>
                <w:color w:val="auto"/>
              </w:rPr>
            </w:pPr>
            <w:r>
              <w:rPr>
                <w:rFonts w:ascii="Calibri" w:cs="Calibri" w:eastAsia="Calibri" w:hAnsi="Calibri"/>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jc w:val="right"/>
              <w:spacing w:after="0" w:line="216" w:lineRule="exact"/>
              <w:rPr>
                <w:sz w:val="20"/>
                <w:szCs w:val="20"/>
                <w:color w:val="auto"/>
              </w:rPr>
            </w:pPr>
            <w:r>
              <w:rPr>
                <w:rFonts w:ascii="Calibri" w:cs="Calibri" w:eastAsia="Calibri" w:hAnsi="Calibri"/>
                <w:sz w:val="18"/>
                <w:szCs w:val="18"/>
                <w:color w:val="auto"/>
              </w:rPr>
              <w:t>4,430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jc w:val="right"/>
              <w:spacing w:after="0" w:line="216" w:lineRule="exact"/>
              <w:rPr>
                <w:sz w:val="20"/>
                <w:szCs w:val="20"/>
                <w:color w:val="auto"/>
              </w:rPr>
            </w:pPr>
            <w:r>
              <w:rPr>
                <w:rFonts w:ascii="Calibri" w:cs="Calibri" w:eastAsia="Calibri" w:hAnsi="Calibri"/>
                <w:sz w:val="18"/>
                <w:szCs w:val="18"/>
                <w:color w:val="auto"/>
              </w:rPr>
              <w:t>31,931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gridSpan w:val="2"/>
          </w:tcPr>
          <w:p>
            <w:pPr>
              <w:jc w:val="right"/>
              <w:spacing w:after="0" w:line="216" w:lineRule="exact"/>
              <w:rPr>
                <w:sz w:val="20"/>
                <w:szCs w:val="20"/>
                <w:color w:val="auto"/>
              </w:rPr>
            </w:pPr>
            <w:r>
              <w:rPr>
                <w:rFonts w:ascii="Calibri" w:cs="Calibri" w:eastAsia="Calibri" w:hAnsi="Calibri"/>
                <w:sz w:val="18"/>
                <w:szCs w:val="18"/>
                <w:color w:val="auto"/>
              </w:rPr>
              <w:t>(1,180 )</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gridSpan w:val="2"/>
          </w:tcPr>
          <w:p>
            <w:pPr>
              <w:jc w:val="right"/>
              <w:spacing w:after="0" w:line="216" w:lineRule="exact"/>
              <w:rPr>
                <w:sz w:val="20"/>
                <w:szCs w:val="20"/>
                <w:color w:val="auto"/>
              </w:rPr>
            </w:pPr>
            <w:r>
              <w:rPr>
                <w:rFonts w:ascii="Calibri" w:cs="Calibri" w:eastAsia="Calibri" w:hAnsi="Calibri"/>
                <w:sz w:val="18"/>
                <w:szCs w:val="18"/>
                <w:color w:val="auto"/>
              </w:rPr>
              <w:t>(677 )</w:t>
            </w:r>
          </w:p>
        </w:tc>
        <w:tc>
          <w:tcPr>
            <w:tcW w:w="0" w:type="dxa"/>
            <w:vAlign w:val="bottom"/>
          </w:tcPr>
          <w:p>
            <w:pPr>
              <w:spacing w:after="0"/>
              <w:rPr>
                <w:sz w:val="1"/>
                <w:szCs w:val="1"/>
                <w:color w:val="auto"/>
              </w:rPr>
            </w:pPr>
          </w:p>
        </w:tc>
      </w:tr>
      <w:tr>
        <w:trPr>
          <w:trHeight w:val="23"/>
        </w:trPr>
        <w:tc>
          <w:tcPr>
            <w:tcW w:w="40" w:type="dxa"/>
            <w:vAlign w:val="bottom"/>
            <w:vMerge w:val="restart"/>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vMerge w:val="continue"/>
          </w:tcPr>
          <w:p>
            <w:pPr>
              <w:spacing w:after="0"/>
              <w:rPr>
                <w:sz w:val="18"/>
                <w:szCs w:val="18"/>
                <w:color w:val="auto"/>
              </w:rPr>
            </w:pPr>
          </w:p>
        </w:tc>
        <w:tc>
          <w:tcPr>
            <w:tcW w:w="920" w:type="dxa"/>
            <w:vAlign w:val="bottom"/>
            <w:tcBorders>
              <w:bottom w:val="single" w:sz="8" w:color="auto"/>
            </w:tcBorders>
          </w:tcPr>
          <w:p>
            <w:pPr>
              <w:jc w:val="right"/>
              <w:ind w:right="730"/>
              <w:spacing w:after="0" w:line="209" w:lineRule="exact"/>
              <w:rPr>
                <w:sz w:val="20"/>
                <w:szCs w:val="20"/>
                <w:color w:val="auto"/>
              </w:rPr>
            </w:pPr>
            <w:r>
              <w:rPr>
                <w:rFonts w:ascii="Calibri" w:cs="Calibri" w:eastAsia="Calibri" w:hAnsi="Calibri"/>
                <w:sz w:val="18"/>
                <w:szCs w:val="18"/>
                <w:b w:val="1"/>
                <w:bCs w:val="1"/>
                <w:color w:val="auto"/>
                <w:w w:val="87"/>
              </w:rPr>
              <w:t>$</w:t>
            </w:r>
          </w:p>
        </w:tc>
        <w:tc>
          <w:tcPr>
            <w:tcW w:w="13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34,935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960" w:type="dxa"/>
            <w:vAlign w:val="bottom"/>
            <w:gridSpan w:val="2"/>
          </w:tcPr>
          <w:p>
            <w:pPr>
              <w:jc w:val="right"/>
              <w:ind w:right="770"/>
              <w:spacing w:after="0"/>
              <w:rPr>
                <w:sz w:val="20"/>
                <w:szCs w:val="20"/>
                <w:color w:val="auto"/>
              </w:rPr>
            </w:pPr>
            <w:r>
              <w:rPr>
                <w:rFonts w:ascii="Calibri" w:cs="Calibri" w:eastAsia="Calibri" w:hAnsi="Calibri"/>
                <w:sz w:val="18"/>
                <w:szCs w:val="18"/>
                <w:color w:val="auto"/>
                <w:w w:val="87"/>
              </w:rPr>
              <w:t>$</w:t>
            </w:r>
          </w:p>
        </w:tc>
        <w:tc>
          <w:tcPr>
            <w:tcW w:w="1320" w:type="dxa"/>
            <w:vAlign w:val="bottom"/>
          </w:tcPr>
          <w:p>
            <w:pPr>
              <w:jc w:val="right"/>
              <w:spacing w:after="0"/>
              <w:rPr>
                <w:sz w:val="20"/>
                <w:szCs w:val="20"/>
                <w:color w:val="auto"/>
              </w:rPr>
            </w:pPr>
            <w:r>
              <w:rPr>
                <w:rFonts w:ascii="Calibri" w:cs="Calibri" w:eastAsia="Calibri" w:hAnsi="Calibri"/>
                <w:sz w:val="18"/>
                <w:szCs w:val="18"/>
                <w:color w:val="auto"/>
              </w:rPr>
              <w:t>21,306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jc w:val="right"/>
              <w:spacing w:after="0" w:line="216" w:lineRule="exact"/>
              <w:rPr>
                <w:sz w:val="20"/>
                <w:szCs w:val="20"/>
                <w:color w:val="auto"/>
              </w:rPr>
            </w:pPr>
            <w:r>
              <w:rPr>
                <w:rFonts w:ascii="Calibri" w:cs="Calibri" w:eastAsia="Calibri" w:hAnsi="Calibri"/>
                <w:sz w:val="18"/>
                <w:szCs w:val="18"/>
                <w:color w:val="auto"/>
              </w:rPr>
              <w:t>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jc w:val="right"/>
              <w:spacing w:after="0" w:line="216" w:lineRule="exact"/>
              <w:rPr>
                <w:sz w:val="20"/>
                <w:szCs w:val="20"/>
                <w:color w:val="auto"/>
              </w:rPr>
            </w:pPr>
            <w:r>
              <w:rPr>
                <w:rFonts w:ascii="Calibri" w:cs="Calibri" w:eastAsia="Calibri" w:hAnsi="Calibri"/>
                <w:sz w:val="18"/>
                <w:szCs w:val="18"/>
                <w:color w:val="auto"/>
              </w:rPr>
              <w:t>9,470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jc w:val="right"/>
              <w:spacing w:after="0" w:line="216" w:lineRule="exact"/>
              <w:rPr>
                <w:sz w:val="20"/>
                <w:szCs w:val="20"/>
                <w:color w:val="auto"/>
              </w:rPr>
            </w:pPr>
            <w:r>
              <w:rPr>
                <w:rFonts w:ascii="Calibri" w:cs="Calibri" w:eastAsia="Calibri" w:hAnsi="Calibri"/>
                <w:sz w:val="18"/>
                <w:szCs w:val="18"/>
                <w:color w:val="auto"/>
              </w:rPr>
              <w:t>3,400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9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60" w:type="dxa"/>
            <w:vAlign w:val="bottom"/>
            <w:tcBorders>
              <w:bottom w:val="single" w:sz="8" w:color="auto"/>
            </w:tcBorders>
            <w:gridSpan w:val="2"/>
          </w:tcPr>
          <w:p>
            <w:pPr>
              <w:jc w:val="right"/>
              <w:ind w:right="770"/>
              <w:spacing w:after="0" w:line="209" w:lineRule="exact"/>
              <w:rPr>
                <w:sz w:val="20"/>
                <w:szCs w:val="20"/>
                <w:color w:val="auto"/>
              </w:rPr>
            </w:pPr>
            <w:r>
              <w:rPr>
                <w:rFonts w:ascii="Calibri" w:cs="Calibri" w:eastAsia="Calibri" w:hAnsi="Calibri"/>
                <w:sz w:val="18"/>
                <w:szCs w:val="18"/>
                <w:b w:val="1"/>
                <w:bCs w:val="1"/>
                <w:color w:val="auto"/>
                <w:w w:val="87"/>
              </w:rPr>
              <w:t>$</w:t>
            </w:r>
          </w:p>
        </w:tc>
        <w:tc>
          <w:tcPr>
            <w:tcW w:w="13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34,935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40" w:space="720"/>
            <w:col w:w="2380"/>
          </w:cols>
          <w:pgMar w:left="320" w:top="112" w:right="339" w:bottom="1440" w:gutter="0" w:footer="0" w:header="0"/>
          <w:type w:val="continuous"/>
        </w:sectPr>
      </w:pPr>
    </w:p>
    <w:p>
      <w:pPr>
        <w:spacing w:after="0" w:line="115" w:lineRule="exact"/>
        <w:rPr>
          <w:sz w:val="20"/>
          <w:szCs w:val="20"/>
          <w:color w:val="auto"/>
        </w:rPr>
      </w:pPr>
    </w:p>
    <w:p>
      <w:pPr>
        <w:spacing w:after="0" w:line="227" w:lineRule="auto"/>
        <w:rPr>
          <w:sz w:val="20"/>
          <w:szCs w:val="20"/>
          <w:color w:val="auto"/>
        </w:rPr>
      </w:pPr>
      <w:r>
        <w:rPr>
          <w:rFonts w:ascii="Calibri" w:cs="Calibri" w:eastAsia="Calibri" w:hAnsi="Calibri"/>
          <w:sz w:val="18"/>
          <w:szCs w:val="18"/>
          <w:color w:val="auto"/>
        </w:rPr>
        <w:t>The following table sets forth the components of identfable intangible assets acquired (in thousands) and their estmated useful lives (in years) as of the date of acquisiton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vMerge w:val="restart"/>
          </w:tcPr>
          <w:p>
            <w:pPr>
              <w:jc w:val="right"/>
              <w:ind w:right="570"/>
              <w:spacing w:after="0"/>
              <w:rPr>
                <w:sz w:val="20"/>
                <w:szCs w:val="20"/>
                <w:color w:val="auto"/>
              </w:rPr>
            </w:pPr>
            <w:r>
              <w:rPr>
                <w:rFonts w:ascii="Calibri" w:cs="Calibri" w:eastAsia="Calibri" w:hAnsi="Calibri"/>
                <w:sz w:val="18"/>
                <w:szCs w:val="18"/>
                <w:b w:val="1"/>
                <w:bCs w:val="1"/>
                <w:color w:val="auto"/>
              </w:rPr>
              <w:t>Cost</w:t>
            </w:r>
          </w:p>
        </w:tc>
        <w:tc>
          <w:tcPr>
            <w:tcW w:w="164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Calibri" w:cs="Calibri" w:eastAsia="Calibri" w:hAnsi="Calibri"/>
                <w:sz w:val="18"/>
                <w:szCs w:val="18"/>
                <w:b w:val="1"/>
                <w:bCs w:val="1"/>
                <w:color w:val="auto"/>
              </w:rPr>
              <w:t>Estmated Useful</w:t>
            </w:r>
          </w:p>
        </w:tc>
        <w:tc>
          <w:tcPr>
            <w:tcW w:w="0" w:type="dxa"/>
            <w:vAlign w:val="bottom"/>
          </w:tcPr>
          <w:p>
            <w:pPr>
              <w:spacing w:after="0"/>
              <w:rPr>
                <w:sz w:val="1"/>
                <w:szCs w:val="1"/>
                <w:color w:val="auto"/>
              </w:rPr>
            </w:pPr>
          </w:p>
        </w:tc>
      </w:tr>
      <w:tr>
        <w:trPr>
          <w:trHeight w:val="120"/>
        </w:trPr>
        <w:tc>
          <w:tcPr>
            <w:tcW w:w="39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520" w:type="dxa"/>
            <w:vAlign w:val="bottom"/>
            <w:vMerge w:val="restart"/>
          </w:tcPr>
          <w:p>
            <w:pPr>
              <w:jc w:val="center"/>
              <w:spacing w:after="0" w:line="215" w:lineRule="exact"/>
              <w:rPr>
                <w:sz w:val="20"/>
                <w:szCs w:val="20"/>
                <w:color w:val="auto"/>
              </w:rPr>
            </w:pPr>
            <w:r>
              <w:rPr>
                <w:rFonts w:ascii="Calibri" w:cs="Calibri" w:eastAsia="Calibri" w:hAnsi="Calibri"/>
                <w:sz w:val="18"/>
                <w:szCs w:val="18"/>
                <w:b w:val="1"/>
                <w:bCs w:val="1"/>
                <w:color w:val="auto"/>
                <w:w w:val="96"/>
              </w:rPr>
              <w:t>Life</w:t>
            </w:r>
          </w:p>
        </w:tc>
        <w:tc>
          <w:tcPr>
            <w:tcW w:w="0" w:type="dxa"/>
            <w:vAlign w:val="bottom"/>
          </w:tcPr>
          <w:p>
            <w:pPr>
              <w:spacing w:after="0"/>
              <w:rPr>
                <w:sz w:val="1"/>
                <w:szCs w:val="1"/>
                <w:color w:val="auto"/>
              </w:rPr>
            </w:pPr>
          </w:p>
        </w:tc>
      </w:tr>
      <w:tr>
        <w:trPr>
          <w:trHeight w:val="94"/>
        </w:trPr>
        <w:tc>
          <w:tcPr>
            <w:tcW w:w="39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3920" w:type="dxa"/>
            <w:vAlign w:val="bottom"/>
            <w:vMerge w:val="restart"/>
          </w:tcPr>
          <w:p>
            <w:pPr>
              <w:ind w:left="20"/>
              <w:spacing w:after="0"/>
              <w:rPr>
                <w:sz w:val="20"/>
                <w:szCs w:val="20"/>
                <w:color w:val="auto"/>
              </w:rPr>
            </w:pPr>
            <w:r>
              <w:rPr>
                <w:rFonts w:ascii="Calibri" w:cs="Calibri" w:eastAsia="Calibri" w:hAnsi="Calibri"/>
                <w:sz w:val="18"/>
                <w:szCs w:val="18"/>
                <w:color w:val="auto"/>
              </w:rPr>
              <w:t>Customer relatonships</w:t>
            </w:r>
          </w:p>
        </w:tc>
        <w:tc>
          <w:tcPr>
            <w:tcW w:w="2500" w:type="dxa"/>
            <w:vAlign w:val="bottom"/>
            <w:vMerge w:val="restart"/>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40" w:type="dxa"/>
            <w:vAlign w:val="bottom"/>
            <w:vMerge w:val="restart"/>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20" w:type="dxa"/>
            <w:vAlign w:val="bottom"/>
            <w:vMerge w:val="continue"/>
          </w:tcPr>
          <w:p>
            <w:pPr>
              <w:spacing w:after="0"/>
              <w:rPr>
                <w:sz w:val="18"/>
                <w:szCs w:val="18"/>
                <w:color w:val="auto"/>
              </w:rPr>
            </w:pPr>
          </w:p>
        </w:tc>
        <w:tc>
          <w:tcPr>
            <w:tcW w:w="2500" w:type="dxa"/>
            <w:vAlign w:val="bottom"/>
            <w:vMerge w:val="continue"/>
          </w:tcPr>
          <w:p>
            <w:pPr>
              <w:spacing w:after="0"/>
              <w:rPr>
                <w:sz w:val="18"/>
                <w:szCs w:val="18"/>
                <w:color w:val="auto"/>
              </w:rPr>
            </w:pPr>
          </w:p>
        </w:tc>
        <w:tc>
          <w:tcPr>
            <w:tcW w:w="380" w:type="dxa"/>
            <w:vAlign w:val="bottom"/>
          </w:tcPr>
          <w:p>
            <w:pPr>
              <w:jc w:val="right"/>
              <w:ind w:right="190"/>
              <w:spacing w:after="0" w:line="209" w:lineRule="exact"/>
              <w:rPr>
                <w:sz w:val="20"/>
                <w:szCs w:val="20"/>
                <w:color w:val="auto"/>
              </w:rPr>
            </w:pPr>
            <w:r>
              <w:rPr>
                <w:rFonts w:ascii="Calibri" w:cs="Calibri" w:eastAsia="Calibri" w:hAnsi="Calibri"/>
                <w:sz w:val="18"/>
                <w:szCs w:val="18"/>
                <w:color w:val="auto"/>
                <w:w w:val="87"/>
              </w:rPr>
              <w:t>$</w:t>
            </w:r>
          </w:p>
        </w:tc>
        <w:tc>
          <w:tcPr>
            <w:tcW w:w="1280" w:type="dxa"/>
            <w:vAlign w:val="bottom"/>
          </w:tcPr>
          <w:p>
            <w:pPr>
              <w:jc w:val="right"/>
              <w:spacing w:after="0" w:line="209" w:lineRule="exact"/>
              <w:rPr>
                <w:sz w:val="20"/>
                <w:szCs w:val="20"/>
                <w:color w:val="auto"/>
              </w:rPr>
            </w:pPr>
            <w:r>
              <w:rPr>
                <w:rFonts w:ascii="Calibri" w:cs="Calibri" w:eastAsia="Calibri" w:hAnsi="Calibri"/>
                <w:sz w:val="18"/>
                <w:szCs w:val="18"/>
                <w:color w:val="auto"/>
              </w:rPr>
              <w:t>1,530</w:t>
            </w:r>
          </w:p>
        </w:tc>
        <w:tc>
          <w:tcPr>
            <w:tcW w:w="1640" w:type="dxa"/>
            <w:vAlign w:val="bottom"/>
            <w:vMerge w:val="continue"/>
          </w:tcPr>
          <w:p>
            <w:pPr>
              <w:spacing w:after="0"/>
              <w:rPr>
                <w:sz w:val="18"/>
                <w:szCs w:val="18"/>
                <w:color w:val="auto"/>
              </w:rPr>
            </w:pPr>
          </w:p>
        </w:tc>
        <w:tc>
          <w:tcPr>
            <w:tcW w:w="1520" w:type="dxa"/>
            <w:vAlign w:val="bottom"/>
          </w:tcPr>
          <w:p>
            <w:pPr>
              <w:jc w:val="center"/>
              <w:spacing w:after="0" w:line="209" w:lineRule="exact"/>
              <w:rPr>
                <w:sz w:val="20"/>
                <w:szCs w:val="20"/>
                <w:color w:val="auto"/>
              </w:rPr>
            </w:pPr>
            <w:r>
              <w:rPr>
                <w:rFonts w:ascii="Calibri" w:cs="Calibri" w:eastAsia="Calibri" w:hAnsi="Calibri"/>
                <w:sz w:val="18"/>
                <w:szCs w:val="18"/>
                <w:color w:val="auto"/>
                <w:w w:val="99"/>
              </w:rPr>
              <w:t>2 years</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Developed technology</w:t>
            </w:r>
          </w:p>
        </w:tc>
        <w:tc>
          <w:tcPr>
            <w:tcW w:w="25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2,900</w:t>
            </w:r>
          </w:p>
        </w:tc>
        <w:tc>
          <w:tcPr>
            <w:tcW w:w="164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9"/>
              </w:rPr>
              <w:t>5 years</w:t>
            </w:r>
          </w:p>
        </w:tc>
        <w:tc>
          <w:tcPr>
            <w:tcW w:w="0" w:type="dxa"/>
            <w:vAlign w:val="bottom"/>
          </w:tcPr>
          <w:p>
            <w:pPr>
              <w:spacing w:after="0"/>
              <w:rPr>
                <w:sz w:val="1"/>
                <w:szCs w:val="1"/>
                <w:color w:val="auto"/>
              </w:rPr>
            </w:pPr>
          </w:p>
        </w:tc>
      </w:tr>
      <w:tr>
        <w:trPr>
          <w:trHeight w:val="210"/>
        </w:trPr>
        <w:tc>
          <w:tcPr>
            <w:tcW w:w="3920" w:type="dxa"/>
            <w:vAlign w:val="bottom"/>
          </w:tcPr>
          <w:p>
            <w:pPr>
              <w:ind w:left="20"/>
              <w:spacing w:after="0" w:line="210" w:lineRule="exact"/>
              <w:rPr>
                <w:sz w:val="20"/>
                <w:szCs w:val="20"/>
                <w:color w:val="auto"/>
              </w:rPr>
            </w:pPr>
            <w:r>
              <w:rPr>
                <w:rFonts w:ascii="Calibri" w:cs="Calibri" w:eastAsia="Calibri" w:hAnsi="Calibri"/>
                <w:sz w:val="18"/>
                <w:szCs w:val="18"/>
                <w:b w:val="1"/>
                <w:bCs w:val="1"/>
                <w:color w:val="auto"/>
              </w:rPr>
              <w:t>Total acquired intangible assets</w:t>
            </w:r>
          </w:p>
        </w:tc>
        <w:tc>
          <w:tcPr>
            <w:tcW w:w="2880" w:type="dxa"/>
            <w:vAlign w:val="bottom"/>
            <w:gridSpan w:val="2"/>
          </w:tcPr>
          <w:p>
            <w:pPr>
              <w:jc w:val="right"/>
              <w:ind w:right="190"/>
              <w:spacing w:after="0" w:line="210" w:lineRule="exact"/>
              <w:rPr>
                <w:sz w:val="20"/>
                <w:szCs w:val="20"/>
                <w:color w:val="auto"/>
              </w:rPr>
            </w:pPr>
            <w:r>
              <w:rPr>
                <w:rFonts w:ascii="Calibri" w:cs="Calibri" w:eastAsia="Calibri" w:hAnsi="Calibri"/>
                <w:sz w:val="18"/>
                <w:szCs w:val="18"/>
                <w:b w:val="1"/>
                <w:bCs w:val="1"/>
                <w:color w:val="auto"/>
              </w:rPr>
              <w:t>$</w:t>
            </w:r>
          </w:p>
        </w:tc>
        <w:tc>
          <w:tcPr>
            <w:tcW w:w="1280" w:type="dxa"/>
            <w:vAlign w:val="bottom"/>
          </w:tcPr>
          <w:p>
            <w:pPr>
              <w:jc w:val="right"/>
              <w:spacing w:after="0" w:line="210" w:lineRule="exact"/>
              <w:rPr>
                <w:sz w:val="20"/>
                <w:szCs w:val="20"/>
                <w:color w:val="auto"/>
              </w:rPr>
            </w:pPr>
            <w:r>
              <w:rPr>
                <w:rFonts w:ascii="Calibri" w:cs="Calibri" w:eastAsia="Calibri" w:hAnsi="Calibri"/>
                <w:sz w:val="18"/>
                <w:szCs w:val="18"/>
                <w:b w:val="1"/>
                <w:bCs w:val="1"/>
                <w:color w:val="auto"/>
              </w:rPr>
              <w:t>4,430</w:t>
            </w:r>
          </w:p>
        </w:tc>
        <w:tc>
          <w:tcPr>
            <w:tcW w:w="16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500" w:type="dxa"/>
            <w:vAlign w:val="bottom"/>
            <w:vMerge w:val="restart"/>
          </w:tcPr>
          <w:p>
            <w:pPr>
              <w:jc w:val="right"/>
              <w:ind w:right="610"/>
              <w:spacing w:after="0"/>
              <w:rPr>
                <w:sz w:val="20"/>
                <w:szCs w:val="20"/>
                <w:color w:val="auto"/>
              </w:rPr>
            </w:pPr>
            <w:r>
              <w:rPr>
                <w:rFonts w:ascii="Calibri" w:cs="Calibri" w:eastAsia="Calibri" w:hAnsi="Calibri"/>
                <w:sz w:val="18"/>
                <w:szCs w:val="18"/>
                <w:color w:val="auto"/>
              </w:rPr>
              <w:t>12</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392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392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-513715</wp:posOffset>
            </wp:positionV>
            <wp:extent cx="6858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4" w:name="page15"/>
    <w:bookmarkEnd w:id="14"/>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4. Revenue Recognition</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We recognize revenue in accordance with ASC 606. We have two reportable segments: Marketplace and Resale.</w:t>
      </w:r>
    </w:p>
    <w:p>
      <w:pPr>
        <w:spacing w:after="0" w:line="150"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Through the Marketplace segment, we act as an intermediary between tcket buyers and sellers. We earn revenue processing tcket sales from our Owned Propertes, consistng of the Vivid Seats website and mobile applicatons, and from our Private Label ofering, which is comprised of numerous distributon partners.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color w:val="auto"/>
        </w:rPr>
        <w:t>Marketplace revenues consisted of the following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00" w:type="dxa"/>
            <w:vAlign w:val="bottom"/>
            <w:gridSpan w:val="4"/>
          </w:tcPr>
          <w:p>
            <w:pPr>
              <w:jc w:val="right"/>
              <w:ind w:right="270"/>
              <w:spacing w:after="0"/>
              <w:rPr>
                <w:sz w:val="20"/>
                <w:szCs w:val="20"/>
                <w:color w:val="auto"/>
              </w:rPr>
            </w:pPr>
            <w:r>
              <w:rPr>
                <w:rFonts w:ascii="Calibri" w:cs="Calibri" w:eastAsia="Calibri" w:hAnsi="Calibri"/>
                <w:sz w:val="18"/>
                <w:szCs w:val="18"/>
                <w:b w:val="1"/>
                <w:bCs w:val="1"/>
                <w:color w:val="auto"/>
              </w:rPr>
              <w:t>Three Months Ended September 30,</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40" w:type="dxa"/>
            <w:vAlign w:val="bottom"/>
            <w:gridSpan w:val="4"/>
          </w:tcPr>
          <w:p>
            <w:pPr>
              <w:jc w:val="right"/>
              <w:ind w:right="90"/>
              <w:spacing w:after="0"/>
              <w:rPr>
                <w:sz w:val="20"/>
                <w:szCs w:val="20"/>
                <w:color w:val="auto"/>
              </w:rPr>
            </w:pPr>
            <w:r>
              <w:rPr>
                <w:rFonts w:ascii="Calibri" w:cs="Calibri" w:eastAsia="Calibri" w:hAnsi="Calibri"/>
                <w:sz w:val="18"/>
                <w:szCs w:val="18"/>
                <w:b w:val="1"/>
                <w:bCs w:val="1"/>
                <w:color w:val="auto"/>
                <w:w w:val="97"/>
              </w:rPr>
              <w:t>Nine Months Ended September 30,</w:t>
            </w:r>
          </w:p>
        </w:tc>
        <w:tc>
          <w:tcPr>
            <w:tcW w:w="100" w:type="dxa"/>
            <w:vAlign w:val="bottom"/>
          </w:tcPr>
          <w:p>
            <w:pPr>
              <w:spacing w:after="0"/>
              <w:rPr>
                <w:sz w:val="19"/>
                <w:szCs w:val="19"/>
                <w:color w:val="auto"/>
              </w:rPr>
            </w:pPr>
          </w:p>
        </w:tc>
      </w:tr>
      <w:tr>
        <w:trPr>
          <w:trHeight w:val="23"/>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8"/>
        </w:trPr>
        <w:tc>
          <w:tcPr>
            <w:tcW w:w="4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0"/>
              <w:spacing w:after="0" w:line="208" w:lineRule="exact"/>
              <w:rPr>
                <w:sz w:val="20"/>
                <w:szCs w:val="20"/>
                <w:color w:val="auto"/>
              </w:rPr>
            </w:pPr>
            <w:r>
              <w:rPr>
                <w:rFonts w:ascii="Calibri" w:cs="Calibri" w:eastAsia="Calibri" w:hAnsi="Calibri"/>
                <w:sz w:val="18"/>
                <w:szCs w:val="18"/>
                <w:b w:val="1"/>
                <w:bCs w:val="1"/>
                <w:color w:val="auto"/>
              </w:rPr>
              <w:t>2022</w:t>
            </w:r>
          </w:p>
        </w:tc>
        <w:tc>
          <w:tcPr>
            <w:tcW w:w="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line="208" w:lineRule="exact"/>
              <w:rPr>
                <w:sz w:val="20"/>
                <w:szCs w:val="20"/>
                <w:color w:val="auto"/>
              </w:rPr>
            </w:pPr>
            <w:r>
              <w:rPr>
                <w:rFonts w:ascii="Calibri" w:cs="Calibri" w:eastAsia="Calibri" w:hAnsi="Calibri"/>
                <w:sz w:val="18"/>
                <w:szCs w:val="18"/>
                <w:b w:val="1"/>
                <w:bCs w:val="1"/>
                <w:color w:val="auto"/>
              </w:rPr>
              <w:t>2021</w:t>
            </w:r>
          </w:p>
        </w:tc>
        <w:tc>
          <w:tcPr>
            <w:tcW w:w="8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line="208" w:lineRule="exact"/>
              <w:rPr>
                <w:sz w:val="20"/>
                <w:szCs w:val="20"/>
                <w:color w:val="auto"/>
              </w:rPr>
            </w:pPr>
            <w:r>
              <w:rPr>
                <w:rFonts w:ascii="Calibri" w:cs="Calibri" w:eastAsia="Calibri" w:hAnsi="Calibri"/>
                <w:sz w:val="18"/>
                <w:szCs w:val="18"/>
                <w:b w:val="1"/>
                <w:bCs w:val="1"/>
                <w:color w:val="auto"/>
              </w:rPr>
              <w:t>2022</w:t>
            </w:r>
          </w:p>
        </w:tc>
        <w:tc>
          <w:tcPr>
            <w:tcW w:w="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line="208" w:lineRule="exact"/>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8"/>
                <w:szCs w:val="18"/>
                <w:color w:val="auto"/>
              </w:rPr>
            </w:pPr>
          </w:p>
        </w:tc>
      </w:tr>
      <w:tr>
        <w:trPr>
          <w:trHeight w:val="224"/>
        </w:trPr>
        <w:tc>
          <w:tcPr>
            <w:tcW w:w="412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Marketplace revenues:</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4120" w:type="dxa"/>
            <w:vAlign w:val="bottom"/>
          </w:tcPr>
          <w:p>
            <w:pPr>
              <w:ind w:left="20"/>
              <w:spacing w:after="0" w:line="215" w:lineRule="exact"/>
              <w:rPr>
                <w:sz w:val="20"/>
                <w:szCs w:val="20"/>
                <w:color w:val="auto"/>
              </w:rPr>
            </w:pPr>
            <w:r>
              <w:rPr>
                <w:rFonts w:ascii="Calibri" w:cs="Calibri" w:eastAsia="Calibri" w:hAnsi="Calibri"/>
                <w:sz w:val="18"/>
                <w:szCs w:val="18"/>
                <w:color w:val="auto"/>
              </w:rPr>
              <w:t>Owned Propertes</w:t>
            </w:r>
          </w:p>
        </w:tc>
        <w:tc>
          <w:tcPr>
            <w:tcW w:w="2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106,597</w:t>
            </w:r>
          </w:p>
        </w:tc>
        <w:tc>
          <w:tcPr>
            <w:tcW w:w="360" w:type="dxa"/>
            <w:vAlign w:val="bottom"/>
          </w:tcPr>
          <w:p>
            <w:pPr>
              <w:spacing w:after="0"/>
              <w:rPr>
                <w:sz w:val="18"/>
                <w:szCs w:val="18"/>
                <w:color w:val="auto"/>
              </w:rPr>
            </w:pPr>
          </w:p>
        </w:tc>
        <w:tc>
          <w:tcPr>
            <w:tcW w:w="3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96,169</w:t>
            </w:r>
          </w:p>
        </w:tc>
        <w:tc>
          <w:tcPr>
            <w:tcW w:w="9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288,827</w:t>
            </w:r>
          </w:p>
        </w:tc>
        <w:tc>
          <w:tcPr>
            <w:tcW w:w="66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198,900</w:t>
            </w:r>
          </w:p>
        </w:tc>
        <w:tc>
          <w:tcPr>
            <w:tcW w:w="100" w:type="dxa"/>
            <w:vAlign w:val="bottom"/>
          </w:tcPr>
          <w:p>
            <w:pPr>
              <w:spacing w:after="0"/>
              <w:rPr>
                <w:sz w:val="18"/>
                <w:szCs w:val="18"/>
                <w:color w:val="auto"/>
              </w:rPr>
            </w:pPr>
          </w:p>
        </w:tc>
      </w:tr>
      <w:tr>
        <w:trPr>
          <w:trHeight w:val="216"/>
        </w:trPr>
        <w:tc>
          <w:tcPr>
            <w:tcW w:w="412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Private Label</w:t>
            </w: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23,945</w:t>
            </w:r>
          </w:p>
        </w:tc>
        <w:tc>
          <w:tcPr>
            <w:tcW w:w="3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24,296</w:t>
            </w:r>
          </w:p>
        </w:tc>
        <w:tc>
          <w:tcPr>
            <w:tcW w:w="8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82,145</w:t>
            </w:r>
          </w:p>
        </w:tc>
        <w:tc>
          <w:tcPr>
            <w:tcW w:w="3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48,206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12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Total Marketplace revenues</w:t>
            </w:r>
          </w:p>
        </w:tc>
        <w:tc>
          <w:tcPr>
            <w:tcW w:w="240" w:type="dxa"/>
            <w:vAlign w:val="bottom"/>
            <w:tcBorders>
              <w:bottom w:val="single" w:sz="8" w:color="auto"/>
            </w:tcBorders>
          </w:tcPr>
          <w:p>
            <w:pPr>
              <w:jc w:val="right"/>
              <w:ind w:right="30"/>
              <w:spacing w:after="0" w:line="209" w:lineRule="exact"/>
              <w:rPr>
                <w:sz w:val="20"/>
                <w:szCs w:val="20"/>
                <w:color w:val="auto"/>
              </w:rPr>
            </w:pPr>
            <w:r>
              <w:rPr>
                <w:rFonts w:ascii="Calibri" w:cs="Calibri" w:eastAsia="Calibri" w:hAnsi="Calibri"/>
                <w:sz w:val="18"/>
                <w:szCs w:val="18"/>
                <w:b w:val="1"/>
                <w:bCs w:val="1"/>
                <w:color w:val="auto"/>
              </w:rPr>
              <w:t>$</w:t>
            </w:r>
          </w:p>
        </w:tc>
        <w:tc>
          <w:tcPr>
            <w:tcW w:w="12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130,542</w:t>
            </w:r>
          </w:p>
        </w:tc>
        <w:tc>
          <w:tcPr>
            <w:tcW w:w="36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line="209" w:lineRule="exact"/>
              <w:rPr>
                <w:sz w:val="20"/>
                <w:szCs w:val="20"/>
                <w:color w:val="auto"/>
              </w:rPr>
            </w:pPr>
            <w:r>
              <w:rPr>
                <w:rFonts w:ascii="Calibri" w:cs="Calibri" w:eastAsia="Calibri" w:hAnsi="Calibri"/>
                <w:sz w:val="18"/>
                <w:szCs w:val="18"/>
                <w:b w:val="1"/>
                <w:bCs w:val="1"/>
                <w:color w:val="auto"/>
                <w:w w:val="87"/>
              </w:rPr>
              <w:t>$</w:t>
            </w:r>
          </w:p>
        </w:tc>
        <w:tc>
          <w:tcPr>
            <w:tcW w:w="12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120,465</w:t>
            </w:r>
          </w:p>
        </w:tc>
        <w:tc>
          <w:tcPr>
            <w:tcW w:w="80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w w:val="87"/>
              </w:rPr>
              <w:t>$</w:t>
            </w:r>
          </w:p>
        </w:tc>
        <w:tc>
          <w:tcPr>
            <w:tcW w:w="10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370,972</w:t>
            </w:r>
          </w:p>
        </w:tc>
        <w:tc>
          <w:tcPr>
            <w:tcW w:w="3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b w:val="1"/>
                <w:bCs w:val="1"/>
                <w:color w:val="auto"/>
                <w:w w:val="87"/>
              </w:rPr>
              <w:t>$</w:t>
            </w:r>
          </w:p>
        </w:tc>
        <w:tc>
          <w:tcPr>
            <w:tcW w:w="10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247,106</w:t>
            </w:r>
          </w:p>
        </w:tc>
        <w:tc>
          <w:tcPr>
            <w:tcW w:w="100" w:type="dxa"/>
            <w:vAlign w:val="bottom"/>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2"/>
        </w:trPr>
        <w:tc>
          <w:tcPr>
            <w:tcW w:w="5920" w:type="dxa"/>
            <w:vAlign w:val="bottom"/>
            <w:gridSpan w:val="4"/>
          </w:tcPr>
          <w:p>
            <w:pPr>
              <w:spacing w:after="0"/>
              <w:rPr>
                <w:sz w:val="20"/>
                <w:szCs w:val="20"/>
                <w:color w:val="auto"/>
              </w:rPr>
            </w:pPr>
            <w:r>
              <w:rPr>
                <w:rFonts w:ascii="Calibri" w:cs="Calibri" w:eastAsia="Calibri" w:hAnsi="Calibri"/>
                <w:sz w:val="18"/>
                <w:szCs w:val="18"/>
                <w:color w:val="auto"/>
                <w:w w:val="99"/>
              </w:rPr>
              <w:t>Marketplace revenues consisted of the following event categories (in thousands):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00" w:type="dxa"/>
            <w:vAlign w:val="bottom"/>
            <w:gridSpan w:val="4"/>
          </w:tcPr>
          <w:p>
            <w:pPr>
              <w:jc w:val="right"/>
              <w:ind w:right="270"/>
              <w:spacing w:after="0"/>
              <w:rPr>
                <w:sz w:val="20"/>
                <w:szCs w:val="20"/>
                <w:color w:val="auto"/>
              </w:rPr>
            </w:pPr>
            <w:r>
              <w:rPr>
                <w:rFonts w:ascii="Calibri" w:cs="Calibri" w:eastAsia="Calibri" w:hAnsi="Calibri"/>
                <w:sz w:val="18"/>
                <w:szCs w:val="18"/>
                <w:b w:val="1"/>
                <w:bCs w:val="1"/>
                <w:color w:val="auto"/>
              </w:rPr>
              <w:t>Three Months Ended September 30,</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4"/>
          </w:tcPr>
          <w:p>
            <w:pPr>
              <w:jc w:val="right"/>
              <w:ind w:right="90"/>
              <w:spacing w:after="0"/>
              <w:rPr>
                <w:sz w:val="20"/>
                <w:szCs w:val="20"/>
                <w:color w:val="auto"/>
              </w:rPr>
            </w:pPr>
            <w:r>
              <w:rPr>
                <w:rFonts w:ascii="Calibri" w:cs="Calibri" w:eastAsia="Calibri" w:hAnsi="Calibri"/>
                <w:sz w:val="18"/>
                <w:szCs w:val="18"/>
                <w:b w:val="1"/>
                <w:bCs w:val="1"/>
                <w:color w:val="auto"/>
                <w:w w:val="97"/>
              </w:rPr>
              <w:t>Nine Months Ended September 30,</w:t>
            </w:r>
          </w:p>
        </w:tc>
        <w:tc>
          <w:tcPr>
            <w:tcW w:w="100" w:type="dxa"/>
            <w:vAlign w:val="bottom"/>
          </w:tcPr>
          <w:p>
            <w:pPr>
              <w:spacing w:after="0"/>
              <w:rPr>
                <w:sz w:val="24"/>
                <w:szCs w:val="24"/>
                <w:color w:val="auto"/>
              </w:rPr>
            </w:pPr>
          </w:p>
        </w:tc>
      </w:tr>
      <w:tr>
        <w:trPr>
          <w:trHeight w:val="23"/>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8"/>
        </w:trPr>
        <w:tc>
          <w:tcPr>
            <w:tcW w:w="4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0"/>
              <w:spacing w:after="0" w:line="208" w:lineRule="exact"/>
              <w:rPr>
                <w:sz w:val="20"/>
                <w:szCs w:val="20"/>
                <w:color w:val="auto"/>
              </w:rPr>
            </w:pPr>
            <w:r>
              <w:rPr>
                <w:rFonts w:ascii="Calibri" w:cs="Calibri" w:eastAsia="Calibri" w:hAnsi="Calibri"/>
                <w:sz w:val="18"/>
                <w:szCs w:val="18"/>
                <w:b w:val="1"/>
                <w:bCs w:val="1"/>
                <w:color w:val="auto"/>
              </w:rPr>
              <w:t>2022</w:t>
            </w:r>
          </w:p>
        </w:tc>
        <w:tc>
          <w:tcPr>
            <w:tcW w:w="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line="208" w:lineRule="exact"/>
              <w:rPr>
                <w:sz w:val="20"/>
                <w:szCs w:val="20"/>
                <w:color w:val="auto"/>
              </w:rPr>
            </w:pPr>
            <w:r>
              <w:rPr>
                <w:rFonts w:ascii="Calibri" w:cs="Calibri" w:eastAsia="Calibri" w:hAnsi="Calibri"/>
                <w:sz w:val="18"/>
                <w:szCs w:val="18"/>
                <w:b w:val="1"/>
                <w:bCs w:val="1"/>
                <w:color w:val="auto"/>
              </w:rPr>
              <w:t>2021</w:t>
            </w:r>
          </w:p>
        </w:tc>
        <w:tc>
          <w:tcPr>
            <w:tcW w:w="8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line="208" w:lineRule="exact"/>
              <w:rPr>
                <w:sz w:val="20"/>
                <w:szCs w:val="20"/>
                <w:color w:val="auto"/>
              </w:rPr>
            </w:pPr>
            <w:r>
              <w:rPr>
                <w:rFonts w:ascii="Calibri" w:cs="Calibri" w:eastAsia="Calibri" w:hAnsi="Calibri"/>
                <w:sz w:val="18"/>
                <w:szCs w:val="18"/>
                <w:b w:val="1"/>
                <w:bCs w:val="1"/>
                <w:color w:val="auto"/>
              </w:rPr>
              <w:t>2022</w:t>
            </w:r>
          </w:p>
        </w:tc>
        <w:tc>
          <w:tcPr>
            <w:tcW w:w="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line="208" w:lineRule="exact"/>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8"/>
                <w:szCs w:val="18"/>
                <w:color w:val="auto"/>
              </w:rPr>
            </w:pPr>
          </w:p>
        </w:tc>
      </w:tr>
      <w:tr>
        <w:trPr>
          <w:trHeight w:val="224"/>
        </w:trPr>
        <w:tc>
          <w:tcPr>
            <w:tcW w:w="412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Marketplace revenues:</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4120" w:type="dxa"/>
            <w:vAlign w:val="bottom"/>
          </w:tcPr>
          <w:p>
            <w:pPr>
              <w:ind w:left="20"/>
              <w:spacing w:after="0" w:line="215" w:lineRule="exact"/>
              <w:rPr>
                <w:sz w:val="20"/>
                <w:szCs w:val="20"/>
                <w:color w:val="auto"/>
              </w:rPr>
            </w:pPr>
            <w:r>
              <w:rPr>
                <w:rFonts w:ascii="Calibri" w:cs="Calibri" w:eastAsia="Calibri" w:hAnsi="Calibri"/>
                <w:sz w:val="18"/>
                <w:szCs w:val="18"/>
                <w:color w:val="auto"/>
              </w:rPr>
              <w:t>Concerts</w:t>
            </w:r>
          </w:p>
        </w:tc>
        <w:tc>
          <w:tcPr>
            <w:tcW w:w="2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63,802</w:t>
            </w:r>
          </w:p>
        </w:tc>
        <w:tc>
          <w:tcPr>
            <w:tcW w:w="360" w:type="dxa"/>
            <w:vAlign w:val="bottom"/>
          </w:tcPr>
          <w:p>
            <w:pPr>
              <w:spacing w:after="0"/>
              <w:rPr>
                <w:sz w:val="18"/>
                <w:szCs w:val="18"/>
                <w:color w:val="auto"/>
              </w:rPr>
            </w:pPr>
          </w:p>
        </w:tc>
        <w:tc>
          <w:tcPr>
            <w:tcW w:w="3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55,343</w:t>
            </w:r>
          </w:p>
        </w:tc>
        <w:tc>
          <w:tcPr>
            <w:tcW w:w="9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188,291</w:t>
            </w:r>
          </w:p>
        </w:tc>
        <w:tc>
          <w:tcPr>
            <w:tcW w:w="66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112,200</w:t>
            </w:r>
          </w:p>
        </w:tc>
        <w:tc>
          <w:tcPr>
            <w:tcW w:w="100" w:type="dxa"/>
            <w:vAlign w:val="bottom"/>
          </w:tcPr>
          <w:p>
            <w:pPr>
              <w:spacing w:after="0"/>
              <w:rPr>
                <w:sz w:val="18"/>
                <w:szCs w:val="18"/>
                <w:color w:val="auto"/>
              </w:rPr>
            </w:pPr>
          </w:p>
        </w:tc>
      </w:tr>
      <w:tr>
        <w:trPr>
          <w:trHeight w:val="217"/>
        </w:trPr>
        <w:tc>
          <w:tcPr>
            <w:tcW w:w="41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Sports</w:t>
            </w: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52,812</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53,485</w:t>
            </w: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143,012</w:t>
            </w: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115,628</w:t>
            </w:r>
          </w:p>
        </w:tc>
        <w:tc>
          <w:tcPr>
            <w:tcW w:w="100" w:type="dxa"/>
            <w:vAlign w:val="bottom"/>
            <w:shd w:val="clear" w:color="auto" w:fill="CFF0FC"/>
          </w:tcPr>
          <w:p>
            <w:pPr>
              <w:spacing w:after="0"/>
              <w:rPr>
                <w:sz w:val="18"/>
                <w:szCs w:val="18"/>
                <w:color w:val="auto"/>
              </w:rPr>
            </w:pPr>
          </w:p>
        </w:tc>
      </w:tr>
      <w:tr>
        <w:trPr>
          <w:trHeight w:val="215"/>
        </w:trPr>
        <w:tc>
          <w:tcPr>
            <w:tcW w:w="4120" w:type="dxa"/>
            <w:vAlign w:val="bottom"/>
          </w:tcPr>
          <w:p>
            <w:pPr>
              <w:ind w:left="20"/>
              <w:spacing w:after="0" w:line="215" w:lineRule="exact"/>
              <w:rPr>
                <w:sz w:val="20"/>
                <w:szCs w:val="20"/>
                <w:color w:val="auto"/>
              </w:rPr>
            </w:pPr>
            <w:r>
              <w:rPr>
                <w:rFonts w:ascii="Calibri" w:cs="Calibri" w:eastAsia="Calibri" w:hAnsi="Calibri"/>
                <w:sz w:val="18"/>
                <w:szCs w:val="18"/>
                <w:color w:val="auto"/>
              </w:rPr>
              <w:t>Theater</w:t>
            </w:r>
          </w:p>
        </w:tc>
        <w:tc>
          <w:tcPr>
            <w:tcW w:w="24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13,526</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11,131</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37,997</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18,429</w:t>
            </w:r>
          </w:p>
        </w:tc>
        <w:tc>
          <w:tcPr>
            <w:tcW w:w="100" w:type="dxa"/>
            <w:vAlign w:val="bottom"/>
          </w:tcPr>
          <w:p>
            <w:pPr>
              <w:spacing w:after="0"/>
              <w:rPr>
                <w:sz w:val="18"/>
                <w:szCs w:val="18"/>
                <w:color w:val="auto"/>
              </w:rPr>
            </w:pPr>
          </w:p>
        </w:tc>
      </w:tr>
      <w:tr>
        <w:trPr>
          <w:trHeight w:val="216"/>
        </w:trPr>
        <w:tc>
          <w:tcPr>
            <w:tcW w:w="412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Other</w:t>
            </w: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402</w:t>
            </w:r>
          </w:p>
        </w:tc>
        <w:tc>
          <w:tcPr>
            <w:tcW w:w="3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506</w:t>
            </w:r>
          </w:p>
        </w:tc>
        <w:tc>
          <w:tcPr>
            <w:tcW w:w="8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1,672</w:t>
            </w:r>
          </w:p>
        </w:tc>
        <w:tc>
          <w:tcPr>
            <w:tcW w:w="3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12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Total Marketplace revenues</w:t>
            </w:r>
          </w:p>
        </w:tc>
        <w:tc>
          <w:tcPr>
            <w:tcW w:w="240" w:type="dxa"/>
            <w:vAlign w:val="bottom"/>
          </w:tcPr>
          <w:p>
            <w:pPr>
              <w:jc w:val="right"/>
              <w:ind w:right="30"/>
              <w:spacing w:after="0" w:line="209" w:lineRule="exact"/>
              <w:rPr>
                <w:sz w:val="20"/>
                <w:szCs w:val="20"/>
                <w:color w:val="auto"/>
              </w:rPr>
            </w:pPr>
            <w:r>
              <w:rPr>
                <w:rFonts w:ascii="Calibri" w:cs="Calibri" w:eastAsia="Calibri" w:hAnsi="Calibri"/>
                <w:sz w:val="18"/>
                <w:szCs w:val="18"/>
                <w:b w:val="1"/>
                <w:bCs w:val="1"/>
                <w:color w:val="auto"/>
              </w:rPr>
              <w:t>$</w:t>
            </w:r>
          </w:p>
        </w:tc>
        <w:tc>
          <w:tcPr>
            <w:tcW w:w="120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130,542</w:t>
            </w:r>
          </w:p>
        </w:tc>
        <w:tc>
          <w:tcPr>
            <w:tcW w:w="360" w:type="dxa"/>
            <w:vAlign w:val="bottom"/>
          </w:tcPr>
          <w:p>
            <w:pPr>
              <w:spacing w:after="0"/>
              <w:rPr>
                <w:sz w:val="18"/>
                <w:szCs w:val="18"/>
                <w:color w:val="auto"/>
              </w:rPr>
            </w:pPr>
          </w:p>
        </w:tc>
        <w:tc>
          <w:tcPr>
            <w:tcW w:w="340" w:type="dxa"/>
            <w:vAlign w:val="bottom"/>
          </w:tcPr>
          <w:p>
            <w:pPr>
              <w:jc w:val="right"/>
              <w:ind w:right="150"/>
              <w:spacing w:after="0" w:line="209" w:lineRule="exact"/>
              <w:rPr>
                <w:sz w:val="20"/>
                <w:szCs w:val="20"/>
                <w:color w:val="auto"/>
              </w:rPr>
            </w:pPr>
            <w:r>
              <w:rPr>
                <w:rFonts w:ascii="Calibri" w:cs="Calibri" w:eastAsia="Calibri" w:hAnsi="Calibri"/>
                <w:sz w:val="18"/>
                <w:szCs w:val="18"/>
                <w:b w:val="1"/>
                <w:bCs w:val="1"/>
                <w:color w:val="auto"/>
                <w:w w:val="87"/>
              </w:rPr>
              <w:t>$</w:t>
            </w:r>
          </w:p>
        </w:tc>
        <w:tc>
          <w:tcPr>
            <w:tcW w:w="120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120,465</w:t>
            </w:r>
          </w:p>
        </w:tc>
        <w:tc>
          <w:tcPr>
            <w:tcW w:w="940" w:type="dxa"/>
            <w:vAlign w:val="bottom"/>
            <w:gridSpan w:val="2"/>
          </w:tcPr>
          <w:p>
            <w:pPr>
              <w:jc w:val="right"/>
              <w:spacing w:after="0" w:line="209" w:lineRule="exact"/>
              <w:rPr>
                <w:sz w:val="20"/>
                <w:szCs w:val="20"/>
                <w:color w:val="auto"/>
              </w:rPr>
            </w:pPr>
            <w:r>
              <w:rPr>
                <w:rFonts w:ascii="Calibri" w:cs="Calibri" w:eastAsia="Calibri" w:hAnsi="Calibri"/>
                <w:sz w:val="18"/>
                <w:szCs w:val="18"/>
                <w:b w:val="1"/>
                <w:bCs w:val="1"/>
                <w:color w:val="auto"/>
              </w:rPr>
              <w:t>$</w:t>
            </w:r>
          </w:p>
        </w:tc>
        <w:tc>
          <w:tcPr>
            <w:tcW w:w="108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370,972</w:t>
            </w:r>
          </w:p>
        </w:tc>
        <w:tc>
          <w:tcPr>
            <w:tcW w:w="660" w:type="dxa"/>
            <w:vAlign w:val="bottom"/>
            <w:gridSpan w:val="2"/>
          </w:tcPr>
          <w:p>
            <w:pPr>
              <w:jc w:val="right"/>
              <w:ind w:right="90"/>
              <w:spacing w:after="0" w:line="209" w:lineRule="exact"/>
              <w:rPr>
                <w:sz w:val="20"/>
                <w:szCs w:val="20"/>
                <w:color w:val="auto"/>
              </w:rPr>
            </w:pPr>
            <w:r>
              <w:rPr>
                <w:rFonts w:ascii="Calibri" w:cs="Calibri" w:eastAsia="Calibri" w:hAnsi="Calibri"/>
                <w:sz w:val="18"/>
                <w:szCs w:val="18"/>
                <w:b w:val="1"/>
                <w:bCs w:val="1"/>
                <w:color w:val="auto"/>
              </w:rPr>
              <w:t>$</w:t>
            </w:r>
          </w:p>
        </w:tc>
        <w:tc>
          <w:tcPr>
            <w:tcW w:w="100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247,106</w:t>
            </w:r>
          </w:p>
        </w:tc>
        <w:tc>
          <w:tcPr>
            <w:tcW w:w="100" w:type="dxa"/>
            <w:vAlign w:val="bottom"/>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-1628140</wp:posOffset>
            </wp:positionV>
            <wp:extent cx="76835"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-1628140</wp:posOffset>
            </wp:positionV>
            <wp:extent cx="6858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-1628140</wp:posOffset>
            </wp:positionV>
            <wp:extent cx="6858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-170815</wp:posOffset>
            </wp:positionV>
            <wp:extent cx="76835"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-170815</wp:posOffset>
            </wp:positionV>
            <wp:extent cx="6858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6858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06"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Within the Resale segment, we sell tckets we hold in inventory on resale tcket marketplaces. Resale revenues were $26.3 million and $64.3 million during the three and nine months ended September 30, 2022, respectvely, and $19.1 million and $32.0 million during the three and nine months ended September 30, 2021, respectvely.</w:t>
      </w:r>
    </w:p>
    <w:p>
      <w:pPr>
        <w:spacing w:after="0" w:line="151" w:lineRule="exact"/>
        <w:rPr>
          <w:sz w:val="20"/>
          <w:szCs w:val="20"/>
          <w:color w:val="auto"/>
        </w:rPr>
      </w:pPr>
    </w:p>
    <w:p>
      <w:pPr>
        <w:jc w:val="both"/>
        <w:ind w:right="20"/>
        <w:spacing w:after="0" w:line="245" w:lineRule="auto"/>
        <w:rPr>
          <w:sz w:val="20"/>
          <w:szCs w:val="20"/>
          <w:color w:val="auto"/>
        </w:rPr>
      </w:pPr>
      <w:r>
        <w:rPr>
          <w:rFonts w:ascii="Calibri" w:cs="Calibri" w:eastAsia="Calibri" w:hAnsi="Calibri"/>
          <w:sz w:val="18"/>
          <w:szCs w:val="18"/>
          <w:color w:val="auto"/>
        </w:rPr>
        <w:t>At September 30, 2022, Deferred revenue in the Condensed Consolidated Balance Sheets was $33.6 million, which primarily relates to Vivid Seats Rewards, our loyalty program.</w:t>
      </w:r>
    </w:p>
    <w:p>
      <w:pPr>
        <w:spacing w:after="0" w:line="145"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At December 31, 2021, $25.1 million was recorded as Deferred revenue, of which $1.2 million and $7.2 million was recognized as revenue during the three and nine months ended September 30, 2022, respectvely. At December 31, 2020, $6.0 million was recorded as Deferred revenue, of which $1.0 million and $2.6 million was recognized as revenue during the three and nine months ended September 30, 2021, respectvely.</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5. Segment Reporting</w:t>
      </w:r>
    </w:p>
    <w:p>
      <w:pPr>
        <w:spacing w:after="0" w:line="136" w:lineRule="exact"/>
        <w:rPr>
          <w:sz w:val="20"/>
          <w:szCs w:val="20"/>
          <w:color w:val="auto"/>
        </w:rPr>
      </w:pPr>
    </w:p>
    <w:p>
      <w:pPr>
        <w:jc w:val="both"/>
        <w:spacing w:after="0" w:line="244" w:lineRule="auto"/>
        <w:rPr>
          <w:sz w:val="20"/>
          <w:szCs w:val="20"/>
          <w:color w:val="auto"/>
        </w:rPr>
      </w:pPr>
      <w:r>
        <w:rPr>
          <w:rFonts w:ascii="Calibri" w:cs="Calibri" w:eastAsia="Calibri" w:hAnsi="Calibri"/>
          <w:sz w:val="18"/>
          <w:szCs w:val="18"/>
          <w:color w:val="auto"/>
        </w:rPr>
        <w:t>Our reportable segments are Marketplace and Resale. Through the Marketplace segment, we act as an intermediary between tcket buyers and sellers within our online secondary tcket marketplace. Through the Resale segment, we acquire tckets from primary sellers, which are then sold through secondary tcket marketplaces. Revenues and contributon margin are used by our Chief Operatng Decision Maker (“CODM”) to assess performance of the business. We defne contributon margin as revenues less cost of revenues and marketng and selling expenses.</w:t>
      </w:r>
    </w:p>
    <w:p>
      <w:pPr>
        <w:spacing w:after="0" w:line="146" w:lineRule="exact"/>
        <w:rPr>
          <w:sz w:val="20"/>
          <w:szCs w:val="20"/>
          <w:color w:val="auto"/>
        </w:rPr>
      </w:pPr>
    </w:p>
    <w:p>
      <w:pPr>
        <w:jc w:val="both"/>
        <w:spacing w:after="0" w:line="245" w:lineRule="auto"/>
        <w:rPr>
          <w:sz w:val="20"/>
          <w:szCs w:val="20"/>
          <w:color w:val="auto"/>
        </w:rPr>
      </w:pPr>
      <w:r>
        <w:rPr>
          <w:rFonts w:ascii="Calibri" w:cs="Calibri" w:eastAsia="Calibri" w:hAnsi="Calibri"/>
          <w:sz w:val="18"/>
          <w:szCs w:val="18"/>
          <w:color w:val="auto"/>
        </w:rPr>
        <w:t>We do not report our assets, capital expenditures, or related depreciaton and amortzaton expenses by segment, because our CODM does not use this informaton to evaluate the performance of our operatng segments.</w:t>
      </w:r>
    </w:p>
    <w:p>
      <w:pPr>
        <w:spacing w:after="0" w:line="10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tables represent our segment informaton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40" w:type="dxa"/>
            <w:vAlign w:val="bottom"/>
            <w:gridSpan w:val="8"/>
          </w:tcPr>
          <w:p>
            <w:pPr>
              <w:jc w:val="right"/>
              <w:ind w:right="1020"/>
              <w:spacing w:after="0"/>
              <w:rPr>
                <w:sz w:val="20"/>
                <w:szCs w:val="20"/>
                <w:color w:val="auto"/>
              </w:rPr>
            </w:pPr>
            <w:r>
              <w:rPr>
                <w:rFonts w:ascii="Calibri" w:cs="Calibri" w:eastAsia="Calibri" w:hAnsi="Calibri"/>
                <w:sz w:val="18"/>
                <w:szCs w:val="18"/>
                <w:b w:val="1"/>
                <w:bCs w:val="1"/>
                <w:color w:val="auto"/>
              </w:rPr>
              <w:t>Three Months Ended September 30, 2022</w:t>
            </w:r>
          </w:p>
        </w:tc>
        <w:tc>
          <w:tcPr>
            <w:tcW w:w="120" w:type="dxa"/>
            <w:vAlign w:val="bottom"/>
          </w:tcPr>
          <w:p>
            <w:pPr>
              <w:spacing w:after="0"/>
              <w:rPr>
                <w:sz w:val="19"/>
                <w:szCs w:val="19"/>
                <w:color w:val="auto"/>
              </w:rPr>
            </w:pPr>
          </w:p>
        </w:tc>
        <w:tc>
          <w:tcPr>
            <w:tcW w:w="3820" w:type="dxa"/>
            <w:vAlign w:val="bottom"/>
            <w:gridSpan w:val="8"/>
          </w:tcPr>
          <w:p>
            <w:pPr>
              <w:jc w:val="right"/>
              <w:ind w:right="560"/>
              <w:spacing w:after="0"/>
              <w:rPr>
                <w:sz w:val="20"/>
                <w:szCs w:val="20"/>
                <w:color w:val="auto"/>
              </w:rPr>
            </w:pPr>
            <w:r>
              <w:rPr>
                <w:rFonts w:ascii="Calibri" w:cs="Calibri" w:eastAsia="Calibri" w:hAnsi="Calibri"/>
                <w:sz w:val="18"/>
                <w:szCs w:val="18"/>
                <w:b w:val="1"/>
                <w:bCs w:val="1"/>
                <w:color w:val="auto"/>
              </w:rPr>
              <w:t>Nine Months Ended September 30, 2022</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w w:val="99"/>
              </w:rPr>
              <w:t>Marketplace</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0"/>
              <w:spacing w:after="0" w:line="208" w:lineRule="exact"/>
              <w:rPr>
                <w:sz w:val="20"/>
                <w:szCs w:val="20"/>
                <w:color w:val="auto"/>
              </w:rPr>
            </w:pPr>
            <w:r>
              <w:rPr>
                <w:rFonts w:ascii="Calibri" w:cs="Calibri" w:eastAsia="Calibri" w:hAnsi="Calibri"/>
                <w:sz w:val="18"/>
                <w:szCs w:val="18"/>
                <w:b w:val="1"/>
                <w:bCs w:val="1"/>
                <w:color w:val="auto"/>
              </w:rPr>
              <w:t>Resale</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0"/>
              <w:spacing w:after="0" w:line="208" w:lineRule="exact"/>
              <w:rPr>
                <w:sz w:val="20"/>
                <w:szCs w:val="20"/>
                <w:color w:val="auto"/>
              </w:rPr>
            </w:pPr>
            <w:r>
              <w:rPr>
                <w:rFonts w:ascii="Calibri" w:cs="Calibri" w:eastAsia="Calibri" w:hAnsi="Calibri"/>
                <w:sz w:val="18"/>
                <w:szCs w:val="18"/>
                <w:b w:val="1"/>
                <w:bCs w:val="1"/>
                <w:color w:val="auto"/>
              </w:rPr>
              <w:t>Consolidated</w:t>
            </w:r>
          </w:p>
        </w:tc>
        <w:tc>
          <w:tcPr>
            <w:tcW w:w="26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w w:val="95"/>
              </w:rPr>
              <w:t>Marketplace</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0"/>
              <w:spacing w:after="0" w:line="208" w:lineRule="exact"/>
              <w:rPr>
                <w:sz w:val="20"/>
                <w:szCs w:val="20"/>
                <w:color w:val="auto"/>
              </w:rPr>
            </w:pPr>
            <w:r>
              <w:rPr>
                <w:rFonts w:ascii="Calibri" w:cs="Calibri" w:eastAsia="Calibri" w:hAnsi="Calibri"/>
                <w:sz w:val="18"/>
                <w:szCs w:val="18"/>
                <w:b w:val="1"/>
                <w:bCs w:val="1"/>
                <w:color w:val="auto"/>
              </w:rPr>
              <w:t>Resale</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0"/>
              <w:spacing w:after="0" w:line="208" w:lineRule="exact"/>
              <w:rPr>
                <w:sz w:val="20"/>
                <w:szCs w:val="20"/>
                <w:color w:val="auto"/>
              </w:rPr>
            </w:pPr>
            <w:r>
              <w:rPr>
                <w:rFonts w:ascii="Calibri" w:cs="Calibri" w:eastAsia="Calibri" w:hAnsi="Calibri"/>
                <w:sz w:val="18"/>
                <w:szCs w:val="18"/>
                <w:b w:val="1"/>
                <w:bCs w:val="1"/>
                <w:color w:val="auto"/>
                <w:w w:val="99"/>
              </w:rPr>
              <w:t>Consolidated</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0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Revenues</w:t>
            </w:r>
          </w:p>
        </w:tc>
        <w:tc>
          <w:tcPr>
            <w:tcW w:w="1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130,542</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26,276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2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156,818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370,972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7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64,312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435,284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500" w:type="dxa"/>
            <w:vAlign w:val="bottom"/>
          </w:tcPr>
          <w:p>
            <w:pPr>
              <w:ind w:left="20"/>
              <w:spacing w:after="0" w:line="166" w:lineRule="exact"/>
              <w:rPr>
                <w:sz w:val="20"/>
                <w:szCs w:val="20"/>
                <w:color w:val="auto"/>
              </w:rPr>
            </w:pPr>
            <w:r>
              <w:rPr>
                <w:rFonts w:ascii="Calibri" w:cs="Calibri" w:eastAsia="Calibri" w:hAnsi="Calibri"/>
                <w:sz w:val="18"/>
                <w:szCs w:val="18"/>
                <w:color w:val="auto"/>
              </w:rPr>
              <w:t>Cost of revenues (exclusive of</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00" w:type="dxa"/>
            <w:vAlign w:val="bottom"/>
          </w:tcPr>
          <w:p>
            <w:pPr>
              <w:ind w:left="20"/>
              <w:spacing w:after="0" w:line="189" w:lineRule="exact"/>
              <w:rPr>
                <w:sz w:val="20"/>
                <w:szCs w:val="20"/>
                <w:color w:val="auto"/>
              </w:rPr>
            </w:pPr>
            <w:r>
              <w:rPr>
                <w:rFonts w:ascii="Calibri" w:cs="Calibri" w:eastAsia="Calibri" w:hAnsi="Calibri"/>
                <w:sz w:val="18"/>
                <w:szCs w:val="18"/>
                <w:color w:val="auto"/>
              </w:rPr>
              <w:t>depreciaton and amortzaton</w:t>
            </w: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Calibri" w:cs="Calibri" w:eastAsia="Calibri" w:hAnsi="Calibri"/>
                <w:sz w:val="18"/>
                <w:szCs w:val="18"/>
                <w:color w:val="auto"/>
              </w:rPr>
              <w:t>17,950</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Calibri" w:cs="Calibri" w:eastAsia="Calibri" w:hAnsi="Calibri"/>
                <w:sz w:val="18"/>
                <w:szCs w:val="18"/>
                <w:color w:val="auto"/>
              </w:rPr>
              <w:t>19,667</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Calibri" w:cs="Calibri" w:eastAsia="Calibri" w:hAnsi="Calibri"/>
                <w:sz w:val="18"/>
                <w:szCs w:val="18"/>
                <w:color w:val="auto"/>
              </w:rPr>
              <w:t>37,617</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Calibri" w:cs="Calibri" w:eastAsia="Calibri" w:hAnsi="Calibri"/>
                <w:sz w:val="18"/>
                <w:szCs w:val="18"/>
                <w:color w:val="auto"/>
              </w:rPr>
              <w:t>52,912</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Calibri" w:cs="Calibri" w:eastAsia="Calibri" w:hAnsi="Calibri"/>
                <w:sz w:val="18"/>
                <w:szCs w:val="18"/>
                <w:color w:val="auto"/>
              </w:rPr>
              <w:t>49,291</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Calibri" w:cs="Calibri" w:eastAsia="Calibri" w:hAnsi="Calibri"/>
                <w:sz w:val="18"/>
                <w:szCs w:val="18"/>
                <w:color w:val="auto"/>
              </w:rPr>
              <w:t>102,203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20"/>
              <w:spacing w:after="0" w:line="215" w:lineRule="exact"/>
              <w:rPr>
                <w:sz w:val="20"/>
                <w:szCs w:val="20"/>
                <w:color w:val="auto"/>
              </w:rPr>
            </w:pPr>
            <w:r>
              <w:rPr>
                <w:rFonts w:ascii="Calibri" w:cs="Calibri" w:eastAsia="Calibri" w:hAnsi="Calibri"/>
                <w:sz w:val="18"/>
                <w:szCs w:val="18"/>
                <w:color w:val="auto"/>
              </w:rPr>
              <w:t>shown separately below)</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5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Marketng and selling</w:t>
            </w: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66,323</w:t>
            </w:r>
          </w:p>
        </w:tc>
        <w:tc>
          <w:tcPr>
            <w:tcW w:w="3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66,323</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179,963</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179,963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Contributon margin</w:t>
            </w:r>
          </w:p>
        </w:tc>
        <w:tc>
          <w:tcPr>
            <w:tcW w:w="16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w:t>
            </w:r>
          </w:p>
        </w:tc>
        <w:tc>
          <w:tcPr>
            <w:tcW w:w="116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46,269</w:t>
            </w:r>
          </w:p>
        </w:tc>
        <w:tc>
          <w:tcPr>
            <w:tcW w:w="600" w:type="dxa"/>
            <w:vAlign w:val="bottom"/>
            <w:gridSpan w:val="2"/>
          </w:tcPr>
          <w:p>
            <w:pPr>
              <w:jc w:val="right"/>
              <w:ind w:right="30"/>
              <w:spacing w:after="0" w:line="209" w:lineRule="exact"/>
              <w:rPr>
                <w:sz w:val="20"/>
                <w:szCs w:val="20"/>
                <w:color w:val="auto"/>
              </w:rPr>
            </w:pPr>
            <w:r>
              <w:rPr>
                <w:rFonts w:ascii="Calibri" w:cs="Calibri" w:eastAsia="Calibri" w:hAnsi="Calibri"/>
                <w:sz w:val="18"/>
                <w:szCs w:val="18"/>
                <w:b w:val="1"/>
                <w:bCs w:val="1"/>
                <w:color w:val="auto"/>
              </w:rPr>
              <w:t>$</w:t>
            </w:r>
          </w:p>
        </w:tc>
        <w:tc>
          <w:tcPr>
            <w:tcW w:w="94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6,609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52,878</w:t>
            </w:r>
          </w:p>
        </w:tc>
        <w:tc>
          <w:tcPr>
            <w:tcW w:w="260" w:type="dxa"/>
            <w:vAlign w:val="bottom"/>
          </w:tcPr>
          <w:p>
            <w:pPr>
              <w:spacing w:after="0"/>
              <w:rPr>
                <w:sz w:val="18"/>
                <w:szCs w:val="18"/>
                <w:color w:val="auto"/>
              </w:rPr>
            </w:pPr>
          </w:p>
        </w:tc>
        <w:tc>
          <w:tcPr>
            <w:tcW w:w="12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w w:val="87"/>
              </w:rPr>
              <w:t>$</w:t>
            </w:r>
          </w:p>
        </w:tc>
        <w:tc>
          <w:tcPr>
            <w:tcW w:w="104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138,097</w:t>
            </w:r>
          </w:p>
        </w:tc>
        <w:tc>
          <w:tcPr>
            <w:tcW w:w="400" w:type="dxa"/>
            <w:vAlign w:val="bottom"/>
            <w:gridSpan w:val="2"/>
          </w:tcPr>
          <w:p>
            <w:pPr>
              <w:jc w:val="right"/>
              <w:spacing w:after="0" w:line="209" w:lineRule="exact"/>
              <w:rPr>
                <w:sz w:val="20"/>
                <w:szCs w:val="20"/>
                <w:color w:val="auto"/>
              </w:rPr>
            </w:pPr>
            <w:r>
              <w:rPr>
                <w:rFonts w:ascii="Calibri" w:cs="Calibri" w:eastAsia="Calibri" w:hAnsi="Calibri"/>
                <w:sz w:val="18"/>
                <w:szCs w:val="18"/>
                <w:b w:val="1"/>
                <w:bCs w:val="1"/>
                <w:color w:val="auto"/>
              </w:rPr>
              <w:t>$</w:t>
            </w:r>
          </w:p>
        </w:tc>
        <w:tc>
          <w:tcPr>
            <w:tcW w:w="70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15,021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153,118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General and administratve</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30,239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95,721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20"/>
              <w:spacing w:after="0" w:line="215" w:lineRule="exact"/>
              <w:rPr>
                <w:sz w:val="20"/>
                <w:szCs w:val="20"/>
                <w:color w:val="auto"/>
              </w:rPr>
            </w:pPr>
            <w:r>
              <w:rPr>
                <w:rFonts w:ascii="Calibri" w:cs="Calibri" w:eastAsia="Calibri" w:hAnsi="Calibri"/>
                <w:sz w:val="18"/>
                <w:szCs w:val="18"/>
                <w:color w:val="auto"/>
              </w:rPr>
              <w:t>Depreciaton and amortzaton</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2,158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5,269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FF0FC"/>
          </w:tcPr>
          <w:p>
            <w:pPr>
              <w:ind w:left="20"/>
              <w:spacing w:after="0" w:line="167" w:lineRule="exact"/>
              <w:rPr>
                <w:sz w:val="20"/>
                <w:szCs w:val="20"/>
                <w:color w:val="auto"/>
              </w:rPr>
            </w:pPr>
            <w:r>
              <w:rPr>
                <w:rFonts w:ascii="Calibri" w:cs="Calibri" w:eastAsia="Calibri" w:hAnsi="Calibri"/>
                <w:sz w:val="18"/>
                <w:szCs w:val="18"/>
                <w:color w:val="auto"/>
              </w:rPr>
              <w:t>Change in fair value of</w:t>
            </w: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00" w:type="dxa"/>
            <w:vAlign w:val="bottom"/>
            <w:gridSpan w:val="2"/>
            <w:vMerge w:val="restart"/>
            <w:shd w:val="clear" w:color="auto" w:fill="CFF0FC"/>
          </w:tcPr>
          <w:p>
            <w:pPr>
              <w:jc w:val="right"/>
              <w:ind w:right="200"/>
              <w:spacing w:after="0"/>
              <w:rPr>
                <w:sz w:val="20"/>
                <w:szCs w:val="20"/>
                <w:color w:val="auto"/>
              </w:rPr>
            </w:pPr>
            <w:r>
              <w:rPr>
                <w:rFonts w:ascii="Calibri" w:cs="Calibri" w:eastAsia="Calibri" w:hAnsi="Calibri"/>
                <w:sz w:val="18"/>
                <w:szCs w:val="18"/>
                <w:color w:val="auto"/>
              </w:rPr>
              <w:t>(1,220 )</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gridSpan w:val="2"/>
            <w:vMerge w:val="restart"/>
            <w:shd w:val="clear" w:color="auto" w:fill="CFF0FC"/>
          </w:tcPr>
          <w:p>
            <w:pPr>
              <w:jc w:val="right"/>
              <w:ind w:right="40"/>
              <w:spacing w:after="0"/>
              <w:rPr>
                <w:sz w:val="20"/>
                <w:szCs w:val="20"/>
                <w:color w:val="auto"/>
              </w:rPr>
            </w:pPr>
            <w:r>
              <w:rPr>
                <w:rFonts w:ascii="Calibri" w:cs="Calibri" w:eastAsia="Calibri" w:hAnsi="Calibri"/>
                <w:sz w:val="18"/>
                <w:szCs w:val="18"/>
                <w:color w:val="auto"/>
              </w:rPr>
              <w:t>(1,220 )</w:t>
            </w:r>
          </w:p>
        </w:tc>
        <w:tc>
          <w:tcPr>
            <w:tcW w:w="0" w:type="dxa"/>
            <w:vAlign w:val="bottom"/>
          </w:tcPr>
          <w:p>
            <w:pPr>
              <w:spacing w:after="0"/>
              <w:rPr>
                <w:sz w:val="1"/>
                <w:szCs w:val="1"/>
                <w:color w:val="auto"/>
              </w:rPr>
            </w:pPr>
          </w:p>
        </w:tc>
      </w:tr>
      <w:tr>
        <w:trPr>
          <w:trHeight w:val="107"/>
        </w:trPr>
        <w:tc>
          <w:tcPr>
            <w:tcW w:w="2500" w:type="dxa"/>
            <w:vAlign w:val="bottom"/>
            <w:vMerge w:val="restart"/>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contngent consideraton</w:t>
            </w:r>
          </w:p>
        </w:tc>
        <w:tc>
          <w:tcPr>
            <w:tcW w:w="16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50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8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500" w:type="dxa"/>
            <w:vAlign w:val="bottom"/>
            <w:tcBorders>
              <w:bottom w:val="single" w:sz="8" w:color="CFF0FC"/>
            </w:tcBorders>
            <w:vMerge w:val="continue"/>
            <w:shd w:val="clear" w:color="auto" w:fill="CFF0FC"/>
          </w:tcPr>
          <w:p>
            <w:pPr>
              <w:spacing w:after="0"/>
              <w:rPr>
                <w:sz w:val="9"/>
                <w:szCs w:val="9"/>
                <w:color w:val="auto"/>
              </w:rPr>
            </w:pPr>
          </w:p>
        </w:tc>
        <w:tc>
          <w:tcPr>
            <w:tcW w:w="160" w:type="dxa"/>
            <w:vAlign w:val="bottom"/>
            <w:tcBorders>
              <w:bottom w:val="single" w:sz="8" w:color="CFF0FC"/>
            </w:tcBorders>
            <w:shd w:val="clear" w:color="auto" w:fill="CFF0FC"/>
          </w:tcPr>
          <w:p>
            <w:pPr>
              <w:spacing w:after="0"/>
              <w:rPr>
                <w:sz w:val="9"/>
                <w:szCs w:val="9"/>
                <w:color w:val="auto"/>
              </w:rPr>
            </w:pPr>
          </w:p>
        </w:tc>
        <w:tc>
          <w:tcPr>
            <w:tcW w:w="1160" w:type="dxa"/>
            <w:vAlign w:val="bottom"/>
            <w:tcBorders>
              <w:bottom w:val="single" w:sz="8" w:color="CFF0FC"/>
            </w:tcBorders>
            <w:shd w:val="clear" w:color="auto" w:fill="CFF0FC"/>
          </w:tcPr>
          <w:p>
            <w:pPr>
              <w:spacing w:after="0"/>
              <w:rPr>
                <w:sz w:val="9"/>
                <w:szCs w:val="9"/>
                <w:color w:val="auto"/>
              </w:rPr>
            </w:pPr>
          </w:p>
        </w:tc>
        <w:tc>
          <w:tcPr>
            <w:tcW w:w="38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94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1240" w:type="dxa"/>
            <w:vAlign w:val="bottom"/>
            <w:tcBorders>
              <w:bottom w:val="single" w:sz="8" w:color="auto"/>
            </w:tcBorders>
            <w:shd w:val="clear" w:color="auto" w:fill="CFF0FC"/>
          </w:tcPr>
          <w:p>
            <w:pPr>
              <w:spacing w:after="0"/>
              <w:rPr>
                <w:sz w:val="9"/>
                <w:szCs w:val="9"/>
                <w:color w:val="auto"/>
              </w:rPr>
            </w:pPr>
          </w:p>
        </w:tc>
        <w:tc>
          <w:tcPr>
            <w:tcW w:w="26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104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c>
          <w:tcPr>
            <w:tcW w:w="70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1180" w:type="dxa"/>
            <w:vAlign w:val="bottom"/>
            <w:tcBorders>
              <w:bottom w:val="single" w:sz="8" w:color="auto"/>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20"/>
              <w:spacing w:after="0" w:line="214" w:lineRule="exact"/>
              <w:rPr>
                <w:sz w:val="20"/>
                <w:szCs w:val="20"/>
                <w:color w:val="auto"/>
              </w:rPr>
            </w:pPr>
            <w:r>
              <w:rPr>
                <w:rFonts w:ascii="Calibri" w:cs="Calibri" w:eastAsia="Calibri" w:hAnsi="Calibri"/>
                <w:sz w:val="18"/>
                <w:szCs w:val="18"/>
                <w:b w:val="1"/>
                <w:bCs w:val="1"/>
                <w:color w:val="auto"/>
              </w:rPr>
              <w:t>Income from operatons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line="214" w:lineRule="exact"/>
              <w:rPr>
                <w:sz w:val="20"/>
                <w:szCs w:val="20"/>
                <w:color w:val="auto"/>
              </w:rPr>
            </w:pPr>
            <w:r>
              <w:rPr>
                <w:rFonts w:ascii="Calibri" w:cs="Calibri" w:eastAsia="Calibri" w:hAnsi="Calibri"/>
                <w:sz w:val="18"/>
                <w:szCs w:val="18"/>
                <w:b w:val="1"/>
                <w:bCs w:val="1"/>
                <w:color w:val="auto"/>
              </w:rPr>
              <w:t>21,701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line="214" w:lineRule="exact"/>
              <w:rPr>
                <w:sz w:val="20"/>
                <w:szCs w:val="20"/>
                <w:color w:val="auto"/>
              </w:rPr>
            </w:pPr>
            <w:r>
              <w:rPr>
                <w:rFonts w:ascii="Calibri" w:cs="Calibri" w:eastAsia="Calibri" w:hAnsi="Calibri"/>
                <w:sz w:val="18"/>
                <w:szCs w:val="18"/>
                <w:b w:val="1"/>
                <w:bCs w:val="1"/>
                <w:color w:val="auto"/>
              </w:rPr>
              <w:t>53,348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Interest expense – net</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2,901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9,542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20"/>
              <w:spacing w:after="0" w:line="215" w:lineRule="exact"/>
              <w:rPr>
                <w:sz w:val="20"/>
                <w:szCs w:val="20"/>
                <w:color w:val="auto"/>
              </w:rPr>
            </w:pPr>
            <w:r>
              <w:rPr>
                <w:rFonts w:ascii="Calibri" w:cs="Calibri" w:eastAsia="Calibri" w:hAnsi="Calibri"/>
                <w:sz w:val="18"/>
                <w:szCs w:val="18"/>
                <w:color w:val="auto"/>
              </w:rPr>
              <w:t>Loss on extnguishment of debt</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4,285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Other income</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(65 )</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(6,618 )</w:t>
            </w:r>
          </w:p>
        </w:tc>
        <w:tc>
          <w:tcPr>
            <w:tcW w:w="0" w:type="dxa"/>
            <w:vAlign w:val="bottom"/>
          </w:tcPr>
          <w:p>
            <w:pPr>
              <w:spacing w:after="0"/>
              <w:rPr>
                <w:sz w:val="1"/>
                <w:szCs w:val="1"/>
                <w:color w:val="auto"/>
              </w:rPr>
            </w:pPr>
          </w:p>
        </w:tc>
      </w:tr>
      <w:tr>
        <w:trPr>
          <w:trHeight w:val="209"/>
        </w:trPr>
        <w:tc>
          <w:tcPr>
            <w:tcW w:w="2500" w:type="dxa"/>
            <w:vAlign w:val="bottom"/>
            <w:tcBorders>
              <w:top w:val="single" w:sz="8" w:color="CFF0FC"/>
            </w:tcBorders>
          </w:tcPr>
          <w:p>
            <w:pPr>
              <w:ind w:left="20"/>
              <w:spacing w:after="0" w:line="209" w:lineRule="exact"/>
              <w:rPr>
                <w:sz w:val="20"/>
                <w:szCs w:val="20"/>
                <w:color w:val="auto"/>
              </w:rPr>
            </w:pPr>
            <w:r>
              <w:rPr>
                <w:rFonts w:ascii="Calibri" w:cs="Calibri" w:eastAsia="Calibri" w:hAnsi="Calibri"/>
                <w:sz w:val="18"/>
                <w:szCs w:val="18"/>
                <w:b w:val="1"/>
                <w:bCs w:val="1"/>
                <w:color w:val="auto"/>
              </w:rPr>
              <w:t>Income before income taxes</w:t>
            </w:r>
          </w:p>
        </w:tc>
        <w:tc>
          <w:tcPr>
            <w:tcW w:w="160" w:type="dxa"/>
            <w:vAlign w:val="bottom"/>
            <w:tcBorders>
              <w:top w:val="single" w:sz="8" w:color="CFF0FC"/>
            </w:tcBorders>
          </w:tcPr>
          <w:p>
            <w:pPr>
              <w:spacing w:after="0"/>
              <w:rPr>
                <w:sz w:val="18"/>
                <w:szCs w:val="18"/>
                <w:color w:val="auto"/>
              </w:rPr>
            </w:pPr>
          </w:p>
        </w:tc>
        <w:tc>
          <w:tcPr>
            <w:tcW w:w="1160" w:type="dxa"/>
            <w:vAlign w:val="bottom"/>
            <w:tcBorders>
              <w:top w:val="single" w:sz="8" w:color="CFF0FC"/>
            </w:tcBorders>
          </w:tcPr>
          <w:p>
            <w:pPr>
              <w:spacing w:after="0"/>
              <w:rPr>
                <w:sz w:val="18"/>
                <w:szCs w:val="18"/>
                <w:color w:val="auto"/>
              </w:rPr>
            </w:pPr>
          </w:p>
        </w:tc>
        <w:tc>
          <w:tcPr>
            <w:tcW w:w="38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94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w w:val="87"/>
              </w:rPr>
              <w:t>$</w:t>
            </w:r>
          </w:p>
        </w:tc>
        <w:tc>
          <w:tcPr>
            <w:tcW w:w="124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18,865</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4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70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w w:val="87"/>
              </w:rPr>
              <w:t>$</w:t>
            </w:r>
          </w:p>
        </w:tc>
        <w:tc>
          <w:tcPr>
            <w:tcW w:w="118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46,139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Calibri" w:cs="Calibri" w:eastAsia="Calibri" w:hAnsi="Calibri"/>
                <w:sz w:val="18"/>
                <w:szCs w:val="18"/>
                <w:color w:val="auto"/>
              </w:rPr>
              <w:t>14</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-1739265</wp:posOffset>
            </wp:positionV>
            <wp:extent cx="76835"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-1739265</wp:posOffset>
            </wp:positionV>
            <wp:extent cx="68580" cy="145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-1739265</wp:posOffset>
            </wp:positionV>
            <wp:extent cx="68580"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-1739265</wp:posOffset>
            </wp:positionV>
            <wp:extent cx="6858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-1739265</wp:posOffset>
            </wp:positionV>
            <wp:extent cx="6858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-1071245</wp:posOffset>
            </wp:positionV>
            <wp:extent cx="6858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-513715</wp:posOffset>
            </wp:positionV>
            <wp:extent cx="685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40" w:type="dxa"/>
            <w:vAlign w:val="bottom"/>
            <w:gridSpan w:val="8"/>
          </w:tcPr>
          <w:p>
            <w:pPr>
              <w:jc w:val="right"/>
              <w:ind w:right="930"/>
              <w:spacing w:after="0"/>
              <w:rPr>
                <w:sz w:val="20"/>
                <w:szCs w:val="20"/>
                <w:color w:val="auto"/>
              </w:rPr>
            </w:pPr>
            <w:r>
              <w:rPr>
                <w:rFonts w:ascii="Calibri" w:cs="Calibri" w:eastAsia="Calibri" w:hAnsi="Calibri"/>
                <w:sz w:val="18"/>
                <w:szCs w:val="18"/>
                <w:b w:val="1"/>
                <w:bCs w:val="1"/>
                <w:color w:val="auto"/>
              </w:rPr>
              <w:t>Three Months Ended September 30, 2021</w:t>
            </w:r>
          </w:p>
        </w:tc>
        <w:tc>
          <w:tcPr>
            <w:tcW w:w="120" w:type="dxa"/>
            <w:vAlign w:val="bottom"/>
          </w:tcPr>
          <w:p>
            <w:pPr>
              <w:spacing w:after="0"/>
              <w:rPr>
                <w:sz w:val="19"/>
                <w:szCs w:val="19"/>
                <w:color w:val="auto"/>
              </w:rPr>
            </w:pPr>
          </w:p>
        </w:tc>
        <w:tc>
          <w:tcPr>
            <w:tcW w:w="3820" w:type="dxa"/>
            <w:vAlign w:val="bottom"/>
            <w:gridSpan w:val="8"/>
          </w:tcPr>
          <w:p>
            <w:pPr>
              <w:jc w:val="right"/>
              <w:ind w:right="470"/>
              <w:spacing w:after="0"/>
              <w:rPr>
                <w:sz w:val="20"/>
                <w:szCs w:val="20"/>
                <w:color w:val="auto"/>
              </w:rPr>
            </w:pPr>
            <w:r>
              <w:rPr>
                <w:rFonts w:ascii="Calibri" w:cs="Calibri" w:eastAsia="Calibri" w:hAnsi="Calibri"/>
                <w:sz w:val="18"/>
                <w:szCs w:val="18"/>
                <w:b w:val="1"/>
                <w:bCs w:val="1"/>
                <w:color w:val="auto"/>
              </w:rPr>
              <w:t>Nine Months Ended September 30, 2021</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w w:val="99"/>
              </w:rPr>
              <w:t>Marketplace</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0"/>
              <w:spacing w:after="0" w:line="208" w:lineRule="exact"/>
              <w:rPr>
                <w:sz w:val="20"/>
                <w:szCs w:val="20"/>
                <w:color w:val="auto"/>
              </w:rPr>
            </w:pPr>
            <w:r>
              <w:rPr>
                <w:rFonts w:ascii="Calibri" w:cs="Calibri" w:eastAsia="Calibri" w:hAnsi="Calibri"/>
                <w:sz w:val="18"/>
                <w:szCs w:val="18"/>
                <w:b w:val="1"/>
                <w:bCs w:val="1"/>
                <w:color w:val="auto"/>
              </w:rPr>
              <w:t>Resale</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0"/>
              <w:spacing w:after="0" w:line="208" w:lineRule="exact"/>
              <w:rPr>
                <w:sz w:val="20"/>
                <w:szCs w:val="20"/>
                <w:color w:val="auto"/>
              </w:rPr>
            </w:pPr>
            <w:r>
              <w:rPr>
                <w:rFonts w:ascii="Calibri" w:cs="Calibri" w:eastAsia="Calibri" w:hAnsi="Calibri"/>
                <w:sz w:val="18"/>
                <w:szCs w:val="18"/>
                <w:b w:val="1"/>
                <w:bCs w:val="1"/>
                <w:color w:val="auto"/>
              </w:rPr>
              <w:t>Consolidated</w:t>
            </w:r>
          </w:p>
        </w:tc>
        <w:tc>
          <w:tcPr>
            <w:tcW w:w="26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w w:val="95"/>
              </w:rPr>
              <w:t>Marketplace</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0"/>
              <w:spacing w:after="0" w:line="208" w:lineRule="exact"/>
              <w:rPr>
                <w:sz w:val="20"/>
                <w:szCs w:val="20"/>
                <w:color w:val="auto"/>
              </w:rPr>
            </w:pPr>
            <w:r>
              <w:rPr>
                <w:rFonts w:ascii="Calibri" w:cs="Calibri" w:eastAsia="Calibri" w:hAnsi="Calibri"/>
                <w:sz w:val="18"/>
                <w:szCs w:val="18"/>
                <w:b w:val="1"/>
                <w:bCs w:val="1"/>
                <w:color w:val="auto"/>
              </w:rPr>
              <w:t>Resale</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0"/>
              <w:spacing w:after="0" w:line="208" w:lineRule="exact"/>
              <w:rPr>
                <w:sz w:val="20"/>
                <w:szCs w:val="20"/>
                <w:color w:val="auto"/>
              </w:rPr>
            </w:pPr>
            <w:r>
              <w:rPr>
                <w:rFonts w:ascii="Calibri" w:cs="Calibri" w:eastAsia="Calibri" w:hAnsi="Calibri"/>
                <w:sz w:val="18"/>
                <w:szCs w:val="18"/>
                <w:b w:val="1"/>
                <w:bCs w:val="1"/>
                <w:color w:val="auto"/>
                <w:w w:val="99"/>
              </w:rPr>
              <w:t>Consolidated</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0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Revenues</w:t>
            </w:r>
          </w:p>
        </w:tc>
        <w:tc>
          <w:tcPr>
            <w:tcW w:w="1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120,465</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19,073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2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139,538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247,106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7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32,044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279,150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500" w:type="dxa"/>
            <w:vAlign w:val="bottom"/>
          </w:tcPr>
          <w:p>
            <w:pPr>
              <w:ind w:left="20"/>
              <w:spacing w:after="0" w:line="166" w:lineRule="exact"/>
              <w:rPr>
                <w:sz w:val="20"/>
                <w:szCs w:val="20"/>
                <w:color w:val="auto"/>
              </w:rPr>
            </w:pPr>
            <w:r>
              <w:rPr>
                <w:rFonts w:ascii="Calibri" w:cs="Calibri" w:eastAsia="Calibri" w:hAnsi="Calibri"/>
                <w:sz w:val="18"/>
                <w:szCs w:val="18"/>
                <w:color w:val="auto"/>
              </w:rPr>
              <w:t>Cost of revenues (exclusive of</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00" w:type="dxa"/>
            <w:vAlign w:val="bottom"/>
          </w:tcPr>
          <w:p>
            <w:pPr>
              <w:ind w:left="20"/>
              <w:spacing w:after="0" w:line="189" w:lineRule="exact"/>
              <w:rPr>
                <w:sz w:val="20"/>
                <w:szCs w:val="20"/>
                <w:color w:val="auto"/>
              </w:rPr>
            </w:pPr>
            <w:r>
              <w:rPr>
                <w:rFonts w:ascii="Calibri" w:cs="Calibri" w:eastAsia="Calibri" w:hAnsi="Calibri"/>
                <w:sz w:val="18"/>
                <w:szCs w:val="18"/>
                <w:color w:val="auto"/>
              </w:rPr>
              <w:t>depreciaton and amortzaton</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20"/>
              <w:spacing w:after="0" w:line="215" w:lineRule="exact"/>
              <w:rPr>
                <w:sz w:val="20"/>
                <w:szCs w:val="20"/>
                <w:color w:val="auto"/>
              </w:rPr>
            </w:pPr>
            <w:r>
              <w:rPr>
                <w:rFonts w:ascii="Calibri" w:cs="Calibri" w:eastAsia="Calibri" w:hAnsi="Calibri"/>
                <w:sz w:val="18"/>
                <w:szCs w:val="18"/>
                <w:color w:val="auto"/>
              </w:rPr>
              <w:t>shown separately below)</w:t>
            </w:r>
          </w:p>
        </w:tc>
        <w:tc>
          <w:tcPr>
            <w:tcW w:w="16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15,694</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14,781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30,475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32,101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22,285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54,386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5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Marketng and selling</w:t>
            </w: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50,371</w:t>
            </w:r>
          </w:p>
        </w:tc>
        <w:tc>
          <w:tcPr>
            <w:tcW w:w="3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50,371</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104,748</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104,748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Contributon margin</w:t>
            </w:r>
          </w:p>
        </w:tc>
        <w:tc>
          <w:tcPr>
            <w:tcW w:w="16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w:t>
            </w:r>
          </w:p>
        </w:tc>
        <w:tc>
          <w:tcPr>
            <w:tcW w:w="116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54,400</w:t>
            </w:r>
          </w:p>
        </w:tc>
        <w:tc>
          <w:tcPr>
            <w:tcW w:w="600" w:type="dxa"/>
            <w:vAlign w:val="bottom"/>
            <w:gridSpan w:val="2"/>
          </w:tcPr>
          <w:p>
            <w:pPr>
              <w:jc w:val="right"/>
              <w:ind w:right="30"/>
              <w:spacing w:after="0" w:line="209" w:lineRule="exact"/>
              <w:rPr>
                <w:sz w:val="20"/>
                <w:szCs w:val="20"/>
                <w:color w:val="auto"/>
              </w:rPr>
            </w:pPr>
            <w:r>
              <w:rPr>
                <w:rFonts w:ascii="Calibri" w:cs="Calibri" w:eastAsia="Calibri" w:hAnsi="Calibri"/>
                <w:sz w:val="18"/>
                <w:szCs w:val="18"/>
                <w:b w:val="1"/>
                <w:bCs w:val="1"/>
                <w:color w:val="auto"/>
              </w:rPr>
              <w:t>$</w:t>
            </w:r>
          </w:p>
        </w:tc>
        <w:tc>
          <w:tcPr>
            <w:tcW w:w="94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4,292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58,692</w:t>
            </w:r>
          </w:p>
        </w:tc>
        <w:tc>
          <w:tcPr>
            <w:tcW w:w="260" w:type="dxa"/>
            <w:vAlign w:val="bottom"/>
          </w:tcPr>
          <w:p>
            <w:pPr>
              <w:spacing w:after="0"/>
              <w:rPr>
                <w:sz w:val="18"/>
                <w:szCs w:val="18"/>
                <w:color w:val="auto"/>
              </w:rPr>
            </w:pPr>
          </w:p>
        </w:tc>
        <w:tc>
          <w:tcPr>
            <w:tcW w:w="12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w w:val="87"/>
              </w:rPr>
              <w:t>$</w:t>
            </w:r>
          </w:p>
        </w:tc>
        <w:tc>
          <w:tcPr>
            <w:tcW w:w="104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110,257</w:t>
            </w:r>
          </w:p>
        </w:tc>
        <w:tc>
          <w:tcPr>
            <w:tcW w:w="400" w:type="dxa"/>
            <w:vAlign w:val="bottom"/>
            <w:gridSpan w:val="2"/>
          </w:tcPr>
          <w:p>
            <w:pPr>
              <w:jc w:val="right"/>
              <w:spacing w:after="0" w:line="209" w:lineRule="exact"/>
              <w:rPr>
                <w:sz w:val="20"/>
                <w:szCs w:val="20"/>
                <w:color w:val="auto"/>
              </w:rPr>
            </w:pPr>
            <w:r>
              <w:rPr>
                <w:rFonts w:ascii="Calibri" w:cs="Calibri" w:eastAsia="Calibri" w:hAnsi="Calibri"/>
                <w:sz w:val="18"/>
                <w:szCs w:val="18"/>
                <w:b w:val="1"/>
                <w:bCs w:val="1"/>
                <w:color w:val="auto"/>
              </w:rPr>
              <w:t>$</w:t>
            </w:r>
          </w:p>
        </w:tc>
        <w:tc>
          <w:tcPr>
            <w:tcW w:w="70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9,759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120,016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General and administratve</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42,509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87,486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20"/>
              <w:spacing w:after="0" w:line="215" w:lineRule="exact"/>
              <w:rPr>
                <w:sz w:val="20"/>
                <w:szCs w:val="20"/>
                <w:color w:val="auto"/>
              </w:rPr>
            </w:pPr>
            <w:r>
              <w:rPr>
                <w:rFonts w:ascii="Calibri" w:cs="Calibri" w:eastAsia="Calibri" w:hAnsi="Calibri"/>
                <w:sz w:val="18"/>
                <w:szCs w:val="18"/>
                <w:color w:val="auto"/>
              </w:rPr>
              <w:t>Depreciaton and amortzaton</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711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0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Income from operatons</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15,472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31,024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expense – net</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17,319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50,477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50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Loss before income taxes</w:t>
            </w: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w w:val="87"/>
              </w:rPr>
              <w:t>$</w:t>
            </w:r>
          </w:p>
        </w:tc>
        <w:tc>
          <w:tcPr>
            <w:tcW w:w="124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(1,847</w:t>
            </w:r>
          </w:p>
        </w:tc>
        <w:tc>
          <w:tcPr>
            <w:tcW w:w="260" w:type="dxa"/>
            <w:vAlign w:val="bottom"/>
            <w:tcBorders>
              <w:bottom w:val="single" w:sz="8" w:color="CFF0FC"/>
            </w:tcBorders>
            <w:shd w:val="clear" w:color="auto" w:fill="CFF0FC"/>
          </w:tcPr>
          <w:p>
            <w:pPr>
              <w:jc w:val="right"/>
              <w:ind w:right="90"/>
              <w:spacing w:after="0" w:line="210" w:lineRule="exact"/>
              <w:rPr>
                <w:sz w:val="20"/>
                <w:szCs w:val="20"/>
                <w:color w:val="auto"/>
              </w:rPr>
            </w:pPr>
            <w:r>
              <w:rPr>
                <w:rFonts w:ascii="Calibri" w:cs="Calibri" w:eastAsia="Calibri" w:hAnsi="Calibri"/>
                <w:sz w:val="18"/>
                <w:szCs w:val="18"/>
                <w:b w:val="1"/>
                <w:bCs w:val="1"/>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w w:val="87"/>
              </w:rPr>
              <w:t>$</w:t>
            </w:r>
          </w:p>
        </w:tc>
        <w:tc>
          <w:tcPr>
            <w:tcW w:w="118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(19,453</w:t>
            </w:r>
          </w:p>
        </w:tc>
        <w:tc>
          <w:tcPr>
            <w:tcW w:w="100" w:type="dxa"/>
            <w:vAlign w:val="bottom"/>
            <w:tcBorders>
              <w:bottom w:val="single" w:sz="8" w:color="CFF0FC"/>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w w:val="70"/>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-873760</wp:posOffset>
            </wp:positionV>
            <wp:extent cx="76835" cy="145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-873760</wp:posOffset>
            </wp:positionV>
            <wp:extent cx="68580"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-873760</wp:posOffset>
            </wp:positionV>
            <wp:extent cx="68580"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-873760</wp:posOffset>
            </wp:positionV>
            <wp:extent cx="68580"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-873760</wp:posOffset>
            </wp:positionV>
            <wp:extent cx="68580" cy="145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145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Calibri" w:cs="Calibri" w:eastAsia="Calibri" w:hAnsi="Calibri"/>
          <w:sz w:val="18"/>
          <w:szCs w:val="18"/>
          <w:color w:val="auto"/>
        </w:rPr>
        <w:t>Substantally all of our sales occur, and assets reside, in the United States.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6. Leases</w:t>
      </w:r>
    </w:p>
    <w:p>
      <w:pPr>
        <w:spacing w:after="0" w:line="136" w:lineRule="exact"/>
        <w:rPr>
          <w:sz w:val="20"/>
          <w:szCs w:val="20"/>
          <w:color w:val="auto"/>
        </w:rPr>
      </w:pPr>
    </w:p>
    <w:p>
      <w:pPr>
        <w:jc w:val="both"/>
        <w:spacing w:after="0" w:line="243" w:lineRule="auto"/>
        <w:rPr>
          <w:sz w:val="20"/>
          <w:szCs w:val="20"/>
          <w:color w:val="auto"/>
        </w:rPr>
      </w:pPr>
      <w:r>
        <w:rPr>
          <w:rFonts w:ascii="Calibri" w:cs="Calibri" w:eastAsia="Calibri" w:hAnsi="Calibri"/>
          <w:sz w:val="18"/>
          <w:szCs w:val="18"/>
          <w:color w:val="auto"/>
        </w:rPr>
        <w:t>On January 1, 2022, we adopted ASC 842 using a modifed retrospectve transiton approach that allows for a cumulatve-efect adjustment in the period of adopton without revising prior period presentaton. Therefore, for reportng periods beginning afer December 31, 2021, the fnancial statements are prepared in accordance with the current lease standard (ASC 842) and we elected to present the fnancial statements for all periods prior to January 1, 2022 under the previous lease standard (ASC 840). We elected the practcal expedient package, which permits us to not reassess whether any expired or existng contracts are or contain leases, the lease classifcaton for any expired or existng leases, and any inital direct costs for any existng leases as of the efectve date.</w:t>
      </w:r>
    </w:p>
    <w:p>
      <w:pPr>
        <w:spacing w:after="0" w:line="150" w:lineRule="exact"/>
        <w:rPr>
          <w:sz w:val="20"/>
          <w:szCs w:val="20"/>
          <w:color w:val="auto"/>
        </w:rPr>
      </w:pPr>
    </w:p>
    <w:p>
      <w:pPr>
        <w:jc w:val="both"/>
        <w:spacing w:after="0" w:line="243" w:lineRule="auto"/>
        <w:rPr>
          <w:sz w:val="20"/>
          <w:szCs w:val="20"/>
          <w:color w:val="auto"/>
        </w:rPr>
      </w:pPr>
      <w:r>
        <w:rPr>
          <w:rFonts w:ascii="Calibri" w:cs="Calibri" w:eastAsia="Calibri" w:hAnsi="Calibri"/>
          <w:sz w:val="18"/>
          <w:szCs w:val="18"/>
          <w:color w:val="auto"/>
        </w:rPr>
        <w:t>We determine if an arrangement is a lease at incepton of a contract. Right-of-use (“ROU”) assets represent our right to use an underlying asset for the lease term and lease liabilites represent our obligaton to make lease payments arising from the lease. ROU assets and lease liabilites are recognized at the lease commencement date based on the present value of lease payments over the lease term. As most of our leases do not provide an implicit interest rate, we use the incremental borrowing rate based on the informaton available at commencement date in determining the present value of lease payments. As of September 30, 2022, the weighted average discount rate applied to the lease liabilites is approximately 7%. Leases with an inital term of 12 months or less are not recorded on the Condensed Consolidated Balance Sheets and rent expense for these short-term leases is recognized in General and administratve expenses in the Condensed Consolidated Statements of Operatons on a straight-line basis over the lease term. Short-term lease costs were not material to our Condensed Consolidated Statements of Operatons for the three and nine months ended September 30, 2022.</w:t>
      </w:r>
    </w:p>
    <w:p>
      <w:pPr>
        <w:spacing w:after="0" w:line="151"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We entered into all of our lease contracts as a lessee. We are not actng as a lessor under any of our leasing arrangements. The vast majority of our lease contracts are real estate leases for ofce space. All of our leases are classifed as operatng. At September 30, 2022, we had $8.2 million of ROU assets in Right-of-use assets — net, and</w:t>
      </w:r>
    </w:p>
    <w:p>
      <w:pPr>
        <w:spacing w:after="0" w:line="11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jc w:val="both"/>
        <w:spacing w:after="0" w:line="245" w:lineRule="auto"/>
        <w:rPr>
          <w:sz w:val="20"/>
          <w:szCs w:val="20"/>
          <w:color w:val="auto"/>
        </w:rPr>
      </w:pPr>
      <w:r>
        <w:rPr>
          <w:rFonts w:ascii="Calibri" w:cs="Calibri" w:eastAsia="Calibri" w:hAnsi="Calibri"/>
          <w:sz w:val="18"/>
          <w:szCs w:val="18"/>
          <w:color w:val="auto"/>
        </w:rPr>
        <w:t>the corresponding operatng lease liabilites of $1.7 million recorded in Accrued expenses and other current liabilites and $13.7 million recorded in Long-term lease liabilites in the Condensed Consolidated Balance Sheets.</w:t>
      </w:r>
    </w:p>
    <w:p>
      <w:pPr>
        <w:spacing w:after="0" w:line="145" w:lineRule="exact"/>
        <w:rPr>
          <w:sz w:val="20"/>
          <w:szCs w:val="20"/>
          <w:color w:val="auto"/>
        </w:rPr>
      </w:pPr>
    </w:p>
    <w:p>
      <w:pPr>
        <w:jc w:val="both"/>
        <w:spacing w:after="0" w:line="241" w:lineRule="auto"/>
        <w:rPr>
          <w:sz w:val="20"/>
          <w:szCs w:val="20"/>
          <w:color w:val="auto"/>
        </w:rPr>
      </w:pPr>
      <w:r>
        <w:rPr>
          <w:rFonts w:ascii="Calibri" w:cs="Calibri" w:eastAsia="Calibri" w:hAnsi="Calibri"/>
          <w:sz w:val="18"/>
          <w:szCs w:val="18"/>
          <w:color w:val="auto"/>
        </w:rPr>
        <w:t>Most leases have one or more optons to renew, with renewal terms that can initally extend the lease term for various periods up to fve years. The exercise of renewal optons is at our discreton and are included if they are reasonably certain to be exercised. As of September 30, 2022, the weighted average remaining minimum lease term is approximately nine years. Lease expense for operatng leases is recognized on a straight-line basis over the lease term and is recorded under General and administratve expenses in the Condensed Consolidated Statements of Operatons. We elected not to separate lease and non-lease components. Our leases do not contain any material residual value guarantees or restrictve covenants.</w:t>
      </w:r>
    </w:p>
    <w:p>
      <w:pPr>
        <w:spacing w:after="0" w:line="152"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In December 2021, we entered into a lease agreement for our new corporate headquarters in Chicago, Illinois. The lease commenced in the frst quarter of 2022, when we obtained control of the premises, and runs through December 31, 2033 with a 5-year renewal opton. The aggregate lease payments for the inital term are approximately $16.2 million with no rent due untl March 2024.</w:t>
      </w:r>
    </w:p>
    <w:p>
      <w:pPr>
        <w:spacing w:after="0" w:line="164" w:lineRule="exact"/>
        <w:rPr>
          <w:sz w:val="20"/>
          <w:szCs w:val="20"/>
          <w:color w:val="auto"/>
        </w:rPr>
      </w:pPr>
    </w:p>
    <w:p>
      <w:pPr>
        <w:jc w:val="both"/>
        <w:spacing w:after="0" w:line="241" w:lineRule="auto"/>
        <w:rPr>
          <w:sz w:val="20"/>
          <w:szCs w:val="20"/>
          <w:color w:val="auto"/>
        </w:rPr>
      </w:pPr>
      <w:r>
        <w:rPr>
          <w:rFonts w:ascii="Calibri" w:cs="Calibri" w:eastAsia="Calibri" w:hAnsi="Calibri"/>
          <w:sz w:val="18"/>
          <w:szCs w:val="18"/>
          <w:color w:val="auto"/>
        </w:rPr>
        <w:t>The lease agreement provides for a tenant improvement allowance from the landlord in an amount equal to $6.5 million towards the design and constructon on the leased premises. As of September 30, 2022, we incurred leasehold improvement costs of $5.3 million related to the tenant improvement allowance. This amount is recorded in Property and equipment - net in the Condensed Consolidated Balance Sheets. On the commencement date, we recognized the ROU asset and corresponding lease liability of $3.4 million in Right-of-use assets — net and Long-term lease liabilites, respectvely, in the Condensed Consolidated Balance Sheets.</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color w:val="auto"/>
        </w:rPr>
        <w:t>Operatng and variable lease expenses for the three and nine months ended September 30, 2022 were $1.1 million and $3.0 million, respectvely.</w:t>
      </w:r>
    </w:p>
    <w:p>
      <w:pPr>
        <w:spacing w:after="0" w:line="150" w:lineRule="exact"/>
        <w:rPr>
          <w:sz w:val="20"/>
          <w:szCs w:val="20"/>
          <w:color w:val="auto"/>
        </w:rPr>
      </w:pPr>
    </w:p>
    <w:p>
      <w:pPr>
        <w:jc w:val="both"/>
        <w:spacing w:after="0" w:line="245" w:lineRule="auto"/>
        <w:rPr>
          <w:sz w:val="20"/>
          <w:szCs w:val="20"/>
          <w:color w:val="auto"/>
        </w:rPr>
      </w:pPr>
      <w:r>
        <w:rPr>
          <w:rFonts w:ascii="Calibri" w:cs="Calibri" w:eastAsia="Calibri" w:hAnsi="Calibri"/>
          <w:sz w:val="18"/>
          <w:szCs w:val="18"/>
          <w:color w:val="auto"/>
        </w:rPr>
        <w:t>Cash payments for operatng lease liabilites during the nine months ended September 30, 2022, which are included within the operatng actvites secton in the Condensed Consolidated Statements of Cash Flows, were $2.6 million.</w:t>
      </w:r>
    </w:p>
    <w:p>
      <w:pPr>
        <w:spacing w:after="0" w:line="141" w:lineRule="exact"/>
        <w:rPr>
          <w:sz w:val="20"/>
          <w:szCs w:val="20"/>
          <w:color w:val="auto"/>
        </w:rPr>
      </w:pPr>
    </w:p>
    <w:p>
      <w:pPr>
        <w:spacing w:after="0"/>
        <w:rPr>
          <w:sz w:val="20"/>
          <w:szCs w:val="20"/>
          <w:color w:val="auto"/>
        </w:rPr>
      </w:pPr>
      <w:r>
        <w:rPr>
          <w:rFonts w:ascii="Calibri" w:cs="Calibri" w:eastAsia="Calibri" w:hAnsi="Calibri"/>
          <w:sz w:val="18"/>
          <w:szCs w:val="18"/>
          <w:color w:val="auto"/>
        </w:rPr>
        <w:t>Future lease payments at September 30, 2022 are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80" w:type="dxa"/>
            <w:vAlign w:val="bottom"/>
          </w:tcPr>
          <w:p>
            <w:pPr>
              <w:jc w:val="right"/>
              <w:ind w:right="1030"/>
              <w:spacing w:after="0"/>
              <w:rPr>
                <w:sz w:val="20"/>
                <w:szCs w:val="20"/>
                <w:color w:val="auto"/>
              </w:rPr>
            </w:pPr>
            <w:r>
              <w:rPr>
                <w:rFonts w:ascii="Calibri" w:cs="Calibri" w:eastAsia="Calibri" w:hAnsi="Calibri"/>
                <w:sz w:val="18"/>
                <w:szCs w:val="18"/>
                <w:b w:val="1"/>
                <w:bCs w:val="1"/>
                <w:color w:val="auto"/>
              </w:rPr>
              <w:t>Operatng Leases</w:t>
            </w:r>
          </w:p>
        </w:tc>
        <w:tc>
          <w:tcPr>
            <w:tcW w:w="100" w:type="dxa"/>
            <w:vAlign w:val="bottom"/>
          </w:tcPr>
          <w:p>
            <w:pPr>
              <w:spacing w:after="0"/>
              <w:rPr>
                <w:sz w:val="19"/>
                <w:szCs w:val="19"/>
                <w:color w:val="auto"/>
              </w:rPr>
            </w:pPr>
          </w:p>
        </w:tc>
      </w:tr>
      <w:tr>
        <w:trPr>
          <w:trHeight w:val="23"/>
        </w:trPr>
        <w:tc>
          <w:tcPr>
            <w:tcW w:w="44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444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Remainder of 2022</w:t>
            </w:r>
          </w:p>
        </w:tc>
        <w:tc>
          <w:tcPr>
            <w:tcW w:w="32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10"/>
              <w:spacing w:after="0" w:line="209" w:lineRule="exact"/>
              <w:rPr>
                <w:sz w:val="20"/>
                <w:szCs w:val="20"/>
                <w:color w:val="auto"/>
              </w:rPr>
            </w:pPr>
            <w:r>
              <w:rPr>
                <w:rFonts w:ascii="Calibri" w:cs="Calibri" w:eastAsia="Calibri" w:hAnsi="Calibri"/>
                <w:sz w:val="18"/>
                <w:szCs w:val="18"/>
                <w:color w:val="auto"/>
              </w:rPr>
              <w:t>$</w:t>
            </w:r>
          </w:p>
        </w:tc>
        <w:tc>
          <w:tcPr>
            <w:tcW w:w="28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1,314</w:t>
            </w:r>
          </w:p>
        </w:tc>
        <w:tc>
          <w:tcPr>
            <w:tcW w:w="100" w:type="dxa"/>
            <w:vAlign w:val="bottom"/>
            <w:shd w:val="clear" w:color="auto" w:fill="CFF0FC"/>
          </w:tcPr>
          <w:p>
            <w:pPr>
              <w:spacing w:after="0"/>
              <w:rPr>
                <w:sz w:val="18"/>
                <w:szCs w:val="18"/>
                <w:color w:val="auto"/>
              </w:rPr>
            </w:pPr>
          </w:p>
        </w:tc>
      </w:tr>
      <w:tr>
        <w:trPr>
          <w:trHeight w:val="215"/>
        </w:trPr>
        <w:tc>
          <w:tcPr>
            <w:tcW w:w="4440" w:type="dxa"/>
            <w:vAlign w:val="bottom"/>
          </w:tcPr>
          <w:p>
            <w:pPr>
              <w:ind w:left="20"/>
              <w:spacing w:after="0" w:line="215" w:lineRule="exact"/>
              <w:rPr>
                <w:sz w:val="20"/>
                <w:szCs w:val="20"/>
                <w:color w:val="auto"/>
              </w:rPr>
            </w:pPr>
            <w:r>
              <w:rPr>
                <w:rFonts w:ascii="Calibri" w:cs="Calibri" w:eastAsia="Calibri" w:hAnsi="Calibri"/>
                <w:sz w:val="18"/>
                <w:szCs w:val="18"/>
                <w:color w:val="auto"/>
              </w:rPr>
              <w:t>2023</w:t>
            </w:r>
          </w:p>
        </w:tc>
        <w:tc>
          <w:tcPr>
            <w:tcW w:w="3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80" w:type="dxa"/>
            <w:vAlign w:val="bottom"/>
          </w:tcPr>
          <w:p>
            <w:pPr>
              <w:jc w:val="right"/>
              <w:spacing w:after="0" w:line="215" w:lineRule="exact"/>
              <w:rPr>
                <w:sz w:val="20"/>
                <w:szCs w:val="20"/>
                <w:color w:val="auto"/>
              </w:rPr>
            </w:pPr>
            <w:r>
              <w:rPr>
                <w:rFonts w:ascii="Calibri" w:cs="Calibri" w:eastAsia="Calibri" w:hAnsi="Calibri"/>
                <w:sz w:val="18"/>
                <w:szCs w:val="18"/>
                <w:color w:val="auto"/>
              </w:rPr>
              <w:t>906</w:t>
            </w:r>
          </w:p>
        </w:tc>
        <w:tc>
          <w:tcPr>
            <w:tcW w:w="100" w:type="dxa"/>
            <w:vAlign w:val="bottom"/>
          </w:tcPr>
          <w:p>
            <w:pPr>
              <w:spacing w:after="0"/>
              <w:rPr>
                <w:sz w:val="18"/>
                <w:szCs w:val="18"/>
                <w:color w:val="auto"/>
              </w:rPr>
            </w:pPr>
          </w:p>
        </w:tc>
      </w:tr>
      <w:tr>
        <w:trPr>
          <w:trHeight w:val="217"/>
        </w:trPr>
        <w:tc>
          <w:tcPr>
            <w:tcW w:w="44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2024</w:t>
            </w:r>
          </w:p>
        </w:tc>
        <w:tc>
          <w:tcPr>
            <w:tcW w:w="3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2,030</w:t>
            </w:r>
          </w:p>
        </w:tc>
        <w:tc>
          <w:tcPr>
            <w:tcW w:w="100" w:type="dxa"/>
            <w:vAlign w:val="bottom"/>
            <w:shd w:val="clear" w:color="auto" w:fill="CFF0FC"/>
          </w:tcPr>
          <w:p>
            <w:pPr>
              <w:spacing w:after="0"/>
              <w:rPr>
                <w:sz w:val="18"/>
                <w:szCs w:val="18"/>
                <w:color w:val="auto"/>
              </w:rPr>
            </w:pPr>
          </w:p>
        </w:tc>
      </w:tr>
      <w:tr>
        <w:trPr>
          <w:trHeight w:val="215"/>
        </w:trPr>
        <w:tc>
          <w:tcPr>
            <w:tcW w:w="4440" w:type="dxa"/>
            <w:vAlign w:val="bottom"/>
          </w:tcPr>
          <w:p>
            <w:pPr>
              <w:ind w:left="20"/>
              <w:spacing w:after="0" w:line="215" w:lineRule="exact"/>
              <w:rPr>
                <w:sz w:val="20"/>
                <w:szCs w:val="20"/>
                <w:color w:val="auto"/>
              </w:rPr>
            </w:pPr>
            <w:r>
              <w:rPr>
                <w:rFonts w:ascii="Calibri" w:cs="Calibri" w:eastAsia="Calibri" w:hAnsi="Calibri"/>
                <w:sz w:val="18"/>
                <w:szCs w:val="18"/>
                <w:color w:val="auto"/>
              </w:rPr>
              <w:t>2025</w:t>
            </w:r>
          </w:p>
        </w:tc>
        <w:tc>
          <w:tcPr>
            <w:tcW w:w="3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80" w:type="dxa"/>
            <w:vAlign w:val="bottom"/>
          </w:tcPr>
          <w:p>
            <w:pPr>
              <w:jc w:val="right"/>
              <w:spacing w:after="0" w:line="215" w:lineRule="exact"/>
              <w:rPr>
                <w:sz w:val="20"/>
                <w:szCs w:val="20"/>
                <w:color w:val="auto"/>
              </w:rPr>
            </w:pPr>
            <w:r>
              <w:rPr>
                <w:rFonts w:ascii="Calibri" w:cs="Calibri" w:eastAsia="Calibri" w:hAnsi="Calibri"/>
                <w:sz w:val="18"/>
                <w:szCs w:val="18"/>
                <w:color w:val="auto"/>
              </w:rPr>
              <w:t>2,450</w:t>
            </w:r>
          </w:p>
        </w:tc>
        <w:tc>
          <w:tcPr>
            <w:tcW w:w="100" w:type="dxa"/>
            <w:vAlign w:val="bottom"/>
          </w:tcPr>
          <w:p>
            <w:pPr>
              <w:spacing w:after="0"/>
              <w:rPr>
                <w:sz w:val="18"/>
                <w:szCs w:val="18"/>
                <w:color w:val="auto"/>
              </w:rPr>
            </w:pPr>
          </w:p>
        </w:tc>
      </w:tr>
      <w:tr>
        <w:trPr>
          <w:trHeight w:val="217"/>
        </w:trPr>
        <w:tc>
          <w:tcPr>
            <w:tcW w:w="44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2026</w:t>
            </w:r>
          </w:p>
        </w:tc>
        <w:tc>
          <w:tcPr>
            <w:tcW w:w="3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2,471</w:t>
            </w:r>
          </w:p>
        </w:tc>
        <w:tc>
          <w:tcPr>
            <w:tcW w:w="100" w:type="dxa"/>
            <w:vAlign w:val="bottom"/>
            <w:shd w:val="clear" w:color="auto" w:fill="CFF0FC"/>
          </w:tcPr>
          <w:p>
            <w:pPr>
              <w:spacing w:after="0"/>
              <w:rPr>
                <w:sz w:val="18"/>
                <w:szCs w:val="18"/>
                <w:color w:val="auto"/>
              </w:rPr>
            </w:pPr>
          </w:p>
        </w:tc>
      </w:tr>
      <w:tr>
        <w:trPr>
          <w:trHeight w:val="215"/>
        </w:trPr>
        <w:tc>
          <w:tcPr>
            <w:tcW w:w="4440" w:type="dxa"/>
            <w:vAlign w:val="bottom"/>
          </w:tcPr>
          <w:p>
            <w:pPr>
              <w:ind w:left="20"/>
              <w:spacing w:after="0" w:line="215" w:lineRule="exact"/>
              <w:rPr>
                <w:sz w:val="20"/>
                <w:szCs w:val="20"/>
                <w:color w:val="auto"/>
              </w:rPr>
            </w:pPr>
            <w:r>
              <w:rPr>
                <w:rFonts w:ascii="Calibri" w:cs="Calibri" w:eastAsia="Calibri" w:hAnsi="Calibri"/>
                <w:sz w:val="18"/>
                <w:szCs w:val="18"/>
                <w:color w:val="auto"/>
              </w:rPr>
              <w:t>2027</w:t>
            </w:r>
          </w:p>
        </w:tc>
        <w:tc>
          <w:tcPr>
            <w:tcW w:w="3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80" w:type="dxa"/>
            <w:vAlign w:val="bottom"/>
          </w:tcPr>
          <w:p>
            <w:pPr>
              <w:jc w:val="right"/>
              <w:spacing w:after="0" w:line="215" w:lineRule="exact"/>
              <w:rPr>
                <w:sz w:val="20"/>
                <w:szCs w:val="20"/>
                <w:color w:val="auto"/>
              </w:rPr>
            </w:pPr>
            <w:r>
              <w:rPr>
                <w:rFonts w:ascii="Calibri" w:cs="Calibri" w:eastAsia="Calibri" w:hAnsi="Calibri"/>
                <w:sz w:val="18"/>
                <w:szCs w:val="18"/>
                <w:color w:val="auto"/>
              </w:rPr>
              <w:t>2,436</w:t>
            </w:r>
          </w:p>
        </w:tc>
        <w:tc>
          <w:tcPr>
            <w:tcW w:w="100" w:type="dxa"/>
            <w:vAlign w:val="bottom"/>
          </w:tcPr>
          <w:p>
            <w:pPr>
              <w:spacing w:after="0"/>
              <w:rPr>
                <w:sz w:val="18"/>
                <w:szCs w:val="18"/>
                <w:color w:val="auto"/>
              </w:rPr>
            </w:pPr>
          </w:p>
        </w:tc>
      </w:tr>
      <w:tr>
        <w:trPr>
          <w:trHeight w:val="216"/>
        </w:trPr>
        <w:tc>
          <w:tcPr>
            <w:tcW w:w="444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Thereafer</w:t>
            </w:r>
          </w:p>
        </w:tc>
        <w:tc>
          <w:tcPr>
            <w:tcW w:w="32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28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12,300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440" w:type="dxa"/>
            <w:vAlign w:val="bottom"/>
          </w:tcPr>
          <w:p>
            <w:pPr>
              <w:ind w:left="20"/>
              <w:spacing w:after="0" w:line="209" w:lineRule="exact"/>
              <w:rPr>
                <w:sz w:val="20"/>
                <w:szCs w:val="20"/>
                <w:color w:val="auto"/>
              </w:rPr>
            </w:pPr>
            <w:r>
              <w:rPr>
                <w:rFonts w:ascii="Calibri" w:cs="Calibri" w:eastAsia="Calibri" w:hAnsi="Calibri"/>
                <w:sz w:val="18"/>
                <w:szCs w:val="18"/>
                <w:color w:val="auto"/>
              </w:rPr>
              <w:t>Total remaining lease payments</w:t>
            </w:r>
          </w:p>
        </w:tc>
        <w:tc>
          <w:tcPr>
            <w:tcW w:w="3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80" w:type="dxa"/>
            <w:vAlign w:val="bottom"/>
          </w:tcPr>
          <w:p>
            <w:pPr>
              <w:jc w:val="right"/>
              <w:spacing w:after="0" w:line="209" w:lineRule="exact"/>
              <w:rPr>
                <w:sz w:val="20"/>
                <w:szCs w:val="20"/>
                <w:color w:val="auto"/>
              </w:rPr>
            </w:pPr>
            <w:r>
              <w:rPr>
                <w:rFonts w:ascii="Calibri" w:cs="Calibri" w:eastAsia="Calibri" w:hAnsi="Calibri"/>
                <w:sz w:val="18"/>
                <w:szCs w:val="18"/>
                <w:color w:val="auto"/>
              </w:rPr>
              <w:t>23,907</w:t>
            </w:r>
          </w:p>
        </w:tc>
        <w:tc>
          <w:tcPr>
            <w:tcW w:w="100" w:type="dxa"/>
            <w:vAlign w:val="bottom"/>
          </w:tcPr>
          <w:p>
            <w:pPr>
              <w:spacing w:after="0"/>
              <w:rPr>
                <w:sz w:val="18"/>
                <w:szCs w:val="18"/>
                <w:color w:val="auto"/>
              </w:rPr>
            </w:pPr>
          </w:p>
        </w:tc>
      </w:tr>
      <w:tr>
        <w:trPr>
          <w:trHeight w:val="217"/>
        </w:trPr>
        <w:tc>
          <w:tcPr>
            <w:tcW w:w="44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Less: Imputed interest</w:t>
            </w:r>
          </w:p>
        </w:tc>
        <w:tc>
          <w:tcPr>
            <w:tcW w:w="3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7,385</w:t>
            </w:r>
          </w:p>
        </w:tc>
        <w:tc>
          <w:tcPr>
            <w:tcW w:w="100" w:type="dxa"/>
            <w:vAlign w:val="bottom"/>
            <w:shd w:val="clear" w:color="auto" w:fill="CFF0FC"/>
          </w:tcPr>
          <w:p>
            <w:pPr>
              <w:spacing w:after="0"/>
              <w:rPr>
                <w:sz w:val="18"/>
                <w:szCs w:val="18"/>
                <w:color w:val="auto"/>
              </w:rPr>
            </w:pPr>
          </w:p>
        </w:tc>
      </w:tr>
      <w:tr>
        <w:trPr>
          <w:trHeight w:val="215"/>
        </w:trPr>
        <w:tc>
          <w:tcPr>
            <w:tcW w:w="4440" w:type="dxa"/>
            <w:vAlign w:val="bottom"/>
          </w:tcPr>
          <w:p>
            <w:pPr>
              <w:ind w:left="20"/>
              <w:spacing w:after="0" w:line="215" w:lineRule="exact"/>
              <w:rPr>
                <w:sz w:val="20"/>
                <w:szCs w:val="20"/>
                <w:color w:val="auto"/>
              </w:rPr>
            </w:pPr>
            <w:r>
              <w:rPr>
                <w:rFonts w:ascii="Calibri" w:cs="Calibri" w:eastAsia="Calibri" w:hAnsi="Calibri"/>
                <w:sz w:val="18"/>
                <w:szCs w:val="18"/>
                <w:color w:val="auto"/>
              </w:rPr>
              <w:t>Less: expected tenant improvement allowance</w:t>
            </w:r>
          </w:p>
        </w:tc>
        <w:tc>
          <w:tcPr>
            <w:tcW w:w="32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1,127</w:t>
            </w:r>
          </w:p>
        </w:tc>
        <w:tc>
          <w:tcPr>
            <w:tcW w:w="100" w:type="dxa"/>
            <w:vAlign w:val="bottom"/>
          </w:tcPr>
          <w:p>
            <w:pPr>
              <w:spacing w:after="0"/>
              <w:rPr>
                <w:sz w:val="18"/>
                <w:szCs w:val="18"/>
                <w:color w:val="auto"/>
              </w:rPr>
            </w:pPr>
          </w:p>
        </w:tc>
      </w:tr>
      <w:tr>
        <w:trPr>
          <w:trHeight w:val="251"/>
        </w:trPr>
        <w:tc>
          <w:tcPr>
            <w:tcW w:w="444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Present value of lease liabilites</w:t>
            </w:r>
          </w:p>
        </w:tc>
        <w:tc>
          <w:tcPr>
            <w:tcW w:w="32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410"/>
              <w:spacing w:after="0" w:line="210" w:lineRule="exact"/>
              <w:rPr>
                <w:sz w:val="20"/>
                <w:szCs w:val="20"/>
                <w:color w:val="auto"/>
              </w:rPr>
            </w:pPr>
            <w:r>
              <w:rPr>
                <w:rFonts w:ascii="Calibri" w:cs="Calibri" w:eastAsia="Calibri" w:hAnsi="Calibri"/>
                <w:sz w:val="18"/>
                <w:szCs w:val="18"/>
                <w:b w:val="1"/>
                <w:bCs w:val="1"/>
                <w:color w:val="auto"/>
              </w:rPr>
              <w:t>$</w:t>
            </w:r>
          </w:p>
        </w:tc>
        <w:tc>
          <w:tcPr>
            <w:tcW w:w="288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15,395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89"/>
        </w:trPr>
        <w:tc>
          <w:tcPr>
            <w:tcW w:w="4440" w:type="dxa"/>
            <w:vAlign w:val="bottom"/>
          </w:tcPr>
          <w:p>
            <w:pPr>
              <w:spacing w:after="0"/>
              <w:rPr>
                <w:sz w:val="24"/>
                <w:szCs w:val="24"/>
                <w:color w:val="auto"/>
              </w:rPr>
            </w:pPr>
          </w:p>
        </w:tc>
        <w:tc>
          <w:tcPr>
            <w:tcW w:w="3200" w:type="dxa"/>
            <w:vAlign w:val="bottom"/>
          </w:tcPr>
          <w:p>
            <w:pPr>
              <w:jc w:val="right"/>
              <w:ind w:right="1830"/>
              <w:spacing w:after="0"/>
              <w:rPr>
                <w:sz w:val="20"/>
                <w:szCs w:val="20"/>
                <w:color w:val="auto"/>
              </w:rPr>
            </w:pPr>
            <w:r>
              <w:rPr>
                <w:rFonts w:ascii="Calibri" w:cs="Calibri" w:eastAsia="Calibri" w:hAnsi="Calibri"/>
                <w:sz w:val="18"/>
                <w:szCs w:val="18"/>
                <w:color w:val="auto"/>
              </w:rPr>
              <w:t>16</w:t>
            </w:r>
          </w:p>
        </w:tc>
        <w:tc>
          <w:tcPr>
            <w:tcW w:w="6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1"/>
        </w:trPr>
        <w:tc>
          <w:tcPr>
            <w:tcW w:w="4440" w:type="dxa"/>
            <w:vAlign w:val="bottom"/>
            <w:tcBorders>
              <w:bottom w:val="single" w:sz="8" w:color="9A9A9A"/>
            </w:tcBorders>
          </w:tcPr>
          <w:p>
            <w:pPr>
              <w:spacing w:after="0"/>
              <w:rPr>
                <w:sz w:val="9"/>
                <w:szCs w:val="9"/>
                <w:color w:val="auto"/>
              </w:rPr>
            </w:pPr>
          </w:p>
        </w:tc>
        <w:tc>
          <w:tcPr>
            <w:tcW w:w="32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00" w:type="dxa"/>
            <w:vAlign w:val="bottom"/>
          </w:tcPr>
          <w:p>
            <w:pPr>
              <w:spacing w:after="0"/>
              <w:rPr>
                <w:sz w:val="20"/>
                <w:szCs w:val="20"/>
                <w:color w:val="auto"/>
              </w:rPr>
            </w:pPr>
            <w:r>
              <w:rPr>
                <w:rFonts w:ascii="Calibri" w:cs="Calibri" w:eastAsia="Calibri" w:hAnsi="Calibri"/>
                <w:sz w:val="18"/>
                <w:szCs w:val="18"/>
                <w:color w:val="auto"/>
              </w:rPr>
              <w:t>Future lease payments at December 31, 2021 under ASC 840 were as follows (in thousands):</w:t>
            </w:r>
          </w:p>
        </w:tc>
        <w:tc>
          <w:tcPr>
            <w:tcW w:w="6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6"/>
        </w:trPr>
        <w:tc>
          <w:tcPr>
            <w:tcW w:w="7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00" w:type="dxa"/>
            <w:vAlign w:val="bottom"/>
          </w:tcPr>
          <w:p>
            <w:pPr>
              <w:jc w:val="right"/>
              <w:ind w:right="1050"/>
              <w:spacing w:after="0"/>
              <w:rPr>
                <w:sz w:val="20"/>
                <w:szCs w:val="20"/>
                <w:color w:val="auto"/>
              </w:rPr>
            </w:pPr>
            <w:r>
              <w:rPr>
                <w:rFonts w:ascii="Calibri" w:cs="Calibri" w:eastAsia="Calibri" w:hAnsi="Calibri"/>
                <w:sz w:val="18"/>
                <w:szCs w:val="18"/>
                <w:b w:val="1"/>
                <w:bCs w:val="1"/>
                <w:color w:val="auto"/>
              </w:rPr>
              <w:t>Operatng Leases</w:t>
            </w:r>
          </w:p>
        </w:tc>
        <w:tc>
          <w:tcPr>
            <w:tcW w:w="100" w:type="dxa"/>
            <w:vAlign w:val="bottom"/>
          </w:tcPr>
          <w:p>
            <w:pPr>
              <w:spacing w:after="0"/>
              <w:rPr>
                <w:sz w:val="24"/>
                <w:szCs w:val="24"/>
                <w:color w:val="auto"/>
              </w:rPr>
            </w:pPr>
          </w:p>
        </w:tc>
      </w:tr>
      <w:tr>
        <w:trPr>
          <w:trHeight w:val="23"/>
        </w:trPr>
        <w:tc>
          <w:tcPr>
            <w:tcW w:w="76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760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2022</w:t>
            </w:r>
          </w:p>
        </w:tc>
        <w:tc>
          <w:tcPr>
            <w:tcW w:w="640" w:type="dxa"/>
            <w:vAlign w:val="bottom"/>
            <w:shd w:val="clear" w:color="auto" w:fill="CFF0FC"/>
          </w:tcPr>
          <w:p>
            <w:pPr>
              <w:jc w:val="right"/>
              <w:ind w:right="430"/>
              <w:spacing w:after="0" w:line="209" w:lineRule="exact"/>
              <w:rPr>
                <w:sz w:val="20"/>
                <w:szCs w:val="20"/>
                <w:color w:val="auto"/>
              </w:rPr>
            </w:pPr>
            <w:r>
              <w:rPr>
                <w:rFonts w:ascii="Calibri" w:cs="Calibri" w:eastAsia="Calibri" w:hAnsi="Calibri"/>
                <w:sz w:val="18"/>
                <w:szCs w:val="18"/>
                <w:color w:val="auto"/>
              </w:rPr>
              <w:t>$</w:t>
            </w:r>
          </w:p>
        </w:tc>
        <w:tc>
          <w:tcPr>
            <w:tcW w:w="29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3,437</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2023</w:t>
            </w:r>
          </w:p>
        </w:tc>
        <w:tc>
          <w:tcPr>
            <w:tcW w:w="640" w:type="dxa"/>
            <w:vAlign w:val="bottom"/>
          </w:tcPr>
          <w:p>
            <w:pPr>
              <w:spacing w:after="0"/>
              <w:rPr>
                <w:sz w:val="18"/>
                <w:szCs w:val="18"/>
                <w:color w:val="auto"/>
              </w:rPr>
            </w:pPr>
          </w:p>
        </w:tc>
        <w:tc>
          <w:tcPr>
            <w:tcW w:w="2900" w:type="dxa"/>
            <w:vAlign w:val="bottom"/>
          </w:tcPr>
          <w:p>
            <w:pPr>
              <w:jc w:val="right"/>
              <w:spacing w:after="0" w:line="215" w:lineRule="exact"/>
              <w:rPr>
                <w:sz w:val="20"/>
                <w:szCs w:val="20"/>
                <w:color w:val="auto"/>
              </w:rPr>
            </w:pPr>
            <w:r>
              <w:rPr>
                <w:rFonts w:ascii="Calibri" w:cs="Calibri" w:eastAsia="Calibri" w:hAnsi="Calibri"/>
                <w:sz w:val="18"/>
                <w:szCs w:val="18"/>
                <w:color w:val="auto"/>
              </w:rPr>
              <w:t>905</w:t>
            </w:r>
          </w:p>
        </w:tc>
        <w:tc>
          <w:tcPr>
            <w:tcW w:w="100" w:type="dxa"/>
            <w:vAlign w:val="bottom"/>
          </w:tcPr>
          <w:p>
            <w:pPr>
              <w:spacing w:after="0"/>
              <w:rPr>
                <w:sz w:val="18"/>
                <w:szCs w:val="18"/>
                <w:color w:val="auto"/>
              </w:rPr>
            </w:pPr>
          </w:p>
        </w:tc>
      </w:tr>
      <w:tr>
        <w:trPr>
          <w:trHeight w:val="217"/>
        </w:trPr>
        <w:tc>
          <w:tcPr>
            <w:tcW w:w="76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2024</w:t>
            </w:r>
          </w:p>
        </w:tc>
        <w:tc>
          <w:tcPr>
            <w:tcW w:w="640" w:type="dxa"/>
            <w:vAlign w:val="bottom"/>
            <w:shd w:val="clear" w:color="auto" w:fill="CFF0FC"/>
          </w:tcPr>
          <w:p>
            <w:pPr>
              <w:spacing w:after="0"/>
              <w:rPr>
                <w:sz w:val="18"/>
                <w:szCs w:val="18"/>
                <w:color w:val="auto"/>
              </w:rPr>
            </w:pPr>
          </w:p>
        </w:tc>
        <w:tc>
          <w:tcPr>
            <w:tcW w:w="29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2,038</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2025</w:t>
            </w:r>
          </w:p>
        </w:tc>
        <w:tc>
          <w:tcPr>
            <w:tcW w:w="640" w:type="dxa"/>
            <w:vAlign w:val="bottom"/>
          </w:tcPr>
          <w:p>
            <w:pPr>
              <w:spacing w:after="0"/>
              <w:rPr>
                <w:sz w:val="18"/>
                <w:szCs w:val="18"/>
                <w:color w:val="auto"/>
              </w:rPr>
            </w:pPr>
          </w:p>
        </w:tc>
        <w:tc>
          <w:tcPr>
            <w:tcW w:w="2900" w:type="dxa"/>
            <w:vAlign w:val="bottom"/>
          </w:tcPr>
          <w:p>
            <w:pPr>
              <w:jc w:val="right"/>
              <w:spacing w:after="0" w:line="215" w:lineRule="exact"/>
              <w:rPr>
                <w:sz w:val="20"/>
                <w:szCs w:val="20"/>
                <w:color w:val="auto"/>
              </w:rPr>
            </w:pPr>
            <w:r>
              <w:rPr>
                <w:rFonts w:ascii="Calibri" w:cs="Calibri" w:eastAsia="Calibri" w:hAnsi="Calibri"/>
                <w:sz w:val="18"/>
                <w:szCs w:val="18"/>
                <w:color w:val="auto"/>
              </w:rPr>
              <w:t>2,458</w:t>
            </w:r>
          </w:p>
        </w:tc>
        <w:tc>
          <w:tcPr>
            <w:tcW w:w="100" w:type="dxa"/>
            <w:vAlign w:val="bottom"/>
          </w:tcPr>
          <w:p>
            <w:pPr>
              <w:spacing w:after="0"/>
              <w:rPr>
                <w:sz w:val="18"/>
                <w:szCs w:val="18"/>
                <w:color w:val="auto"/>
              </w:rPr>
            </w:pPr>
          </w:p>
        </w:tc>
      </w:tr>
      <w:tr>
        <w:trPr>
          <w:trHeight w:val="217"/>
        </w:trPr>
        <w:tc>
          <w:tcPr>
            <w:tcW w:w="76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2026</w:t>
            </w:r>
          </w:p>
        </w:tc>
        <w:tc>
          <w:tcPr>
            <w:tcW w:w="640" w:type="dxa"/>
            <w:vAlign w:val="bottom"/>
            <w:shd w:val="clear" w:color="auto" w:fill="CFF0FC"/>
          </w:tcPr>
          <w:p>
            <w:pPr>
              <w:spacing w:after="0"/>
              <w:rPr>
                <w:sz w:val="18"/>
                <w:szCs w:val="18"/>
                <w:color w:val="auto"/>
              </w:rPr>
            </w:pPr>
          </w:p>
        </w:tc>
        <w:tc>
          <w:tcPr>
            <w:tcW w:w="29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2,477</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Thereafer</w:t>
            </w:r>
          </w:p>
        </w:tc>
        <w:tc>
          <w:tcPr>
            <w:tcW w:w="6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14,736</w:t>
            </w:r>
          </w:p>
        </w:tc>
        <w:tc>
          <w:tcPr>
            <w:tcW w:w="100" w:type="dxa"/>
            <w:vAlign w:val="bottom"/>
          </w:tcPr>
          <w:p>
            <w:pPr>
              <w:spacing w:after="0"/>
              <w:rPr>
                <w:sz w:val="18"/>
                <w:szCs w:val="18"/>
                <w:color w:val="auto"/>
              </w:rPr>
            </w:pPr>
          </w:p>
        </w:tc>
      </w:tr>
      <w:tr>
        <w:trPr>
          <w:trHeight w:val="250"/>
        </w:trPr>
        <w:tc>
          <w:tcPr>
            <w:tcW w:w="760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Total remaining lease payments</w:t>
            </w:r>
          </w:p>
        </w:tc>
        <w:tc>
          <w:tcPr>
            <w:tcW w:w="640" w:type="dxa"/>
            <w:vAlign w:val="bottom"/>
            <w:tcBorders>
              <w:bottom w:val="single" w:sz="8" w:color="auto"/>
            </w:tcBorders>
            <w:shd w:val="clear" w:color="auto" w:fill="CFF0FC"/>
          </w:tcPr>
          <w:p>
            <w:pPr>
              <w:jc w:val="right"/>
              <w:ind w:right="430"/>
              <w:spacing w:after="0" w:line="209" w:lineRule="exact"/>
              <w:rPr>
                <w:sz w:val="20"/>
                <w:szCs w:val="20"/>
                <w:color w:val="auto"/>
              </w:rPr>
            </w:pPr>
            <w:r>
              <w:rPr>
                <w:rFonts w:ascii="Calibri" w:cs="Calibri" w:eastAsia="Calibri" w:hAnsi="Calibri"/>
                <w:sz w:val="18"/>
                <w:szCs w:val="18"/>
                <w:b w:val="1"/>
                <w:bCs w:val="1"/>
                <w:color w:val="auto"/>
              </w:rPr>
              <w:t>$</w:t>
            </w:r>
          </w:p>
        </w:tc>
        <w:tc>
          <w:tcPr>
            <w:tcW w:w="29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26,051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7. Goodwill and Intangible Assets</w:t>
      </w:r>
    </w:p>
    <w:p>
      <w:pPr>
        <w:spacing w:after="0" w:line="136"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Defnite-lived intangible assets includes developed technology and customer relatonships, which had a net carrying amount of $16.9 million and $13.8 million at September 30, 2022 and December 31, 2021, respectvely. At September 30, 2022 and December 31, 2021, accumulated amortzaton related to our developed technology was $7.5 million and $2.5 million, respectvely.</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color w:val="auto"/>
        </w:rPr>
        <w:t>Our goodwill is included in our Marketplace segment.</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The net changes in the carrying amounts of our intangible assets and goodwill were as follows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60" w:type="dxa"/>
            <w:vAlign w:val="bottom"/>
          </w:tcPr>
          <w:p>
            <w:pPr>
              <w:spacing w:after="0"/>
              <w:rPr>
                <w:sz w:val="19"/>
                <w:szCs w:val="19"/>
                <w:color w:val="auto"/>
              </w:rPr>
            </w:pPr>
          </w:p>
        </w:tc>
        <w:tc>
          <w:tcPr>
            <w:tcW w:w="2220" w:type="dxa"/>
            <w:vAlign w:val="bottom"/>
            <w:gridSpan w:val="3"/>
          </w:tcPr>
          <w:p>
            <w:pPr>
              <w:jc w:val="right"/>
              <w:ind w:right="380"/>
              <w:spacing w:after="0"/>
              <w:rPr>
                <w:sz w:val="20"/>
                <w:szCs w:val="20"/>
                <w:color w:val="auto"/>
              </w:rPr>
            </w:pPr>
            <w:r>
              <w:rPr>
                <w:rFonts w:ascii="Calibri" w:cs="Calibri" w:eastAsia="Calibri" w:hAnsi="Calibri"/>
                <w:sz w:val="18"/>
                <w:szCs w:val="18"/>
                <w:b w:val="1"/>
                <w:bCs w:val="1"/>
                <w:color w:val="auto"/>
              </w:rPr>
              <w:t>Defnite-lived Intangible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gridSpan w:val="2"/>
          </w:tcPr>
          <w:p>
            <w:pPr>
              <w:jc w:val="right"/>
              <w:ind w:right="1000"/>
              <w:spacing w:after="0" w:line="215" w:lineRule="exact"/>
              <w:rPr>
                <w:sz w:val="20"/>
                <w:szCs w:val="20"/>
                <w:color w:val="auto"/>
              </w:rPr>
            </w:pPr>
            <w:r>
              <w:rPr>
                <w:rFonts w:ascii="Calibri" w:cs="Calibri" w:eastAsia="Calibri" w:hAnsi="Calibri"/>
                <w:sz w:val="18"/>
                <w:szCs w:val="18"/>
                <w:b w:val="1"/>
                <w:bCs w:val="1"/>
                <w:color w:val="auto"/>
              </w:rPr>
              <w:t>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ind w:left="100"/>
              <w:spacing w:after="0" w:line="215" w:lineRule="exact"/>
              <w:rPr>
                <w:sz w:val="20"/>
                <w:szCs w:val="20"/>
                <w:color w:val="auto"/>
              </w:rPr>
            </w:pPr>
            <w:r>
              <w:rPr>
                <w:rFonts w:ascii="Calibri" w:cs="Calibri" w:eastAsia="Calibri" w:hAnsi="Calibri"/>
                <w:sz w:val="18"/>
                <w:szCs w:val="18"/>
                <w:b w:val="1"/>
                <w:bCs w:val="1"/>
                <w:color w:val="auto"/>
              </w:rPr>
              <w:t>Trademark</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440"/>
              <w:spacing w:after="0" w:line="215" w:lineRule="exact"/>
              <w:rPr>
                <w:sz w:val="20"/>
                <w:szCs w:val="20"/>
                <w:color w:val="auto"/>
              </w:rPr>
            </w:pPr>
            <w:r>
              <w:rPr>
                <w:rFonts w:ascii="Calibri" w:cs="Calibri" w:eastAsia="Calibri" w:hAnsi="Calibri"/>
                <w:sz w:val="18"/>
                <w:szCs w:val="18"/>
                <w:b w:val="1"/>
                <w:bCs w:val="1"/>
                <w:color w:val="auto"/>
              </w:rPr>
              <w:t>Goodwill</w:t>
            </w:r>
          </w:p>
        </w:tc>
        <w:tc>
          <w:tcPr>
            <w:tcW w:w="0" w:type="dxa"/>
            <w:vAlign w:val="bottom"/>
          </w:tcPr>
          <w:p>
            <w:pPr>
              <w:spacing w:after="0"/>
              <w:rPr>
                <w:sz w:val="1"/>
                <w:szCs w:val="1"/>
                <w:color w:val="auto"/>
              </w:rPr>
            </w:pPr>
          </w:p>
        </w:tc>
      </w:tr>
      <w:tr>
        <w:trPr>
          <w:trHeight w:val="23"/>
        </w:trPr>
        <w:tc>
          <w:tcPr>
            <w:tcW w:w="5860" w:type="dxa"/>
            <w:vAlign w:val="bottom"/>
            <w:vMerge w:val="restart"/>
          </w:tcPr>
          <w:p>
            <w:pPr>
              <w:ind w:left="20"/>
              <w:spacing w:after="0"/>
              <w:rPr>
                <w:sz w:val="20"/>
                <w:szCs w:val="20"/>
                <w:color w:val="auto"/>
              </w:rPr>
            </w:pPr>
            <w:r>
              <w:rPr>
                <w:rFonts w:ascii="Calibri" w:cs="Calibri" w:eastAsia="Calibri" w:hAnsi="Calibri"/>
                <w:sz w:val="18"/>
                <w:szCs w:val="18"/>
                <w:color w:val="auto"/>
              </w:rPr>
              <w:t>Balance at January 1, 2022</w:t>
            </w: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60" w:type="dxa"/>
            <w:vAlign w:val="bottom"/>
            <w:vMerge w:val="continue"/>
          </w:tcPr>
          <w:p>
            <w:pPr>
              <w:spacing w:after="0"/>
              <w:rPr>
                <w:sz w:val="18"/>
                <w:szCs w:val="18"/>
                <w:color w:val="auto"/>
              </w:rPr>
            </w:pPr>
          </w:p>
        </w:tc>
        <w:tc>
          <w:tcPr>
            <w:tcW w:w="420" w:type="dxa"/>
            <w:vAlign w:val="bottom"/>
          </w:tcPr>
          <w:p>
            <w:pPr>
              <w:jc w:val="right"/>
              <w:ind w:right="210"/>
              <w:spacing w:after="0" w:line="209" w:lineRule="exact"/>
              <w:rPr>
                <w:sz w:val="20"/>
                <w:szCs w:val="20"/>
                <w:color w:val="auto"/>
              </w:rPr>
            </w:pPr>
            <w:r>
              <w:rPr>
                <w:rFonts w:ascii="Calibri" w:cs="Calibri" w:eastAsia="Calibri" w:hAnsi="Calibri"/>
                <w:sz w:val="18"/>
                <w:szCs w:val="18"/>
                <w:color w:val="auto"/>
              </w:rPr>
              <w:t>$</w:t>
            </w:r>
          </w:p>
        </w:tc>
        <w:tc>
          <w:tcPr>
            <w:tcW w:w="1540" w:type="dxa"/>
            <w:vAlign w:val="bottom"/>
          </w:tcPr>
          <w:p>
            <w:pPr>
              <w:jc w:val="right"/>
              <w:spacing w:after="0" w:line="209" w:lineRule="exact"/>
              <w:rPr>
                <w:sz w:val="20"/>
                <w:szCs w:val="20"/>
                <w:color w:val="auto"/>
              </w:rPr>
            </w:pPr>
            <w:r>
              <w:rPr>
                <w:rFonts w:ascii="Calibri" w:cs="Calibri" w:eastAsia="Calibri" w:hAnsi="Calibri"/>
                <w:sz w:val="18"/>
                <w:szCs w:val="18"/>
                <w:color w:val="auto"/>
              </w:rPr>
              <w:t>13,845</w:t>
            </w:r>
          </w:p>
        </w:tc>
        <w:tc>
          <w:tcPr>
            <w:tcW w:w="260" w:type="dxa"/>
            <w:vAlign w:val="bottom"/>
          </w:tcPr>
          <w:p>
            <w:pPr>
              <w:spacing w:after="0"/>
              <w:rPr>
                <w:sz w:val="18"/>
                <w:szCs w:val="18"/>
                <w:color w:val="auto"/>
              </w:rPr>
            </w:pPr>
          </w:p>
        </w:tc>
        <w:tc>
          <w:tcPr>
            <w:tcW w:w="240" w:type="dxa"/>
            <w:vAlign w:val="bottom"/>
            <w:gridSpan w:val="2"/>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1240" w:type="dxa"/>
            <w:vAlign w:val="bottom"/>
          </w:tcPr>
          <w:p>
            <w:pPr>
              <w:jc w:val="right"/>
              <w:spacing w:after="0" w:line="209" w:lineRule="exact"/>
              <w:rPr>
                <w:sz w:val="20"/>
                <w:szCs w:val="20"/>
                <w:color w:val="auto"/>
              </w:rPr>
            </w:pPr>
            <w:r>
              <w:rPr>
                <w:rFonts w:ascii="Calibri" w:cs="Calibri" w:eastAsia="Calibri" w:hAnsi="Calibri"/>
                <w:sz w:val="18"/>
                <w:szCs w:val="18"/>
                <w:color w:val="auto"/>
              </w:rPr>
              <w:t>64,666</w:t>
            </w:r>
          </w:p>
        </w:tc>
        <w:tc>
          <w:tcPr>
            <w:tcW w:w="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20" w:type="dxa"/>
            <w:vAlign w:val="bottom"/>
            <w:gridSpan w:val="2"/>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09" w:lineRule="exact"/>
              <w:rPr>
                <w:sz w:val="20"/>
                <w:szCs w:val="20"/>
                <w:color w:val="auto"/>
              </w:rPr>
            </w:pPr>
            <w:r>
              <w:rPr>
                <w:rFonts w:ascii="Calibri" w:cs="Calibri" w:eastAsia="Calibri" w:hAnsi="Calibri"/>
                <w:sz w:val="18"/>
                <w:szCs w:val="18"/>
                <w:color w:val="auto"/>
              </w:rPr>
              <w:t>718,204</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Acquisiton adjustment</w:t>
            </w:r>
          </w:p>
        </w:tc>
        <w:tc>
          <w:tcPr>
            <w:tcW w:w="4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(890 )</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260"/>
              <w:spacing w:after="0" w:line="216" w:lineRule="exact"/>
              <w:rPr>
                <w:sz w:val="20"/>
                <w:szCs w:val="20"/>
                <w:color w:val="auto"/>
              </w:rPr>
            </w:pPr>
            <w:r>
              <w:rPr>
                <w:rFonts w:ascii="Calibri" w:cs="Calibri" w:eastAsia="Calibri" w:hAnsi="Calibri"/>
                <w:sz w:val="18"/>
                <w:szCs w:val="18"/>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(2,946 )</w:t>
            </w:r>
          </w:p>
        </w:tc>
        <w:tc>
          <w:tcPr>
            <w:tcW w:w="0" w:type="dxa"/>
            <w:vAlign w:val="bottom"/>
          </w:tcPr>
          <w:p>
            <w:pPr>
              <w:spacing w:after="0"/>
              <w:rPr>
                <w:sz w:val="1"/>
                <w:szCs w:val="1"/>
                <w:color w:val="auto"/>
              </w:rPr>
            </w:pPr>
          </w:p>
        </w:tc>
      </w:tr>
      <w:tr>
        <w:trPr>
          <w:trHeight w:val="215"/>
        </w:trPr>
        <w:tc>
          <w:tcPr>
            <w:tcW w:w="5860" w:type="dxa"/>
            <w:vAlign w:val="bottom"/>
          </w:tcPr>
          <w:p>
            <w:pPr>
              <w:ind w:left="20"/>
              <w:spacing w:after="0" w:line="215" w:lineRule="exact"/>
              <w:rPr>
                <w:sz w:val="20"/>
                <w:szCs w:val="20"/>
                <w:color w:val="auto"/>
              </w:rPr>
            </w:pPr>
            <w:r>
              <w:rPr>
                <w:rFonts w:ascii="Calibri" w:cs="Calibri" w:eastAsia="Calibri" w:hAnsi="Calibri"/>
                <w:sz w:val="18"/>
                <w:szCs w:val="18"/>
                <w:color w:val="auto"/>
              </w:rPr>
              <w:t>Capitalized development costs</w:t>
            </w:r>
          </w:p>
        </w:tc>
        <w:tc>
          <w:tcPr>
            <w:tcW w:w="420" w:type="dxa"/>
            <w:vAlign w:val="bottom"/>
          </w:tcPr>
          <w:p>
            <w:pPr>
              <w:spacing w:after="0"/>
              <w:rPr>
                <w:sz w:val="18"/>
                <w:szCs w:val="18"/>
                <w:color w:val="auto"/>
              </w:rPr>
            </w:pPr>
          </w:p>
        </w:tc>
        <w:tc>
          <w:tcPr>
            <w:tcW w:w="1540" w:type="dxa"/>
            <w:vAlign w:val="bottom"/>
          </w:tcPr>
          <w:p>
            <w:pPr>
              <w:jc w:val="right"/>
              <w:spacing w:after="0" w:line="215" w:lineRule="exact"/>
              <w:rPr>
                <w:sz w:val="20"/>
                <w:szCs w:val="20"/>
                <w:color w:val="auto"/>
              </w:rPr>
            </w:pPr>
            <w:r>
              <w:rPr>
                <w:rFonts w:ascii="Calibri" w:cs="Calibri" w:eastAsia="Calibri" w:hAnsi="Calibri"/>
                <w:sz w:val="18"/>
                <w:szCs w:val="18"/>
                <w:color w:val="auto"/>
              </w:rPr>
              <w:t>8,988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Amortzaton</w:t>
            </w:r>
          </w:p>
        </w:tc>
        <w:tc>
          <w:tcPr>
            <w:tcW w:w="4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(5,009 )</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260"/>
              <w:spacing w:after="0" w:line="216" w:lineRule="exact"/>
              <w:rPr>
                <w:sz w:val="20"/>
                <w:szCs w:val="20"/>
                <w:color w:val="auto"/>
              </w:rPr>
            </w:pPr>
            <w:r>
              <w:rPr>
                <w:rFonts w:ascii="Calibri" w:cs="Calibri" w:eastAsia="Calibri" w:hAnsi="Calibri"/>
                <w:sz w:val="18"/>
                <w:szCs w:val="18"/>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0"/>
        </w:trPr>
        <w:tc>
          <w:tcPr>
            <w:tcW w:w="5860" w:type="dxa"/>
            <w:vAlign w:val="bottom"/>
            <w:tcBorders>
              <w:top w:val="single" w:sz="8" w:color="CFF0FC"/>
            </w:tcBorders>
          </w:tcPr>
          <w:p>
            <w:pPr>
              <w:ind w:left="20"/>
              <w:spacing w:after="0" w:line="210" w:lineRule="exact"/>
              <w:rPr>
                <w:sz w:val="20"/>
                <w:szCs w:val="20"/>
                <w:color w:val="auto"/>
              </w:rPr>
            </w:pPr>
            <w:r>
              <w:rPr>
                <w:rFonts w:ascii="Calibri" w:cs="Calibri" w:eastAsia="Calibri" w:hAnsi="Calibri"/>
                <w:sz w:val="18"/>
                <w:szCs w:val="18"/>
                <w:b w:val="1"/>
                <w:bCs w:val="1"/>
                <w:color w:val="auto"/>
              </w:rPr>
              <w:t>Balance at September 30, 2022</w:t>
            </w:r>
          </w:p>
        </w:tc>
        <w:tc>
          <w:tcPr>
            <w:tcW w:w="420" w:type="dxa"/>
            <w:vAlign w:val="bottom"/>
            <w:tcBorders>
              <w:top w:val="single" w:sz="8" w:color="auto"/>
              <w:bottom w:val="single" w:sz="8" w:color="auto"/>
            </w:tcBorders>
          </w:tcPr>
          <w:p>
            <w:pPr>
              <w:jc w:val="right"/>
              <w:ind w:right="210"/>
              <w:spacing w:after="0" w:line="210" w:lineRule="exact"/>
              <w:rPr>
                <w:sz w:val="20"/>
                <w:szCs w:val="20"/>
                <w:color w:val="auto"/>
              </w:rPr>
            </w:pPr>
            <w:r>
              <w:rPr>
                <w:rFonts w:ascii="Calibri" w:cs="Calibri" w:eastAsia="Calibri" w:hAnsi="Calibri"/>
                <w:sz w:val="18"/>
                <w:szCs w:val="18"/>
                <w:b w:val="1"/>
                <w:bCs w:val="1"/>
                <w:color w:val="auto"/>
              </w:rPr>
              <w:t>$</w:t>
            </w:r>
          </w:p>
        </w:tc>
        <w:tc>
          <w:tcPr>
            <w:tcW w:w="154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16,934</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50"/>
              <w:spacing w:after="0" w:line="210" w:lineRule="exact"/>
              <w:rPr>
                <w:sz w:val="20"/>
                <w:szCs w:val="20"/>
                <w:color w:val="auto"/>
              </w:rPr>
            </w:pPr>
            <w:r>
              <w:rPr>
                <w:rFonts w:ascii="Calibri" w:cs="Calibri" w:eastAsia="Calibri" w:hAnsi="Calibri"/>
                <w:sz w:val="18"/>
                <w:szCs w:val="18"/>
                <w:b w:val="1"/>
                <w:bCs w:val="1"/>
                <w:color w:val="auto"/>
                <w:w w:val="87"/>
              </w:rPr>
              <w:t>$</w:t>
            </w:r>
          </w:p>
        </w:tc>
        <w:tc>
          <w:tcPr>
            <w:tcW w:w="124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64,666</w:t>
            </w:r>
          </w:p>
        </w:tc>
        <w:tc>
          <w:tcPr>
            <w:tcW w:w="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30"/>
              <w:spacing w:after="0" w:line="210" w:lineRule="exact"/>
              <w:rPr>
                <w:sz w:val="20"/>
                <w:szCs w:val="20"/>
                <w:color w:val="auto"/>
              </w:rPr>
            </w:pPr>
            <w:r>
              <w:rPr>
                <w:rFonts w:ascii="Calibri" w:cs="Calibri" w:eastAsia="Calibri" w:hAnsi="Calibri"/>
                <w:sz w:val="18"/>
                <w:szCs w:val="18"/>
                <w:b w:val="1"/>
                <w:bCs w:val="1"/>
                <w:color w:val="auto"/>
                <w:w w:val="87"/>
              </w:rPr>
              <w:t>$</w:t>
            </w:r>
          </w:p>
        </w:tc>
        <w:tc>
          <w:tcPr>
            <w:tcW w:w="112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715,258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5860" w:type="dxa"/>
            <w:vAlign w:val="bottom"/>
          </w:tcPr>
          <w:p>
            <w:pPr>
              <w:spacing w:after="0"/>
              <w:rPr>
                <w:sz w:val="24"/>
                <w:szCs w:val="24"/>
                <w:color w:val="auto"/>
              </w:rPr>
            </w:pPr>
          </w:p>
        </w:tc>
        <w:tc>
          <w:tcPr>
            <w:tcW w:w="2220" w:type="dxa"/>
            <w:vAlign w:val="bottom"/>
            <w:gridSpan w:val="3"/>
          </w:tcPr>
          <w:p>
            <w:pPr>
              <w:jc w:val="right"/>
              <w:ind w:right="380"/>
              <w:spacing w:after="0"/>
              <w:rPr>
                <w:sz w:val="20"/>
                <w:szCs w:val="20"/>
                <w:color w:val="auto"/>
              </w:rPr>
            </w:pPr>
            <w:r>
              <w:rPr>
                <w:rFonts w:ascii="Calibri" w:cs="Calibri" w:eastAsia="Calibri" w:hAnsi="Calibri"/>
                <w:sz w:val="18"/>
                <w:szCs w:val="18"/>
                <w:b w:val="1"/>
                <w:bCs w:val="1"/>
                <w:color w:val="auto"/>
              </w:rPr>
              <w:t>Defnite-lived Intangible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gridSpan w:val="2"/>
          </w:tcPr>
          <w:p>
            <w:pPr>
              <w:jc w:val="right"/>
              <w:ind w:right="1000"/>
              <w:spacing w:after="0" w:line="215" w:lineRule="exact"/>
              <w:rPr>
                <w:sz w:val="20"/>
                <w:szCs w:val="20"/>
                <w:color w:val="auto"/>
              </w:rPr>
            </w:pPr>
            <w:r>
              <w:rPr>
                <w:rFonts w:ascii="Calibri" w:cs="Calibri" w:eastAsia="Calibri" w:hAnsi="Calibri"/>
                <w:sz w:val="18"/>
                <w:szCs w:val="18"/>
                <w:b w:val="1"/>
                <w:bCs w:val="1"/>
                <w:color w:val="auto"/>
              </w:rPr>
              <w:t>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ind w:left="120"/>
              <w:spacing w:after="0" w:line="215" w:lineRule="exact"/>
              <w:rPr>
                <w:sz w:val="20"/>
                <w:szCs w:val="20"/>
                <w:color w:val="auto"/>
              </w:rPr>
            </w:pPr>
            <w:r>
              <w:rPr>
                <w:rFonts w:ascii="Calibri" w:cs="Calibri" w:eastAsia="Calibri" w:hAnsi="Calibri"/>
                <w:sz w:val="18"/>
                <w:szCs w:val="18"/>
                <w:b w:val="1"/>
                <w:bCs w:val="1"/>
                <w:color w:val="auto"/>
              </w:rPr>
              <w:t>Trademark</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440"/>
              <w:spacing w:after="0" w:line="215" w:lineRule="exact"/>
              <w:rPr>
                <w:sz w:val="20"/>
                <w:szCs w:val="20"/>
                <w:color w:val="auto"/>
              </w:rPr>
            </w:pPr>
            <w:r>
              <w:rPr>
                <w:rFonts w:ascii="Calibri" w:cs="Calibri" w:eastAsia="Calibri" w:hAnsi="Calibri"/>
                <w:sz w:val="18"/>
                <w:szCs w:val="18"/>
                <w:b w:val="1"/>
                <w:bCs w:val="1"/>
                <w:color w:val="auto"/>
              </w:rPr>
              <w:t>Goodwill</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Balance at January 1, 2021</w:t>
            </w:r>
          </w:p>
        </w:tc>
        <w:tc>
          <w:tcPr>
            <w:tcW w:w="420" w:type="dxa"/>
            <w:vAlign w:val="bottom"/>
            <w:shd w:val="clear" w:color="auto" w:fill="CFF0FC"/>
          </w:tcPr>
          <w:p>
            <w:pPr>
              <w:jc w:val="right"/>
              <w:ind w:right="210"/>
              <w:spacing w:after="0" w:line="209" w:lineRule="exact"/>
              <w:rPr>
                <w:sz w:val="20"/>
                <w:szCs w:val="20"/>
                <w:color w:val="auto"/>
              </w:rPr>
            </w:pPr>
            <w:r>
              <w:rPr>
                <w:rFonts w:ascii="Calibri" w:cs="Calibri" w:eastAsia="Calibri" w:hAnsi="Calibri"/>
                <w:sz w:val="18"/>
                <w:szCs w:val="18"/>
                <w:color w:val="auto"/>
              </w:rPr>
              <w:t>$</w:t>
            </w:r>
          </w:p>
        </w:tc>
        <w:tc>
          <w:tcPr>
            <w:tcW w:w="15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2,358</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1260" w:type="dxa"/>
            <w:vAlign w:val="bottom"/>
            <w:gridSpan w:val="2"/>
            <w:shd w:val="clear" w:color="auto" w:fill="CFF0FC"/>
          </w:tcPr>
          <w:p>
            <w:pPr>
              <w:jc w:val="right"/>
              <w:ind w:right="20"/>
              <w:spacing w:after="0" w:line="209" w:lineRule="exact"/>
              <w:rPr>
                <w:sz w:val="20"/>
                <w:szCs w:val="20"/>
                <w:color w:val="auto"/>
              </w:rPr>
            </w:pPr>
            <w:r>
              <w:rPr>
                <w:rFonts w:ascii="Calibri" w:cs="Calibri" w:eastAsia="Calibri" w:hAnsi="Calibri"/>
                <w:sz w:val="18"/>
                <w:szCs w:val="18"/>
                <w:color w:val="auto"/>
              </w:rPr>
              <w:t>64,666</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683,327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tcPr>
          <w:p>
            <w:pPr>
              <w:ind w:left="20"/>
              <w:spacing w:after="0" w:line="215" w:lineRule="exact"/>
              <w:rPr>
                <w:sz w:val="20"/>
                <w:szCs w:val="20"/>
                <w:color w:val="auto"/>
              </w:rPr>
            </w:pPr>
            <w:r>
              <w:rPr>
                <w:rFonts w:ascii="Calibri" w:cs="Calibri" w:eastAsia="Calibri" w:hAnsi="Calibri"/>
                <w:sz w:val="18"/>
                <w:szCs w:val="18"/>
                <w:color w:val="auto"/>
              </w:rPr>
              <w:t>Capitalized development costs</w:t>
            </w:r>
          </w:p>
        </w:tc>
        <w:tc>
          <w:tcPr>
            <w:tcW w:w="420" w:type="dxa"/>
            <w:vAlign w:val="bottom"/>
          </w:tcPr>
          <w:p>
            <w:pPr>
              <w:spacing w:after="0"/>
              <w:rPr>
                <w:sz w:val="18"/>
                <w:szCs w:val="18"/>
                <w:color w:val="auto"/>
              </w:rPr>
            </w:pPr>
          </w:p>
        </w:tc>
        <w:tc>
          <w:tcPr>
            <w:tcW w:w="1540" w:type="dxa"/>
            <w:vAlign w:val="bottom"/>
          </w:tcPr>
          <w:p>
            <w:pPr>
              <w:jc w:val="right"/>
              <w:spacing w:after="0" w:line="215" w:lineRule="exact"/>
              <w:rPr>
                <w:sz w:val="20"/>
                <w:szCs w:val="20"/>
                <w:color w:val="auto"/>
              </w:rPr>
            </w:pPr>
            <w:r>
              <w:rPr>
                <w:rFonts w:ascii="Calibri" w:cs="Calibri" w:eastAsia="Calibri" w:hAnsi="Calibri"/>
                <w:sz w:val="18"/>
                <w:szCs w:val="18"/>
                <w:color w:val="auto"/>
              </w:rPr>
              <w:t>6,558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Amortzaton</w:t>
            </w:r>
          </w:p>
        </w:tc>
        <w:tc>
          <w:tcPr>
            <w:tcW w:w="4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(1,480 )</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0"/>
        </w:trPr>
        <w:tc>
          <w:tcPr>
            <w:tcW w:w="5860" w:type="dxa"/>
            <w:vAlign w:val="bottom"/>
            <w:tcBorders>
              <w:top w:val="single" w:sz="8" w:color="CFF0FC"/>
            </w:tcBorders>
          </w:tcPr>
          <w:p>
            <w:pPr>
              <w:ind w:left="20"/>
              <w:spacing w:after="0" w:line="210" w:lineRule="exact"/>
              <w:rPr>
                <w:sz w:val="20"/>
                <w:szCs w:val="20"/>
                <w:color w:val="auto"/>
              </w:rPr>
            </w:pPr>
            <w:r>
              <w:rPr>
                <w:rFonts w:ascii="Calibri" w:cs="Calibri" w:eastAsia="Calibri" w:hAnsi="Calibri"/>
                <w:sz w:val="18"/>
                <w:szCs w:val="18"/>
                <w:b w:val="1"/>
                <w:bCs w:val="1"/>
                <w:color w:val="auto"/>
              </w:rPr>
              <w:t>Balance at September 30, 2021</w:t>
            </w:r>
          </w:p>
        </w:tc>
        <w:tc>
          <w:tcPr>
            <w:tcW w:w="420" w:type="dxa"/>
            <w:vAlign w:val="bottom"/>
            <w:tcBorders>
              <w:top w:val="single" w:sz="8" w:color="auto"/>
              <w:bottom w:val="single" w:sz="8" w:color="auto"/>
            </w:tcBorders>
          </w:tcPr>
          <w:p>
            <w:pPr>
              <w:jc w:val="right"/>
              <w:ind w:right="210"/>
              <w:spacing w:after="0" w:line="210" w:lineRule="exact"/>
              <w:rPr>
                <w:sz w:val="20"/>
                <w:szCs w:val="20"/>
                <w:color w:val="auto"/>
              </w:rPr>
            </w:pPr>
            <w:r>
              <w:rPr>
                <w:rFonts w:ascii="Calibri" w:cs="Calibri" w:eastAsia="Calibri" w:hAnsi="Calibri"/>
                <w:sz w:val="18"/>
                <w:szCs w:val="18"/>
                <w:b w:val="1"/>
                <w:bCs w:val="1"/>
                <w:color w:val="auto"/>
              </w:rPr>
              <w:t>$</w:t>
            </w:r>
          </w:p>
        </w:tc>
        <w:tc>
          <w:tcPr>
            <w:tcW w:w="154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7,436</w:t>
            </w:r>
          </w:p>
        </w:tc>
        <w:tc>
          <w:tcPr>
            <w:tcW w:w="26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10" w:lineRule="exact"/>
              <w:rPr>
                <w:sz w:val="20"/>
                <w:szCs w:val="20"/>
                <w:color w:val="auto"/>
              </w:rPr>
            </w:pPr>
            <w:r>
              <w:rPr>
                <w:rFonts w:ascii="Calibri" w:cs="Calibri" w:eastAsia="Calibri" w:hAnsi="Calibri"/>
                <w:sz w:val="18"/>
                <w:szCs w:val="18"/>
                <w:b w:val="1"/>
                <w:bCs w:val="1"/>
                <w:color w:val="auto"/>
                <w:w w:val="87"/>
              </w:rPr>
              <w:t>$</w:t>
            </w:r>
          </w:p>
        </w:tc>
        <w:tc>
          <w:tcPr>
            <w:tcW w:w="1260" w:type="dxa"/>
            <w:vAlign w:val="bottom"/>
            <w:tcBorders>
              <w:top w:val="single" w:sz="8" w:color="auto"/>
              <w:bottom w:val="single" w:sz="8" w:color="auto"/>
            </w:tcBorders>
            <w:gridSpan w:val="2"/>
          </w:tcPr>
          <w:p>
            <w:pPr>
              <w:jc w:val="right"/>
              <w:ind w:right="20"/>
              <w:spacing w:after="0" w:line="210" w:lineRule="exact"/>
              <w:rPr>
                <w:sz w:val="20"/>
                <w:szCs w:val="20"/>
                <w:color w:val="auto"/>
              </w:rPr>
            </w:pPr>
            <w:r>
              <w:rPr>
                <w:rFonts w:ascii="Calibri" w:cs="Calibri" w:eastAsia="Calibri" w:hAnsi="Calibri"/>
                <w:sz w:val="18"/>
                <w:szCs w:val="18"/>
                <w:b w:val="1"/>
                <w:bCs w:val="1"/>
                <w:color w:val="auto"/>
              </w:rPr>
              <w:t>64,666</w:t>
            </w:r>
          </w:p>
        </w:tc>
        <w:tc>
          <w:tcPr>
            <w:tcW w:w="22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10" w:lineRule="exact"/>
              <w:rPr>
                <w:sz w:val="20"/>
                <w:szCs w:val="20"/>
                <w:color w:val="auto"/>
              </w:rPr>
            </w:pPr>
            <w:r>
              <w:rPr>
                <w:rFonts w:ascii="Calibri" w:cs="Calibri" w:eastAsia="Calibri" w:hAnsi="Calibri"/>
                <w:sz w:val="18"/>
                <w:szCs w:val="18"/>
                <w:b w:val="1"/>
                <w:bCs w:val="1"/>
                <w:color w:val="auto"/>
                <w:w w:val="87"/>
              </w:rPr>
              <w:t>$</w:t>
            </w:r>
          </w:p>
        </w:tc>
        <w:tc>
          <w:tcPr>
            <w:tcW w:w="112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683,327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-1310640</wp:posOffset>
            </wp:positionV>
            <wp:extent cx="76835"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-1310640</wp:posOffset>
            </wp:positionV>
            <wp:extent cx="6858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-170815</wp:posOffset>
            </wp:positionV>
            <wp:extent cx="7747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93" w:lineRule="exact"/>
        <w:rPr>
          <w:sz w:val="20"/>
          <w:szCs w:val="20"/>
          <w:color w:val="auto"/>
        </w:rPr>
      </w:pPr>
    </w:p>
    <w:p>
      <w:pPr>
        <w:jc w:val="both"/>
        <w:spacing w:after="0" w:line="245" w:lineRule="auto"/>
        <w:rPr>
          <w:sz w:val="20"/>
          <w:szCs w:val="20"/>
          <w:color w:val="auto"/>
        </w:rPr>
      </w:pPr>
      <w:r>
        <w:rPr>
          <w:rFonts w:ascii="Calibri" w:cs="Calibri" w:eastAsia="Calibri" w:hAnsi="Calibri"/>
          <w:sz w:val="18"/>
          <w:szCs w:val="18"/>
          <w:color w:val="auto"/>
        </w:rPr>
        <w:t>We had recorded $563.2 million of cumulatve impairment charges related to our intangible assets and goodwill as of September 30, 2022 and December 31, 2021.</w:t>
      </w:r>
    </w:p>
    <w:p>
      <w:pPr>
        <w:spacing w:after="0" w:line="145"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Amortzaton expense on our defnite-lived intangible assets was $2.1 million and $5.0 million for the three and nine months ended September 30, 2022, respectvely, and $0.7 million and $1.5 million for the three and nine months ended September 30, 2021, respectvely. Amortzaton expense is presented in Depreciaton and amortzaton in the Condensed Consolidated Statements of Operatons.</w:t>
      </w:r>
    </w:p>
    <w:p>
      <w:pPr>
        <w:spacing w:after="0" w:line="10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00" w:type="dxa"/>
            <w:vAlign w:val="bottom"/>
          </w:tcPr>
          <w:p>
            <w:pPr>
              <w:spacing w:after="0"/>
              <w:rPr>
                <w:sz w:val="20"/>
                <w:szCs w:val="20"/>
                <w:color w:val="auto"/>
              </w:rPr>
            </w:pPr>
            <w:r>
              <w:rPr>
                <w:rFonts w:ascii="Calibri" w:cs="Calibri" w:eastAsia="Calibri" w:hAnsi="Calibri"/>
                <w:sz w:val="18"/>
                <w:szCs w:val="18"/>
                <w:b w:val="1"/>
                <w:bCs w:val="1"/>
                <w:color w:val="auto"/>
              </w:rPr>
              <w:t>8. Prepaid expenses and other current assets</w:t>
            </w:r>
          </w:p>
        </w:tc>
        <w:tc>
          <w:tcPr>
            <w:tcW w:w="1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1"/>
        </w:trPr>
        <w:tc>
          <w:tcPr>
            <w:tcW w:w="6400" w:type="dxa"/>
            <w:vAlign w:val="bottom"/>
          </w:tcPr>
          <w:p>
            <w:pPr>
              <w:spacing w:after="0"/>
              <w:rPr>
                <w:sz w:val="20"/>
                <w:szCs w:val="20"/>
                <w:color w:val="auto"/>
              </w:rPr>
            </w:pPr>
            <w:r>
              <w:rPr>
                <w:rFonts w:ascii="Calibri" w:cs="Calibri" w:eastAsia="Calibri" w:hAnsi="Calibri"/>
                <w:sz w:val="18"/>
                <w:szCs w:val="18"/>
                <w:color w:val="auto"/>
              </w:rPr>
              <w:t>Prepaid expenses and other current assets consist of the following (in thousands):</w:t>
            </w:r>
          </w:p>
        </w:tc>
        <w:tc>
          <w:tcPr>
            <w:tcW w:w="1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64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alibri" w:cs="Calibri" w:eastAsia="Calibri" w:hAnsi="Calibri"/>
                <w:sz w:val="18"/>
                <w:szCs w:val="18"/>
                <w:b w:val="1"/>
                <w:bCs w:val="1"/>
                <w:color w:val="auto"/>
              </w:rPr>
              <w:t>September 30,</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jc w:val="right"/>
              <w:ind w:right="510"/>
              <w:spacing w:after="0"/>
              <w:rPr>
                <w:sz w:val="20"/>
                <w:szCs w:val="20"/>
                <w:color w:val="auto"/>
              </w:rPr>
            </w:pPr>
            <w:r>
              <w:rPr>
                <w:rFonts w:ascii="Calibri" w:cs="Calibri" w:eastAsia="Calibri" w:hAnsi="Calibri"/>
                <w:sz w:val="18"/>
                <w:szCs w:val="18"/>
                <w:b w:val="1"/>
                <w:bCs w:val="1"/>
                <w:color w:val="auto"/>
              </w:rPr>
              <w:t>December 31,</w:t>
            </w:r>
          </w:p>
        </w:tc>
        <w:tc>
          <w:tcPr>
            <w:tcW w:w="100" w:type="dxa"/>
            <w:vAlign w:val="bottom"/>
          </w:tcPr>
          <w:p>
            <w:pPr>
              <w:spacing w:after="0"/>
              <w:rPr>
                <w:sz w:val="24"/>
                <w:szCs w:val="24"/>
                <w:color w:val="auto"/>
              </w:rPr>
            </w:pPr>
          </w:p>
        </w:tc>
      </w:tr>
      <w:tr>
        <w:trPr>
          <w:trHeight w:val="216"/>
        </w:trPr>
        <w:tc>
          <w:tcPr>
            <w:tcW w:w="6400" w:type="dxa"/>
            <w:vAlign w:val="bottom"/>
          </w:tcPr>
          <w:p>
            <w:pPr>
              <w:spacing w:after="0"/>
              <w:rPr>
                <w:sz w:val="18"/>
                <w:szCs w:val="18"/>
                <w:color w:val="auto"/>
              </w:rPr>
            </w:pPr>
          </w:p>
        </w:tc>
        <w:tc>
          <w:tcPr>
            <w:tcW w:w="1680" w:type="dxa"/>
            <w:vAlign w:val="bottom"/>
          </w:tcPr>
          <w:p>
            <w:pPr>
              <w:jc w:val="right"/>
              <w:ind w:right="310"/>
              <w:spacing w:after="0" w:line="216" w:lineRule="exact"/>
              <w:rPr>
                <w:sz w:val="20"/>
                <w:szCs w:val="20"/>
                <w:color w:val="auto"/>
              </w:rPr>
            </w:pPr>
            <w:r>
              <w:rPr>
                <w:rFonts w:ascii="Calibri" w:cs="Calibri" w:eastAsia="Calibri" w:hAnsi="Calibri"/>
                <w:sz w:val="18"/>
                <w:szCs w:val="18"/>
                <w:b w:val="1"/>
                <w:bCs w:val="1"/>
                <w:color w:val="auto"/>
              </w:rPr>
              <w:t>2022</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jc w:val="right"/>
              <w:ind w:right="830"/>
              <w:spacing w:after="0" w:line="216" w:lineRule="exact"/>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8"/>
                <w:szCs w:val="18"/>
                <w:color w:val="auto"/>
              </w:rPr>
            </w:pPr>
          </w:p>
        </w:tc>
      </w:tr>
      <w:tr>
        <w:trPr>
          <w:trHeight w:val="23"/>
        </w:trPr>
        <w:tc>
          <w:tcPr>
            <w:tcW w:w="64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640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Recovery of future customer compensaton</w:t>
            </w:r>
          </w:p>
        </w:tc>
        <w:tc>
          <w:tcPr>
            <w:tcW w:w="1680" w:type="dxa"/>
            <w:vAlign w:val="bottom"/>
            <w:shd w:val="clear" w:color="auto" w:fill="CFF0FC"/>
          </w:tcPr>
          <w:p>
            <w:pPr>
              <w:jc w:val="right"/>
              <w:ind w:right="1490"/>
              <w:spacing w:after="0" w:line="209" w:lineRule="exact"/>
              <w:rPr>
                <w:sz w:val="20"/>
                <w:szCs w:val="20"/>
                <w:color w:val="auto"/>
              </w:rPr>
            </w:pPr>
            <w:r>
              <w:rPr>
                <w:rFonts w:ascii="Calibri" w:cs="Calibri" w:eastAsia="Calibri" w:hAnsi="Calibri"/>
                <w:sz w:val="18"/>
                <w:szCs w:val="18"/>
                <w:color w:val="auto"/>
                <w:w w:val="87"/>
              </w:rPr>
              <w:t>$</w:t>
            </w:r>
          </w:p>
        </w:tc>
        <w:tc>
          <w:tcPr>
            <w:tcW w:w="5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99"/>
              </w:rPr>
              <w:t>24,169</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line="209" w:lineRule="exact"/>
              <w:rPr>
                <w:sz w:val="20"/>
                <w:szCs w:val="20"/>
                <w:color w:val="auto"/>
              </w:rPr>
            </w:pPr>
            <w:r>
              <w:rPr>
                <w:rFonts w:ascii="Calibri" w:cs="Calibri" w:eastAsia="Calibri" w:hAnsi="Calibri"/>
                <w:sz w:val="18"/>
                <w:szCs w:val="18"/>
                <w:color w:val="auto"/>
                <w:w w:val="87"/>
              </w:rPr>
              <w:t>$</w:t>
            </w:r>
          </w:p>
        </w:tc>
        <w:tc>
          <w:tcPr>
            <w:tcW w:w="18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58,319</w:t>
            </w:r>
          </w:p>
        </w:tc>
        <w:tc>
          <w:tcPr>
            <w:tcW w:w="100" w:type="dxa"/>
            <w:vAlign w:val="bottom"/>
            <w:shd w:val="clear" w:color="auto" w:fill="CFF0FC"/>
          </w:tcPr>
          <w:p>
            <w:pPr>
              <w:spacing w:after="0"/>
              <w:rPr>
                <w:sz w:val="18"/>
                <w:szCs w:val="18"/>
                <w:color w:val="auto"/>
              </w:rPr>
            </w:pPr>
          </w:p>
        </w:tc>
      </w:tr>
      <w:tr>
        <w:trPr>
          <w:trHeight w:val="215"/>
        </w:trPr>
        <w:tc>
          <w:tcPr>
            <w:tcW w:w="6400" w:type="dxa"/>
            <w:vAlign w:val="bottom"/>
          </w:tcPr>
          <w:p>
            <w:pPr>
              <w:ind w:left="20"/>
              <w:spacing w:after="0" w:line="215" w:lineRule="exact"/>
              <w:rPr>
                <w:sz w:val="20"/>
                <w:szCs w:val="20"/>
                <w:color w:val="auto"/>
              </w:rPr>
            </w:pPr>
            <w:r>
              <w:rPr>
                <w:rFonts w:ascii="Calibri" w:cs="Calibri" w:eastAsia="Calibri" w:hAnsi="Calibri"/>
                <w:sz w:val="18"/>
                <w:szCs w:val="18"/>
                <w:color w:val="auto"/>
              </w:rPr>
              <w:t>Insurance recovery asset</w:t>
            </w:r>
          </w:p>
        </w:tc>
        <w:tc>
          <w:tcPr>
            <w:tcW w:w="168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515</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jc w:val="right"/>
              <w:spacing w:after="0" w:line="215" w:lineRule="exact"/>
              <w:rPr>
                <w:sz w:val="20"/>
                <w:szCs w:val="20"/>
                <w:color w:val="auto"/>
              </w:rPr>
            </w:pPr>
            <w:r>
              <w:rPr>
                <w:rFonts w:ascii="Calibri" w:cs="Calibri" w:eastAsia="Calibri" w:hAnsi="Calibri"/>
                <w:sz w:val="18"/>
                <w:szCs w:val="18"/>
                <w:color w:val="auto"/>
              </w:rPr>
              <w:t>480</w:t>
            </w:r>
          </w:p>
        </w:tc>
        <w:tc>
          <w:tcPr>
            <w:tcW w:w="100" w:type="dxa"/>
            <w:vAlign w:val="bottom"/>
          </w:tcPr>
          <w:p>
            <w:pPr>
              <w:spacing w:after="0"/>
              <w:rPr>
                <w:sz w:val="18"/>
                <w:szCs w:val="18"/>
                <w:color w:val="auto"/>
              </w:rPr>
            </w:pPr>
          </w:p>
        </w:tc>
      </w:tr>
      <w:tr>
        <w:trPr>
          <w:trHeight w:val="217"/>
        </w:trPr>
        <w:tc>
          <w:tcPr>
            <w:tcW w:w="64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Prepaid expenses</w:t>
            </w:r>
          </w:p>
        </w:tc>
        <w:tc>
          <w:tcPr>
            <w:tcW w:w="16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99"/>
              </w:rPr>
              <w:t>10,153</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9,573</w:t>
            </w:r>
          </w:p>
        </w:tc>
        <w:tc>
          <w:tcPr>
            <w:tcW w:w="100" w:type="dxa"/>
            <w:vAlign w:val="bottom"/>
            <w:shd w:val="clear" w:color="auto" w:fill="CFF0FC"/>
          </w:tcPr>
          <w:p>
            <w:pPr>
              <w:spacing w:after="0"/>
              <w:rPr>
                <w:sz w:val="18"/>
                <w:szCs w:val="18"/>
                <w:color w:val="auto"/>
              </w:rPr>
            </w:pPr>
          </w:p>
        </w:tc>
      </w:tr>
      <w:tr>
        <w:trPr>
          <w:trHeight w:val="215"/>
        </w:trPr>
        <w:tc>
          <w:tcPr>
            <w:tcW w:w="6400" w:type="dxa"/>
            <w:vAlign w:val="bottom"/>
          </w:tcPr>
          <w:p>
            <w:pPr>
              <w:ind w:left="20"/>
              <w:spacing w:after="0" w:line="215" w:lineRule="exact"/>
              <w:rPr>
                <w:sz w:val="20"/>
                <w:szCs w:val="20"/>
                <w:color w:val="auto"/>
              </w:rPr>
            </w:pPr>
            <w:r>
              <w:rPr>
                <w:rFonts w:ascii="Calibri" w:cs="Calibri" w:eastAsia="Calibri" w:hAnsi="Calibri"/>
                <w:sz w:val="18"/>
                <w:szCs w:val="18"/>
                <w:color w:val="auto"/>
              </w:rPr>
              <w:t>Other current assets</w:t>
            </w:r>
          </w:p>
        </w:tc>
        <w:tc>
          <w:tcPr>
            <w:tcW w:w="16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191</w:t>
            </w:r>
          </w:p>
        </w:tc>
        <w:tc>
          <w:tcPr>
            <w:tcW w:w="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4,132</w:t>
            </w:r>
          </w:p>
        </w:tc>
        <w:tc>
          <w:tcPr>
            <w:tcW w:w="100" w:type="dxa"/>
            <w:vAlign w:val="bottom"/>
          </w:tcPr>
          <w:p>
            <w:pPr>
              <w:spacing w:after="0"/>
              <w:rPr>
                <w:sz w:val="18"/>
                <w:szCs w:val="18"/>
                <w:color w:val="auto"/>
              </w:rPr>
            </w:pPr>
          </w:p>
        </w:tc>
      </w:tr>
      <w:tr>
        <w:trPr>
          <w:trHeight w:val="251"/>
        </w:trPr>
        <w:tc>
          <w:tcPr>
            <w:tcW w:w="640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Total prepaid expenses and other current assets</w:t>
            </w:r>
          </w:p>
        </w:tc>
        <w:tc>
          <w:tcPr>
            <w:tcW w:w="1680" w:type="dxa"/>
            <w:vAlign w:val="bottom"/>
            <w:tcBorders>
              <w:bottom w:val="single" w:sz="8" w:color="auto"/>
            </w:tcBorders>
            <w:shd w:val="clear" w:color="auto" w:fill="CFF0FC"/>
          </w:tcPr>
          <w:p>
            <w:pPr>
              <w:jc w:val="right"/>
              <w:ind w:right="1490"/>
              <w:spacing w:after="0" w:line="210" w:lineRule="exact"/>
              <w:rPr>
                <w:sz w:val="20"/>
                <w:szCs w:val="20"/>
                <w:color w:val="auto"/>
              </w:rPr>
            </w:pPr>
            <w:r>
              <w:rPr>
                <w:rFonts w:ascii="Calibri" w:cs="Calibri" w:eastAsia="Calibri" w:hAnsi="Calibri"/>
                <w:sz w:val="18"/>
                <w:szCs w:val="18"/>
                <w:b w:val="1"/>
                <w:bCs w:val="1"/>
                <w:color w:val="auto"/>
                <w:w w:val="87"/>
              </w:rPr>
              <w:t>$</w:t>
            </w:r>
          </w:p>
        </w:tc>
        <w:tc>
          <w:tcPr>
            <w:tcW w:w="54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35,028</w:t>
            </w:r>
          </w:p>
        </w:tc>
        <w:tc>
          <w:tcPr>
            <w:tcW w:w="3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line="210" w:lineRule="exact"/>
              <w:rPr>
                <w:sz w:val="20"/>
                <w:szCs w:val="20"/>
                <w:color w:val="auto"/>
              </w:rPr>
            </w:pPr>
            <w:r>
              <w:rPr>
                <w:rFonts w:ascii="Calibri" w:cs="Calibri" w:eastAsia="Calibri" w:hAnsi="Calibri"/>
                <w:sz w:val="18"/>
                <w:szCs w:val="18"/>
                <w:b w:val="1"/>
                <w:bCs w:val="1"/>
                <w:color w:val="auto"/>
                <w:w w:val="87"/>
              </w:rPr>
              <w:t>$</w:t>
            </w:r>
          </w:p>
        </w:tc>
        <w:tc>
          <w:tcPr>
            <w:tcW w:w="184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72,504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3" w:lineRule="exact"/>
        <w:rPr>
          <w:sz w:val="20"/>
          <w:szCs w:val="20"/>
          <w:color w:val="auto"/>
        </w:rPr>
      </w:pPr>
    </w:p>
    <w:p>
      <w:pPr>
        <w:jc w:val="both"/>
        <w:spacing w:after="0" w:line="244" w:lineRule="auto"/>
        <w:rPr>
          <w:sz w:val="20"/>
          <w:szCs w:val="20"/>
          <w:color w:val="auto"/>
        </w:rPr>
      </w:pPr>
      <w:r>
        <w:rPr>
          <w:rFonts w:ascii="Calibri" w:cs="Calibri" w:eastAsia="Calibri" w:hAnsi="Calibri"/>
          <w:sz w:val="18"/>
          <w:szCs w:val="18"/>
          <w:color w:val="auto"/>
        </w:rPr>
        <w:t>Recovery of future customer compensaton represents expected recoveries of compensaton to be paid to customers for event cancellatons or other service issues related to previously recorded sales transactons. Recovery of future customer compensaton costs decreased by $34.2 million due to a reducton in the estmated rate of future cancellatons as of September 30, 2022. The provision related to these expected recoveries is included in Accrued expenses and other current liabilites in the Condensed Consolidated Balance Sheets.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20" w:type="dxa"/>
            <w:vAlign w:val="bottom"/>
          </w:tcPr>
          <w:p>
            <w:pPr>
              <w:spacing w:after="0"/>
              <w:rPr>
                <w:sz w:val="20"/>
                <w:szCs w:val="20"/>
                <w:color w:val="auto"/>
              </w:rPr>
            </w:pPr>
            <w:r>
              <w:rPr>
                <w:rFonts w:ascii="Calibri" w:cs="Calibri" w:eastAsia="Calibri" w:hAnsi="Calibri"/>
                <w:sz w:val="18"/>
                <w:szCs w:val="18"/>
                <w:b w:val="1"/>
                <w:bCs w:val="1"/>
                <w:color w:val="auto"/>
              </w:rPr>
              <w:t>9. Accrued Expenses and Other Current Liabilities</w:t>
            </w: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1"/>
        </w:trPr>
        <w:tc>
          <w:tcPr>
            <w:tcW w:w="6420" w:type="dxa"/>
            <w:vAlign w:val="bottom"/>
          </w:tcPr>
          <w:p>
            <w:pPr>
              <w:spacing w:after="0"/>
              <w:rPr>
                <w:sz w:val="20"/>
                <w:szCs w:val="20"/>
                <w:color w:val="auto"/>
              </w:rPr>
            </w:pPr>
            <w:r>
              <w:rPr>
                <w:rFonts w:ascii="Calibri" w:cs="Calibri" w:eastAsia="Calibri" w:hAnsi="Calibri"/>
                <w:sz w:val="18"/>
                <w:szCs w:val="18"/>
                <w:color w:val="auto"/>
              </w:rPr>
              <w:t>Accrued expenses and other current liabilites consist of the following (in thousands):</w:t>
            </w: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6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jc w:val="right"/>
              <w:ind w:right="490"/>
              <w:spacing w:after="0"/>
              <w:rPr>
                <w:sz w:val="20"/>
                <w:szCs w:val="20"/>
                <w:color w:val="auto"/>
              </w:rPr>
            </w:pPr>
            <w:r>
              <w:rPr>
                <w:rFonts w:ascii="Calibri" w:cs="Calibri" w:eastAsia="Calibri" w:hAnsi="Calibri"/>
                <w:sz w:val="18"/>
                <w:szCs w:val="18"/>
                <w:b w:val="1"/>
                <w:bCs w:val="1"/>
                <w:color w:val="auto"/>
              </w:rPr>
              <w:t>September 30,</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jc w:val="right"/>
              <w:ind w:right="490"/>
              <w:spacing w:after="0"/>
              <w:rPr>
                <w:sz w:val="20"/>
                <w:szCs w:val="20"/>
                <w:color w:val="auto"/>
              </w:rPr>
            </w:pPr>
            <w:r>
              <w:rPr>
                <w:rFonts w:ascii="Calibri" w:cs="Calibri" w:eastAsia="Calibri" w:hAnsi="Calibri"/>
                <w:sz w:val="18"/>
                <w:szCs w:val="18"/>
                <w:b w:val="1"/>
                <w:bCs w:val="1"/>
                <w:color w:val="auto"/>
              </w:rPr>
              <w:t>December 31,</w:t>
            </w:r>
          </w:p>
        </w:tc>
        <w:tc>
          <w:tcPr>
            <w:tcW w:w="100" w:type="dxa"/>
            <w:vAlign w:val="bottom"/>
          </w:tcPr>
          <w:p>
            <w:pPr>
              <w:spacing w:after="0"/>
              <w:rPr>
                <w:sz w:val="24"/>
                <w:szCs w:val="24"/>
                <w:color w:val="auto"/>
              </w:rPr>
            </w:pPr>
          </w:p>
        </w:tc>
      </w:tr>
      <w:tr>
        <w:trPr>
          <w:trHeight w:val="216"/>
        </w:trPr>
        <w:tc>
          <w:tcPr>
            <w:tcW w:w="6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jc w:val="right"/>
              <w:ind w:right="850"/>
              <w:spacing w:after="0" w:line="216" w:lineRule="exact"/>
              <w:rPr>
                <w:sz w:val="20"/>
                <w:szCs w:val="20"/>
                <w:color w:val="auto"/>
              </w:rPr>
            </w:pPr>
            <w:r>
              <w:rPr>
                <w:rFonts w:ascii="Calibri" w:cs="Calibri" w:eastAsia="Calibri" w:hAnsi="Calibri"/>
                <w:sz w:val="18"/>
                <w:szCs w:val="18"/>
                <w:b w:val="1"/>
                <w:bCs w:val="1"/>
                <w:color w:val="auto"/>
              </w:rPr>
              <w:t>2022</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ind w:right="830"/>
              <w:spacing w:after="0" w:line="216" w:lineRule="exact"/>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8"/>
                <w:szCs w:val="18"/>
                <w:color w:val="auto"/>
              </w:rPr>
            </w:pPr>
          </w:p>
        </w:tc>
      </w:tr>
      <w:tr>
        <w:trPr>
          <w:trHeight w:val="23"/>
        </w:trPr>
        <w:tc>
          <w:tcPr>
            <w:tcW w:w="6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642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Accrued marketng expense</w:t>
            </w:r>
          </w:p>
        </w:tc>
        <w:tc>
          <w:tcPr>
            <w:tcW w:w="340" w:type="dxa"/>
            <w:vAlign w:val="bottom"/>
            <w:shd w:val="clear" w:color="auto" w:fill="CFF0FC"/>
          </w:tcPr>
          <w:p>
            <w:pPr>
              <w:jc w:val="right"/>
              <w:ind w:right="150"/>
              <w:spacing w:after="0" w:line="209" w:lineRule="exact"/>
              <w:rPr>
                <w:sz w:val="20"/>
                <w:szCs w:val="20"/>
                <w:color w:val="auto"/>
              </w:rPr>
            </w:pPr>
            <w:r>
              <w:rPr>
                <w:rFonts w:ascii="Calibri" w:cs="Calibri" w:eastAsia="Calibri" w:hAnsi="Calibri"/>
                <w:sz w:val="18"/>
                <w:szCs w:val="18"/>
                <w:color w:val="auto"/>
                <w:w w:val="87"/>
              </w:rPr>
              <w:t>$</w:t>
            </w:r>
          </w:p>
        </w:tc>
        <w:tc>
          <w:tcPr>
            <w:tcW w:w="18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29,512</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line="209" w:lineRule="exact"/>
              <w:rPr>
                <w:sz w:val="20"/>
                <w:szCs w:val="20"/>
                <w:color w:val="auto"/>
              </w:rPr>
            </w:pPr>
            <w:r>
              <w:rPr>
                <w:rFonts w:ascii="Calibri" w:cs="Calibri" w:eastAsia="Calibri" w:hAnsi="Calibri"/>
                <w:sz w:val="18"/>
                <w:szCs w:val="18"/>
                <w:color w:val="auto"/>
                <w:w w:val="87"/>
              </w:rPr>
              <w:t>$</w:t>
            </w:r>
          </w:p>
        </w:tc>
        <w:tc>
          <w:tcPr>
            <w:tcW w:w="18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27,304</w:t>
            </w:r>
          </w:p>
        </w:tc>
        <w:tc>
          <w:tcPr>
            <w:tcW w:w="100" w:type="dxa"/>
            <w:vAlign w:val="bottom"/>
            <w:shd w:val="clear" w:color="auto" w:fill="CFF0FC"/>
          </w:tcPr>
          <w:p>
            <w:pPr>
              <w:spacing w:after="0"/>
              <w:rPr>
                <w:sz w:val="18"/>
                <w:szCs w:val="18"/>
                <w:color w:val="auto"/>
              </w:rPr>
            </w:pPr>
          </w:p>
        </w:tc>
      </w:tr>
      <w:tr>
        <w:trPr>
          <w:trHeight w:val="215"/>
        </w:trPr>
        <w:tc>
          <w:tcPr>
            <w:tcW w:w="6420" w:type="dxa"/>
            <w:vAlign w:val="bottom"/>
          </w:tcPr>
          <w:p>
            <w:pPr>
              <w:ind w:left="20"/>
              <w:spacing w:after="0" w:line="215" w:lineRule="exact"/>
              <w:rPr>
                <w:sz w:val="20"/>
                <w:szCs w:val="20"/>
                <w:color w:val="auto"/>
              </w:rPr>
            </w:pPr>
            <w:r>
              <w:rPr>
                <w:rFonts w:ascii="Calibri" w:cs="Calibri" w:eastAsia="Calibri" w:hAnsi="Calibri"/>
                <w:sz w:val="18"/>
                <w:szCs w:val="18"/>
                <w:color w:val="auto"/>
              </w:rPr>
              <w:t>Accrued taxes</w:t>
            </w:r>
          </w:p>
        </w:tc>
        <w:tc>
          <w:tcPr>
            <w:tcW w:w="340" w:type="dxa"/>
            <w:vAlign w:val="bottom"/>
          </w:tcPr>
          <w:p>
            <w:pPr>
              <w:spacing w:after="0"/>
              <w:rPr>
                <w:sz w:val="18"/>
                <w:szCs w:val="18"/>
                <w:color w:val="auto"/>
              </w:rPr>
            </w:pPr>
          </w:p>
        </w:tc>
        <w:tc>
          <w:tcPr>
            <w:tcW w:w="1880" w:type="dxa"/>
            <w:vAlign w:val="bottom"/>
          </w:tcPr>
          <w:p>
            <w:pPr>
              <w:jc w:val="right"/>
              <w:spacing w:after="0" w:line="215" w:lineRule="exact"/>
              <w:rPr>
                <w:sz w:val="20"/>
                <w:szCs w:val="20"/>
                <w:color w:val="auto"/>
              </w:rPr>
            </w:pPr>
            <w:r>
              <w:rPr>
                <w:rFonts w:ascii="Calibri" w:cs="Calibri" w:eastAsia="Calibri" w:hAnsi="Calibri"/>
                <w:sz w:val="18"/>
                <w:szCs w:val="18"/>
                <w:color w:val="auto"/>
              </w:rPr>
              <w:t>433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line="215" w:lineRule="exact"/>
              <w:rPr>
                <w:sz w:val="20"/>
                <w:szCs w:val="20"/>
                <w:color w:val="auto"/>
              </w:rPr>
            </w:pPr>
            <w:r>
              <w:rPr>
                <w:rFonts w:ascii="Calibri" w:cs="Calibri" w:eastAsia="Calibri" w:hAnsi="Calibri"/>
                <w:sz w:val="18"/>
                <w:szCs w:val="18"/>
                <w:color w:val="auto"/>
              </w:rPr>
              <w:t>9,332</w:t>
            </w:r>
          </w:p>
        </w:tc>
        <w:tc>
          <w:tcPr>
            <w:tcW w:w="100" w:type="dxa"/>
            <w:vAlign w:val="bottom"/>
          </w:tcPr>
          <w:p>
            <w:pPr>
              <w:spacing w:after="0"/>
              <w:rPr>
                <w:sz w:val="18"/>
                <w:szCs w:val="18"/>
                <w:color w:val="auto"/>
              </w:rPr>
            </w:pPr>
          </w:p>
        </w:tc>
      </w:tr>
      <w:tr>
        <w:trPr>
          <w:trHeight w:val="217"/>
        </w:trPr>
        <w:tc>
          <w:tcPr>
            <w:tcW w:w="64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Accrued customer credits</w:t>
            </w:r>
          </w:p>
        </w:tc>
        <w:tc>
          <w:tcPr>
            <w:tcW w:w="34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103,781</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119,355</w:t>
            </w:r>
          </w:p>
        </w:tc>
        <w:tc>
          <w:tcPr>
            <w:tcW w:w="100" w:type="dxa"/>
            <w:vAlign w:val="bottom"/>
            <w:shd w:val="clear" w:color="auto" w:fill="CFF0FC"/>
          </w:tcPr>
          <w:p>
            <w:pPr>
              <w:spacing w:after="0"/>
              <w:rPr>
                <w:sz w:val="18"/>
                <w:szCs w:val="18"/>
                <w:color w:val="auto"/>
              </w:rPr>
            </w:pPr>
          </w:p>
        </w:tc>
      </w:tr>
      <w:tr>
        <w:trPr>
          <w:trHeight w:val="215"/>
        </w:trPr>
        <w:tc>
          <w:tcPr>
            <w:tcW w:w="6420" w:type="dxa"/>
            <w:vAlign w:val="bottom"/>
          </w:tcPr>
          <w:p>
            <w:pPr>
              <w:ind w:left="20"/>
              <w:spacing w:after="0" w:line="215" w:lineRule="exact"/>
              <w:rPr>
                <w:sz w:val="20"/>
                <w:szCs w:val="20"/>
                <w:color w:val="auto"/>
              </w:rPr>
            </w:pPr>
            <w:r>
              <w:rPr>
                <w:rFonts w:ascii="Calibri" w:cs="Calibri" w:eastAsia="Calibri" w:hAnsi="Calibri"/>
                <w:sz w:val="18"/>
                <w:szCs w:val="18"/>
                <w:color w:val="auto"/>
              </w:rPr>
              <w:t>Accrued future customer compensaton</w:t>
            </w:r>
          </w:p>
        </w:tc>
        <w:tc>
          <w:tcPr>
            <w:tcW w:w="340" w:type="dxa"/>
            <w:vAlign w:val="bottom"/>
          </w:tcPr>
          <w:p>
            <w:pPr>
              <w:spacing w:after="0"/>
              <w:rPr>
                <w:sz w:val="18"/>
                <w:szCs w:val="18"/>
                <w:color w:val="auto"/>
              </w:rPr>
            </w:pPr>
          </w:p>
        </w:tc>
        <w:tc>
          <w:tcPr>
            <w:tcW w:w="1880" w:type="dxa"/>
            <w:vAlign w:val="bottom"/>
          </w:tcPr>
          <w:p>
            <w:pPr>
              <w:jc w:val="right"/>
              <w:spacing w:after="0" w:line="215" w:lineRule="exact"/>
              <w:rPr>
                <w:sz w:val="20"/>
                <w:szCs w:val="20"/>
                <w:color w:val="auto"/>
              </w:rPr>
            </w:pPr>
            <w:r>
              <w:rPr>
                <w:rFonts w:ascii="Calibri" w:cs="Calibri" w:eastAsia="Calibri" w:hAnsi="Calibri"/>
                <w:sz w:val="18"/>
                <w:szCs w:val="18"/>
                <w:color w:val="auto"/>
              </w:rPr>
              <w:t>31,343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line="215" w:lineRule="exact"/>
              <w:rPr>
                <w:sz w:val="20"/>
                <w:szCs w:val="20"/>
                <w:color w:val="auto"/>
              </w:rPr>
            </w:pPr>
            <w:r>
              <w:rPr>
                <w:rFonts w:ascii="Calibri" w:cs="Calibri" w:eastAsia="Calibri" w:hAnsi="Calibri"/>
                <w:sz w:val="18"/>
                <w:szCs w:val="18"/>
                <w:color w:val="auto"/>
              </w:rPr>
              <w:t>73,959</w:t>
            </w:r>
          </w:p>
        </w:tc>
        <w:tc>
          <w:tcPr>
            <w:tcW w:w="100" w:type="dxa"/>
            <w:vAlign w:val="bottom"/>
          </w:tcPr>
          <w:p>
            <w:pPr>
              <w:spacing w:after="0"/>
              <w:rPr>
                <w:sz w:val="18"/>
                <w:szCs w:val="18"/>
                <w:color w:val="auto"/>
              </w:rPr>
            </w:pPr>
          </w:p>
        </w:tc>
      </w:tr>
      <w:tr>
        <w:trPr>
          <w:trHeight w:val="217"/>
        </w:trPr>
        <w:tc>
          <w:tcPr>
            <w:tcW w:w="64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Accrued contngencies</w:t>
            </w:r>
          </w:p>
        </w:tc>
        <w:tc>
          <w:tcPr>
            <w:tcW w:w="34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6,813</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12,686</w:t>
            </w:r>
          </w:p>
        </w:tc>
        <w:tc>
          <w:tcPr>
            <w:tcW w:w="100" w:type="dxa"/>
            <w:vAlign w:val="bottom"/>
            <w:shd w:val="clear" w:color="auto" w:fill="CFF0FC"/>
          </w:tcPr>
          <w:p>
            <w:pPr>
              <w:spacing w:after="0"/>
              <w:rPr>
                <w:sz w:val="18"/>
                <w:szCs w:val="18"/>
                <w:color w:val="auto"/>
              </w:rPr>
            </w:pPr>
          </w:p>
        </w:tc>
      </w:tr>
      <w:tr>
        <w:trPr>
          <w:trHeight w:val="215"/>
        </w:trPr>
        <w:tc>
          <w:tcPr>
            <w:tcW w:w="6420" w:type="dxa"/>
            <w:vAlign w:val="bottom"/>
          </w:tcPr>
          <w:p>
            <w:pPr>
              <w:ind w:left="20"/>
              <w:spacing w:after="0" w:line="215" w:lineRule="exact"/>
              <w:rPr>
                <w:sz w:val="20"/>
                <w:szCs w:val="20"/>
                <w:color w:val="auto"/>
              </w:rPr>
            </w:pPr>
            <w:r>
              <w:rPr>
                <w:rFonts w:ascii="Calibri" w:cs="Calibri" w:eastAsia="Calibri" w:hAnsi="Calibri"/>
                <w:sz w:val="18"/>
                <w:szCs w:val="18"/>
                <w:color w:val="auto"/>
              </w:rPr>
              <w:t>Other current liabilites</w:t>
            </w:r>
          </w:p>
        </w:tc>
        <w:tc>
          <w:tcPr>
            <w:tcW w:w="3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31,675</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38,520</w:t>
            </w:r>
          </w:p>
        </w:tc>
        <w:tc>
          <w:tcPr>
            <w:tcW w:w="100" w:type="dxa"/>
            <w:vAlign w:val="bottom"/>
          </w:tcPr>
          <w:p>
            <w:pPr>
              <w:spacing w:after="0"/>
              <w:rPr>
                <w:sz w:val="18"/>
                <w:szCs w:val="18"/>
                <w:color w:val="auto"/>
              </w:rPr>
            </w:pPr>
          </w:p>
        </w:tc>
      </w:tr>
      <w:tr>
        <w:trPr>
          <w:trHeight w:val="251"/>
        </w:trPr>
        <w:tc>
          <w:tcPr>
            <w:tcW w:w="642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Total accrued expenses and other current liabilites</w:t>
            </w:r>
          </w:p>
        </w:tc>
        <w:tc>
          <w:tcPr>
            <w:tcW w:w="340" w:type="dxa"/>
            <w:vAlign w:val="bottom"/>
            <w:tcBorders>
              <w:bottom w:val="single" w:sz="8" w:color="auto"/>
            </w:tcBorders>
            <w:shd w:val="clear" w:color="auto" w:fill="CFF0FC"/>
          </w:tcPr>
          <w:p>
            <w:pPr>
              <w:jc w:val="right"/>
              <w:ind w:right="150"/>
              <w:spacing w:after="0" w:line="210" w:lineRule="exact"/>
              <w:rPr>
                <w:sz w:val="20"/>
                <w:szCs w:val="20"/>
                <w:color w:val="auto"/>
              </w:rPr>
            </w:pPr>
            <w:r>
              <w:rPr>
                <w:rFonts w:ascii="Calibri" w:cs="Calibri" w:eastAsia="Calibri" w:hAnsi="Calibri"/>
                <w:sz w:val="18"/>
                <w:szCs w:val="18"/>
                <w:b w:val="1"/>
                <w:bCs w:val="1"/>
                <w:color w:val="auto"/>
                <w:w w:val="87"/>
              </w:rPr>
              <w:t>$</w:t>
            </w:r>
          </w:p>
        </w:tc>
        <w:tc>
          <w:tcPr>
            <w:tcW w:w="188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203,557</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line="210" w:lineRule="exact"/>
              <w:rPr>
                <w:sz w:val="20"/>
                <w:szCs w:val="20"/>
                <w:color w:val="auto"/>
              </w:rPr>
            </w:pPr>
            <w:r>
              <w:rPr>
                <w:rFonts w:ascii="Calibri" w:cs="Calibri" w:eastAsia="Calibri" w:hAnsi="Calibri"/>
                <w:sz w:val="18"/>
                <w:szCs w:val="18"/>
                <w:b w:val="1"/>
                <w:bCs w:val="1"/>
                <w:color w:val="auto"/>
                <w:w w:val="87"/>
              </w:rPr>
              <w:t>$</w:t>
            </w:r>
          </w:p>
        </w:tc>
        <w:tc>
          <w:tcPr>
            <w:tcW w:w="184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281,156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3" w:lineRule="exact"/>
        <w:rPr>
          <w:sz w:val="20"/>
          <w:szCs w:val="20"/>
          <w:color w:val="auto"/>
        </w:rPr>
      </w:pPr>
    </w:p>
    <w:p>
      <w:pPr>
        <w:jc w:val="both"/>
        <w:spacing w:after="0" w:line="243" w:lineRule="auto"/>
        <w:rPr>
          <w:sz w:val="20"/>
          <w:szCs w:val="20"/>
          <w:color w:val="auto"/>
        </w:rPr>
      </w:pPr>
      <w:r>
        <w:rPr>
          <w:rFonts w:ascii="Calibri" w:cs="Calibri" w:eastAsia="Calibri" w:hAnsi="Calibri"/>
          <w:sz w:val="18"/>
          <w:szCs w:val="18"/>
          <w:color w:val="auto"/>
        </w:rPr>
        <w:t>Accrued customer credits represent credits issued and outstanding for event cancellatons or other service issues related to recorded sales transactons. The accrued amount is reduced by the amount of credits estmated to go unused, or breakage, which is recognized in proporton to the patern of redempton for the customer credits. During the three and nine months ended September 30, 2022, $5.6 million and $22.9 million, respectvely, of accrued customer credits were redeemed and we recognized $1.8 million and $5.0 million, respectvely, of revenue from breakage. During the three and nine months ended September 30, 2021, $14.0 million and $40.3 million of accrued customer credits were redeemed and we recognized $1.5 million and $4.3 million, respectvely, of revenue from breakage.</w:t>
      </w:r>
    </w:p>
    <w:p>
      <w:pPr>
        <w:spacing w:after="0" w:line="150" w:lineRule="exact"/>
        <w:rPr>
          <w:sz w:val="20"/>
          <w:szCs w:val="20"/>
          <w:color w:val="auto"/>
        </w:rPr>
      </w:pPr>
    </w:p>
    <w:p>
      <w:pPr>
        <w:jc w:val="both"/>
        <w:spacing w:after="0" w:line="243" w:lineRule="auto"/>
        <w:rPr>
          <w:sz w:val="20"/>
          <w:szCs w:val="20"/>
          <w:color w:val="auto"/>
        </w:rPr>
      </w:pPr>
      <w:r>
        <w:rPr>
          <w:rFonts w:ascii="Calibri" w:cs="Calibri" w:eastAsia="Calibri" w:hAnsi="Calibri"/>
          <w:sz w:val="18"/>
          <w:szCs w:val="18"/>
          <w:color w:val="auto"/>
        </w:rPr>
        <w:t>Accrued future customer compensaton represents an estmate of the amount of customer compensaton due from cancellaton charges in the future. These provisions are based on historic experience, revenue volumes for future events, and management’s estmate of the likelihood of future event cancellatons and are recognized as a component of Revenues in the Condensed Consolidated Statements of Operatons. The expected recoveries of these obligatons are included in Prepaid expenses and other current assets in the Condensed Consolidated Balance Sheets. This estmated accrual could be impacted by future actvity difering from our estmates, the efects of which could be material. During the three and nine months ended September 30, 2022, we recognized a net increase in revenue of $4.6 million and $4.5 million, respectvely, and during the three and nine months ended September 30, 2021, we recognized a net increase in revenue of $7.6 million and $4.2 million, respectvely, from the reversals of previously recorded revenue and changes to accrued future customer compensaton related to event cancellatons</w:t>
      </w:r>
    </w:p>
    <w:p>
      <w:pPr>
        <w:spacing w:after="0" w:line="10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 w:name="page21"/>
    <w:bookmarkEnd w:id="20"/>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jc w:val="both"/>
        <w:spacing w:after="0" w:line="245" w:lineRule="auto"/>
        <w:rPr>
          <w:sz w:val="20"/>
          <w:szCs w:val="20"/>
          <w:color w:val="auto"/>
        </w:rPr>
      </w:pPr>
      <w:r>
        <w:rPr>
          <w:rFonts w:ascii="Calibri" w:cs="Calibri" w:eastAsia="Calibri" w:hAnsi="Calibri"/>
          <w:sz w:val="18"/>
          <w:szCs w:val="18"/>
          <w:color w:val="auto"/>
        </w:rPr>
        <w:t>where the performance obligatons were satsfed in prior periods. Accrued future customer compensaton decreased by $42.6 million due to a reducton in the estmated rate of future cancellatons as of September 30, 2022.</w:t>
      </w:r>
    </w:p>
    <w:p>
      <w:pPr>
        <w:spacing w:after="0" w:line="145"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Accrued taxes decreased as we have historically accrued contngent sales tax expense in jurisdictons where we expected to remit sales tax payments for sales prior to collectng tax from customers which began in the second half of 2021. In the third quarter of 2022, we fnalized the remaining open discussions with jurisdictons regarding the liability for uncollected sales tax and no longer have this contngent liability.</w:t>
      </w:r>
    </w:p>
    <w:p>
      <w:pPr>
        <w:spacing w:after="0" w:line="151" w:lineRule="exact"/>
        <w:rPr>
          <w:sz w:val="20"/>
          <w:szCs w:val="20"/>
          <w:color w:val="auto"/>
        </w:rPr>
      </w:pPr>
    </w:p>
    <w:p>
      <w:pPr>
        <w:jc w:val="both"/>
        <w:spacing w:after="0" w:line="244" w:lineRule="auto"/>
        <w:rPr>
          <w:sz w:val="20"/>
          <w:szCs w:val="20"/>
          <w:color w:val="auto"/>
        </w:rPr>
      </w:pPr>
      <w:r>
        <w:rPr>
          <w:rFonts w:ascii="Calibri" w:cs="Calibri" w:eastAsia="Calibri" w:hAnsi="Calibri"/>
          <w:sz w:val="18"/>
          <w:szCs w:val="18"/>
          <w:color w:val="auto"/>
        </w:rPr>
        <w:t>Other current liabilites primarily decreased as a result of making sales tax payments for liabilites that were no longer deemed contngent as of December 31, 2021, but were not yet paid at that tme. These payments represent the exposure for sales tax prior to the date we began collectng sales tax from customers reduced by abatements received, inclusive of any penaltes and interest assessed by the jurisdictons. The remaining historic sales tax liability payment was made in October 2022.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520" w:type="dxa"/>
            <w:vAlign w:val="bottom"/>
          </w:tcPr>
          <w:p>
            <w:pPr>
              <w:spacing w:after="0"/>
              <w:rPr>
                <w:sz w:val="20"/>
                <w:szCs w:val="20"/>
                <w:color w:val="auto"/>
              </w:rPr>
            </w:pPr>
            <w:r>
              <w:rPr>
                <w:rFonts w:ascii="Calibri" w:cs="Calibri" w:eastAsia="Calibri" w:hAnsi="Calibri"/>
                <w:sz w:val="18"/>
                <w:szCs w:val="18"/>
                <w:b w:val="1"/>
                <w:bCs w:val="1"/>
                <w:color w:val="auto"/>
              </w:rPr>
              <w:t>10. Debt</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1"/>
        </w:trPr>
        <w:tc>
          <w:tcPr>
            <w:tcW w:w="6520" w:type="dxa"/>
            <w:vAlign w:val="bottom"/>
          </w:tcPr>
          <w:p>
            <w:pPr>
              <w:spacing w:after="0"/>
              <w:rPr>
                <w:sz w:val="20"/>
                <w:szCs w:val="20"/>
                <w:color w:val="auto"/>
              </w:rPr>
            </w:pPr>
            <w:r>
              <w:rPr>
                <w:rFonts w:ascii="Calibri" w:cs="Calibri" w:eastAsia="Calibri" w:hAnsi="Calibri"/>
                <w:sz w:val="18"/>
                <w:szCs w:val="18"/>
                <w:color w:val="auto"/>
              </w:rPr>
              <w:t>Our outstanding debt is comprised of the following (in thousands):</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gridSpan w:val="2"/>
          </w:tcPr>
          <w:p>
            <w:pPr>
              <w:jc w:val="right"/>
              <w:ind w:right="780"/>
              <w:spacing w:after="0"/>
              <w:rPr>
                <w:sz w:val="20"/>
                <w:szCs w:val="20"/>
                <w:color w:val="auto"/>
              </w:rPr>
            </w:pPr>
            <w:r>
              <w:rPr>
                <w:rFonts w:ascii="Calibri" w:cs="Calibri" w:eastAsia="Calibri" w:hAnsi="Calibri"/>
                <w:sz w:val="18"/>
                <w:szCs w:val="18"/>
                <w:b w:val="1"/>
                <w:bCs w:val="1"/>
                <w:color w:val="auto"/>
              </w:rPr>
              <w:t>September 30,</w:t>
            </w:r>
          </w:p>
        </w:tc>
        <w:tc>
          <w:tcPr>
            <w:tcW w:w="380" w:type="dxa"/>
            <w:vAlign w:val="bottom"/>
          </w:tcPr>
          <w:p>
            <w:pPr>
              <w:spacing w:after="0"/>
              <w:rPr>
                <w:sz w:val="24"/>
                <w:szCs w:val="24"/>
                <w:color w:val="auto"/>
              </w:rPr>
            </w:pPr>
          </w:p>
        </w:tc>
        <w:tc>
          <w:tcPr>
            <w:tcW w:w="2100" w:type="dxa"/>
            <w:vAlign w:val="bottom"/>
            <w:gridSpan w:val="2"/>
          </w:tcPr>
          <w:p>
            <w:pPr>
              <w:jc w:val="right"/>
              <w:ind w:right="780"/>
              <w:spacing w:after="0"/>
              <w:rPr>
                <w:sz w:val="20"/>
                <w:szCs w:val="20"/>
                <w:color w:val="auto"/>
              </w:rPr>
            </w:pPr>
            <w:r>
              <w:rPr>
                <w:rFonts w:ascii="Calibri" w:cs="Calibri" w:eastAsia="Calibri" w:hAnsi="Calibri"/>
                <w:sz w:val="18"/>
                <w:szCs w:val="18"/>
                <w:b w:val="1"/>
                <w:bCs w:val="1"/>
                <w:color w:val="auto"/>
              </w:rPr>
              <w:t>December 31,</w:t>
            </w:r>
          </w:p>
        </w:tc>
      </w:tr>
      <w:tr>
        <w:trPr>
          <w:trHeight w:val="216"/>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ind w:right="670"/>
              <w:spacing w:after="0" w:line="216" w:lineRule="exact"/>
              <w:rPr>
                <w:sz w:val="20"/>
                <w:szCs w:val="20"/>
                <w:color w:val="auto"/>
              </w:rPr>
            </w:pPr>
            <w:r>
              <w:rPr>
                <w:rFonts w:ascii="Calibri" w:cs="Calibri" w:eastAsia="Calibri" w:hAnsi="Calibri"/>
                <w:sz w:val="18"/>
                <w:szCs w:val="18"/>
                <w:b w:val="1"/>
                <w:bCs w:val="1"/>
                <w:color w:val="auto"/>
              </w:rPr>
              <w:t>2022</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jc w:val="right"/>
              <w:ind w:right="930"/>
              <w:spacing w:after="0" w:line="216" w:lineRule="exact"/>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8"/>
                <w:szCs w:val="18"/>
                <w:color w:val="auto"/>
              </w:rPr>
            </w:pPr>
          </w:p>
        </w:tc>
      </w:tr>
      <w:tr>
        <w:trPr>
          <w:trHeight w:val="2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52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June 2017 First Lien Loan</w:t>
            </w:r>
          </w:p>
        </w:tc>
        <w:tc>
          <w:tcPr>
            <w:tcW w:w="260" w:type="dxa"/>
            <w:vAlign w:val="bottom"/>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6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20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465,712</w:t>
            </w:r>
          </w:p>
        </w:tc>
        <w:tc>
          <w:tcPr>
            <w:tcW w:w="100" w:type="dxa"/>
            <w:vAlign w:val="bottom"/>
            <w:shd w:val="clear" w:color="auto" w:fill="CFF0FC"/>
          </w:tcPr>
          <w:p>
            <w:pPr>
              <w:spacing w:after="0"/>
              <w:rPr>
                <w:sz w:val="19"/>
                <w:szCs w:val="19"/>
                <w:color w:val="auto"/>
              </w:rPr>
            </w:pPr>
          </w:p>
        </w:tc>
      </w:tr>
      <w:tr>
        <w:trPr>
          <w:trHeight w:val="215"/>
        </w:trPr>
        <w:tc>
          <w:tcPr>
            <w:tcW w:w="6520" w:type="dxa"/>
            <w:vAlign w:val="bottom"/>
          </w:tcPr>
          <w:p>
            <w:pPr>
              <w:ind w:left="20"/>
              <w:spacing w:after="0" w:line="215" w:lineRule="exact"/>
              <w:rPr>
                <w:sz w:val="20"/>
                <w:szCs w:val="20"/>
                <w:color w:val="auto"/>
              </w:rPr>
            </w:pPr>
            <w:r>
              <w:rPr>
                <w:rFonts w:ascii="Calibri" w:cs="Calibri" w:eastAsia="Calibri" w:hAnsi="Calibri"/>
                <w:sz w:val="18"/>
                <w:szCs w:val="18"/>
                <w:color w:val="auto"/>
              </w:rPr>
              <w:t>February 2022 First Lien Loan</w:t>
            </w:r>
          </w:p>
        </w:tc>
        <w:tc>
          <w:tcPr>
            <w:tcW w:w="260" w:type="dxa"/>
            <w:vAlign w:val="bottom"/>
          </w:tcPr>
          <w:p>
            <w:pPr>
              <w:spacing w:after="0"/>
              <w:rPr>
                <w:sz w:val="18"/>
                <w:szCs w:val="18"/>
                <w:color w:val="auto"/>
              </w:rPr>
            </w:pPr>
          </w:p>
        </w:tc>
        <w:tc>
          <w:tcPr>
            <w:tcW w:w="1620" w:type="dxa"/>
            <w:vAlign w:val="bottom"/>
          </w:tcPr>
          <w:p>
            <w:pPr>
              <w:jc w:val="right"/>
              <w:spacing w:after="0" w:line="215" w:lineRule="exact"/>
              <w:rPr>
                <w:sz w:val="20"/>
                <w:szCs w:val="20"/>
                <w:color w:val="auto"/>
              </w:rPr>
            </w:pPr>
            <w:r>
              <w:rPr>
                <w:rFonts w:ascii="Calibri" w:cs="Calibri" w:eastAsia="Calibri" w:hAnsi="Calibri"/>
                <w:sz w:val="18"/>
                <w:szCs w:val="18"/>
                <w:color w:val="auto"/>
              </w:rPr>
              <w:t>273,625</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1"/>
        </w:trPr>
        <w:tc>
          <w:tcPr>
            <w:tcW w:w="65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Total long-term debt, gross</w:t>
            </w:r>
          </w:p>
        </w:tc>
        <w:tc>
          <w:tcPr>
            <w:tcW w:w="26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273,625</w:t>
            </w:r>
          </w:p>
        </w:tc>
        <w:tc>
          <w:tcPr>
            <w:tcW w:w="36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00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465,712</w:t>
            </w:r>
          </w:p>
        </w:tc>
        <w:tc>
          <w:tcPr>
            <w:tcW w:w="100" w:type="dxa"/>
            <w:vAlign w:val="bottom"/>
            <w:shd w:val="clear" w:color="auto" w:fill="CFF0FC"/>
          </w:tcPr>
          <w:p>
            <w:pPr>
              <w:spacing w:after="0"/>
              <w:rPr>
                <w:sz w:val="18"/>
                <w:szCs w:val="18"/>
                <w:color w:val="auto"/>
              </w:rPr>
            </w:pPr>
          </w:p>
        </w:tc>
      </w:tr>
      <w:tr>
        <w:trPr>
          <w:trHeight w:val="215"/>
        </w:trPr>
        <w:tc>
          <w:tcPr>
            <w:tcW w:w="6520" w:type="dxa"/>
            <w:vAlign w:val="bottom"/>
          </w:tcPr>
          <w:p>
            <w:pPr>
              <w:ind w:left="20"/>
              <w:spacing w:after="0" w:line="215" w:lineRule="exact"/>
              <w:rPr>
                <w:sz w:val="20"/>
                <w:szCs w:val="20"/>
                <w:color w:val="auto"/>
              </w:rPr>
            </w:pPr>
            <w:r>
              <w:rPr>
                <w:rFonts w:ascii="Calibri" w:cs="Calibri" w:eastAsia="Calibri" w:hAnsi="Calibri"/>
                <w:sz w:val="18"/>
                <w:szCs w:val="18"/>
                <w:color w:val="auto"/>
              </w:rPr>
              <w:t>Less: unamortzed debt issuance costs</w:t>
            </w:r>
          </w:p>
        </w:tc>
        <w:tc>
          <w:tcPr>
            <w:tcW w:w="260" w:type="dxa"/>
            <w:vAlign w:val="bottom"/>
          </w:tcPr>
          <w:p>
            <w:pPr>
              <w:spacing w:after="0"/>
              <w:rPr>
                <w:sz w:val="18"/>
                <w:szCs w:val="18"/>
                <w:color w:val="auto"/>
              </w:rPr>
            </w:pPr>
          </w:p>
        </w:tc>
        <w:tc>
          <w:tcPr>
            <w:tcW w:w="1980" w:type="dxa"/>
            <w:vAlign w:val="bottom"/>
            <w:gridSpan w:val="2"/>
          </w:tcPr>
          <w:p>
            <w:pPr>
              <w:jc w:val="right"/>
              <w:ind w:right="300"/>
              <w:spacing w:after="0" w:line="215" w:lineRule="exact"/>
              <w:rPr>
                <w:sz w:val="20"/>
                <w:szCs w:val="20"/>
                <w:color w:val="auto"/>
              </w:rPr>
            </w:pPr>
            <w:r>
              <w:rPr>
                <w:rFonts w:ascii="Calibri" w:cs="Calibri" w:eastAsia="Calibri" w:hAnsi="Calibri"/>
                <w:sz w:val="18"/>
                <w:szCs w:val="18"/>
                <w:color w:val="auto"/>
              </w:rPr>
              <w:t>(5,470 )</w:t>
            </w:r>
          </w:p>
        </w:tc>
        <w:tc>
          <w:tcPr>
            <w:tcW w:w="380" w:type="dxa"/>
            <w:vAlign w:val="bottom"/>
          </w:tcPr>
          <w:p>
            <w:pPr>
              <w:spacing w:after="0"/>
              <w:rPr>
                <w:sz w:val="18"/>
                <w:szCs w:val="18"/>
                <w:color w:val="auto"/>
              </w:rPr>
            </w:pPr>
          </w:p>
        </w:tc>
        <w:tc>
          <w:tcPr>
            <w:tcW w:w="21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(5,580 )</w:t>
            </w:r>
          </w:p>
        </w:tc>
      </w:tr>
      <w:tr>
        <w:trPr>
          <w:trHeight w:val="211"/>
        </w:trPr>
        <w:tc>
          <w:tcPr>
            <w:tcW w:w="65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Total long-term debt, net of issuance costs</w:t>
            </w:r>
          </w:p>
        </w:tc>
        <w:tc>
          <w:tcPr>
            <w:tcW w:w="26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268,155</w:t>
            </w:r>
          </w:p>
        </w:tc>
        <w:tc>
          <w:tcPr>
            <w:tcW w:w="36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00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460,132</w:t>
            </w:r>
          </w:p>
        </w:tc>
        <w:tc>
          <w:tcPr>
            <w:tcW w:w="100" w:type="dxa"/>
            <w:vAlign w:val="bottom"/>
            <w:shd w:val="clear" w:color="auto" w:fill="CFF0FC"/>
          </w:tcPr>
          <w:p>
            <w:pPr>
              <w:spacing w:after="0"/>
              <w:rPr>
                <w:sz w:val="18"/>
                <w:szCs w:val="18"/>
                <w:color w:val="auto"/>
              </w:rPr>
            </w:pPr>
          </w:p>
        </w:tc>
      </w:tr>
      <w:tr>
        <w:trPr>
          <w:trHeight w:val="215"/>
        </w:trPr>
        <w:tc>
          <w:tcPr>
            <w:tcW w:w="6520" w:type="dxa"/>
            <w:vAlign w:val="bottom"/>
          </w:tcPr>
          <w:p>
            <w:pPr>
              <w:ind w:left="20"/>
              <w:spacing w:after="0" w:line="215" w:lineRule="exact"/>
              <w:rPr>
                <w:sz w:val="20"/>
                <w:szCs w:val="20"/>
                <w:color w:val="auto"/>
              </w:rPr>
            </w:pPr>
            <w:r>
              <w:rPr>
                <w:rFonts w:ascii="Calibri" w:cs="Calibri" w:eastAsia="Calibri" w:hAnsi="Calibri"/>
                <w:sz w:val="18"/>
                <w:szCs w:val="18"/>
                <w:color w:val="auto"/>
              </w:rPr>
              <w:t>Less: current porton</w:t>
            </w:r>
          </w:p>
        </w:tc>
        <w:tc>
          <w:tcPr>
            <w:tcW w:w="260" w:type="dxa"/>
            <w:vAlign w:val="bottom"/>
          </w:tcPr>
          <w:p>
            <w:pPr>
              <w:spacing w:after="0"/>
              <w:rPr>
                <w:sz w:val="18"/>
                <w:szCs w:val="18"/>
                <w:color w:val="auto"/>
              </w:rPr>
            </w:pPr>
          </w:p>
        </w:tc>
        <w:tc>
          <w:tcPr>
            <w:tcW w:w="1980" w:type="dxa"/>
            <w:vAlign w:val="bottom"/>
            <w:gridSpan w:val="2"/>
          </w:tcPr>
          <w:p>
            <w:pPr>
              <w:jc w:val="right"/>
              <w:ind w:right="300"/>
              <w:spacing w:after="0" w:line="215" w:lineRule="exact"/>
              <w:rPr>
                <w:sz w:val="20"/>
                <w:szCs w:val="20"/>
                <w:color w:val="auto"/>
              </w:rPr>
            </w:pPr>
            <w:r>
              <w:rPr>
                <w:rFonts w:ascii="Calibri" w:cs="Calibri" w:eastAsia="Calibri" w:hAnsi="Calibri"/>
                <w:sz w:val="18"/>
                <w:szCs w:val="18"/>
                <w:color w:val="auto"/>
              </w:rPr>
              <w:t>(2,750 )</w:t>
            </w:r>
          </w:p>
        </w:tc>
        <w:tc>
          <w:tcPr>
            <w:tcW w:w="380" w:type="dxa"/>
            <w:vAlign w:val="bottom"/>
          </w:tcPr>
          <w:p>
            <w:pPr>
              <w:spacing w:after="0"/>
              <w:rPr>
                <w:sz w:val="18"/>
                <w:szCs w:val="18"/>
                <w:color w:val="auto"/>
              </w:rPr>
            </w:pPr>
          </w:p>
        </w:tc>
        <w:tc>
          <w:tcPr>
            <w:tcW w:w="21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50"/>
        </w:trPr>
        <w:tc>
          <w:tcPr>
            <w:tcW w:w="652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Total long-term debt, net</w:t>
            </w:r>
          </w:p>
        </w:tc>
        <w:tc>
          <w:tcPr>
            <w:tcW w:w="260" w:type="dxa"/>
            <w:vAlign w:val="bottom"/>
            <w:tcBorders>
              <w:top w:val="single" w:sz="8" w:color="auto"/>
              <w:bottom w:val="single" w:sz="8" w:color="auto"/>
            </w:tcBorders>
            <w:shd w:val="clear" w:color="auto" w:fill="CFF0FC"/>
          </w:tcPr>
          <w:p>
            <w:pPr>
              <w:jc w:val="right"/>
              <w:ind w:right="70"/>
              <w:spacing w:after="0" w:line="210" w:lineRule="exact"/>
              <w:rPr>
                <w:sz w:val="20"/>
                <w:szCs w:val="20"/>
                <w:color w:val="auto"/>
              </w:rPr>
            </w:pPr>
            <w:r>
              <w:rPr>
                <w:rFonts w:ascii="Calibri" w:cs="Calibri" w:eastAsia="Calibri" w:hAnsi="Calibri"/>
                <w:sz w:val="18"/>
                <w:szCs w:val="18"/>
                <w:b w:val="1"/>
                <w:bCs w:val="1"/>
                <w:color w:val="auto"/>
                <w:w w:val="87"/>
              </w:rPr>
              <w:t>$</w:t>
            </w:r>
          </w:p>
        </w:tc>
        <w:tc>
          <w:tcPr>
            <w:tcW w:w="162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265,405</w:t>
            </w:r>
          </w:p>
        </w:tc>
        <w:tc>
          <w:tcPr>
            <w:tcW w:w="3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line="210" w:lineRule="exact"/>
              <w:rPr>
                <w:sz w:val="20"/>
                <w:szCs w:val="20"/>
                <w:color w:val="auto"/>
              </w:rPr>
            </w:pPr>
            <w:r>
              <w:rPr>
                <w:rFonts w:ascii="Calibri" w:cs="Calibri" w:eastAsia="Calibri" w:hAnsi="Calibri"/>
                <w:sz w:val="18"/>
                <w:szCs w:val="18"/>
                <w:b w:val="1"/>
                <w:bCs w:val="1"/>
                <w:color w:val="auto"/>
                <w:w w:val="87"/>
              </w:rPr>
              <w:t>$</w:t>
            </w:r>
          </w:p>
        </w:tc>
        <w:tc>
          <w:tcPr>
            <w:tcW w:w="200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460,132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June 2017 Term Loans</w:t>
      </w:r>
    </w:p>
    <w:p>
      <w:pPr>
        <w:spacing w:after="0" w:line="13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On June 30, 2017, we entered into a $575.0 million frst lien debt facility, comprised of a $50.0 million revolving facility and a $525.0 million term loan (the “June 2017 First Lien Loan”), and a second lien credit facility, comprised of a $185.0 million second lien term loan (the “June 2017 Second Lien Loan”). The First Lien Loan was amended to upsize the commited amount by $115.0 million on July 2, 2018. On October 28, 2019, we paid of the June 2017 Second Lien Loan balance. The underlying credit facility was subsequently retred on May 22, 2020. On October 18, 2021, we made an early principal payment of $148.2 million in connecton with, and using the proceeds from, the merger transacton with Horizon Acquisiton Corporaton ("the Merger Transacton") and private investment in public equity fnancing (“PIPE Subscripton”). On February 3, 2022, we repaid $190.7 million of the outstanding balance of the June 2017 First Lien Loan and refnanced the remaining balance with a new $275.0 million term loan.</w:t>
      </w:r>
    </w:p>
    <w:p>
      <w:pPr>
        <w:spacing w:after="0" w:line="138"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The June 2017 First Lien Loan was held by third-party fnancial insttutons and was carried at the outstanding principal balance, less debt issuance costs and any unamortzed discount or premium. The fair value was estmated using quoted prices that are directly observable in the marketplace, therefore, the fair value is estmated on a Level 2 basis. At December 31, 2021, the June 2017 First Lien Loan had a fair value of $465.1 million as compared to the carrying amount of $460.1 million.</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February 2022 First Lien Loan</w:t>
      </w:r>
    </w:p>
    <w:p>
      <w:pPr>
        <w:spacing w:after="0" w:line="136"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On February 3, 2022, we entered into an amendment which refnanced the remaining June 2017 First Lien Loan with a new $275.0 million term loan (the "February 2022 First Lien Loan") with a maturity date of February 3, 2029. In connecton with the February 2022 First Lien Loan, we also entered into a new revolving credit facility (the “Revolving</w:t>
      </w:r>
    </w:p>
    <w:p>
      <w:pPr>
        <w:spacing w:after="0" w:line="10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 w:name="page22"/>
    <w:bookmarkEnd w:id="21"/>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Facility”), which allows for an aggregate principal amount of $100.0 million and has a maturity date of February 3, 2027. At September 30, 2022, we had no outstanding borrowings under our Revolving Facility.</w:t>
      </w:r>
    </w:p>
    <w:p>
      <w:pPr>
        <w:spacing w:after="0" w:line="137" w:lineRule="exact"/>
        <w:rPr>
          <w:sz w:val="20"/>
          <w:szCs w:val="20"/>
          <w:color w:val="auto"/>
        </w:rPr>
      </w:pPr>
    </w:p>
    <w:p>
      <w:pPr>
        <w:jc w:val="both"/>
        <w:spacing w:after="0" w:line="226" w:lineRule="auto"/>
        <w:rPr>
          <w:sz w:val="20"/>
          <w:szCs w:val="20"/>
          <w:color w:val="auto"/>
        </w:rPr>
      </w:pPr>
      <w:r>
        <w:rPr>
          <w:rFonts w:ascii="Calibri" w:cs="Calibri" w:eastAsia="Calibri" w:hAnsi="Calibri"/>
          <w:sz w:val="18"/>
          <w:szCs w:val="18"/>
          <w:color w:val="auto"/>
        </w:rPr>
        <w:t>The terms of the February 2022 First Lien Loan specifed a secured overnight fnancing rate (“SOFR”) based foatng interest rate and revised the springing fnancial covenant under the June 2017 Term Loans to require compliance with a frst lien net leverage rato when revolver borrowings exceed certain levels. All obligatons under the February 2022 First Lien Loan are unconditonally guaranteed by Hoya Intermediate and substantally all of Hoya Intermediate’s existng and future direct and indirect wholly owned domestc subsidiaries. It requires quarterly amortzaton payments of $0.7 million. The Revolving Facility does not require periodic payments. All obligatons under the February 2022 First Lien Loan are secured, subject to permited liens and other exceptons, by frst-priority perfected security interests in substantally all of our assets. The February 2022 First Lien Loan carries an interest rate of SOFR plus 3.25%. The SOFR rate for the February 2022 First Lien Loan is subject to a 0.5% foor. The efectve interest rate on the February 2022 First Lien Loan was 6.68% per annum at September 30, 2022.</w:t>
      </w:r>
    </w:p>
    <w:p>
      <w:pPr>
        <w:spacing w:after="0" w:line="140"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Our February 2022 First Lien Loan is held by third-party fnancial insttutons and is carried at the outstanding principal balance, less debt issuance costs and any unamortzed discount or premium. The fair value was estmated using quoted prices that are directly observable in the marketplace, therefore, the fair value is estmated on a Level 2 basis. At September 30, 2022, the February 2022 First Lien Loan had a fair value of $259.9 million as compared to the carrying amount of $268.2 million.</w:t>
      </w:r>
    </w:p>
    <w:p>
      <w:pPr>
        <w:spacing w:after="0" w:line="137" w:lineRule="exact"/>
        <w:rPr>
          <w:sz w:val="20"/>
          <w:szCs w:val="20"/>
          <w:color w:val="auto"/>
        </w:rPr>
      </w:pPr>
    </w:p>
    <w:p>
      <w:pPr>
        <w:jc w:val="both"/>
        <w:spacing w:after="0" w:line="226" w:lineRule="auto"/>
        <w:rPr>
          <w:sz w:val="20"/>
          <w:szCs w:val="20"/>
          <w:color w:val="auto"/>
        </w:rPr>
      </w:pPr>
      <w:r>
        <w:rPr>
          <w:rFonts w:ascii="Calibri" w:cs="Calibri" w:eastAsia="Calibri" w:hAnsi="Calibri"/>
          <w:sz w:val="18"/>
          <w:szCs w:val="18"/>
          <w:color w:val="auto"/>
        </w:rPr>
        <w:t>We are subject to certain reportng and compliance-related covenants to remain in good standing under the February 2022 First Lien Loan. These covenants, among other things, limit our ability to incur additonal indebtedness, and in certain circumstances, create restrictons on the ability to enter into transactons with afliates; create liens; merge or consolidate; and make certain payments. Non-compliance with these covenants and failure to remedy could result in the acceleraton of the loans or foreclosure on the collateral. As of September 30, 2022, we were in compliance with all of our debt covenants related to the February 2022 First Lien Loan.</w:t>
      </w:r>
    </w:p>
    <w:p>
      <w:pPr>
        <w:spacing w:after="0" w:line="99" w:lineRule="exact"/>
        <w:rPr>
          <w:sz w:val="20"/>
          <w:szCs w:val="20"/>
          <w:color w:val="auto"/>
        </w:rPr>
      </w:pPr>
    </w:p>
    <w:p>
      <w:pPr>
        <w:jc w:val="both"/>
        <w:ind w:right="20"/>
        <w:spacing w:after="0" w:line="227" w:lineRule="auto"/>
        <w:rPr>
          <w:sz w:val="20"/>
          <w:szCs w:val="20"/>
          <w:color w:val="auto"/>
        </w:rPr>
      </w:pPr>
      <w:r>
        <w:rPr>
          <w:rFonts w:ascii="Calibri" w:cs="Calibri" w:eastAsia="Calibri" w:hAnsi="Calibri"/>
          <w:sz w:val="18"/>
          <w:szCs w:val="18"/>
          <w:color w:val="auto"/>
        </w:rPr>
        <w:t>Due to the refnancing of the June 2017 First Lien Loan with the February 2022 First Lien Loan, we incurred a loss of $4.3 million for the nine months ended September 30, 2022, which is presented in Loss on extnguishment of debt in the Condensed Consolidated Statements of Operatons.</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May 2020 First Lien Loan</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On May 22, 2020, we entered into a $260.0 million frst lien term loan (the “May 2020 First Lien Loan”) that is pari passu with the June 2017 First Lien Loan. The proceeds from the May 2020 First Lien Loan were used for general corporate purposes and to extnguish and retre the revolving facility related to the June 2017 First Lien Loan in full. On October 18, 2021, in connecton with and using the proceeds from the Merger Transacton, we paid of in full the May 2020 First Lien Loan balance.</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11. Financial Instruments</w:t>
      </w:r>
    </w:p>
    <w:p>
      <w:pPr>
        <w:spacing w:after="0" w:line="136" w:lineRule="exact"/>
        <w:rPr>
          <w:sz w:val="20"/>
          <w:szCs w:val="20"/>
          <w:color w:val="auto"/>
        </w:rPr>
      </w:pPr>
    </w:p>
    <w:p>
      <w:pPr>
        <w:jc w:val="both"/>
        <w:spacing w:after="0"/>
        <w:rPr>
          <w:sz w:val="20"/>
          <w:szCs w:val="20"/>
          <w:color w:val="auto"/>
        </w:rPr>
      </w:pPr>
      <w:r>
        <w:rPr>
          <w:rFonts w:ascii="Calibri" w:cs="Calibri" w:eastAsia="Calibri" w:hAnsi="Calibri"/>
          <w:sz w:val="17"/>
          <w:szCs w:val="17"/>
          <w:color w:val="auto"/>
        </w:rPr>
        <w:t>In Connecton with the Merger Transacton, we issued warrants to purchase 3,000,000 Hoya Intermediate common units at an exercise price of $10.00 per unit and warrants to purchase 3,000,000 Hoya Intermediate common units at an exercise price of $15.00 per unit (collectvely, "Hoya Intermediate Warrants") to Hoya Topco, LLC ("Hoya Topco"). The Hoya Intermediate Warrants are classifed as Other Liabilites in the Condensed Consolidated Balance Sheets. A porton of the Hoya Intermediate Warrants consistng of warrants to purchase 1,000,000 Hoya Intermediate common units at exercise prices of $10.00 and $15.00 per unit, respectvely, were issued in tandem with stock optons issued by Vivid Seats Inc. to members of our management team (“Opton Contngent Warrants”). The Opton Contngent Warrants only become available to exercise by Hoya Topco in the event that a corresponding management opton is forfeited or expires unexercised. As of September 30, 2022, 0.1 million of the corresponding management optons had been forfeited.</w:t>
      </w:r>
    </w:p>
    <w:p>
      <w:pPr>
        <w:spacing w:after="0" w:line="140"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Our Hoya Intermediate Warrants are exercisable for Hoya Intermediate common units, which allow for a potental cash redempton at the discreton of the unit holder. Hence, the Hoya Intermediate Warrants are classifed as a</w:t>
      </w:r>
    </w:p>
    <w:p>
      <w:pPr>
        <w:spacing w:after="0" w:line="10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2" w:name="page23"/>
    <w:bookmarkEnd w:id="22"/>
    <w:p>
      <w:pPr>
        <w:jc w:val="center"/>
        <w:ind w:right="40"/>
        <w:spacing w:after="0"/>
        <w:rPr>
          <w:sz w:val="20"/>
          <w:szCs w:val="20"/>
          <w:color w:val="auto"/>
        </w:rPr>
      </w:pPr>
      <w:r>
        <w:rPr>
          <w:rFonts w:ascii="Calibri" w:cs="Calibri" w:eastAsia="Calibri" w:hAnsi="Calibri"/>
          <w:sz w:val="18"/>
          <w:szCs w:val="18"/>
          <w:b w:val="1"/>
          <w:bCs w:val="1"/>
          <w:color w:val="auto"/>
        </w:rPr>
        <w:t>VIVID SEATS INC.</w:t>
      </w:r>
    </w:p>
    <w:p>
      <w:pPr>
        <w:jc w:val="center"/>
        <w:ind w:right="20"/>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ind w:right="40"/>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jc w:val="both"/>
        <w:ind w:right="40"/>
        <w:spacing w:after="0" w:line="228" w:lineRule="auto"/>
        <w:rPr>
          <w:sz w:val="20"/>
          <w:szCs w:val="20"/>
          <w:color w:val="auto"/>
        </w:rPr>
      </w:pPr>
      <w:r>
        <w:rPr>
          <w:rFonts w:ascii="Calibri" w:cs="Calibri" w:eastAsia="Calibri" w:hAnsi="Calibri"/>
          <w:sz w:val="18"/>
          <w:szCs w:val="18"/>
          <w:color w:val="auto"/>
        </w:rPr>
        <w:t>liability in Other liabilites on our Condensed Consolidated Balance Sheets. Upon consummaton of the Merger Transacton, we recorded a warrant liability of $20.4 million, refectng the fair value of the Hoya Intermediate Warrants determined using the Black Scholes model. The fair value of the Hoya Intermediate Warrants included Opton Contngent Warrants of $1.6 million. The estmated fair value of the Opton Contngent Warrants is adjusted to refect the probability of forfeiture of the corresponding stock optons based on historical forfeiture rates for Hoya Topco profts interests.</w:t>
      </w:r>
    </w:p>
    <w:p>
      <w:pPr>
        <w:spacing w:after="0" w:line="92"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assumptons were used to calculate the fair value of the Hoya Intermediate Warrants and Opton Contngent Warrants: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920" w:type="dxa"/>
            <w:vAlign w:val="bottom"/>
          </w:tcPr>
          <w:p>
            <w:pPr>
              <w:spacing w:after="0"/>
              <w:rPr>
                <w:sz w:val="19"/>
                <w:szCs w:val="19"/>
                <w:color w:val="auto"/>
              </w:rPr>
            </w:pPr>
          </w:p>
        </w:tc>
        <w:tc>
          <w:tcPr>
            <w:tcW w:w="2040" w:type="dxa"/>
            <w:vAlign w:val="bottom"/>
          </w:tcPr>
          <w:p>
            <w:pPr>
              <w:ind w:left="760"/>
              <w:spacing w:after="0"/>
              <w:rPr>
                <w:sz w:val="20"/>
                <w:szCs w:val="20"/>
                <w:color w:val="auto"/>
              </w:rPr>
            </w:pPr>
            <w:r>
              <w:rPr>
                <w:rFonts w:ascii="Calibri" w:cs="Calibri" w:eastAsia="Calibri" w:hAnsi="Calibri"/>
                <w:sz w:val="18"/>
                <w:szCs w:val="18"/>
                <w:b w:val="1"/>
                <w:bCs w:val="1"/>
                <w:color w:val="auto"/>
              </w:rPr>
              <w:t>September 30,</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80" w:type="dxa"/>
            <w:vAlign w:val="bottom"/>
            <w:gridSpan w:val="2"/>
          </w:tcPr>
          <w:p>
            <w:pPr>
              <w:jc w:val="right"/>
              <w:ind w:right="710"/>
              <w:spacing w:after="0"/>
              <w:rPr>
                <w:sz w:val="20"/>
                <w:szCs w:val="20"/>
                <w:color w:val="auto"/>
              </w:rPr>
            </w:pPr>
            <w:r>
              <w:rPr>
                <w:rFonts w:ascii="Calibri" w:cs="Calibri" w:eastAsia="Calibri" w:hAnsi="Calibri"/>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7960" w:type="dxa"/>
            <w:vAlign w:val="bottom"/>
            <w:gridSpan w:val="2"/>
          </w:tcPr>
          <w:p>
            <w:pPr>
              <w:ind w:left="7040"/>
              <w:spacing w:after="0" w:line="216" w:lineRule="exact"/>
              <w:rPr>
                <w:sz w:val="20"/>
                <w:szCs w:val="20"/>
                <w:color w:val="auto"/>
              </w:rPr>
            </w:pPr>
            <w:r>
              <w:rPr>
                <w:rFonts w:ascii="Calibri" w:cs="Calibri" w:eastAsia="Calibri" w:hAnsi="Calibri"/>
                <w:sz w:val="18"/>
                <w:szCs w:val="18"/>
                <w:b w:val="1"/>
                <w:bCs w:val="1"/>
                <w:color w:val="auto"/>
              </w:rPr>
              <w:t>2022</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jc w:val="right"/>
              <w:ind w:right="890"/>
              <w:spacing w:after="0" w:line="216" w:lineRule="exact"/>
              <w:rPr>
                <w:sz w:val="20"/>
                <w:szCs w:val="20"/>
                <w:color w:val="auto"/>
              </w:rPr>
            </w:pPr>
            <w:r>
              <w:rPr>
                <w:rFonts w:ascii="Calibri" w:cs="Calibri" w:eastAsia="Calibri" w:hAnsi="Calibri"/>
                <w:sz w:val="18"/>
                <w:szCs w:val="18"/>
                <w:b w:val="1"/>
                <w:bCs w:val="1"/>
                <w:color w:val="auto"/>
              </w:rPr>
              <w:t>2021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920" w:type="dxa"/>
            <w:vAlign w:val="bottom"/>
            <w:vMerge w:val="restart"/>
          </w:tcPr>
          <w:p>
            <w:pPr>
              <w:ind w:left="20"/>
              <w:spacing w:after="0"/>
              <w:rPr>
                <w:sz w:val="20"/>
                <w:szCs w:val="20"/>
                <w:color w:val="auto"/>
              </w:rPr>
            </w:pPr>
            <w:r>
              <w:rPr>
                <w:rFonts w:ascii="Calibri" w:cs="Calibri" w:eastAsia="Calibri" w:hAnsi="Calibri"/>
                <w:sz w:val="18"/>
                <w:szCs w:val="18"/>
                <w:color w:val="auto"/>
              </w:rPr>
              <w:t>Estmated volatlity</w:t>
            </w:r>
          </w:p>
        </w:tc>
        <w:tc>
          <w:tcPr>
            <w:tcW w:w="2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vMerge w:val="restart"/>
          </w:tcPr>
          <w:p>
            <w:pPr>
              <w:jc w:val="right"/>
              <w:ind w:right="50"/>
              <w:spacing w:after="0"/>
              <w:rPr>
                <w:sz w:val="20"/>
                <w:szCs w:val="20"/>
                <w:color w:val="auto"/>
              </w:rPr>
            </w:pPr>
            <w:r>
              <w:rPr>
                <w:rFonts w:ascii="Calibri" w:cs="Calibri" w:eastAsia="Calibri" w:hAnsi="Calibri"/>
                <w:sz w:val="18"/>
                <w:szCs w:val="18"/>
                <w:color w:val="auto"/>
                <w:w w:val="92"/>
              </w:rPr>
              <w:t>%</w:t>
            </w:r>
          </w:p>
        </w:tc>
        <w:tc>
          <w:tcPr>
            <w:tcW w:w="2340" w:type="dxa"/>
            <w:vAlign w:val="bottom"/>
            <w:tcBorders>
              <w:bottom w:val="single" w:sz="8" w:color="auto"/>
            </w:tcBorders>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Calibri" w:cs="Calibri" w:eastAsia="Calibri" w:hAnsi="Calibri"/>
                <w:sz w:val="18"/>
                <w:szCs w:val="18"/>
                <w:color w:val="auto"/>
                <w:w w:val="92"/>
              </w:rPr>
              <w:t>%</w:t>
            </w:r>
          </w:p>
        </w:tc>
        <w:tc>
          <w:tcPr>
            <w:tcW w:w="0" w:type="dxa"/>
            <w:vAlign w:val="bottom"/>
          </w:tcPr>
          <w:p>
            <w:pPr>
              <w:spacing w:after="0"/>
              <w:rPr>
                <w:sz w:val="1"/>
                <w:szCs w:val="1"/>
                <w:color w:val="auto"/>
              </w:rPr>
            </w:pPr>
          </w:p>
        </w:tc>
      </w:tr>
      <w:tr>
        <w:trPr>
          <w:trHeight w:val="208"/>
        </w:trPr>
        <w:tc>
          <w:tcPr>
            <w:tcW w:w="592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560" w:type="dxa"/>
            <w:vAlign w:val="bottom"/>
          </w:tcPr>
          <w:p>
            <w:pPr>
              <w:jc w:val="right"/>
              <w:spacing w:after="0" w:line="208" w:lineRule="exact"/>
              <w:rPr>
                <w:sz w:val="20"/>
                <w:szCs w:val="20"/>
                <w:color w:val="auto"/>
              </w:rPr>
            </w:pPr>
            <w:r>
              <w:rPr>
                <w:rFonts w:ascii="Calibri" w:cs="Calibri" w:eastAsia="Calibri" w:hAnsi="Calibri"/>
                <w:sz w:val="18"/>
                <w:szCs w:val="18"/>
                <w:color w:val="auto"/>
              </w:rPr>
              <w:t>40.0</w:t>
            </w:r>
          </w:p>
        </w:tc>
        <w:tc>
          <w:tcPr>
            <w:tcW w:w="280" w:type="dxa"/>
            <w:vAlign w:val="bottom"/>
            <w:vMerge w:val="continue"/>
          </w:tcPr>
          <w:p>
            <w:pPr>
              <w:spacing w:after="0"/>
              <w:rPr>
                <w:sz w:val="18"/>
                <w:szCs w:val="18"/>
                <w:color w:val="auto"/>
              </w:rPr>
            </w:pPr>
          </w:p>
        </w:tc>
        <w:tc>
          <w:tcPr>
            <w:tcW w:w="2340" w:type="dxa"/>
            <w:vAlign w:val="bottom"/>
          </w:tcPr>
          <w:p>
            <w:pPr>
              <w:jc w:val="right"/>
              <w:spacing w:after="0" w:line="208" w:lineRule="exact"/>
              <w:rPr>
                <w:sz w:val="20"/>
                <w:szCs w:val="20"/>
                <w:color w:val="auto"/>
              </w:rPr>
            </w:pPr>
            <w:r>
              <w:rPr>
                <w:rFonts w:ascii="Calibri" w:cs="Calibri" w:eastAsia="Calibri" w:hAnsi="Calibri"/>
                <w:sz w:val="18"/>
                <w:szCs w:val="18"/>
                <w:color w:val="auto"/>
              </w:rPr>
              <w:t>36.0</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6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Expected term (years)</w:t>
            </w: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9.1</w:t>
            </w:r>
          </w:p>
        </w:tc>
        <w:tc>
          <w:tcPr>
            <w:tcW w:w="280" w:type="dxa"/>
            <w:vAlign w:val="bottom"/>
          </w:tcPr>
          <w:p>
            <w:pPr>
              <w:spacing w:after="0"/>
              <w:rPr>
                <w:sz w:val="18"/>
                <w:szCs w:val="18"/>
                <w:color w:val="auto"/>
              </w:rPr>
            </w:pPr>
          </w:p>
        </w:tc>
        <w:tc>
          <w:tcPr>
            <w:tcW w:w="2340" w:type="dxa"/>
            <w:vAlign w:val="bottom"/>
          </w:tcPr>
          <w:p>
            <w:pPr>
              <w:jc w:val="right"/>
              <w:spacing w:after="0" w:line="215" w:lineRule="exact"/>
              <w:rPr>
                <w:sz w:val="20"/>
                <w:szCs w:val="20"/>
                <w:color w:val="auto"/>
              </w:rPr>
            </w:pPr>
            <w:r>
              <w:rPr>
                <w:rFonts w:ascii="Calibri" w:cs="Calibri" w:eastAsia="Calibri" w:hAnsi="Calibri"/>
                <w:sz w:val="18"/>
                <w:szCs w:val="18"/>
                <w:color w:val="auto"/>
              </w:rPr>
              <w:t>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6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Risk-free rate</w:t>
            </w:r>
          </w:p>
        </w:tc>
        <w:tc>
          <w:tcPr>
            <w:tcW w:w="84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3.9 %</w:t>
            </w:r>
          </w:p>
        </w:tc>
        <w:tc>
          <w:tcPr>
            <w:tcW w:w="24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1.5 %</w:t>
            </w:r>
          </w:p>
        </w:tc>
        <w:tc>
          <w:tcPr>
            <w:tcW w:w="0" w:type="dxa"/>
            <w:vAlign w:val="bottom"/>
          </w:tcPr>
          <w:p>
            <w:pPr>
              <w:spacing w:after="0"/>
              <w:rPr>
                <w:sz w:val="1"/>
                <w:szCs w:val="1"/>
                <w:color w:val="auto"/>
              </w:rPr>
            </w:pPr>
          </w:p>
        </w:tc>
      </w:tr>
      <w:tr>
        <w:trPr>
          <w:trHeight w:val="215"/>
        </w:trPr>
        <w:tc>
          <w:tcPr>
            <w:tcW w:w="796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Expected dividend yield</w:t>
            </w:r>
          </w:p>
        </w:tc>
        <w:tc>
          <w:tcPr>
            <w:tcW w:w="84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0.0 %</w:t>
            </w:r>
          </w:p>
        </w:tc>
        <w:tc>
          <w:tcPr>
            <w:tcW w:w="24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7"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For the three and nine months ended September 30, 2022, the fair value of the Hoya Intermediate Warrants and Opton Contngent Warrants decreased by less than $0.1 million and $6.6 million, respectvely, which is presented in Other income on the Condensed Consolidated Statements of Operatons.</w:t>
      </w:r>
    </w:p>
    <w:p>
      <w:pPr>
        <w:spacing w:after="0" w:line="137" w:lineRule="exact"/>
        <w:rPr>
          <w:sz w:val="20"/>
          <w:szCs w:val="20"/>
          <w:color w:val="auto"/>
        </w:rPr>
      </w:pPr>
    </w:p>
    <w:p>
      <w:pPr>
        <w:jc w:val="both"/>
        <w:ind w:right="40"/>
        <w:spacing w:after="0" w:line="225" w:lineRule="auto"/>
        <w:rPr>
          <w:sz w:val="20"/>
          <w:szCs w:val="20"/>
          <w:color w:val="auto"/>
        </w:rPr>
      </w:pPr>
      <w:r>
        <w:rPr>
          <w:rFonts w:ascii="Calibri" w:cs="Calibri" w:eastAsia="Calibri" w:hAnsi="Calibri"/>
          <w:sz w:val="18"/>
          <w:szCs w:val="18"/>
          <w:color w:val="auto"/>
        </w:rPr>
        <w:t>In connecton with the Merger Transacton, we issued warrants to purchase 18,132,776 shares of Class A common stock at an exercise price of $11.50 per share ("Class A Public Warrants"). On May 26, 2022, we announced the commencement of an ofer to the holders of outstanding Class A Public Warrants to receive 0.240 shares of Class A common stock in exchange for each outstanding Class A Public Warrant (the “Ofer”). On July 5, 2022, a total of 11,365,913 public warrants were tendered for 2,727,785 shares of Class A Common Stock (the “Exchange”). Following the Exchange, 6,766,853 public warrants remained outstanding. During the three and nine months ended September 30, 2022, zero and ten warrants were exercised, respectvely. The exercise of the warrants are accounted for as a transacton within Additonal paid-in capital in the Condensed Consolidated Balance Sheets.</w:t>
      </w:r>
    </w:p>
    <w:p>
      <w:pPr>
        <w:spacing w:after="0" w:line="141"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Other fnancial instruments, including accounts receivable and accounts payable, are carried at cost, which approximates their fair value because of the short-term nature of these instruments.</w:t>
      </w:r>
    </w:p>
    <w:p>
      <w:pPr>
        <w:spacing w:after="0" w:line="137" w:lineRule="exact"/>
        <w:rPr>
          <w:sz w:val="20"/>
          <w:szCs w:val="20"/>
          <w:color w:val="auto"/>
        </w:rPr>
      </w:pPr>
    </w:p>
    <w:p>
      <w:pPr>
        <w:ind w:right="8480" w:firstLine="8"/>
        <w:spacing w:after="0" w:line="378" w:lineRule="auto"/>
        <w:tabs>
          <w:tab w:leader="none" w:pos="264" w:val="left"/>
        </w:tabs>
        <w:numPr>
          <w:ilvl w:val="0"/>
          <w:numId w:val="5"/>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Commitments and Contingencies Litgaton</w:t>
      </w:r>
    </w:p>
    <w:p>
      <w:pPr>
        <w:spacing w:after="0" w:line="23"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From tme to tme, we are involved in various claims and legal actons arising in the ordinary course of business, none of which, in the opinion of management, could have a material efect on our business, fnancial positon or results of operatons other than those maters discussed herein.</w:t>
      </w:r>
    </w:p>
    <w:p>
      <w:pPr>
        <w:spacing w:after="0" w:line="150" w:lineRule="exact"/>
        <w:rPr>
          <w:sz w:val="20"/>
          <w:szCs w:val="20"/>
          <w:color w:val="auto"/>
        </w:rPr>
      </w:pPr>
    </w:p>
    <w:p>
      <w:pPr>
        <w:jc w:val="both"/>
        <w:ind w:right="40"/>
        <w:spacing w:after="0" w:line="244" w:lineRule="auto"/>
        <w:rPr>
          <w:sz w:val="20"/>
          <w:szCs w:val="20"/>
          <w:color w:val="auto"/>
        </w:rPr>
      </w:pPr>
      <w:r>
        <w:rPr>
          <w:rFonts w:ascii="Calibri" w:cs="Calibri" w:eastAsia="Calibri" w:hAnsi="Calibri"/>
          <w:sz w:val="18"/>
          <w:szCs w:val="18"/>
          <w:color w:val="auto"/>
        </w:rPr>
        <w:t>We are a co-defendant in a class acton lawsuit in Canada alleging a failure to disclose service fees prior to checkout, which we have setled. On January 5, 2022, we issued coupons to certain members of the class. Other members will be notfed in 2022 that they are eligible to submit a claim for a coupon. As of September 30, 2022 and December 31, 2021, a liability of $0.9 million was recorded in Accrued expenses and other current liabilites in the Condensed Consolidated Balance Sheets related to expected claim submissions and credit redemptons as of the measurement date.</w:t>
      </w:r>
    </w:p>
    <w:p>
      <w:pPr>
        <w:spacing w:after="0" w:line="146" w:lineRule="exact"/>
        <w:rPr>
          <w:sz w:val="20"/>
          <w:szCs w:val="20"/>
          <w:color w:val="auto"/>
        </w:rPr>
      </w:pPr>
    </w:p>
    <w:p>
      <w:pPr>
        <w:jc w:val="both"/>
        <w:ind w:right="40"/>
        <w:spacing w:after="0" w:line="244" w:lineRule="auto"/>
        <w:rPr>
          <w:sz w:val="20"/>
          <w:szCs w:val="20"/>
          <w:color w:val="auto"/>
        </w:rPr>
      </w:pPr>
      <w:r>
        <w:rPr>
          <w:rFonts w:ascii="Calibri" w:cs="Calibri" w:eastAsia="Calibri" w:hAnsi="Calibri"/>
          <w:sz w:val="18"/>
          <w:szCs w:val="18"/>
          <w:color w:val="auto"/>
        </w:rPr>
        <w:t>We received multple class acton lawsuits related to customer compensaton for cancellatons, primarily as a result of COVID-19 restrictons. A fnal order approving setlement of one of the lawsuits was entered by the court on November 1, 2021. As such, afer insurance, $4.5 million was funded to a claims setlement pool and is included in Prepaid expenses and other current assets in the Condensed Consolidated Balance Sheets. As of September 30, 2022 and December 31, 2021, we had accrued a liability of $1.9 million and $1.7 million, respectvely, within Accrued</w:t>
      </w:r>
    </w:p>
    <w:p>
      <w:pPr>
        <w:spacing w:after="0" w:line="101"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2" w:right="299" w:bottom="1440" w:gutter="0" w:footer="0" w:header="0"/>
        </w:sectPr>
      </w:pPr>
    </w:p>
    <w:bookmarkStart w:id="23" w:name="page24"/>
    <w:bookmarkEnd w:id="23"/>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expenses and other current liabilites in the Condensed Consolidated Balance Sheets related to these maters. We expect to recover some of these costs under our insurance policies and have separately recognized an insurance recovery asset of $0.5 million within Prepaid expenses and other current assets in the Condensed Consolidated Balance Sheets at September 30, 2022 and December 31, 2021.</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Other</w:t>
      </w:r>
    </w:p>
    <w:p>
      <w:pPr>
        <w:spacing w:after="0" w:line="163" w:lineRule="exact"/>
        <w:rPr>
          <w:sz w:val="20"/>
          <w:szCs w:val="20"/>
          <w:color w:val="auto"/>
        </w:rPr>
      </w:pPr>
    </w:p>
    <w:p>
      <w:pPr>
        <w:jc w:val="both"/>
        <w:spacing w:after="0" w:line="241" w:lineRule="auto"/>
        <w:rPr>
          <w:sz w:val="20"/>
          <w:szCs w:val="20"/>
          <w:color w:val="auto"/>
        </w:rPr>
      </w:pPr>
      <w:r>
        <w:rPr>
          <w:rFonts w:ascii="Calibri" w:cs="Calibri" w:eastAsia="Calibri" w:hAnsi="Calibri"/>
          <w:sz w:val="18"/>
          <w:szCs w:val="18"/>
          <w:color w:val="auto"/>
        </w:rPr>
        <w:t>In 2018, the U.S. Supreme Court issued its decision in South Dakota v. Wayfair Inc., which overturned previous case law that had precluded states from imposing sales tax collecton requirements on retailers without a physical presence in the state. In response, most states have already adopted laws that atempt to impose tax collecton obligatons on out-of-state companies, and we have registered and are collectng tax, where required by statute. However, states or local governments may contnue to adopt laws requiring that we calculate, collect, and remit taxes on sales in their jurisdictons. A successful asserton by one or more jurisdictons could result in tax liabilites, including taxes on past sales, as well as penaltes and interest. Based on our analysis of certain state regulatons, specifcally related to marketplace facilitators and tcket sales, we do not believe risk of loss is probable on historical revenue actvites where tax has not already been remited. We contnuously monitor state regulatons and will implement required collecton and remitance procedures if and when we believe we are subject to such regulatons.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Share Repurchase Program</w:t>
      </w:r>
    </w:p>
    <w:p>
      <w:pPr>
        <w:spacing w:after="0" w:line="136"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On May 25, 2022, our board of directors authorized a share repurchase program of our Class A Common Stock of up to $40.0 million ("Program"). The Program will be efectve untl March 31, 2023. We may repurchase shares from tme to tme in open market transactons, through privately negotated transactons or otherwise in accordance with applicable federal securites laws. The amount and tming of repurchases will depend upon market conditons and other factors including price. The Program does not obligate us to acquire any partcular amount of stock, and it may be terminated, modifed, or suspended at any tme at our discreton. The Program commenced following the Exchange. As of September 30, 2022, we have repurchased 0.4 million shares of our Class A Common Stock for $3.1 million under the Program. The share repurchases are accounted for as Treasury stock in the Condensed Consolidated Balance Sheets.</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13. Related-Party Transactions</w:t>
      </w:r>
    </w:p>
    <w:p>
      <w:pPr>
        <w:spacing w:after="0" w:line="136" w:lineRule="exact"/>
        <w:rPr>
          <w:sz w:val="20"/>
          <w:szCs w:val="20"/>
          <w:color w:val="auto"/>
        </w:rPr>
      </w:pPr>
    </w:p>
    <w:p>
      <w:pPr>
        <w:jc w:val="both"/>
        <w:spacing w:after="0" w:line="243" w:lineRule="auto"/>
        <w:rPr>
          <w:sz w:val="20"/>
          <w:szCs w:val="20"/>
          <w:color w:val="auto"/>
        </w:rPr>
      </w:pPr>
      <w:r>
        <w:rPr>
          <w:rFonts w:ascii="Calibri" w:cs="Calibri" w:eastAsia="Calibri" w:hAnsi="Calibri"/>
          <w:sz w:val="18"/>
          <w:szCs w:val="18"/>
          <w:color w:val="auto"/>
        </w:rPr>
        <w:t>Vivid Cheers Inc. (“Vivid Cheers”) was incorporated as a non-proft organizaton within the meaning of Secton 501(c)(3) of the Internal Revenue Code. Vivid Cheers’ mission is to support causes and organizatons dedicated to healthcare, educaton, and support of workers in the live events industry during tmes of need. We have the right to elect the board of directors of Vivid Cheers, which is currently formed by our executves. We do not have a controlling fnancial interest in Vivid Cheers, and accordingly, do not consolidate Vivid Cheers’ statement of actvites with our fnancial results. We made no charitable contributons to Vivid Cheers during the three months ended September 30, 2022, and $0.6 million of charitable contributons to Vivid Cheers for the nine months ended September 30, 2022. We made charitable contributons to Vivid Cheers of $0.9 million and $1.8 million for the three and nine months ended September 30, 2021, respectvely. We had no accrued charitable contributons payable as of September 30, 2022 and had $1.3 million of accrued charitable contributons payable as of December 31, 2021.</w:t>
      </w:r>
    </w:p>
    <w:p>
      <w:pPr>
        <w:spacing w:after="0" w:line="11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4" w:name="page25"/>
    <w:bookmarkEnd w:id="24"/>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14. Income Taxes</w:t>
      </w:r>
    </w:p>
    <w:p>
      <w:pPr>
        <w:spacing w:after="0" w:line="136" w:lineRule="exact"/>
        <w:rPr>
          <w:sz w:val="20"/>
          <w:szCs w:val="20"/>
          <w:color w:val="auto"/>
        </w:rPr>
      </w:pPr>
    </w:p>
    <w:p>
      <w:pPr>
        <w:jc w:val="both"/>
        <w:spacing w:after="0"/>
        <w:rPr>
          <w:sz w:val="20"/>
          <w:szCs w:val="20"/>
          <w:color w:val="auto"/>
        </w:rPr>
      </w:pPr>
      <w:r>
        <w:rPr>
          <w:rFonts w:ascii="Calibri" w:cs="Calibri" w:eastAsia="Calibri" w:hAnsi="Calibri"/>
          <w:sz w:val="17"/>
          <w:szCs w:val="17"/>
          <w:color w:val="auto"/>
        </w:rPr>
        <w:t>We recorded a valuaton allowance against our net deferred tax asset as of December 31, 2021, March 31, 2022, and June 30, 2022. We expect to contnue maintaining a full valuaton allowance on our net deferred tax asset untl there is sufcient positve evidence to support the reversal of all or some porton of this allowance. However, given our current earnings and antcipated future earnings, we believe that there is a reasonable possibility that within the next 9 months, sufcient positve evidence may become available to allow us to reach a conclusion that a signifcant porton or the entrety of the valuaton allowance will no longer be necessary to be recorded against our net deferred tax asset. Release of the valuaton allowance would result in the recogniton of previously unrecognized deferred tax assets and an income tax beneft in the period in which the release of the valuaton allowance is recorded. However, the exact tming and amount of the valuaton allowance release are subject to change on the basis of the level of positve evidence becoming available.</w:t>
      </w:r>
    </w:p>
    <w:p>
      <w:pPr>
        <w:spacing w:after="0" w:line="140"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For the three and nine months ended September 30, 2022, we recorded $0.1 million and $0.2 million income tax expense in contnuing operatons, respectvely. The September 30, 2022 income tax provision was primarily a result of state taxes.</w:t>
      </w:r>
    </w:p>
    <w:p>
      <w:pPr>
        <w:spacing w:after="0" w:line="138"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Prior to the Merger Transacton in the fourth quarter of 2021, we were structured as a partnership for U.S. federal and most applicable state and local income tax purposes. As a partnership, the taxable income and losses were passed through to and included in the taxable income of its members. Accordingly, amounts related to income taxes were zero prior to the Merger Transacton, and we did not incur material amounts of income tax expense or have material income tax liability or deferred tax balances in 2021.</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15. Equity Based Compensation</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2021 Incentve Award Plan ("2021 Plan") was approved and adopted in order to facilitate the grant of equity incentve awards to our employees, directors and consultants. The 2021 Plan became efectve on October 18, 2021 upon closing of the Merger Transacton.</w:t>
      </w:r>
    </w:p>
    <w:p>
      <w:pPr>
        <w:spacing w:after="0" w:line="11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Restricted Stock Units ("RSUs")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March 11, 2022, we granted 1.4 million RSUs to certain employees at a weighted average grant date fair value of $10.26 per share. RSUs granted to employees vest over three years, with one-third vestng upon the one-year anniversary of the grant date and the remaining porton vestng on a quarterly basis thereafer, subject to the employee’s contnued employment through the applicable vestng date.</w:t>
      </w:r>
    </w:p>
    <w:p>
      <w:pPr>
        <w:spacing w:after="0" w:line="151"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On May 12, 2022, we granted 0.1 million RSUs to certain employees at a weighted average grant date fair value of $7.71 per share. RSUs granted to employees vest over three years, with one-third vestng upon the one-year anniversary of the grant date and the remaining porton vestng on a quarterly basis thereafer, subject to the employee’s contnued employment through the applicable vestng date.</w:t>
      </w:r>
    </w:p>
    <w:p>
      <w:pPr>
        <w:spacing w:after="0" w:line="151"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On June 7, 2022, we granted 0.1 million RSUs to directors at a weighted average grant date fair value of $8.85 per share. RSUs granted to directors fully vest on the earlier of (i) the day immediately preceding the date of the frst annual meetng of stockholders following the date of the grant and (ii) the one-year anniversary of the grant date, subject to the directors' contnued service on the Board.</w:t>
      </w:r>
    </w:p>
    <w:p>
      <w:pPr>
        <w:spacing w:after="0" w:line="151"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On August 12, 2022, we granted 0.1 million RSUs to certain employees at a weighted average grant date fair value of $9.62 per share. RSUs granted to employees vest over three years, with one-third vestng upon the one-year anniversary of the grant date and the remaining porton vestng on a quarterly basis thereafer, subject to the employee’s contnued employment through the applicable vestng date.</w:t>
      </w:r>
    </w:p>
    <w:p>
      <w:pPr>
        <w:spacing w:after="0" w:line="10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5" w:name="page26"/>
    <w:bookmarkEnd w:id="25"/>
    <w:p>
      <w:pPr>
        <w:jc w:val="center"/>
        <w:ind w:right="40"/>
        <w:spacing w:after="0"/>
        <w:rPr>
          <w:sz w:val="20"/>
          <w:szCs w:val="20"/>
          <w:color w:val="auto"/>
        </w:rPr>
      </w:pPr>
      <w:r>
        <w:rPr>
          <w:rFonts w:ascii="Calibri" w:cs="Calibri" w:eastAsia="Calibri" w:hAnsi="Calibri"/>
          <w:sz w:val="18"/>
          <w:szCs w:val="18"/>
          <w:b w:val="1"/>
          <w:bCs w:val="1"/>
          <w:color w:val="auto"/>
        </w:rPr>
        <w:t>VIVID SEATS INC.</w:t>
      </w:r>
    </w:p>
    <w:p>
      <w:pPr>
        <w:jc w:val="center"/>
        <w:ind w:right="20"/>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ind w:right="40"/>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jc w:val="both"/>
        <w:ind w:right="40"/>
        <w:spacing w:after="0"/>
        <w:rPr>
          <w:sz w:val="20"/>
          <w:szCs w:val="20"/>
          <w:color w:val="auto"/>
        </w:rPr>
      </w:pPr>
      <w:r>
        <w:rPr>
          <w:rFonts w:ascii="Calibri" w:cs="Calibri" w:eastAsia="Calibri" w:hAnsi="Calibri"/>
          <w:sz w:val="18"/>
          <w:szCs w:val="18"/>
          <w:color w:val="auto"/>
        </w:rPr>
        <w:t>We account for forfeitures of outstanding, but unvested grants, in the period they occur. During the three and nine months ended September 30, 2022, there were 0.2 million and 0.3 million RSUs forfeited. At September 30, 2022, We had 2.6 million total RSUs outstanding and 1.4 million RSUs were outstanding at December 31, 2021.</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Stock optons</w:t>
      </w:r>
    </w:p>
    <w:p>
      <w:pPr>
        <w:spacing w:after="0" w:line="150" w:lineRule="exact"/>
        <w:rPr>
          <w:sz w:val="20"/>
          <w:szCs w:val="20"/>
          <w:color w:val="auto"/>
        </w:rPr>
      </w:pPr>
    </w:p>
    <w:p>
      <w:pPr>
        <w:jc w:val="both"/>
        <w:ind w:right="40"/>
        <w:spacing w:after="0"/>
        <w:rPr>
          <w:sz w:val="20"/>
          <w:szCs w:val="20"/>
          <w:color w:val="auto"/>
        </w:rPr>
      </w:pPr>
      <w:r>
        <w:rPr>
          <w:rFonts w:ascii="Calibri" w:cs="Calibri" w:eastAsia="Calibri" w:hAnsi="Calibri"/>
          <w:sz w:val="18"/>
          <w:szCs w:val="18"/>
          <w:color w:val="auto"/>
        </w:rPr>
        <w:t>On March 11, 2022, we granted 2.6 million stock optons at an exercise price of $10.26 to certain employees. The grant date fair value is $3.99 per opton. Stock optons provide for the purchase of shares of our Class A Common Stock in the future at an exercise price set on the grant date. These stock optons vest over three years, with one-third vestng upon the one-year anniversary of the grant date and the remaining porton vestng on a quarterly basis thereafer. The stock optons have a contractual term of ten years from the date of the grant, subject to the employee’s contnued employment through the applicable vestng date. The fair value of stock optons granted is estmated on the grant date using the Black-Scholes model. The following assumptons were used to calculate the fair value of our stock awards on March 11, 2022: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6200" w:type="dxa"/>
            <w:vAlign w:val="bottom"/>
            <w:vMerge w:val="restart"/>
          </w:tcPr>
          <w:p>
            <w:pPr>
              <w:ind w:left="20"/>
              <w:spacing w:after="0"/>
              <w:rPr>
                <w:sz w:val="20"/>
                <w:szCs w:val="20"/>
                <w:color w:val="auto"/>
              </w:rPr>
            </w:pPr>
            <w:r>
              <w:rPr>
                <w:rFonts w:ascii="Calibri" w:cs="Calibri" w:eastAsia="Calibri" w:hAnsi="Calibri"/>
                <w:sz w:val="18"/>
                <w:szCs w:val="18"/>
                <w:color w:val="auto"/>
              </w:rPr>
              <w:t>Volatlity</w:t>
            </w:r>
          </w:p>
        </w:tc>
        <w:tc>
          <w:tcPr>
            <w:tcW w:w="5080" w:type="dxa"/>
            <w:vAlign w:val="bottom"/>
            <w:vMerge w:val="restart"/>
          </w:tcPr>
          <w:p>
            <w:pPr>
              <w:jc w:val="right"/>
              <w:spacing w:after="0"/>
              <w:rPr>
                <w:sz w:val="20"/>
                <w:szCs w:val="20"/>
                <w:color w:val="auto"/>
              </w:rPr>
            </w:pPr>
            <w:r>
              <w:rPr>
                <w:rFonts w:ascii="Calibri" w:cs="Calibri" w:eastAsia="Calibri" w:hAnsi="Calibri"/>
                <w:sz w:val="18"/>
                <w:szCs w:val="18"/>
                <w:color w:val="auto"/>
              </w:rPr>
              <w:t>37.5 %</w:t>
            </w:r>
          </w:p>
        </w:tc>
        <w:tc>
          <w:tcPr>
            <w:tcW w:w="0" w:type="dxa"/>
            <w:vAlign w:val="bottom"/>
          </w:tcPr>
          <w:p>
            <w:pPr>
              <w:spacing w:after="0" w:line="20" w:lineRule="exact"/>
              <w:rPr>
                <w:sz w:val="1"/>
                <w:szCs w:val="1"/>
                <w:color w:val="auto"/>
              </w:rPr>
            </w:pPr>
          </w:p>
        </w:tc>
      </w:tr>
      <w:tr>
        <w:trPr>
          <w:trHeight w:val="193"/>
        </w:trPr>
        <w:tc>
          <w:tcPr>
            <w:tcW w:w="6200" w:type="dxa"/>
            <w:vAlign w:val="bottom"/>
            <w:vMerge w:val="continue"/>
          </w:tcPr>
          <w:p>
            <w:pPr>
              <w:spacing w:after="0"/>
              <w:rPr>
                <w:sz w:val="16"/>
                <w:szCs w:val="16"/>
                <w:color w:val="auto"/>
              </w:rPr>
            </w:pPr>
          </w:p>
        </w:tc>
        <w:tc>
          <w:tcPr>
            <w:tcW w:w="5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line="216" w:lineRule="exact"/>
              <w:rPr>
                <w:sz w:val="20"/>
                <w:szCs w:val="20"/>
                <w:color w:val="auto"/>
              </w:rPr>
            </w:pPr>
            <w:r>
              <w:rPr>
                <w:rFonts w:ascii="Calibri" w:cs="Calibri" w:eastAsia="Calibri" w:hAnsi="Calibri"/>
                <w:sz w:val="18"/>
                <w:szCs w:val="18"/>
                <w:color w:val="auto"/>
              </w:rPr>
              <w:t>Expected term (years)</w:t>
            </w:r>
          </w:p>
        </w:tc>
        <w:tc>
          <w:tcPr>
            <w:tcW w:w="5080" w:type="dxa"/>
            <w:vAlign w:val="bottom"/>
          </w:tcPr>
          <w:p>
            <w:pPr>
              <w:jc w:val="right"/>
              <w:ind w:right="70"/>
              <w:spacing w:after="0" w:line="216" w:lineRule="exact"/>
              <w:rPr>
                <w:sz w:val="20"/>
                <w:szCs w:val="20"/>
                <w:color w:val="auto"/>
              </w:rPr>
            </w:pPr>
            <w:r>
              <w:rPr>
                <w:rFonts w:ascii="Calibri" w:cs="Calibri" w:eastAsia="Calibri" w:hAnsi="Calibri"/>
                <w:sz w:val="18"/>
                <w:szCs w:val="18"/>
                <w:color w:val="auto"/>
              </w:rPr>
              <w:t>5.9</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line="216" w:lineRule="exact"/>
              <w:rPr>
                <w:sz w:val="20"/>
                <w:szCs w:val="20"/>
                <w:color w:val="auto"/>
              </w:rPr>
            </w:pPr>
            <w:r>
              <w:rPr>
                <w:rFonts w:ascii="Calibri" w:cs="Calibri" w:eastAsia="Calibri" w:hAnsi="Calibri"/>
                <w:sz w:val="18"/>
                <w:szCs w:val="18"/>
                <w:color w:val="auto"/>
              </w:rPr>
              <w:t>Interest rate</w:t>
            </w:r>
          </w:p>
        </w:tc>
        <w:tc>
          <w:tcPr>
            <w:tcW w:w="5080" w:type="dxa"/>
            <w:vAlign w:val="bottom"/>
          </w:tcPr>
          <w:p>
            <w:pPr>
              <w:jc w:val="right"/>
              <w:spacing w:after="0" w:line="216" w:lineRule="exact"/>
              <w:rPr>
                <w:sz w:val="20"/>
                <w:szCs w:val="20"/>
                <w:color w:val="auto"/>
              </w:rPr>
            </w:pPr>
            <w:r>
              <w:rPr>
                <w:rFonts w:ascii="Calibri" w:cs="Calibri" w:eastAsia="Calibri" w:hAnsi="Calibri"/>
                <w:sz w:val="18"/>
                <w:szCs w:val="18"/>
                <w:color w:val="auto"/>
              </w:rPr>
              <w:t>2.0 %</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line="216" w:lineRule="exact"/>
              <w:rPr>
                <w:sz w:val="20"/>
                <w:szCs w:val="20"/>
                <w:color w:val="auto"/>
              </w:rPr>
            </w:pPr>
            <w:r>
              <w:rPr>
                <w:rFonts w:ascii="Calibri" w:cs="Calibri" w:eastAsia="Calibri" w:hAnsi="Calibri"/>
                <w:sz w:val="18"/>
                <w:szCs w:val="18"/>
                <w:color w:val="auto"/>
              </w:rPr>
              <w:t>Dividend yield</w:t>
            </w:r>
          </w:p>
        </w:tc>
        <w:tc>
          <w:tcPr>
            <w:tcW w:w="5080" w:type="dxa"/>
            <w:vAlign w:val="bottom"/>
          </w:tcPr>
          <w:p>
            <w:pPr>
              <w:jc w:val="right"/>
              <w:spacing w:after="0" w:line="216" w:lineRule="exact"/>
              <w:rPr>
                <w:sz w:val="20"/>
                <w:szCs w:val="20"/>
                <w:color w:val="auto"/>
              </w:rPr>
            </w:pPr>
            <w:r>
              <w:rPr>
                <w:rFonts w:ascii="Calibri" w:cs="Calibri" w:eastAsia="Calibri" w:hAnsi="Calibri"/>
                <w:sz w:val="18"/>
                <w:szCs w:val="18"/>
                <w:color w:val="auto"/>
              </w:rPr>
              <w:t>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-532765</wp:posOffset>
            </wp:positionV>
            <wp:extent cx="713232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4" w:lineRule="exact"/>
        <w:rPr>
          <w:sz w:val="20"/>
          <w:szCs w:val="20"/>
          <w:color w:val="auto"/>
        </w:rPr>
      </w:pPr>
    </w:p>
    <w:p>
      <w:pPr>
        <w:jc w:val="both"/>
        <w:ind w:right="40"/>
        <w:spacing w:after="0" w:line="230" w:lineRule="auto"/>
        <w:rPr>
          <w:sz w:val="20"/>
          <w:szCs w:val="20"/>
          <w:color w:val="auto"/>
        </w:rPr>
      </w:pPr>
      <w:r>
        <w:rPr>
          <w:rFonts w:ascii="Calibri" w:cs="Calibri" w:eastAsia="Calibri" w:hAnsi="Calibri"/>
          <w:sz w:val="18"/>
          <w:szCs w:val="18"/>
          <w:color w:val="auto"/>
        </w:rPr>
        <w:t>At September 30, 2022, there were approximately 6.2 million total stock optons outstanding and 4.1 million stock optons were outstanding as of December 31, 2021. No stock optons were exercised during the three and nine months ended September 30, 2022. During the three and nine months ended September 30, 2022, there were approximately 0.4 million stock optons forfeited.</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Compensaton expense</w:t>
      </w:r>
    </w:p>
    <w:p>
      <w:pPr>
        <w:spacing w:after="0" w:line="150"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For the three and nine months ended September 30, 2022, equity-based compensaton expense related to RSUs was $2.3 million and $6.0 million, respectvely, compared to zero for the three and nine months ended September 30, 2021. Unrecognized compensaton expense relatng to unvested RSUs as of September 30, 2022, was approximately $28 million.</w:t>
      </w:r>
    </w:p>
    <w:p>
      <w:pPr>
        <w:spacing w:after="0" w:line="151" w:lineRule="exact"/>
        <w:rPr>
          <w:sz w:val="20"/>
          <w:szCs w:val="20"/>
          <w:color w:val="auto"/>
        </w:rPr>
      </w:pPr>
    </w:p>
    <w:p>
      <w:pPr>
        <w:jc w:val="both"/>
        <w:ind w:right="40"/>
        <w:spacing w:after="0"/>
        <w:rPr>
          <w:sz w:val="20"/>
          <w:szCs w:val="20"/>
          <w:color w:val="auto"/>
        </w:rPr>
      </w:pPr>
      <w:r>
        <w:rPr>
          <w:rFonts w:ascii="Calibri" w:cs="Calibri" w:eastAsia="Calibri" w:hAnsi="Calibri"/>
          <w:sz w:val="18"/>
          <w:szCs w:val="18"/>
          <w:color w:val="auto"/>
        </w:rPr>
        <w:t>For the three and nine months ended September 30, 2022, equity-based compensaton expense related to stock optons was $1.7 million and $4.6 million, respectvely, compared to zero for the three and nine months ended September 30, 2021. Unrecognized compensaton expense relatng to unvested stock optons as of September 30, 2022, was approximately $20 million.</w:t>
      </w:r>
    </w:p>
    <w:p>
      <w:pPr>
        <w:spacing w:after="0" w:line="151" w:lineRule="exact"/>
        <w:rPr>
          <w:sz w:val="20"/>
          <w:szCs w:val="20"/>
          <w:color w:val="auto"/>
        </w:rPr>
      </w:pPr>
    </w:p>
    <w:p>
      <w:pPr>
        <w:jc w:val="both"/>
        <w:ind w:right="40"/>
        <w:spacing w:after="0" w:line="245" w:lineRule="auto"/>
        <w:rPr>
          <w:sz w:val="20"/>
          <w:szCs w:val="20"/>
          <w:color w:val="auto"/>
        </w:rPr>
      </w:pPr>
      <w:r>
        <w:rPr>
          <w:rFonts w:ascii="Calibri" w:cs="Calibri" w:eastAsia="Calibri" w:hAnsi="Calibri"/>
          <w:sz w:val="18"/>
          <w:szCs w:val="18"/>
          <w:color w:val="auto"/>
        </w:rPr>
        <w:t>For the three and nine months ended September 30, 2022, equity-based compensaton expense related to proft interests was $1.1 million and $3.4 million, respectvely, compared to $1.2 million and $3.5 million for the three and nine months ended September 30, 2021.</w:t>
      </w:r>
    </w:p>
    <w:p>
      <w:pPr>
        <w:spacing w:after="0" w:line="100"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2" w:right="299" w:bottom="1440" w:gutter="0" w:footer="0" w:header="0"/>
        </w:sectPr>
      </w:pPr>
    </w:p>
    <w:bookmarkStart w:id="26" w:name="page27"/>
    <w:bookmarkEnd w:id="26"/>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16. Earnings Per Share</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Class B common stock does not have economic rights in the Company and as a result, is not considered a partcipatng security for basic and diluted income (loss) per share. As such, basic and diluted income (loss) per share of Class B common stock has not been presented. The following tables set forth the computaton of basic and diluted net income per share of Class A Common Stock for the periods where we had Class A and Class B common stock outstanding (in thousands, except share and per share data):</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right"/>
              <w:ind w:right="270"/>
              <w:spacing w:after="0"/>
              <w:rPr>
                <w:sz w:val="20"/>
                <w:szCs w:val="20"/>
                <w:color w:val="auto"/>
              </w:rPr>
            </w:pPr>
            <w:r>
              <w:rPr>
                <w:rFonts w:ascii="Calibri" w:cs="Calibri" w:eastAsia="Calibri" w:hAnsi="Calibri"/>
                <w:sz w:val="18"/>
                <w:szCs w:val="18"/>
                <w:b w:val="1"/>
                <w:bCs w:val="1"/>
                <w:color w:val="auto"/>
              </w:rPr>
              <w:t>Three Months Ended</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ind w:right="310"/>
              <w:spacing w:after="0"/>
              <w:rPr>
                <w:sz w:val="20"/>
                <w:szCs w:val="20"/>
                <w:color w:val="auto"/>
              </w:rPr>
            </w:pPr>
            <w:r>
              <w:rPr>
                <w:rFonts w:ascii="Calibri" w:cs="Calibri" w:eastAsia="Calibri" w:hAnsi="Calibri"/>
                <w:sz w:val="18"/>
                <w:szCs w:val="18"/>
                <w:b w:val="1"/>
                <w:bCs w:val="1"/>
                <w:color w:val="auto"/>
              </w:rPr>
              <w:t>Nine Months Ended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right"/>
              <w:ind w:right="270"/>
              <w:spacing w:after="0" w:line="215" w:lineRule="exact"/>
              <w:rPr>
                <w:sz w:val="20"/>
                <w:szCs w:val="20"/>
                <w:color w:val="auto"/>
              </w:rPr>
            </w:pPr>
            <w:r>
              <w:rPr>
                <w:rFonts w:ascii="Calibri" w:cs="Calibri" w:eastAsia="Calibri" w:hAnsi="Calibri"/>
                <w:sz w:val="18"/>
                <w:szCs w:val="18"/>
                <w:b w:val="1"/>
                <w:bCs w:val="1"/>
                <w:color w:val="auto"/>
              </w:rPr>
              <w:t>September 30, 2022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jc w:val="right"/>
              <w:ind w:right="290"/>
              <w:spacing w:after="0" w:line="215" w:lineRule="exact"/>
              <w:rPr>
                <w:sz w:val="20"/>
                <w:szCs w:val="20"/>
                <w:color w:val="auto"/>
              </w:rPr>
            </w:pPr>
            <w:r>
              <w:rPr>
                <w:rFonts w:ascii="Calibri" w:cs="Calibri" w:eastAsia="Calibri" w:hAnsi="Calibri"/>
                <w:sz w:val="18"/>
                <w:szCs w:val="18"/>
                <w:b w:val="1"/>
                <w:bCs w:val="1"/>
                <w:color w:val="auto"/>
              </w:rPr>
              <w:t>September 30, 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140" w:type="dxa"/>
            <w:vAlign w:val="bottom"/>
            <w:vMerge w:val="restart"/>
          </w:tcPr>
          <w:p>
            <w:pPr>
              <w:ind w:left="20"/>
              <w:spacing w:after="0"/>
              <w:rPr>
                <w:sz w:val="20"/>
                <w:szCs w:val="20"/>
                <w:color w:val="auto"/>
              </w:rPr>
            </w:pPr>
            <w:r>
              <w:rPr>
                <w:rFonts w:ascii="Calibri" w:cs="Calibri" w:eastAsia="Calibri" w:hAnsi="Calibri"/>
                <w:sz w:val="18"/>
                <w:szCs w:val="18"/>
                <w:b w:val="1"/>
                <w:bCs w:val="1"/>
                <w:color w:val="auto"/>
              </w:rPr>
              <w:t>Numerator—basic:</w:t>
            </w:r>
          </w:p>
        </w:tc>
        <w:tc>
          <w:tcPr>
            <w:tcW w:w="1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4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9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Net income</w:t>
            </w:r>
          </w:p>
        </w:tc>
        <w:tc>
          <w:tcPr>
            <w:tcW w:w="1580" w:type="dxa"/>
            <w:vAlign w:val="bottom"/>
            <w:gridSpan w:val="2"/>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9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18,747</w:t>
            </w:r>
          </w:p>
        </w:tc>
        <w:tc>
          <w:tcPr>
            <w:tcW w:w="480" w:type="dxa"/>
            <w:vAlign w:val="bottom"/>
            <w:gridSpan w:val="2"/>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9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45,945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40" w:type="dxa"/>
            <w:vAlign w:val="bottom"/>
          </w:tcPr>
          <w:p>
            <w:pPr>
              <w:ind w:left="120"/>
              <w:spacing w:after="0" w:line="215" w:lineRule="exact"/>
              <w:rPr>
                <w:sz w:val="20"/>
                <w:szCs w:val="20"/>
                <w:color w:val="auto"/>
              </w:rPr>
            </w:pPr>
            <w:r>
              <w:rPr>
                <w:rFonts w:ascii="Calibri" w:cs="Calibri" w:eastAsia="Calibri" w:hAnsi="Calibri"/>
                <w:sz w:val="18"/>
                <w:szCs w:val="18"/>
                <w:color w:val="auto"/>
              </w:rPr>
              <w:t>Less: Income atributable to redeemable noncontrolling interests</w:t>
            </w:r>
          </w:p>
        </w:tc>
        <w:tc>
          <w:tcPr>
            <w:tcW w:w="1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11,084</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27,368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bottom w:val="single" w:sz="8" w:color="CFF0FC"/>
            </w:tcBorders>
            <w:shd w:val="clear" w:color="auto" w:fill="CFF0FC"/>
          </w:tcPr>
          <w:p>
            <w:pPr>
              <w:ind w:left="120"/>
              <w:spacing w:after="0" w:line="210" w:lineRule="exact"/>
              <w:rPr>
                <w:sz w:val="20"/>
                <w:szCs w:val="20"/>
                <w:color w:val="auto"/>
              </w:rPr>
            </w:pPr>
            <w:r>
              <w:rPr>
                <w:rFonts w:ascii="Calibri" w:cs="Calibri" w:eastAsia="Calibri" w:hAnsi="Calibri"/>
                <w:sz w:val="18"/>
                <w:szCs w:val="18"/>
                <w:color w:val="auto"/>
              </w:rPr>
              <w:t>Net income atributable to Class A Common Stockholders—basic</w:t>
            </w:r>
          </w:p>
        </w:tc>
        <w:tc>
          <w:tcPr>
            <w:tcW w:w="1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98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7,663</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18,577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Denominator—basic:</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FF0FC"/>
            </w:tcBorders>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Weighted average Class A common stock outstanding—basic</w:t>
            </w:r>
          </w:p>
        </w:tc>
        <w:tc>
          <w:tcPr>
            <w:tcW w:w="1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9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81,996,447</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80,145,329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Net income per Class A common stock—basic</w:t>
            </w:r>
          </w:p>
        </w:tc>
        <w:tc>
          <w:tcPr>
            <w:tcW w:w="1580" w:type="dxa"/>
            <w:vAlign w:val="bottom"/>
            <w:gridSpan w:val="2"/>
          </w:tcPr>
          <w:p>
            <w:pPr>
              <w:jc w:val="right"/>
              <w:ind w:right="30"/>
              <w:spacing w:after="0" w:line="209" w:lineRule="exact"/>
              <w:rPr>
                <w:sz w:val="20"/>
                <w:szCs w:val="20"/>
                <w:color w:val="auto"/>
              </w:rPr>
            </w:pPr>
            <w:r>
              <w:rPr>
                <w:rFonts w:ascii="Calibri" w:cs="Calibri" w:eastAsia="Calibri" w:hAnsi="Calibri"/>
                <w:sz w:val="18"/>
                <w:szCs w:val="18"/>
                <w:b w:val="1"/>
                <w:bCs w:val="1"/>
                <w:color w:val="auto"/>
              </w:rPr>
              <w:t>$</w:t>
            </w:r>
          </w:p>
        </w:tc>
        <w:tc>
          <w:tcPr>
            <w:tcW w:w="198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0.09</w:t>
            </w:r>
          </w:p>
        </w:tc>
        <w:tc>
          <w:tcPr>
            <w:tcW w:w="480" w:type="dxa"/>
            <w:vAlign w:val="bottom"/>
            <w:gridSpan w:val="2"/>
          </w:tcPr>
          <w:p>
            <w:pPr>
              <w:jc w:val="right"/>
              <w:ind w:right="50"/>
              <w:spacing w:after="0" w:line="209" w:lineRule="exact"/>
              <w:rPr>
                <w:sz w:val="20"/>
                <w:szCs w:val="20"/>
                <w:color w:val="auto"/>
              </w:rPr>
            </w:pPr>
            <w:r>
              <w:rPr>
                <w:rFonts w:ascii="Calibri" w:cs="Calibri" w:eastAsia="Calibri" w:hAnsi="Calibri"/>
                <w:sz w:val="18"/>
                <w:szCs w:val="18"/>
                <w:b w:val="1"/>
                <w:bCs w:val="1"/>
                <w:color w:val="auto"/>
              </w:rPr>
              <w:t>$</w:t>
            </w:r>
          </w:p>
        </w:tc>
        <w:tc>
          <w:tcPr>
            <w:tcW w:w="196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4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Numerator—diluted:</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Net income atributable to Class A Common Stockholders—basic</w:t>
            </w:r>
          </w:p>
        </w:tc>
        <w:tc>
          <w:tcPr>
            <w:tcW w:w="1580" w:type="dxa"/>
            <w:vAlign w:val="bottom"/>
            <w:gridSpan w:val="2"/>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w:t>
            </w:r>
          </w:p>
        </w:tc>
        <w:tc>
          <w:tcPr>
            <w:tcW w:w="1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7,663</w:t>
            </w:r>
          </w:p>
        </w:tc>
        <w:tc>
          <w:tcPr>
            <w:tcW w:w="480" w:type="dxa"/>
            <w:vAlign w:val="bottom"/>
            <w:gridSpan w:val="2"/>
            <w:shd w:val="clear" w:color="auto" w:fill="CFF0FC"/>
          </w:tcPr>
          <w:p>
            <w:pPr>
              <w:jc w:val="right"/>
              <w:ind w:right="50"/>
              <w:spacing w:after="0" w:line="216" w:lineRule="exact"/>
              <w:rPr>
                <w:sz w:val="20"/>
                <w:szCs w:val="20"/>
                <w:color w:val="auto"/>
              </w:rPr>
            </w:pPr>
            <w:r>
              <w:rPr>
                <w:rFonts w:ascii="Calibri" w:cs="Calibri" w:eastAsia="Calibri" w:hAnsi="Calibri"/>
                <w:sz w:val="18"/>
                <w:szCs w:val="18"/>
                <w:color w:val="auto"/>
              </w:rPr>
              <w:t>$</w:t>
            </w:r>
          </w:p>
        </w:tc>
        <w:tc>
          <w:tcPr>
            <w:tcW w:w="19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18,577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40" w:type="dxa"/>
            <w:vAlign w:val="bottom"/>
          </w:tcPr>
          <w:p>
            <w:pPr>
              <w:ind w:left="120"/>
              <w:spacing w:after="0" w:line="215" w:lineRule="exact"/>
              <w:rPr>
                <w:sz w:val="20"/>
                <w:szCs w:val="20"/>
                <w:color w:val="auto"/>
              </w:rPr>
            </w:pPr>
            <w:r>
              <w:rPr>
                <w:rFonts w:ascii="Calibri" w:cs="Calibri" w:eastAsia="Calibri" w:hAnsi="Calibri"/>
                <w:sz w:val="18"/>
                <w:szCs w:val="18"/>
                <w:color w:val="auto"/>
              </w:rPr>
              <w:t>Net income efect of dilutve securites: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Efect of Noncontrolling Interest</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27,368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40" w:type="dxa"/>
            <w:vAlign w:val="bottom"/>
          </w:tcPr>
          <w:p>
            <w:pPr>
              <w:ind w:left="120"/>
              <w:spacing w:after="0" w:line="215" w:lineRule="exact"/>
              <w:rPr>
                <w:sz w:val="20"/>
                <w:szCs w:val="20"/>
                <w:color w:val="auto"/>
              </w:rPr>
            </w:pPr>
            <w:r>
              <w:rPr>
                <w:rFonts w:ascii="Calibri" w:cs="Calibri" w:eastAsia="Calibri" w:hAnsi="Calibri"/>
                <w:sz w:val="18"/>
                <w:szCs w:val="18"/>
                <w:color w:val="auto"/>
              </w:rPr>
              <w:t>Efect of RSUs</w:t>
            </w:r>
          </w:p>
        </w:tc>
        <w:tc>
          <w:tcPr>
            <w:tcW w:w="1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5140" w:type="dxa"/>
            <w:vAlign w:val="bottom"/>
            <w:shd w:val="clear" w:color="auto" w:fill="CFF0FC"/>
          </w:tcPr>
          <w:p>
            <w:pPr>
              <w:ind w:left="120"/>
              <w:spacing w:after="0" w:line="161" w:lineRule="exact"/>
              <w:rPr>
                <w:sz w:val="20"/>
                <w:szCs w:val="20"/>
                <w:color w:val="auto"/>
              </w:rPr>
            </w:pPr>
            <w:r>
              <w:rPr>
                <w:rFonts w:ascii="Calibri" w:cs="Calibri" w:eastAsia="Calibri" w:hAnsi="Calibri"/>
                <w:sz w:val="17"/>
                <w:szCs w:val="17"/>
                <w:color w:val="auto"/>
              </w:rPr>
              <w:t>Net income atributable to Class A Common Stockholders—</w:t>
            </w:r>
          </w:p>
        </w:tc>
        <w:tc>
          <w:tcPr>
            <w:tcW w:w="1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98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7,664</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9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45,945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1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diluted</w:t>
            </w:r>
          </w:p>
        </w:tc>
        <w:tc>
          <w:tcPr>
            <w:tcW w:w="13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98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9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140" w:type="dxa"/>
            <w:vAlign w:val="bottom"/>
          </w:tcPr>
          <w:p>
            <w:pPr>
              <w:ind w:left="20"/>
              <w:spacing w:after="0" w:line="214" w:lineRule="exact"/>
              <w:rPr>
                <w:sz w:val="20"/>
                <w:szCs w:val="20"/>
                <w:color w:val="auto"/>
              </w:rPr>
            </w:pPr>
            <w:r>
              <w:rPr>
                <w:rFonts w:ascii="Calibri" w:cs="Calibri" w:eastAsia="Calibri" w:hAnsi="Calibri"/>
                <w:sz w:val="18"/>
                <w:szCs w:val="18"/>
                <w:b w:val="1"/>
                <w:bCs w:val="1"/>
                <w:color w:val="auto"/>
              </w:rPr>
              <w:t>Denominator—diluted:</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Weighted average Class A common stock outstanding—basic</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81,996,447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80,145,329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40" w:type="dxa"/>
            <w:vAlign w:val="bottom"/>
          </w:tcPr>
          <w:p>
            <w:pPr>
              <w:ind w:left="120"/>
              <w:spacing w:after="0" w:line="215" w:lineRule="exact"/>
              <w:rPr>
                <w:sz w:val="20"/>
                <w:szCs w:val="20"/>
                <w:color w:val="auto"/>
              </w:rPr>
            </w:pPr>
            <w:r>
              <w:rPr>
                <w:rFonts w:ascii="Calibri" w:cs="Calibri" w:eastAsia="Calibri" w:hAnsi="Calibri"/>
                <w:sz w:val="18"/>
                <w:szCs w:val="18"/>
                <w:color w:val="auto"/>
              </w:rPr>
              <w:t>Weighted average efect of dilutve securites: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Efect of Noncontrolling Interest</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118,200,000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40" w:type="dxa"/>
            <w:vAlign w:val="bottom"/>
          </w:tcPr>
          <w:p>
            <w:pPr>
              <w:ind w:left="120"/>
              <w:spacing w:after="0" w:line="215" w:lineRule="exact"/>
              <w:rPr>
                <w:sz w:val="20"/>
                <w:szCs w:val="20"/>
                <w:color w:val="auto"/>
              </w:rPr>
            </w:pPr>
            <w:r>
              <w:rPr>
                <w:rFonts w:ascii="Calibri" w:cs="Calibri" w:eastAsia="Calibri" w:hAnsi="Calibri"/>
                <w:sz w:val="18"/>
                <w:szCs w:val="18"/>
                <w:color w:val="auto"/>
              </w:rPr>
              <w:t>Efect of Exercise Warrants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jc w:val="right"/>
              <w:spacing w:after="0" w:line="215" w:lineRule="exact"/>
              <w:rPr>
                <w:sz w:val="20"/>
                <w:szCs w:val="20"/>
                <w:color w:val="auto"/>
              </w:rPr>
            </w:pPr>
            <w:r>
              <w:rPr>
                <w:rFonts w:ascii="Calibri" w:cs="Calibri" w:eastAsia="Calibri" w:hAnsi="Calibri"/>
                <w:sz w:val="18"/>
                <w:szCs w:val="18"/>
                <w:color w:val="auto"/>
              </w:rPr>
              <w:t>345,208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FF0FC"/>
            </w:tcBorders>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Efect of RSUs</w:t>
            </w:r>
          </w:p>
        </w:tc>
        <w:tc>
          <w:tcPr>
            <w:tcW w:w="1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9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27,016</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19,232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ind w:left="120"/>
              <w:spacing w:after="0" w:line="209" w:lineRule="exact"/>
              <w:rPr>
                <w:sz w:val="20"/>
                <w:szCs w:val="20"/>
                <w:color w:val="auto"/>
              </w:rPr>
            </w:pPr>
            <w:r>
              <w:rPr>
                <w:rFonts w:ascii="Calibri" w:cs="Calibri" w:eastAsia="Calibri" w:hAnsi="Calibri"/>
                <w:sz w:val="18"/>
                <w:szCs w:val="18"/>
                <w:color w:val="auto"/>
              </w:rPr>
              <w:t>Weighted average Class A common stock outstanding—diluted</w:t>
            </w:r>
          </w:p>
        </w:tc>
        <w:tc>
          <w:tcPr>
            <w:tcW w:w="1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82,023,463</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198,709,769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140" w:type="dxa"/>
            <w:vAlign w:val="bottom"/>
            <w:tcBorders>
              <w:bottom w:val="single" w:sz="8" w:color="CFF0FC"/>
            </w:tcBorders>
            <w:shd w:val="clear" w:color="auto" w:fill="CFF0FC"/>
          </w:tcPr>
          <w:p>
            <w:pPr>
              <w:ind w:left="120"/>
              <w:spacing w:after="0" w:line="210" w:lineRule="exact"/>
              <w:rPr>
                <w:sz w:val="20"/>
                <w:szCs w:val="20"/>
                <w:color w:val="auto"/>
              </w:rPr>
            </w:pPr>
            <w:r>
              <w:rPr>
                <w:rFonts w:ascii="Calibri" w:cs="Calibri" w:eastAsia="Calibri" w:hAnsi="Calibri"/>
                <w:sz w:val="18"/>
                <w:szCs w:val="18"/>
                <w:b w:val="1"/>
                <w:bCs w:val="1"/>
                <w:color w:val="auto"/>
              </w:rPr>
              <w:t>Net income per Class A common stock—diluted</w:t>
            </w:r>
          </w:p>
        </w:tc>
        <w:tc>
          <w:tcPr>
            <w:tcW w:w="13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line="210" w:lineRule="exact"/>
              <w:rPr>
                <w:sz w:val="20"/>
                <w:szCs w:val="20"/>
                <w:color w:val="auto"/>
              </w:rPr>
            </w:pPr>
            <w:r>
              <w:rPr>
                <w:rFonts w:ascii="Calibri" w:cs="Calibri" w:eastAsia="Calibri" w:hAnsi="Calibri"/>
                <w:sz w:val="18"/>
                <w:szCs w:val="18"/>
                <w:b w:val="1"/>
                <w:bCs w:val="1"/>
                <w:color w:val="auto"/>
                <w:w w:val="87"/>
              </w:rPr>
              <w:t>$</w:t>
            </w:r>
          </w:p>
        </w:tc>
        <w:tc>
          <w:tcPr>
            <w:tcW w:w="198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0.09</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line="210" w:lineRule="exact"/>
              <w:rPr>
                <w:sz w:val="20"/>
                <w:szCs w:val="20"/>
                <w:color w:val="auto"/>
              </w:rPr>
            </w:pPr>
            <w:r>
              <w:rPr>
                <w:rFonts w:ascii="Calibri" w:cs="Calibri" w:eastAsia="Calibri" w:hAnsi="Calibri"/>
                <w:sz w:val="18"/>
                <w:szCs w:val="18"/>
                <w:b w:val="1"/>
                <w:bCs w:val="1"/>
                <w:color w:val="auto"/>
                <w:w w:val="87"/>
              </w:rPr>
              <w:t>$</w:t>
            </w:r>
          </w:p>
        </w:tc>
        <w:tc>
          <w:tcPr>
            <w:tcW w:w="196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0.23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89"/>
        </w:trPr>
        <w:tc>
          <w:tcPr>
            <w:tcW w:w="5140" w:type="dxa"/>
            <w:vAlign w:val="bottom"/>
          </w:tcPr>
          <w:p>
            <w:pPr>
              <w:spacing w:after="0"/>
              <w:rPr>
                <w:sz w:val="24"/>
                <w:szCs w:val="24"/>
                <w:color w:val="auto"/>
              </w:rPr>
            </w:pPr>
          </w:p>
        </w:tc>
        <w:tc>
          <w:tcPr>
            <w:tcW w:w="1360" w:type="dxa"/>
            <w:vAlign w:val="bottom"/>
          </w:tcPr>
          <w:p>
            <w:pPr>
              <w:jc w:val="right"/>
              <w:ind w:right="690"/>
              <w:spacing w:after="0"/>
              <w:rPr>
                <w:sz w:val="20"/>
                <w:szCs w:val="20"/>
                <w:color w:val="auto"/>
              </w:rPr>
            </w:pPr>
            <w:r>
              <w:rPr>
                <w:rFonts w:ascii="Calibri" w:cs="Calibri" w:eastAsia="Calibri" w:hAnsi="Calibri"/>
                <w:sz w:val="18"/>
                <w:szCs w:val="18"/>
                <w:color w:val="auto"/>
              </w:rPr>
              <w:t>25</w:t>
            </w: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1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-3025140</wp:posOffset>
            </wp:positionV>
            <wp:extent cx="68580" cy="146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146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-2742565</wp:posOffset>
            </wp:positionV>
            <wp:extent cx="6858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-2742565</wp:posOffset>
            </wp:positionV>
            <wp:extent cx="6858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-1490980</wp:posOffset>
            </wp:positionV>
            <wp:extent cx="68580" cy="145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1454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-659765</wp:posOffset>
            </wp:positionV>
            <wp:extent cx="6858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-367665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-351155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7" w:name="page28"/>
    <w:bookmarkEnd w:id="27"/>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Potental shares of common stock are excluded from the computaton of diluted net income per share if their efect would have been ant-dilutve for the period presented or if the issuance of shares is contngent upon events that did not occur by the end of the period.</w:t>
      </w:r>
    </w:p>
    <w:p>
      <w:pPr>
        <w:spacing w:after="0" w:line="137"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The following tables present potentally dilutve securites excluded from the computaton of diluted net income per share for the periods presented that could potentally dilute earnings per share in the future: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80" w:type="dxa"/>
            <w:vAlign w:val="bottom"/>
          </w:tcPr>
          <w:p>
            <w:pPr>
              <w:spacing w:after="0"/>
              <w:rPr>
                <w:sz w:val="19"/>
                <w:szCs w:val="19"/>
                <w:color w:val="auto"/>
              </w:rPr>
            </w:pPr>
          </w:p>
        </w:tc>
        <w:tc>
          <w:tcPr>
            <w:tcW w:w="2220" w:type="dxa"/>
            <w:vAlign w:val="bottom"/>
          </w:tcPr>
          <w:p>
            <w:pPr>
              <w:jc w:val="right"/>
              <w:ind w:right="270"/>
              <w:spacing w:after="0"/>
              <w:rPr>
                <w:sz w:val="20"/>
                <w:szCs w:val="20"/>
                <w:color w:val="auto"/>
              </w:rPr>
            </w:pPr>
            <w:r>
              <w:rPr>
                <w:rFonts w:ascii="Calibri" w:cs="Calibri" w:eastAsia="Calibri" w:hAnsi="Calibri"/>
                <w:sz w:val="18"/>
                <w:szCs w:val="18"/>
                <w:b w:val="1"/>
                <w:bCs w:val="1"/>
                <w:color w:val="auto"/>
              </w:rPr>
              <w:t>Three Months Ended</w:t>
            </w:r>
          </w:p>
        </w:tc>
        <w:tc>
          <w:tcPr>
            <w:tcW w:w="220" w:type="dxa"/>
            <w:vAlign w:val="bottom"/>
          </w:tcPr>
          <w:p>
            <w:pPr>
              <w:spacing w:after="0"/>
              <w:rPr>
                <w:sz w:val="19"/>
                <w:szCs w:val="19"/>
                <w:color w:val="auto"/>
              </w:rPr>
            </w:pPr>
          </w:p>
        </w:tc>
        <w:tc>
          <w:tcPr>
            <w:tcW w:w="2220" w:type="dxa"/>
            <w:vAlign w:val="bottom"/>
          </w:tcPr>
          <w:p>
            <w:pPr>
              <w:jc w:val="right"/>
              <w:ind w:right="330"/>
              <w:spacing w:after="0"/>
              <w:rPr>
                <w:sz w:val="20"/>
                <w:szCs w:val="20"/>
                <w:color w:val="auto"/>
              </w:rPr>
            </w:pPr>
            <w:r>
              <w:rPr>
                <w:rFonts w:ascii="Calibri" w:cs="Calibri" w:eastAsia="Calibri" w:hAnsi="Calibri"/>
                <w:sz w:val="18"/>
                <w:szCs w:val="18"/>
                <w:b w:val="1"/>
                <w:bCs w:val="1"/>
                <w:color w:val="auto"/>
              </w:rPr>
              <w:t>Nine Months Ended</w:t>
            </w:r>
          </w:p>
        </w:tc>
        <w:tc>
          <w:tcPr>
            <w:tcW w:w="100" w:type="dxa"/>
            <w:vAlign w:val="bottom"/>
          </w:tcPr>
          <w:p>
            <w:pPr>
              <w:spacing w:after="0"/>
              <w:rPr>
                <w:sz w:val="19"/>
                <w:szCs w:val="19"/>
                <w:color w:val="auto"/>
              </w:rPr>
            </w:pPr>
          </w:p>
        </w:tc>
      </w:tr>
      <w:tr>
        <w:trPr>
          <w:trHeight w:val="215"/>
        </w:trPr>
        <w:tc>
          <w:tcPr>
            <w:tcW w:w="6480" w:type="dxa"/>
            <w:vAlign w:val="bottom"/>
          </w:tcPr>
          <w:p>
            <w:pPr>
              <w:spacing w:after="0"/>
              <w:rPr>
                <w:sz w:val="18"/>
                <w:szCs w:val="18"/>
                <w:color w:val="auto"/>
              </w:rPr>
            </w:pPr>
          </w:p>
        </w:tc>
        <w:tc>
          <w:tcPr>
            <w:tcW w:w="2220" w:type="dxa"/>
            <w:vAlign w:val="bottom"/>
          </w:tcPr>
          <w:p>
            <w:pPr>
              <w:jc w:val="right"/>
              <w:ind w:right="290"/>
              <w:spacing w:after="0" w:line="215" w:lineRule="exact"/>
              <w:rPr>
                <w:sz w:val="20"/>
                <w:szCs w:val="20"/>
                <w:color w:val="auto"/>
              </w:rPr>
            </w:pPr>
            <w:r>
              <w:rPr>
                <w:rFonts w:ascii="Calibri" w:cs="Calibri" w:eastAsia="Calibri" w:hAnsi="Calibri"/>
                <w:sz w:val="18"/>
                <w:szCs w:val="18"/>
                <w:b w:val="1"/>
                <w:bCs w:val="1"/>
                <w:color w:val="auto"/>
              </w:rPr>
              <w:t>September 30, 2022</w:t>
            </w:r>
          </w:p>
        </w:tc>
        <w:tc>
          <w:tcPr>
            <w:tcW w:w="220" w:type="dxa"/>
            <w:vAlign w:val="bottom"/>
          </w:tcPr>
          <w:p>
            <w:pPr>
              <w:spacing w:after="0"/>
              <w:rPr>
                <w:sz w:val="18"/>
                <w:szCs w:val="18"/>
                <w:color w:val="auto"/>
              </w:rPr>
            </w:pPr>
          </w:p>
        </w:tc>
        <w:tc>
          <w:tcPr>
            <w:tcW w:w="2220" w:type="dxa"/>
            <w:vAlign w:val="bottom"/>
          </w:tcPr>
          <w:p>
            <w:pPr>
              <w:jc w:val="right"/>
              <w:ind w:right="290"/>
              <w:spacing w:after="0" w:line="215" w:lineRule="exact"/>
              <w:rPr>
                <w:sz w:val="20"/>
                <w:szCs w:val="20"/>
                <w:color w:val="auto"/>
              </w:rPr>
            </w:pPr>
            <w:r>
              <w:rPr>
                <w:rFonts w:ascii="Calibri" w:cs="Calibri" w:eastAsia="Calibri" w:hAnsi="Calibri"/>
                <w:sz w:val="18"/>
                <w:szCs w:val="18"/>
                <w:b w:val="1"/>
                <w:bCs w:val="1"/>
                <w:color w:val="auto"/>
              </w:rPr>
              <w:t>September 30, 2022</w:t>
            </w:r>
          </w:p>
        </w:tc>
        <w:tc>
          <w:tcPr>
            <w:tcW w:w="100" w:type="dxa"/>
            <w:vAlign w:val="bottom"/>
          </w:tcPr>
          <w:p>
            <w:pPr>
              <w:spacing w:after="0"/>
              <w:rPr>
                <w:sz w:val="18"/>
                <w:szCs w:val="18"/>
                <w:color w:val="auto"/>
              </w:rPr>
            </w:pPr>
          </w:p>
        </w:tc>
      </w:tr>
      <w:tr>
        <w:trPr>
          <w:trHeight w:val="23"/>
        </w:trPr>
        <w:tc>
          <w:tcPr>
            <w:tcW w:w="648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648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RSUs</w:t>
            </w:r>
          </w:p>
        </w:tc>
        <w:tc>
          <w:tcPr>
            <w:tcW w:w="22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2,446,014</w:t>
            </w:r>
          </w:p>
        </w:tc>
        <w:tc>
          <w:tcPr>
            <w:tcW w:w="220" w:type="dxa"/>
            <w:vAlign w:val="bottom"/>
            <w:shd w:val="clear" w:color="auto" w:fill="CFF0FC"/>
          </w:tcPr>
          <w:p>
            <w:pPr>
              <w:spacing w:after="0"/>
              <w:rPr>
                <w:sz w:val="18"/>
                <w:szCs w:val="18"/>
                <w:color w:val="auto"/>
              </w:rPr>
            </w:pPr>
          </w:p>
        </w:tc>
        <w:tc>
          <w:tcPr>
            <w:tcW w:w="22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1,273,638</w:t>
            </w:r>
          </w:p>
        </w:tc>
        <w:tc>
          <w:tcPr>
            <w:tcW w:w="100" w:type="dxa"/>
            <w:vAlign w:val="bottom"/>
            <w:shd w:val="clear" w:color="auto" w:fill="CFF0FC"/>
          </w:tcPr>
          <w:p>
            <w:pPr>
              <w:spacing w:after="0"/>
              <w:rPr>
                <w:sz w:val="18"/>
                <w:szCs w:val="18"/>
                <w:color w:val="auto"/>
              </w:rPr>
            </w:pPr>
          </w:p>
        </w:tc>
      </w:tr>
      <w:tr>
        <w:trPr>
          <w:trHeight w:val="215"/>
        </w:trPr>
        <w:tc>
          <w:tcPr>
            <w:tcW w:w="6480" w:type="dxa"/>
            <w:vAlign w:val="bottom"/>
          </w:tcPr>
          <w:p>
            <w:pPr>
              <w:ind w:left="20"/>
              <w:spacing w:after="0" w:line="215" w:lineRule="exact"/>
              <w:rPr>
                <w:sz w:val="20"/>
                <w:szCs w:val="20"/>
                <w:color w:val="auto"/>
              </w:rPr>
            </w:pPr>
            <w:r>
              <w:rPr>
                <w:rFonts w:ascii="Calibri" w:cs="Calibri" w:eastAsia="Calibri" w:hAnsi="Calibri"/>
                <w:sz w:val="18"/>
                <w:szCs w:val="18"/>
                <w:color w:val="auto"/>
              </w:rPr>
              <w:t>Stock optons</w:t>
            </w:r>
          </w:p>
        </w:tc>
        <w:tc>
          <w:tcPr>
            <w:tcW w:w="2220" w:type="dxa"/>
            <w:vAlign w:val="bottom"/>
          </w:tcPr>
          <w:p>
            <w:pPr>
              <w:jc w:val="right"/>
              <w:spacing w:after="0" w:line="215" w:lineRule="exact"/>
              <w:rPr>
                <w:sz w:val="20"/>
                <w:szCs w:val="20"/>
                <w:color w:val="auto"/>
              </w:rPr>
            </w:pPr>
            <w:r>
              <w:rPr>
                <w:rFonts w:ascii="Calibri" w:cs="Calibri" w:eastAsia="Calibri" w:hAnsi="Calibri"/>
                <w:sz w:val="18"/>
                <w:szCs w:val="18"/>
                <w:color w:val="auto"/>
              </w:rPr>
              <w:t>6,239,307</w:t>
            </w:r>
          </w:p>
        </w:tc>
        <w:tc>
          <w:tcPr>
            <w:tcW w:w="24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6,239,307</w:t>
            </w:r>
          </w:p>
        </w:tc>
        <w:tc>
          <w:tcPr>
            <w:tcW w:w="100" w:type="dxa"/>
            <w:vAlign w:val="bottom"/>
          </w:tcPr>
          <w:p>
            <w:pPr>
              <w:spacing w:after="0"/>
              <w:rPr>
                <w:sz w:val="18"/>
                <w:szCs w:val="18"/>
                <w:color w:val="auto"/>
              </w:rPr>
            </w:pPr>
          </w:p>
        </w:tc>
      </w:tr>
      <w:tr>
        <w:trPr>
          <w:trHeight w:val="217"/>
        </w:trPr>
        <w:tc>
          <w:tcPr>
            <w:tcW w:w="64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Class A Warrants</w:t>
            </w:r>
          </w:p>
        </w:tc>
        <w:tc>
          <w:tcPr>
            <w:tcW w:w="22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13,286,644</w:t>
            </w:r>
          </w:p>
        </w:tc>
        <w:tc>
          <w:tcPr>
            <w:tcW w:w="244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13,286,644</w:t>
            </w:r>
          </w:p>
        </w:tc>
        <w:tc>
          <w:tcPr>
            <w:tcW w:w="100" w:type="dxa"/>
            <w:vAlign w:val="bottom"/>
            <w:shd w:val="clear" w:color="auto" w:fill="CFF0FC"/>
          </w:tcPr>
          <w:p>
            <w:pPr>
              <w:spacing w:after="0"/>
              <w:rPr>
                <w:sz w:val="18"/>
                <w:szCs w:val="18"/>
                <w:color w:val="auto"/>
              </w:rPr>
            </w:pPr>
          </w:p>
        </w:tc>
      </w:tr>
      <w:tr>
        <w:trPr>
          <w:trHeight w:val="215"/>
        </w:trPr>
        <w:tc>
          <w:tcPr>
            <w:tcW w:w="6480" w:type="dxa"/>
            <w:vAlign w:val="bottom"/>
          </w:tcPr>
          <w:p>
            <w:pPr>
              <w:ind w:left="20"/>
              <w:spacing w:after="0" w:line="215" w:lineRule="exact"/>
              <w:rPr>
                <w:sz w:val="20"/>
                <w:szCs w:val="20"/>
                <w:color w:val="auto"/>
              </w:rPr>
            </w:pPr>
            <w:r>
              <w:rPr>
                <w:rFonts w:ascii="Calibri" w:cs="Calibri" w:eastAsia="Calibri" w:hAnsi="Calibri"/>
                <w:sz w:val="18"/>
                <w:szCs w:val="18"/>
                <w:color w:val="auto"/>
              </w:rPr>
              <w:t>Exercise Warrants</w:t>
            </w:r>
          </w:p>
        </w:tc>
        <w:tc>
          <w:tcPr>
            <w:tcW w:w="2220" w:type="dxa"/>
            <w:vAlign w:val="bottom"/>
          </w:tcPr>
          <w:p>
            <w:pPr>
              <w:jc w:val="right"/>
              <w:spacing w:after="0" w:line="215" w:lineRule="exact"/>
              <w:rPr>
                <w:sz w:val="20"/>
                <w:szCs w:val="20"/>
                <w:color w:val="auto"/>
              </w:rPr>
            </w:pPr>
            <w:r>
              <w:rPr>
                <w:rFonts w:ascii="Calibri" w:cs="Calibri" w:eastAsia="Calibri" w:hAnsi="Calibri"/>
                <w:sz w:val="18"/>
                <w:szCs w:val="18"/>
                <w:color w:val="auto"/>
              </w:rPr>
              <w:t>34,000,000</w:t>
            </w:r>
          </w:p>
        </w:tc>
        <w:tc>
          <w:tcPr>
            <w:tcW w:w="24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17,000,000</w:t>
            </w:r>
          </w:p>
        </w:tc>
        <w:tc>
          <w:tcPr>
            <w:tcW w:w="100" w:type="dxa"/>
            <w:vAlign w:val="bottom"/>
          </w:tcPr>
          <w:p>
            <w:pPr>
              <w:spacing w:after="0"/>
              <w:rPr>
                <w:sz w:val="18"/>
                <w:szCs w:val="18"/>
                <w:color w:val="auto"/>
              </w:rPr>
            </w:pPr>
          </w:p>
        </w:tc>
      </w:tr>
      <w:tr>
        <w:trPr>
          <w:trHeight w:val="217"/>
        </w:trPr>
        <w:tc>
          <w:tcPr>
            <w:tcW w:w="64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Hoya Intermediate Warrants</w:t>
            </w:r>
          </w:p>
        </w:tc>
        <w:tc>
          <w:tcPr>
            <w:tcW w:w="22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6,000,000</w:t>
            </w:r>
          </w:p>
        </w:tc>
        <w:tc>
          <w:tcPr>
            <w:tcW w:w="244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6,000,000</w:t>
            </w:r>
          </w:p>
        </w:tc>
        <w:tc>
          <w:tcPr>
            <w:tcW w:w="100" w:type="dxa"/>
            <w:vAlign w:val="bottom"/>
            <w:shd w:val="clear" w:color="auto" w:fill="CFF0FC"/>
          </w:tcPr>
          <w:p>
            <w:pPr>
              <w:spacing w:after="0"/>
              <w:rPr>
                <w:sz w:val="18"/>
                <w:szCs w:val="18"/>
                <w:color w:val="auto"/>
              </w:rPr>
            </w:pPr>
          </w:p>
        </w:tc>
      </w:tr>
      <w:tr>
        <w:trPr>
          <w:trHeight w:val="215"/>
        </w:trPr>
        <w:tc>
          <w:tcPr>
            <w:tcW w:w="6480" w:type="dxa"/>
            <w:vAlign w:val="bottom"/>
          </w:tcPr>
          <w:p>
            <w:pPr>
              <w:ind w:left="20"/>
              <w:spacing w:after="0" w:line="215" w:lineRule="exact"/>
              <w:rPr>
                <w:sz w:val="20"/>
                <w:szCs w:val="20"/>
                <w:color w:val="auto"/>
              </w:rPr>
            </w:pPr>
            <w:r>
              <w:rPr>
                <w:rFonts w:ascii="Calibri" w:cs="Calibri" w:eastAsia="Calibri" w:hAnsi="Calibri"/>
                <w:sz w:val="18"/>
                <w:szCs w:val="18"/>
                <w:color w:val="auto"/>
              </w:rPr>
              <w:t>Noncontrolling Interest</w:t>
            </w:r>
          </w:p>
        </w:tc>
        <w:tc>
          <w:tcPr>
            <w:tcW w:w="2220" w:type="dxa"/>
            <w:vAlign w:val="bottom"/>
          </w:tcPr>
          <w:p>
            <w:pPr>
              <w:jc w:val="right"/>
              <w:spacing w:after="0" w:line="215" w:lineRule="exact"/>
              <w:rPr>
                <w:sz w:val="20"/>
                <w:szCs w:val="20"/>
                <w:color w:val="auto"/>
              </w:rPr>
            </w:pPr>
            <w:r>
              <w:rPr>
                <w:rFonts w:ascii="Calibri" w:cs="Calibri" w:eastAsia="Calibri" w:hAnsi="Calibri"/>
                <w:sz w:val="18"/>
                <w:szCs w:val="18"/>
                <w:color w:val="auto"/>
              </w:rPr>
              <w:t>118,200,000</w:t>
            </w:r>
          </w:p>
        </w:tc>
        <w:tc>
          <w:tcPr>
            <w:tcW w:w="220" w:type="dxa"/>
            <w:vAlign w:val="bottom"/>
          </w:tcPr>
          <w:p>
            <w:pPr>
              <w:spacing w:after="0"/>
              <w:rPr>
                <w:sz w:val="18"/>
                <w:szCs w:val="18"/>
                <w:color w:val="auto"/>
              </w:rPr>
            </w:pPr>
          </w:p>
        </w:tc>
        <w:tc>
          <w:tcPr>
            <w:tcW w:w="22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r>
    </w:tbl>
    <w:p>
      <w:pPr>
        <w:spacing w:after="0" w:line="127"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We analyzed the calculaton of income (loss) per share for periods prior to the Merger Transacton and determined that it resulted in values that would not be meaningful to the users of the condensed consolidated fnancial statements. Therefore, income (loss) per share informaton has not been presented for periods prior to the Merger Transacton.</w:t>
      </w:r>
    </w:p>
    <w:p>
      <w:pPr>
        <w:spacing w:after="0" w:line="10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8" w:name="page29"/>
    <w:bookmarkEnd w:id="28"/>
    <w:p>
      <w:pPr>
        <w:jc w:val="center"/>
        <w:spacing w:after="0"/>
        <w:rPr>
          <w:sz w:val="20"/>
          <w:szCs w:val="20"/>
          <w:color w:val="auto"/>
        </w:rPr>
      </w:pPr>
      <w:r>
        <w:rPr>
          <w:rFonts w:ascii="Calibri" w:cs="Calibri" w:eastAsia="Calibri" w:hAnsi="Calibri"/>
          <w:sz w:val="18"/>
          <w:szCs w:val="18"/>
          <w:b w:val="1"/>
          <w:bCs w:val="1"/>
          <w:color w:val="auto"/>
        </w:rPr>
        <w:t>VIVID SEATS INC.</w:t>
      </w:r>
    </w:p>
    <w:p>
      <w:pPr>
        <w:spacing w:after="0" w:line="13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2. MANAGEMENT’S DISCUSSION AND ANALYSIS OF FINANCIAL CONDITION AND RESULTS OF OPERATIONS</w:t>
      </w:r>
    </w:p>
    <w:p>
      <w:pPr>
        <w:spacing w:after="0" w:line="13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i w:val="1"/>
          <w:iCs w:val="1"/>
          <w:color w:val="auto"/>
        </w:rPr>
        <w:t>Our discussion and analysis is intended to help the reader understand our results of operatons and fnancial conditon and is provided as an additon to, and should be read in connecton with, our condensed consolidated fnancial statements and related notes included elsewhere in this Quarterly Report on Form 10-Q, as well as our consolidated fnancial statements and the accompanying notes contained in our Annual Report on Form 10-K for the year ended December 31, 2021 (the “2021 Form 10-K”). This discussion contains forward-looking statements based upon current plans, expectatons and beliefs involving risks and uncertaintes. Our actual results may difer materially from those antcipated in these forward-looking statements as a result of various factors, including those set forth in the “Risk Factors” secton of our 2021 Form 10-K and other factors set forth in other parts of this Quarterly Report on Form 10-Q and our flings with the SEC.</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136"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We are an online tcket marketplace that utlizes our technology platorm to connect fans of live events seamlessly with tcket sellers. Our mission is to empower and enable fans to Experience It Live. We believe live events deliver some of life’s most excitng moments. Our platorm provides tcket buyers and sellers with an easy-to-use and trusted marketplace experience that enables fans to purchase tckets to live events and create new memories. We believe we diferentate from compettors by ofering an extensive breadth and depth of tcket listngs at a compettve value. Comparatvely, during the three and nine months ended September 30, 2022, our revenues were $156.8 million and $435.3 million, respectvely, and Marketplace Gross Order Value ("Marketplace GOV") was $781.8 million and $2,338.8 million, respectvely. During the three and nine months ended September 30, 2021, our revenues were $139.5 million and $279.2 million, respectvely, and Marketplace GOV was $713.1 million and $1,522.6 million, respectvely. Comparatvely, our net income was $18.7 million and $45.9 million for the three and nine months ended September 30, 2022, respectvely. Our net loss was $1.8 million and $19.5 million for the three and nine months ended September 30, 2021, respectvely.</w:t>
      </w:r>
    </w:p>
    <w:p>
      <w:pPr>
        <w:spacing w:after="0" w:line="1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Business Model</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We operate our business in two segments, Marketplace and Resale.</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w:t>
      </w:r>
    </w:p>
    <w:p>
      <w:pPr>
        <w:spacing w:after="0" w:line="136"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Through our Marketplace segment, we act as an intermediary between tcket buyers and tcket sellers. We earn revenue processing tcket sales from our Owned Propertes, consistng of the Vivid Seats website and mobile applicatons, and from our Private Label ofering, which consists of numerous distributon partners. Using our online platorm, we process customer payments, coordinate tcket deliveries, and provide customer service to tcket buyers.</w:t>
      </w:r>
    </w:p>
    <w:p>
      <w:pPr>
        <w:spacing w:after="0" w:line="138" w:lineRule="exact"/>
        <w:rPr>
          <w:sz w:val="20"/>
          <w:szCs w:val="20"/>
          <w:color w:val="auto"/>
        </w:rPr>
      </w:pPr>
    </w:p>
    <w:p>
      <w:pPr>
        <w:jc w:val="both"/>
        <w:ind w:right="20"/>
        <w:spacing w:after="0" w:line="227" w:lineRule="auto"/>
        <w:rPr>
          <w:sz w:val="20"/>
          <w:szCs w:val="20"/>
          <w:color w:val="auto"/>
        </w:rPr>
      </w:pPr>
      <w:r>
        <w:rPr>
          <w:rFonts w:ascii="Calibri" w:cs="Calibri" w:eastAsia="Calibri" w:hAnsi="Calibri"/>
          <w:sz w:val="18"/>
          <w:szCs w:val="18"/>
          <w:color w:val="auto"/>
        </w:rPr>
        <w:t>A key component of our platorm is Skybox, a proprietary enterprise resource planning tool used by many of our tcket sellers. Skybox is a free-to-use sofware system that helps tcket sellers manage tcket inventories, adjust pricing, and fulfll orders across multple secondary tcket marketplaces.</w:t>
      </w:r>
    </w:p>
    <w:p>
      <w:pPr>
        <w:spacing w:after="0" w:line="138" w:lineRule="exact"/>
        <w:rPr>
          <w:sz w:val="20"/>
          <w:szCs w:val="20"/>
          <w:color w:val="auto"/>
        </w:rPr>
      </w:pPr>
    </w:p>
    <w:p>
      <w:pPr>
        <w:jc w:val="both"/>
        <w:ind w:right="20"/>
        <w:spacing w:after="0" w:line="228" w:lineRule="auto"/>
        <w:rPr>
          <w:sz w:val="20"/>
          <w:szCs w:val="20"/>
          <w:color w:val="auto"/>
        </w:rPr>
      </w:pPr>
      <w:r>
        <w:rPr>
          <w:rFonts w:ascii="Calibri" w:cs="Calibri" w:eastAsia="Calibri" w:hAnsi="Calibri"/>
          <w:sz w:val="18"/>
          <w:szCs w:val="18"/>
          <w:color w:val="auto"/>
        </w:rPr>
        <w:t>We primarily earn revenue from service and delivery fees charged to tcket buyers. We also earn referral fee revenue by ofering event tcket insurance to tcket buyers, using a third-party insurance provider. We do not hold tcket inventory in the Marketplace segment. We incur costs for developing and maintaining our platorm, providing back-ofce and customer support to tcket buyers and tcket sellers, processing payments, and shipping tckets. We also incur substantal marketng costs, primarily related to online advertsing.</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Resale</w:t>
      </w:r>
    </w:p>
    <w:p>
      <w:pPr>
        <w:spacing w:after="0" w:line="13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In our Resale segment, we acquire tckets to resell on secondary tcketng marketplaces, including our own. Our Resale segment also provides internal research and development support for Skybox and our ongoing eforts to deliver best-in-class seller sofware and tools.</w:t>
      </w:r>
    </w:p>
    <w:p>
      <w:pPr>
        <w:spacing w:after="0" w:line="9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9" w:name="page30"/>
    <w:bookmarkEnd w:id="29"/>
    <w:p>
      <w:pPr>
        <w:spacing w:after="0"/>
        <w:rPr>
          <w:sz w:val="20"/>
          <w:szCs w:val="20"/>
          <w:color w:val="auto"/>
        </w:rPr>
      </w:pPr>
      <w:r>
        <w:rPr>
          <w:rFonts w:ascii="Calibri" w:cs="Calibri" w:eastAsia="Calibri" w:hAnsi="Calibri"/>
          <w:sz w:val="18"/>
          <w:szCs w:val="18"/>
          <w:b w:val="1"/>
          <w:bCs w:val="1"/>
          <w:color w:val="auto"/>
        </w:rPr>
        <w:t>Key Business Metrics and Non-GAAP Financial Measures</w:t>
      </w:r>
    </w:p>
    <w:p>
      <w:pPr>
        <w:spacing w:after="0" w:line="136"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We use the following metrics to evaluate our performance, identfy trends, formulate fnancial projectons, and make strategic decisions. We believe that these metrics provide useful informaton to investors and others in understanding and evaluatng our results of operatons in the same manner as our management team.</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our key business metrics and non-GAAP fnancial measure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80" w:type="dxa"/>
            <w:vAlign w:val="bottom"/>
            <w:gridSpan w:val="4"/>
          </w:tcPr>
          <w:p>
            <w:pPr>
              <w:jc w:val="right"/>
              <w:ind w:right="350"/>
              <w:spacing w:after="0"/>
              <w:rPr>
                <w:sz w:val="20"/>
                <w:szCs w:val="20"/>
                <w:color w:val="auto"/>
              </w:rPr>
            </w:pPr>
            <w:r>
              <w:rPr>
                <w:rFonts w:ascii="Calibri" w:cs="Calibri" w:eastAsia="Calibri" w:hAnsi="Calibri"/>
                <w:sz w:val="18"/>
                <w:szCs w:val="18"/>
                <w:b w:val="1"/>
                <w:bCs w:val="1"/>
                <w:color w:val="auto"/>
              </w:rPr>
              <w:t>Three Months Ended September 30,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00" w:type="dxa"/>
            <w:vAlign w:val="bottom"/>
            <w:gridSpan w:val="4"/>
          </w:tcPr>
          <w:p>
            <w:pPr>
              <w:jc w:val="right"/>
              <w:ind w:right="350"/>
              <w:spacing w:after="0"/>
              <w:rPr>
                <w:sz w:val="20"/>
                <w:szCs w:val="20"/>
                <w:color w:val="auto"/>
              </w:rPr>
            </w:pPr>
            <w:r>
              <w:rPr>
                <w:rFonts w:ascii="Calibri" w:cs="Calibri" w:eastAsia="Calibri" w:hAnsi="Calibri"/>
                <w:sz w:val="18"/>
                <w:szCs w:val="18"/>
                <w:b w:val="1"/>
                <w:bCs w:val="1"/>
                <w:color w:val="auto"/>
              </w:rPr>
              <w:t>Nine Months Ended September 30,</w:t>
            </w:r>
          </w:p>
        </w:tc>
      </w:tr>
      <w:tr>
        <w:trPr>
          <w:trHeight w:val="23"/>
        </w:trPr>
        <w:tc>
          <w:tcPr>
            <w:tcW w:w="4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4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0"/>
              <w:spacing w:after="0" w:line="208" w:lineRule="exact"/>
              <w:rPr>
                <w:sz w:val="20"/>
                <w:szCs w:val="20"/>
                <w:color w:val="auto"/>
              </w:rPr>
            </w:pPr>
            <w:r>
              <w:rPr>
                <w:rFonts w:ascii="Calibri" w:cs="Calibri" w:eastAsia="Calibri" w:hAnsi="Calibri"/>
                <w:sz w:val="18"/>
                <w:szCs w:val="18"/>
                <w:b w:val="1"/>
                <w:bCs w:val="1"/>
                <w:color w:val="auto"/>
              </w:rPr>
              <w:t>2022</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line="208" w:lineRule="exact"/>
              <w:rPr>
                <w:sz w:val="20"/>
                <w:szCs w:val="20"/>
                <w:color w:val="auto"/>
              </w:rPr>
            </w:pPr>
            <w:r>
              <w:rPr>
                <w:rFonts w:ascii="Calibri" w:cs="Calibri" w:eastAsia="Calibri" w:hAnsi="Calibri"/>
                <w:sz w:val="18"/>
                <w:szCs w:val="18"/>
                <w:b w:val="1"/>
                <w:bCs w:val="1"/>
                <w:color w:val="auto"/>
              </w:rPr>
              <w:t>2021</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0"/>
              <w:spacing w:after="0" w:line="208" w:lineRule="exact"/>
              <w:rPr>
                <w:sz w:val="20"/>
                <w:szCs w:val="20"/>
                <w:color w:val="auto"/>
              </w:rPr>
            </w:pPr>
            <w:r>
              <w:rPr>
                <w:rFonts w:ascii="Calibri" w:cs="Calibri" w:eastAsia="Calibri" w:hAnsi="Calibri"/>
                <w:sz w:val="18"/>
                <w:szCs w:val="18"/>
                <w:b w:val="1"/>
                <w:bCs w:val="1"/>
                <w:color w:val="auto"/>
              </w:rPr>
              <w:t>2022</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line="208" w:lineRule="exact"/>
              <w:rPr>
                <w:sz w:val="20"/>
                <w:szCs w:val="20"/>
                <w:color w:val="auto"/>
              </w:rPr>
            </w:pPr>
            <w:r>
              <w:rPr>
                <w:rFonts w:ascii="Calibri" w:cs="Calibri" w:eastAsia="Calibri" w:hAnsi="Calibri"/>
                <w:sz w:val="18"/>
                <w:szCs w:val="18"/>
                <w:b w:val="1"/>
                <w:bCs w:val="1"/>
                <w:color w:val="auto"/>
              </w:rPr>
              <w:t>2021</w:t>
            </w:r>
          </w:p>
        </w:tc>
      </w:tr>
      <w:tr>
        <w:trPr>
          <w:trHeight w:val="399"/>
        </w:trPr>
        <w:tc>
          <w:tcPr>
            <w:tcW w:w="4360" w:type="dxa"/>
            <w:vAlign w:val="bottom"/>
          </w:tcPr>
          <w:p>
            <w:pPr>
              <w:ind w:left="20"/>
              <w:spacing w:after="0"/>
              <w:rPr>
                <w:sz w:val="20"/>
                <w:szCs w:val="20"/>
                <w:color w:val="auto"/>
              </w:rPr>
            </w:pPr>
            <w:r>
              <w:rPr>
                <w:rFonts w:ascii="Calibri" w:cs="Calibri" w:eastAsia="Calibri" w:hAnsi="Calibri"/>
                <w:sz w:val="18"/>
                <w:szCs w:val="18"/>
                <w:color w:val="auto"/>
              </w:rPr>
              <w:t>Marketplace GOV</w:t>
            </w:r>
            <w:r>
              <w:rPr>
                <w:rFonts w:ascii="Calibri" w:cs="Calibri" w:eastAsia="Calibri" w:hAnsi="Calibri"/>
                <w:sz w:val="24"/>
                <w:szCs w:val="24"/>
                <w:color w:val="auto"/>
                <w:vertAlign w:val="superscript"/>
              </w:rPr>
              <w:t>(1)</w:t>
            </w:r>
          </w:p>
        </w:tc>
        <w:tc>
          <w:tcPr>
            <w:tcW w:w="220" w:type="dxa"/>
            <w:vAlign w:val="bottom"/>
          </w:tcPr>
          <w:p>
            <w:pPr>
              <w:jc w:val="right"/>
              <w:ind w:right="30"/>
              <w:spacing w:after="0"/>
              <w:rPr>
                <w:sz w:val="20"/>
                <w:szCs w:val="20"/>
                <w:color w:val="auto"/>
              </w:rPr>
            </w:pPr>
            <w:r>
              <w:rPr>
                <w:rFonts w:ascii="Calibri" w:cs="Calibri" w:eastAsia="Calibri" w:hAnsi="Calibri"/>
                <w:sz w:val="18"/>
                <w:szCs w:val="18"/>
                <w:color w:val="auto"/>
                <w:w w:val="87"/>
              </w:rPr>
              <w:t>$</w:t>
            </w:r>
          </w:p>
        </w:tc>
        <w:tc>
          <w:tcPr>
            <w:tcW w:w="1360" w:type="dxa"/>
            <w:vAlign w:val="bottom"/>
          </w:tcPr>
          <w:p>
            <w:pPr>
              <w:jc w:val="right"/>
              <w:ind w:right="30"/>
              <w:spacing w:after="0"/>
              <w:rPr>
                <w:sz w:val="20"/>
                <w:szCs w:val="20"/>
                <w:color w:val="auto"/>
              </w:rPr>
            </w:pPr>
            <w:r>
              <w:rPr>
                <w:rFonts w:ascii="Calibri" w:cs="Calibri" w:eastAsia="Calibri" w:hAnsi="Calibri"/>
                <w:sz w:val="18"/>
                <w:szCs w:val="18"/>
                <w:color w:val="auto"/>
              </w:rPr>
              <w:t>781,834</w:t>
            </w:r>
          </w:p>
        </w:tc>
        <w:tc>
          <w:tcPr>
            <w:tcW w:w="540" w:type="dxa"/>
            <w:vAlign w:val="bottom"/>
            <w:gridSpan w:val="2"/>
          </w:tcPr>
          <w:p>
            <w:pPr>
              <w:jc w:val="right"/>
              <w:ind w:right="240"/>
              <w:spacing w:after="0"/>
              <w:rPr>
                <w:sz w:val="20"/>
                <w:szCs w:val="20"/>
                <w:color w:val="auto"/>
              </w:rPr>
            </w:pPr>
            <w:r>
              <w:rPr>
                <w:rFonts w:ascii="Calibri" w:cs="Calibri" w:eastAsia="Calibri" w:hAnsi="Calibri"/>
                <w:sz w:val="18"/>
                <w:szCs w:val="18"/>
                <w:color w:val="auto"/>
              </w:rPr>
              <w:t>$</w:t>
            </w:r>
          </w:p>
        </w:tc>
        <w:tc>
          <w:tcPr>
            <w:tcW w:w="1280" w:type="dxa"/>
            <w:vAlign w:val="bottom"/>
          </w:tcPr>
          <w:p>
            <w:pPr>
              <w:jc w:val="right"/>
              <w:ind w:right="30"/>
              <w:spacing w:after="0"/>
              <w:rPr>
                <w:sz w:val="20"/>
                <w:szCs w:val="20"/>
                <w:color w:val="auto"/>
              </w:rPr>
            </w:pPr>
            <w:r>
              <w:rPr>
                <w:rFonts w:ascii="Calibri" w:cs="Calibri" w:eastAsia="Calibri" w:hAnsi="Calibri"/>
                <w:sz w:val="18"/>
                <w:szCs w:val="18"/>
                <w:color w:val="auto"/>
              </w:rPr>
              <w:t>713,062</w:t>
            </w:r>
          </w:p>
        </w:tc>
        <w:tc>
          <w:tcPr>
            <w:tcW w:w="38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w:t>
            </w:r>
          </w:p>
        </w:tc>
        <w:tc>
          <w:tcPr>
            <w:tcW w:w="1340" w:type="dxa"/>
            <w:vAlign w:val="bottom"/>
          </w:tcPr>
          <w:p>
            <w:pPr>
              <w:jc w:val="right"/>
              <w:ind w:right="30"/>
              <w:spacing w:after="0"/>
              <w:rPr>
                <w:sz w:val="20"/>
                <w:szCs w:val="20"/>
                <w:color w:val="auto"/>
              </w:rPr>
            </w:pPr>
            <w:r>
              <w:rPr>
                <w:rFonts w:ascii="Calibri" w:cs="Calibri" w:eastAsia="Calibri" w:hAnsi="Calibri"/>
                <w:sz w:val="18"/>
                <w:szCs w:val="18"/>
                <w:color w:val="auto"/>
              </w:rPr>
              <w:t>2,338,789</w:t>
            </w:r>
          </w:p>
        </w:tc>
        <w:tc>
          <w:tcPr>
            <w:tcW w:w="500" w:type="dxa"/>
            <w:vAlign w:val="bottom"/>
            <w:gridSpan w:val="2"/>
          </w:tcPr>
          <w:p>
            <w:pPr>
              <w:jc w:val="right"/>
              <w:ind w:right="220"/>
              <w:spacing w:after="0"/>
              <w:rPr>
                <w:sz w:val="20"/>
                <w:szCs w:val="20"/>
                <w:color w:val="auto"/>
              </w:rPr>
            </w:pPr>
            <w:r>
              <w:rPr>
                <w:rFonts w:ascii="Calibri" w:cs="Calibri" w:eastAsia="Calibri" w:hAnsi="Calibri"/>
                <w:sz w:val="18"/>
                <w:szCs w:val="18"/>
                <w:color w:val="auto"/>
              </w:rPr>
              <w:t>$</w:t>
            </w:r>
          </w:p>
        </w:tc>
        <w:tc>
          <w:tcPr>
            <w:tcW w:w="1260" w:type="dxa"/>
            <w:vAlign w:val="bottom"/>
          </w:tcPr>
          <w:p>
            <w:pPr>
              <w:jc w:val="right"/>
              <w:ind w:right="30"/>
              <w:spacing w:after="0"/>
              <w:rPr>
                <w:sz w:val="20"/>
                <w:szCs w:val="20"/>
                <w:color w:val="auto"/>
              </w:rPr>
            </w:pPr>
            <w:r>
              <w:rPr>
                <w:rFonts w:ascii="Calibri" w:cs="Calibri" w:eastAsia="Calibri" w:hAnsi="Calibri"/>
                <w:sz w:val="18"/>
                <w:szCs w:val="18"/>
                <w:color w:val="auto"/>
              </w:rPr>
              <w:t>1,522,625</w:t>
            </w:r>
          </w:p>
        </w:tc>
      </w:tr>
      <w:tr>
        <w:trPr>
          <w:trHeight w:val="216"/>
        </w:trPr>
        <w:tc>
          <w:tcPr>
            <w:tcW w:w="4360" w:type="dxa"/>
            <w:vAlign w:val="bottom"/>
          </w:tcPr>
          <w:p>
            <w:pPr>
              <w:ind w:left="20"/>
              <w:spacing w:after="0" w:line="216" w:lineRule="exact"/>
              <w:rPr>
                <w:sz w:val="20"/>
                <w:szCs w:val="20"/>
                <w:color w:val="auto"/>
              </w:rPr>
            </w:pPr>
            <w:r>
              <w:rPr>
                <w:rFonts w:ascii="Calibri" w:cs="Calibri" w:eastAsia="Calibri" w:hAnsi="Calibri"/>
                <w:sz w:val="17"/>
                <w:szCs w:val="17"/>
                <w:color w:val="auto"/>
              </w:rPr>
              <w:t>Total Marketplace orders</w:t>
            </w:r>
            <w:r>
              <w:rPr>
                <w:rFonts w:ascii="Calibri" w:cs="Calibri" w:eastAsia="Calibri" w:hAnsi="Calibri"/>
                <w:sz w:val="23"/>
                <w:szCs w:val="23"/>
                <w:color w:val="auto"/>
                <w:vertAlign w:val="superscript"/>
              </w:rPr>
              <w:t>(2)</w:t>
            </w:r>
          </w:p>
        </w:tc>
        <w:tc>
          <w:tcPr>
            <w:tcW w:w="220" w:type="dxa"/>
            <w:vAlign w:val="bottom"/>
          </w:tcPr>
          <w:p>
            <w:pPr>
              <w:spacing w:after="0"/>
              <w:rPr>
                <w:sz w:val="18"/>
                <w:szCs w:val="18"/>
                <w:color w:val="auto"/>
              </w:rPr>
            </w:pPr>
          </w:p>
        </w:tc>
        <w:tc>
          <w:tcPr>
            <w:tcW w:w="136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2,572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2,354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7,001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4,360</w:t>
            </w:r>
          </w:p>
        </w:tc>
      </w:tr>
      <w:tr>
        <w:trPr>
          <w:trHeight w:val="216"/>
        </w:trPr>
        <w:tc>
          <w:tcPr>
            <w:tcW w:w="4360" w:type="dxa"/>
            <w:vAlign w:val="bottom"/>
          </w:tcPr>
          <w:p>
            <w:pPr>
              <w:ind w:left="20"/>
              <w:spacing w:after="0" w:line="216" w:lineRule="exact"/>
              <w:rPr>
                <w:sz w:val="20"/>
                <w:szCs w:val="20"/>
                <w:color w:val="auto"/>
              </w:rPr>
            </w:pPr>
            <w:r>
              <w:rPr>
                <w:rFonts w:ascii="Calibri" w:cs="Calibri" w:eastAsia="Calibri" w:hAnsi="Calibri"/>
                <w:sz w:val="17"/>
                <w:szCs w:val="17"/>
                <w:color w:val="auto"/>
              </w:rPr>
              <w:t>Total Resale orders</w:t>
            </w:r>
            <w:r>
              <w:rPr>
                <w:rFonts w:ascii="Calibri" w:cs="Calibri" w:eastAsia="Calibri" w:hAnsi="Calibri"/>
                <w:sz w:val="23"/>
                <w:szCs w:val="23"/>
                <w:color w:val="auto"/>
                <w:vertAlign w:val="superscript"/>
              </w:rPr>
              <w:t>(3)</w:t>
            </w:r>
          </w:p>
        </w:tc>
        <w:tc>
          <w:tcPr>
            <w:tcW w:w="220" w:type="dxa"/>
            <w:vAlign w:val="bottom"/>
          </w:tcPr>
          <w:p>
            <w:pPr>
              <w:spacing w:after="0"/>
              <w:rPr>
                <w:sz w:val="18"/>
                <w:szCs w:val="18"/>
                <w:color w:val="auto"/>
              </w:rPr>
            </w:pPr>
          </w:p>
        </w:tc>
        <w:tc>
          <w:tcPr>
            <w:tcW w:w="136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90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73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225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121</w:t>
            </w:r>
          </w:p>
        </w:tc>
      </w:tr>
      <w:tr>
        <w:trPr>
          <w:trHeight w:val="280"/>
        </w:trPr>
        <w:tc>
          <w:tcPr>
            <w:tcW w:w="4360" w:type="dxa"/>
            <w:vAlign w:val="bottom"/>
          </w:tcPr>
          <w:p>
            <w:pPr>
              <w:ind w:left="20"/>
              <w:spacing w:after="0" w:line="280" w:lineRule="exact"/>
              <w:rPr>
                <w:sz w:val="20"/>
                <w:szCs w:val="20"/>
                <w:color w:val="auto"/>
              </w:rPr>
            </w:pPr>
            <w:r>
              <w:rPr>
                <w:rFonts w:ascii="Calibri" w:cs="Calibri" w:eastAsia="Calibri" w:hAnsi="Calibri"/>
                <w:sz w:val="18"/>
                <w:szCs w:val="18"/>
                <w:color w:val="auto"/>
              </w:rPr>
              <w:t>Adjusted EBITDA</w:t>
            </w:r>
            <w:r>
              <w:rPr>
                <w:rFonts w:ascii="Calibri" w:cs="Calibri" w:eastAsia="Calibri" w:hAnsi="Calibri"/>
                <w:sz w:val="24"/>
                <w:szCs w:val="24"/>
                <w:color w:val="auto"/>
                <w:vertAlign w:val="superscript"/>
              </w:rPr>
              <w:t>(4)</w:t>
            </w:r>
          </w:p>
        </w:tc>
        <w:tc>
          <w:tcPr>
            <w:tcW w:w="220" w:type="dxa"/>
            <w:vAlign w:val="bottom"/>
          </w:tcPr>
          <w:p>
            <w:pPr>
              <w:jc w:val="right"/>
              <w:ind w:right="30"/>
              <w:spacing w:after="0"/>
              <w:rPr>
                <w:sz w:val="20"/>
                <w:szCs w:val="20"/>
                <w:color w:val="auto"/>
              </w:rPr>
            </w:pPr>
            <w:r>
              <w:rPr>
                <w:rFonts w:ascii="Calibri" w:cs="Calibri" w:eastAsia="Calibri" w:hAnsi="Calibri"/>
                <w:sz w:val="18"/>
                <w:szCs w:val="18"/>
                <w:color w:val="auto"/>
                <w:w w:val="87"/>
              </w:rPr>
              <w:t>$</w:t>
            </w:r>
          </w:p>
        </w:tc>
        <w:tc>
          <w:tcPr>
            <w:tcW w:w="1360" w:type="dxa"/>
            <w:vAlign w:val="bottom"/>
          </w:tcPr>
          <w:p>
            <w:pPr>
              <w:jc w:val="right"/>
              <w:ind w:right="30"/>
              <w:spacing w:after="0"/>
              <w:rPr>
                <w:sz w:val="20"/>
                <w:szCs w:val="20"/>
                <w:color w:val="auto"/>
              </w:rPr>
            </w:pPr>
            <w:r>
              <w:rPr>
                <w:rFonts w:ascii="Calibri" w:cs="Calibri" w:eastAsia="Calibri" w:hAnsi="Calibri"/>
                <w:sz w:val="18"/>
                <w:szCs w:val="18"/>
                <w:color w:val="auto"/>
              </w:rPr>
              <w:t>28,284</w:t>
            </w:r>
          </w:p>
        </w:tc>
        <w:tc>
          <w:tcPr>
            <w:tcW w:w="540" w:type="dxa"/>
            <w:vAlign w:val="bottom"/>
            <w:gridSpan w:val="2"/>
          </w:tcPr>
          <w:p>
            <w:pPr>
              <w:jc w:val="right"/>
              <w:ind w:right="240"/>
              <w:spacing w:after="0"/>
              <w:rPr>
                <w:sz w:val="20"/>
                <w:szCs w:val="20"/>
                <w:color w:val="auto"/>
              </w:rPr>
            </w:pPr>
            <w:r>
              <w:rPr>
                <w:rFonts w:ascii="Calibri" w:cs="Calibri" w:eastAsia="Calibri" w:hAnsi="Calibri"/>
                <w:sz w:val="18"/>
                <w:szCs w:val="18"/>
                <w:color w:val="auto"/>
              </w:rPr>
              <w:t>$</w:t>
            </w:r>
          </w:p>
        </w:tc>
        <w:tc>
          <w:tcPr>
            <w:tcW w:w="1280" w:type="dxa"/>
            <w:vAlign w:val="bottom"/>
          </w:tcPr>
          <w:p>
            <w:pPr>
              <w:jc w:val="right"/>
              <w:ind w:right="30"/>
              <w:spacing w:after="0"/>
              <w:rPr>
                <w:sz w:val="20"/>
                <w:szCs w:val="20"/>
                <w:color w:val="auto"/>
              </w:rPr>
            </w:pPr>
            <w:r>
              <w:rPr>
                <w:rFonts w:ascii="Calibri" w:cs="Calibri" w:eastAsia="Calibri" w:hAnsi="Calibri"/>
                <w:sz w:val="18"/>
                <w:szCs w:val="18"/>
                <w:color w:val="auto"/>
              </w:rPr>
              <w:t>41,965</w:t>
            </w:r>
          </w:p>
        </w:tc>
        <w:tc>
          <w:tcPr>
            <w:tcW w:w="38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w:t>
            </w:r>
          </w:p>
        </w:tc>
        <w:tc>
          <w:tcPr>
            <w:tcW w:w="1340" w:type="dxa"/>
            <w:vAlign w:val="bottom"/>
          </w:tcPr>
          <w:p>
            <w:pPr>
              <w:jc w:val="right"/>
              <w:ind w:right="30"/>
              <w:spacing w:after="0"/>
              <w:rPr>
                <w:sz w:val="20"/>
                <w:szCs w:val="20"/>
                <w:color w:val="auto"/>
              </w:rPr>
            </w:pPr>
            <w:r>
              <w:rPr>
                <w:rFonts w:ascii="Calibri" w:cs="Calibri" w:eastAsia="Calibri" w:hAnsi="Calibri"/>
                <w:sz w:val="18"/>
                <w:szCs w:val="18"/>
                <w:color w:val="auto"/>
              </w:rPr>
              <w:t>79,625</w:t>
            </w:r>
          </w:p>
        </w:tc>
        <w:tc>
          <w:tcPr>
            <w:tcW w:w="500" w:type="dxa"/>
            <w:vAlign w:val="bottom"/>
            <w:gridSpan w:val="2"/>
          </w:tcPr>
          <w:p>
            <w:pPr>
              <w:jc w:val="right"/>
              <w:ind w:right="220"/>
              <w:spacing w:after="0"/>
              <w:rPr>
                <w:sz w:val="20"/>
                <w:szCs w:val="20"/>
                <w:color w:val="auto"/>
              </w:rPr>
            </w:pPr>
            <w:r>
              <w:rPr>
                <w:rFonts w:ascii="Calibri" w:cs="Calibri" w:eastAsia="Calibri" w:hAnsi="Calibri"/>
                <w:sz w:val="18"/>
                <w:szCs w:val="18"/>
                <w:color w:val="auto"/>
              </w:rPr>
              <w:t>$</w:t>
            </w:r>
          </w:p>
        </w:tc>
        <w:tc>
          <w:tcPr>
            <w:tcW w:w="1260" w:type="dxa"/>
            <w:vAlign w:val="bottom"/>
          </w:tcPr>
          <w:p>
            <w:pPr>
              <w:jc w:val="right"/>
              <w:ind w:right="30"/>
              <w:spacing w:after="0"/>
              <w:rPr>
                <w:sz w:val="20"/>
                <w:szCs w:val="20"/>
                <w:color w:val="auto"/>
              </w:rPr>
            </w:pPr>
            <w:r>
              <w:rPr>
                <w:rFonts w:ascii="Calibri" w:cs="Calibri" w:eastAsia="Calibri" w:hAnsi="Calibri"/>
                <w:sz w:val="18"/>
                <w:szCs w:val="18"/>
                <w:color w:val="auto"/>
              </w:rPr>
              <w:t>82,347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323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89" w:lineRule="exact"/>
        <w:rPr>
          <w:sz w:val="20"/>
          <w:szCs w:val="20"/>
          <w:color w:val="auto"/>
        </w:rPr>
      </w:pPr>
    </w:p>
    <w:p>
      <w:pPr>
        <w:jc w:val="both"/>
        <w:ind w:left="1020" w:hanging="503"/>
        <w:spacing w:after="0" w:line="224" w:lineRule="auto"/>
        <w:tabs>
          <w:tab w:leader="none" w:pos="102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Marketplace GOV represents the total transactonal amount of Marketplace segment orders placed on our platorm in a period, inclusive of fees, exclusive of taxes, and net of event cancellatons that occurred during that period. Marketplace GOV was negatvely impacted by event cancellatons in the amount of $13.8 million and $63.3 million during the three and nine months ended September 30, 2022, respectvely, and $37.8 million and $74.8 million during the three and nine months ended September 30, 2021, respectvely.</w:t>
      </w:r>
    </w:p>
    <w:p>
      <w:pPr>
        <w:spacing w:after="0" w:line="138" w:lineRule="exact"/>
        <w:rPr>
          <w:rFonts w:ascii="Calibri" w:cs="Calibri" w:eastAsia="Calibri" w:hAnsi="Calibri"/>
          <w:sz w:val="18"/>
          <w:szCs w:val="18"/>
          <w:color w:val="auto"/>
        </w:rPr>
      </w:pPr>
    </w:p>
    <w:p>
      <w:pPr>
        <w:jc w:val="both"/>
        <w:ind w:left="1020" w:hanging="503"/>
        <w:spacing w:after="0" w:line="228" w:lineRule="auto"/>
        <w:tabs>
          <w:tab w:leader="none" w:pos="102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Total Marketplace orders represent the volume of Marketplace segment orders placed on our platorm during a period, net of event cancellatons that occurred during that period. During the three and nine months ended September 30, 2022, our Marketplace segment experienced 42,942 and 170,258 event cancellatons, respectvely, compared to 85,593 and 185,687 event cancellatons during the three and nine months ended September 30, 2021, respectvely.</w:t>
      </w:r>
    </w:p>
    <w:p>
      <w:pPr>
        <w:spacing w:after="0" w:line="137" w:lineRule="exact"/>
        <w:rPr>
          <w:rFonts w:ascii="Calibri" w:cs="Calibri" w:eastAsia="Calibri" w:hAnsi="Calibri"/>
          <w:sz w:val="18"/>
          <w:szCs w:val="18"/>
          <w:color w:val="auto"/>
        </w:rPr>
      </w:pPr>
    </w:p>
    <w:p>
      <w:pPr>
        <w:jc w:val="both"/>
        <w:ind w:left="1020" w:hanging="503"/>
        <w:spacing w:after="0" w:line="228" w:lineRule="auto"/>
        <w:tabs>
          <w:tab w:leader="none" w:pos="102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Total Resale orders represent the volume of Resale segment orders sold by our Resale team in a period, net of event cancellatons that occurred during that period. During the three and nine months ended September 30, 2022, our Resale segment experienced 1,113 and 4,383 event cancellatons, respectvely, compared to 2,592 and 4,505 event cancellatons during the three and nine months ended September 30, 2021, respectvely.</w:t>
      </w:r>
    </w:p>
    <w:p>
      <w:pPr>
        <w:spacing w:after="0" w:line="137" w:lineRule="exact"/>
        <w:rPr>
          <w:rFonts w:ascii="Calibri" w:cs="Calibri" w:eastAsia="Calibri" w:hAnsi="Calibri"/>
          <w:sz w:val="18"/>
          <w:szCs w:val="18"/>
          <w:color w:val="auto"/>
        </w:rPr>
      </w:pPr>
    </w:p>
    <w:p>
      <w:pPr>
        <w:jc w:val="both"/>
        <w:ind w:left="1020" w:hanging="503"/>
        <w:spacing w:after="0" w:line="230" w:lineRule="auto"/>
        <w:tabs>
          <w:tab w:leader="none" w:pos="102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 xml:space="preserve">Adjusted EBITDA is not a measure defned under GAAP. We believe Adjusted EBITDA provides useful informaton to investors and others in understanding and evaluatng our results of operatons, as well as provides a useful measure for period-to-period comparisons of our business performance. Refer to the </w:t>
      </w:r>
      <w:r>
        <w:rPr>
          <w:rFonts w:ascii="Calibri" w:cs="Calibri" w:eastAsia="Calibri" w:hAnsi="Calibri"/>
          <w:sz w:val="18"/>
          <w:szCs w:val="18"/>
          <w:i w:val="1"/>
          <w:iCs w:val="1"/>
          <w:color w:val="auto"/>
        </w:rPr>
        <w:t>Adjusted EBITDA</w:t>
      </w:r>
      <w:r>
        <w:rPr>
          <w:rFonts w:ascii="Calibri" w:cs="Calibri" w:eastAsia="Calibri" w:hAnsi="Calibri"/>
          <w:sz w:val="18"/>
          <w:szCs w:val="18"/>
          <w:color w:val="auto"/>
        </w:rPr>
        <w:t xml:space="preserve"> secton below for a reconciliaton to its most directly comparable GAAP measure.</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 GOV</w:t>
      </w:r>
    </w:p>
    <w:p>
      <w:pPr>
        <w:spacing w:after="0" w:line="136"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Marketplace GOV is a key driver of our Marketplace revenue. Marketplace GOV represents the total transactonal amount of Marketplace orders in a period, inclusive of fees, exclusive of taxes, and net of event cancellatons that occurred during that period. Marketplace GOV refects our ability to atract and retain customers, as well as the overall health of the industry.</w:t>
      </w:r>
    </w:p>
    <w:p>
      <w:pPr>
        <w:spacing w:after="0" w:line="138"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Our Marketplace GOV is impacted by seasonality, and typically sees increased actvity in the fourth quarter when all major sports leagues are in season and we experience increases in order volume for theater and concert events during the holiday season. Quarterly fuctuatons in our Marketplace GOV result from the number of cancellatons, the popularity and demand of performers, tours, teams, and events, and the length and team compositon of sports playof series and championship games.</w:t>
      </w:r>
    </w:p>
    <w:p>
      <w:pPr>
        <w:spacing w:after="0" w:line="13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Marketplace GOV increased during the three and nine months ended September 30, 2022 when compared to the same periods in 2021 as a result of higher number of orders processed.</w:t>
      </w:r>
    </w:p>
    <w:p>
      <w:pPr>
        <w:spacing w:after="0" w:line="9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0" w:name="page31"/>
    <w:bookmarkEnd w:id="30"/>
    <w:p>
      <w:pPr>
        <w:spacing w:after="0"/>
        <w:rPr>
          <w:sz w:val="20"/>
          <w:szCs w:val="20"/>
          <w:color w:val="auto"/>
        </w:rPr>
      </w:pPr>
      <w:r>
        <w:rPr>
          <w:rFonts w:ascii="Calibri" w:cs="Calibri" w:eastAsia="Calibri" w:hAnsi="Calibri"/>
          <w:sz w:val="18"/>
          <w:szCs w:val="18"/>
          <w:i w:val="1"/>
          <w:iCs w:val="1"/>
          <w:color w:val="auto"/>
        </w:rPr>
        <w:t>Total Marketplace Orders</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Total Marketplace orders represent the volume of Marketplace segment orders placed on our platorm in a period, net of event cancellatons. An order can include one or more tckets and/or parking passes. Total Marketplace orders allow us to monitor order volume and beter identfy trends within our Marketplace segment. Total Marketplace orders increased during the three and nine months ended September 30, 2022 when compared to the same periods in 2021 as a result of a higher number of orders processed.</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Total Resale Orders</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Total Resale orders represent the volume of Resale segment orders sold in a period, net of event cancellatons. An order can include one or more tckets and/or parking passes. Total Resale orders allow us to monitor order volume and beter identfy trends within our Resale segment. Total Resale orders increased during the three and nine months ended September 30, 2022 when compared to the same periods in 2021 as a result of a higher number of orders processed.</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Adjusted EBITDA</w:t>
      </w:r>
    </w:p>
    <w:p>
      <w:pPr>
        <w:spacing w:after="0" w:line="136"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We present Adjusted EBITDA, which is a non-GAAP measure, because it is a measure frequently used by analysts, investors, and other interested partes to evaluate companies in our industry. Further, we believe this measure is helpful in highlightng trends in our operatng results because it excludes the impact of items that are outside the control of management or not refectve of ongoing performance related directly to the operaton of our business segments.</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Adjusted EBITDA is a key measurement used by our management internally to make operatng decisions, including those related to analyzing operatng expenses, evaluatng performance, and performing strategic planning and annual budgetng. Moreover, we believe Adjusted EBITDA provides useful informaton to investors and others in understanding and evaluatng our results of operatons, as well as provides a useful measure for period-to-period comparisons of our business performance and highlightng trends in our operatng results.</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is a reconciliaton of Adjusted EBITDA to its most directly comparable GAAP measure, net income (loss)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20" w:type="dxa"/>
            <w:vAlign w:val="bottom"/>
          </w:tcPr>
          <w:p>
            <w:pPr>
              <w:spacing w:after="0"/>
              <w:rPr>
                <w:sz w:val="19"/>
                <w:szCs w:val="19"/>
                <w:color w:val="auto"/>
              </w:rPr>
            </w:pPr>
          </w:p>
        </w:tc>
        <w:tc>
          <w:tcPr>
            <w:tcW w:w="3640" w:type="dxa"/>
            <w:vAlign w:val="bottom"/>
            <w:gridSpan w:val="7"/>
          </w:tcPr>
          <w:p>
            <w:pPr>
              <w:ind w:left="300"/>
              <w:spacing w:after="0"/>
              <w:rPr>
                <w:sz w:val="20"/>
                <w:szCs w:val="20"/>
                <w:color w:val="auto"/>
              </w:rPr>
            </w:pPr>
            <w:r>
              <w:rPr>
                <w:rFonts w:ascii="Calibri" w:cs="Calibri" w:eastAsia="Calibri" w:hAnsi="Calibri"/>
                <w:sz w:val="18"/>
                <w:szCs w:val="18"/>
                <w:b w:val="1"/>
                <w:bCs w:val="1"/>
                <w:color w:val="auto"/>
              </w:rPr>
              <w:t>Three Months Ended September 30,</w:t>
            </w:r>
          </w:p>
        </w:tc>
        <w:tc>
          <w:tcPr>
            <w:tcW w:w="200" w:type="dxa"/>
            <w:vAlign w:val="bottom"/>
          </w:tcPr>
          <w:p>
            <w:pPr>
              <w:spacing w:after="0"/>
              <w:rPr>
                <w:sz w:val="19"/>
                <w:szCs w:val="19"/>
                <w:color w:val="auto"/>
              </w:rPr>
            </w:pPr>
          </w:p>
        </w:tc>
        <w:tc>
          <w:tcPr>
            <w:tcW w:w="3080" w:type="dxa"/>
            <w:vAlign w:val="bottom"/>
            <w:gridSpan w:val="5"/>
          </w:tcPr>
          <w:p>
            <w:pPr>
              <w:jc w:val="right"/>
              <w:ind w:right="420"/>
              <w:spacing w:after="0"/>
              <w:rPr>
                <w:sz w:val="20"/>
                <w:szCs w:val="20"/>
                <w:color w:val="auto"/>
              </w:rPr>
            </w:pPr>
            <w:r>
              <w:rPr>
                <w:rFonts w:ascii="Calibri" w:cs="Calibri" w:eastAsia="Calibri" w:hAnsi="Calibri"/>
                <w:sz w:val="18"/>
                <w:szCs w:val="18"/>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20" w:type="dxa"/>
            <w:vAlign w:val="bottom"/>
          </w:tcPr>
          <w:p>
            <w:pPr>
              <w:spacing w:after="0"/>
              <w:rPr>
                <w:sz w:val="18"/>
                <w:szCs w:val="18"/>
                <w:color w:val="auto"/>
              </w:rPr>
            </w:pPr>
          </w:p>
        </w:tc>
        <w:tc>
          <w:tcPr>
            <w:tcW w:w="9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2022</w:t>
            </w:r>
          </w:p>
        </w:tc>
        <w:tc>
          <w:tcPr>
            <w:tcW w:w="5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line="209" w:lineRule="exact"/>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1"/>
              <w:spacing w:after="0" w:line="209" w:lineRule="exact"/>
              <w:rPr>
                <w:sz w:val="20"/>
                <w:szCs w:val="20"/>
                <w:color w:val="auto"/>
              </w:rPr>
            </w:pPr>
            <w:r>
              <w:rPr>
                <w:rFonts w:ascii="Calibri" w:cs="Calibri" w:eastAsia="Calibri" w:hAnsi="Calibri"/>
                <w:sz w:val="18"/>
                <w:szCs w:val="18"/>
                <w:b w:val="1"/>
                <w:bCs w:val="1"/>
                <w:color w:val="auto"/>
              </w:rPr>
              <w:t>2022</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line="209" w:lineRule="exact"/>
              <w:rPr>
                <w:sz w:val="20"/>
                <w:szCs w:val="20"/>
                <w:color w:val="auto"/>
              </w:rPr>
            </w:pPr>
            <w:r>
              <w:rPr>
                <w:rFonts w:ascii="Calibri" w:cs="Calibri" w:eastAsia="Calibri" w:hAnsi="Calibri"/>
                <w:sz w:val="18"/>
                <w:szCs w:val="18"/>
                <w:b w:val="1"/>
                <w:bCs w:val="1"/>
                <w:color w:val="auto"/>
              </w:rPr>
              <w:t>2021</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income (loss)</w:t>
            </w:r>
          </w:p>
        </w:tc>
        <w:tc>
          <w:tcPr>
            <w:tcW w:w="920" w:type="dxa"/>
            <w:vAlign w:val="bottom"/>
            <w:shd w:val="clear" w:color="auto" w:fill="CFF0FC"/>
          </w:tcPr>
          <w:p>
            <w:pPr>
              <w:jc w:val="right"/>
              <w:ind w:right="730"/>
              <w:spacing w:after="0" w:line="215" w:lineRule="exact"/>
              <w:rPr>
                <w:sz w:val="20"/>
                <w:szCs w:val="20"/>
                <w:color w:val="auto"/>
              </w:rPr>
            </w:pPr>
            <w:r>
              <w:rPr>
                <w:rFonts w:ascii="Calibri" w:cs="Calibri" w:eastAsia="Calibri" w:hAnsi="Calibri"/>
                <w:sz w:val="18"/>
                <w:szCs w:val="18"/>
                <w:color w:val="auto"/>
                <w:w w:val="87"/>
              </w:rPr>
              <w:t>$</w:t>
            </w:r>
          </w:p>
        </w:tc>
        <w:tc>
          <w:tcPr>
            <w:tcW w:w="5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9"/>
              </w:rPr>
              <w:t>18,747</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(1,847 )</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45,945</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(19,453 )</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line="215" w:lineRule="exact"/>
              <w:rPr>
                <w:sz w:val="20"/>
                <w:szCs w:val="20"/>
                <w:color w:val="auto"/>
              </w:rPr>
            </w:pPr>
            <w:r>
              <w:rPr>
                <w:rFonts w:ascii="Calibri" w:cs="Calibri" w:eastAsia="Calibri" w:hAnsi="Calibri"/>
                <w:sz w:val="18"/>
                <w:szCs w:val="18"/>
                <w:color w:val="auto"/>
              </w:rPr>
              <w:t>Income tax expense</w:t>
            </w:r>
          </w:p>
        </w:tc>
        <w:tc>
          <w:tcPr>
            <w:tcW w:w="92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118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3"/>
          </w:tcPr>
          <w:p>
            <w:pPr>
              <w:jc w:val="right"/>
              <w:ind w:right="420"/>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194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7"/>
        </w:trPr>
        <w:tc>
          <w:tcPr>
            <w:tcW w:w="43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Interest expense – net</w:t>
            </w:r>
          </w:p>
        </w:tc>
        <w:tc>
          <w:tcPr>
            <w:tcW w:w="9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2,901</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17,319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9,542</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50,477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320" w:type="dxa"/>
            <w:vAlign w:val="bottom"/>
          </w:tcPr>
          <w:p>
            <w:pPr>
              <w:ind w:left="20"/>
              <w:spacing w:after="0" w:line="156" w:lineRule="exact"/>
              <w:rPr>
                <w:sz w:val="20"/>
                <w:szCs w:val="20"/>
                <w:color w:val="auto"/>
              </w:rPr>
            </w:pPr>
            <w:r>
              <w:rPr>
                <w:rFonts w:ascii="Calibri" w:cs="Calibri" w:eastAsia="Calibri" w:hAnsi="Calibri"/>
                <w:sz w:val="16"/>
                <w:szCs w:val="16"/>
                <w:color w:val="auto"/>
              </w:rPr>
              <w:t>Depreciaton and amortzaton</w:t>
            </w:r>
          </w:p>
        </w:tc>
        <w:tc>
          <w:tcPr>
            <w:tcW w:w="920" w:type="dxa"/>
            <w:vAlign w:val="bottom"/>
          </w:tcPr>
          <w:p>
            <w:pPr>
              <w:spacing w:after="0"/>
              <w:rPr>
                <w:sz w:val="13"/>
                <w:szCs w:val="13"/>
                <w:color w:val="auto"/>
              </w:rPr>
            </w:pPr>
          </w:p>
        </w:tc>
        <w:tc>
          <w:tcPr>
            <w:tcW w:w="540" w:type="dxa"/>
            <w:vAlign w:val="bottom"/>
          </w:tcPr>
          <w:p>
            <w:pPr>
              <w:jc w:val="right"/>
              <w:spacing w:after="0" w:line="156" w:lineRule="exact"/>
              <w:rPr>
                <w:sz w:val="20"/>
                <w:szCs w:val="20"/>
                <w:color w:val="auto"/>
              </w:rPr>
            </w:pPr>
            <w:r>
              <w:rPr>
                <w:rFonts w:ascii="Calibri" w:cs="Calibri" w:eastAsia="Calibri" w:hAnsi="Calibri"/>
                <w:sz w:val="16"/>
                <w:szCs w:val="16"/>
                <w:color w:val="auto"/>
              </w:rPr>
              <w:t>2,158</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line="156" w:lineRule="exact"/>
              <w:rPr>
                <w:sz w:val="20"/>
                <w:szCs w:val="20"/>
                <w:color w:val="auto"/>
              </w:rPr>
            </w:pPr>
            <w:r>
              <w:rPr>
                <w:rFonts w:ascii="Calibri" w:cs="Calibri" w:eastAsia="Calibri" w:hAnsi="Calibri"/>
                <w:sz w:val="16"/>
                <w:szCs w:val="16"/>
                <w:color w:val="auto"/>
              </w:rPr>
              <w:t>711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line="156" w:lineRule="exact"/>
              <w:rPr>
                <w:sz w:val="20"/>
                <w:szCs w:val="20"/>
                <w:color w:val="auto"/>
              </w:rPr>
            </w:pPr>
            <w:r>
              <w:rPr>
                <w:rFonts w:ascii="Calibri" w:cs="Calibri" w:eastAsia="Calibri" w:hAnsi="Calibri"/>
                <w:sz w:val="16"/>
                <w:szCs w:val="16"/>
                <w:color w:val="auto"/>
              </w:rPr>
              <w:t>5,269</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spacing w:after="0" w:line="156" w:lineRule="exact"/>
              <w:rPr>
                <w:sz w:val="20"/>
                <w:szCs w:val="20"/>
                <w:color w:val="auto"/>
              </w:rPr>
            </w:pPr>
            <w:r>
              <w:rPr>
                <w:rFonts w:ascii="Calibri" w:cs="Calibri" w:eastAsia="Calibri" w:hAnsi="Calibri"/>
                <w:sz w:val="16"/>
                <w:szCs w:val="16"/>
                <w:color w:val="auto"/>
              </w:rPr>
              <w:t>1,506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line="216" w:lineRule="exact"/>
              <w:rPr>
                <w:sz w:val="20"/>
                <w:szCs w:val="20"/>
                <w:color w:val="auto"/>
              </w:rPr>
            </w:pPr>
            <w:r>
              <w:rPr>
                <w:rFonts w:ascii="Calibri" w:cs="Calibri" w:eastAsia="Calibri" w:hAnsi="Calibri"/>
                <w:sz w:val="17"/>
                <w:szCs w:val="17"/>
                <w:color w:val="auto"/>
              </w:rPr>
              <w:t>Sales tax liability</w:t>
            </w:r>
            <w:r>
              <w:rPr>
                <w:rFonts w:ascii="Calibri" w:cs="Calibri" w:eastAsia="Calibri" w:hAnsi="Calibri"/>
                <w:sz w:val="23"/>
                <w:szCs w:val="23"/>
                <w:color w:val="auto"/>
                <w:vertAlign w:val="superscript"/>
              </w:rPr>
              <w:t>(1)</w:t>
            </w:r>
          </w:p>
        </w:tc>
        <w:tc>
          <w:tcPr>
            <w:tcW w:w="920" w:type="dxa"/>
            <w:vAlign w:val="bottom"/>
          </w:tcPr>
          <w:p>
            <w:pPr>
              <w:spacing w:after="0"/>
              <w:rPr>
                <w:sz w:val="18"/>
                <w:szCs w:val="18"/>
                <w:color w:val="auto"/>
              </w:rPr>
            </w:pPr>
          </w:p>
        </w:tc>
        <w:tc>
          <w:tcPr>
            <w:tcW w:w="840" w:type="dxa"/>
            <w:vAlign w:val="bottom"/>
            <w:gridSpan w:val="2"/>
          </w:tcPr>
          <w:p>
            <w:pPr>
              <w:jc w:val="right"/>
              <w:ind w:right="240"/>
              <w:spacing w:after="0" w:line="216" w:lineRule="exact"/>
              <w:rPr>
                <w:sz w:val="20"/>
                <w:szCs w:val="20"/>
                <w:color w:val="auto"/>
              </w:rPr>
            </w:pPr>
            <w:r>
              <w:rPr>
                <w:rFonts w:ascii="Calibri" w:cs="Calibri" w:eastAsia="Calibri" w:hAnsi="Calibri"/>
                <w:sz w:val="18"/>
                <w:szCs w:val="18"/>
                <w:color w:val="auto"/>
              </w:rPr>
              <w:t>(118 )</w:t>
            </w:r>
          </w:p>
        </w:tc>
        <w:tc>
          <w:tcPr>
            <w:tcW w:w="3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Calibri" w:cs="Calibri" w:eastAsia="Calibri" w:hAnsi="Calibri"/>
                <w:sz w:val="18"/>
                <w:szCs w:val="18"/>
                <w:color w:val="auto"/>
              </w:rPr>
              <w:t>21,574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Calibri" w:cs="Calibri" w:eastAsia="Calibri" w:hAnsi="Calibri"/>
                <w:sz w:val="18"/>
                <w:szCs w:val="18"/>
                <w:color w:val="auto"/>
              </w:rPr>
              <w:t>2,814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Calibri" w:cs="Calibri" w:eastAsia="Calibri" w:hAnsi="Calibri"/>
                <w:sz w:val="18"/>
                <w:szCs w:val="18"/>
                <w:color w:val="auto"/>
              </w:rPr>
              <w:t>34,561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line="216" w:lineRule="exact"/>
              <w:rPr>
                <w:sz w:val="20"/>
                <w:szCs w:val="20"/>
                <w:color w:val="auto"/>
              </w:rPr>
            </w:pPr>
            <w:r>
              <w:rPr>
                <w:rFonts w:ascii="Calibri" w:cs="Calibri" w:eastAsia="Calibri" w:hAnsi="Calibri"/>
                <w:sz w:val="17"/>
                <w:szCs w:val="17"/>
                <w:color w:val="auto"/>
              </w:rPr>
              <w:t>Transacton costs</w:t>
            </w:r>
            <w:r>
              <w:rPr>
                <w:rFonts w:ascii="Calibri" w:cs="Calibri" w:eastAsia="Calibri" w:hAnsi="Calibri"/>
                <w:sz w:val="23"/>
                <w:szCs w:val="23"/>
                <w:color w:val="auto"/>
                <w:vertAlign w:val="superscript"/>
              </w:rPr>
              <w:t>(2)</w:t>
            </w:r>
          </w:p>
        </w:tc>
        <w:tc>
          <w:tcPr>
            <w:tcW w:w="920" w:type="dxa"/>
            <w:vAlign w:val="bottom"/>
          </w:tcPr>
          <w:p>
            <w:pPr>
              <w:spacing w:after="0"/>
              <w:rPr>
                <w:sz w:val="18"/>
                <w:szCs w:val="18"/>
                <w:color w:val="auto"/>
              </w:rPr>
            </w:pPr>
          </w:p>
        </w:tc>
        <w:tc>
          <w:tcPr>
            <w:tcW w:w="540" w:type="dxa"/>
            <w:vAlign w:val="bottom"/>
          </w:tcPr>
          <w:p>
            <w:pPr>
              <w:jc w:val="right"/>
              <w:spacing w:after="0" w:line="216" w:lineRule="exact"/>
              <w:rPr>
                <w:sz w:val="20"/>
                <w:szCs w:val="20"/>
                <w:color w:val="auto"/>
              </w:rPr>
            </w:pPr>
            <w:r>
              <w:rPr>
                <w:rFonts w:ascii="Calibri" w:cs="Calibri" w:eastAsia="Calibri" w:hAnsi="Calibri"/>
                <w:sz w:val="18"/>
                <w:szCs w:val="18"/>
                <w:color w:val="auto"/>
              </w:rPr>
              <w:t>538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Calibri" w:cs="Calibri" w:eastAsia="Calibri" w:hAnsi="Calibri"/>
                <w:sz w:val="18"/>
                <w:szCs w:val="18"/>
                <w:color w:val="auto"/>
              </w:rPr>
              <w:t>1,428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Calibri" w:cs="Calibri" w:eastAsia="Calibri" w:hAnsi="Calibri"/>
                <w:sz w:val="18"/>
                <w:szCs w:val="18"/>
                <w:color w:val="auto"/>
              </w:rPr>
              <w:t>4,285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Calibri" w:cs="Calibri" w:eastAsia="Calibri" w:hAnsi="Calibri"/>
                <w:sz w:val="18"/>
                <w:szCs w:val="18"/>
                <w:color w:val="auto"/>
              </w:rPr>
              <w:t>8,837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line="216" w:lineRule="exact"/>
              <w:rPr>
                <w:sz w:val="20"/>
                <w:szCs w:val="20"/>
                <w:color w:val="auto"/>
              </w:rPr>
            </w:pPr>
            <w:r>
              <w:rPr>
                <w:rFonts w:ascii="Calibri" w:cs="Calibri" w:eastAsia="Calibri" w:hAnsi="Calibri"/>
                <w:sz w:val="17"/>
                <w:szCs w:val="17"/>
                <w:color w:val="auto"/>
              </w:rPr>
              <w:t>Equity-based compensaton</w:t>
            </w:r>
            <w:r>
              <w:rPr>
                <w:rFonts w:ascii="Calibri" w:cs="Calibri" w:eastAsia="Calibri" w:hAnsi="Calibri"/>
                <w:sz w:val="23"/>
                <w:szCs w:val="23"/>
                <w:color w:val="auto"/>
                <w:vertAlign w:val="superscript"/>
              </w:rPr>
              <w:t>(3)</w:t>
            </w:r>
          </w:p>
        </w:tc>
        <w:tc>
          <w:tcPr>
            <w:tcW w:w="920" w:type="dxa"/>
            <w:vAlign w:val="bottom"/>
          </w:tcPr>
          <w:p>
            <w:pPr>
              <w:spacing w:after="0"/>
              <w:rPr>
                <w:sz w:val="18"/>
                <w:szCs w:val="18"/>
                <w:color w:val="auto"/>
              </w:rPr>
            </w:pPr>
          </w:p>
        </w:tc>
        <w:tc>
          <w:tcPr>
            <w:tcW w:w="540" w:type="dxa"/>
            <w:vAlign w:val="bottom"/>
          </w:tcPr>
          <w:p>
            <w:pPr>
              <w:jc w:val="right"/>
              <w:spacing w:after="0" w:line="216" w:lineRule="exact"/>
              <w:rPr>
                <w:sz w:val="20"/>
                <w:szCs w:val="20"/>
                <w:color w:val="auto"/>
              </w:rPr>
            </w:pPr>
            <w:r>
              <w:rPr>
                <w:rFonts w:ascii="Calibri" w:cs="Calibri" w:eastAsia="Calibri" w:hAnsi="Calibri"/>
                <w:sz w:val="18"/>
                <w:szCs w:val="18"/>
                <w:color w:val="auto"/>
              </w:rPr>
              <w:t>5,073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Calibri" w:cs="Calibri" w:eastAsia="Calibri" w:hAnsi="Calibri"/>
                <w:sz w:val="18"/>
                <w:szCs w:val="18"/>
                <w:color w:val="auto"/>
              </w:rPr>
              <w:t>1,197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Calibri" w:cs="Calibri" w:eastAsia="Calibri" w:hAnsi="Calibri"/>
                <w:sz w:val="18"/>
                <w:szCs w:val="18"/>
                <w:color w:val="auto"/>
              </w:rPr>
              <w:t>13,982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Calibri" w:cs="Calibri" w:eastAsia="Calibri" w:hAnsi="Calibri"/>
                <w:sz w:val="18"/>
                <w:szCs w:val="18"/>
                <w:color w:val="auto"/>
              </w:rPr>
              <w:t>3,471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line="216" w:lineRule="exact"/>
              <w:rPr>
                <w:sz w:val="20"/>
                <w:szCs w:val="20"/>
                <w:color w:val="auto"/>
              </w:rPr>
            </w:pPr>
            <w:r>
              <w:rPr>
                <w:rFonts w:ascii="Calibri" w:cs="Calibri" w:eastAsia="Calibri" w:hAnsi="Calibri"/>
                <w:sz w:val="17"/>
                <w:szCs w:val="17"/>
                <w:color w:val="auto"/>
              </w:rPr>
              <w:t>Loss on extnguishment of debt</w:t>
            </w:r>
            <w:r>
              <w:rPr>
                <w:rFonts w:ascii="Calibri" w:cs="Calibri" w:eastAsia="Calibri" w:hAnsi="Calibri"/>
                <w:sz w:val="23"/>
                <w:szCs w:val="23"/>
                <w:color w:val="auto"/>
                <w:vertAlign w:val="superscript"/>
              </w:rPr>
              <w:t>(4)</w:t>
            </w:r>
          </w:p>
        </w:tc>
        <w:tc>
          <w:tcPr>
            <w:tcW w:w="920" w:type="dxa"/>
            <w:vAlign w:val="bottom"/>
          </w:tcPr>
          <w:p>
            <w:pPr>
              <w:spacing w:after="0"/>
              <w:rPr>
                <w:sz w:val="18"/>
                <w:szCs w:val="18"/>
                <w:color w:val="auto"/>
              </w:rPr>
            </w:pPr>
          </w:p>
        </w:tc>
        <w:tc>
          <w:tcPr>
            <w:tcW w:w="840" w:type="dxa"/>
            <w:vAlign w:val="bottom"/>
            <w:gridSpan w:val="2"/>
          </w:tcPr>
          <w:p>
            <w:pPr>
              <w:jc w:val="right"/>
              <w:ind w:right="320"/>
              <w:spacing w:after="0" w:line="216" w:lineRule="exact"/>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8"/>
                <w:szCs w:val="18"/>
                <w:color w:val="auto"/>
              </w:rPr>
            </w:pPr>
          </w:p>
        </w:tc>
        <w:tc>
          <w:tcPr>
            <w:tcW w:w="1540" w:type="dxa"/>
            <w:vAlign w:val="bottom"/>
            <w:gridSpan w:val="3"/>
          </w:tcPr>
          <w:p>
            <w:pPr>
              <w:jc w:val="right"/>
              <w:ind w:right="420"/>
              <w:spacing w:after="0" w:line="216"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Calibri" w:cs="Calibri" w:eastAsia="Calibri" w:hAnsi="Calibri"/>
                <w:sz w:val="18"/>
                <w:szCs w:val="18"/>
                <w:color w:val="auto"/>
              </w:rPr>
              <w:t>4,285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line="216" w:lineRule="exact"/>
              <w:rPr>
                <w:sz w:val="20"/>
                <w:szCs w:val="20"/>
                <w:color w:val="auto"/>
              </w:rPr>
            </w:pPr>
            <w:r>
              <w:rPr>
                <w:rFonts w:ascii="Calibri" w:cs="Calibri" w:eastAsia="Calibri" w:hAnsi="Calibri"/>
                <w:sz w:val="17"/>
                <w:szCs w:val="17"/>
                <w:color w:val="auto"/>
              </w:rPr>
              <w:t>Litgaton, setlements and related costs</w:t>
            </w:r>
            <w:r>
              <w:rPr>
                <w:rFonts w:ascii="Calibri" w:cs="Calibri" w:eastAsia="Calibri" w:hAnsi="Calibri"/>
                <w:sz w:val="23"/>
                <w:szCs w:val="23"/>
                <w:color w:val="auto"/>
                <w:vertAlign w:val="superscript"/>
              </w:rPr>
              <w:t>(5)</w:t>
            </w:r>
          </w:p>
        </w:tc>
        <w:tc>
          <w:tcPr>
            <w:tcW w:w="920" w:type="dxa"/>
            <w:vAlign w:val="bottom"/>
          </w:tcPr>
          <w:p>
            <w:pPr>
              <w:spacing w:after="0"/>
              <w:rPr>
                <w:sz w:val="18"/>
                <w:szCs w:val="18"/>
                <w:color w:val="auto"/>
              </w:rPr>
            </w:pPr>
          </w:p>
        </w:tc>
        <w:tc>
          <w:tcPr>
            <w:tcW w:w="540" w:type="dxa"/>
            <w:vAlign w:val="bottom"/>
          </w:tcPr>
          <w:p>
            <w:pPr>
              <w:jc w:val="right"/>
              <w:spacing w:after="0" w:line="216" w:lineRule="exact"/>
              <w:rPr>
                <w:sz w:val="20"/>
                <w:szCs w:val="20"/>
                <w:color w:val="auto"/>
              </w:rPr>
            </w:pPr>
            <w:r>
              <w:rPr>
                <w:rFonts w:ascii="Calibri" w:cs="Calibri" w:eastAsia="Calibri" w:hAnsi="Calibri"/>
                <w:sz w:val="18"/>
                <w:szCs w:val="18"/>
                <w:color w:val="auto"/>
              </w:rPr>
              <w:t>89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Calibri" w:cs="Calibri" w:eastAsia="Calibri" w:hAnsi="Calibri"/>
                <w:sz w:val="18"/>
                <w:szCs w:val="18"/>
                <w:color w:val="auto"/>
              </w:rPr>
              <w:t>1,583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Calibri" w:cs="Calibri" w:eastAsia="Calibri" w:hAnsi="Calibri"/>
                <w:sz w:val="18"/>
                <w:szCs w:val="18"/>
                <w:color w:val="auto"/>
              </w:rPr>
              <w:t>1,084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Calibri" w:cs="Calibri" w:eastAsia="Calibri" w:hAnsi="Calibri"/>
                <w:sz w:val="18"/>
                <w:szCs w:val="18"/>
                <w:color w:val="auto"/>
              </w:rPr>
              <w:t>2,662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line="216" w:lineRule="exact"/>
              <w:rPr>
                <w:sz w:val="20"/>
                <w:szCs w:val="20"/>
                <w:color w:val="auto"/>
              </w:rPr>
            </w:pPr>
            <w:r>
              <w:rPr>
                <w:rFonts w:ascii="Calibri" w:cs="Calibri" w:eastAsia="Calibri" w:hAnsi="Calibri"/>
                <w:sz w:val="17"/>
                <w:szCs w:val="17"/>
                <w:color w:val="auto"/>
              </w:rPr>
              <w:t>Severance related to COVID-19</w:t>
            </w:r>
            <w:r>
              <w:rPr>
                <w:rFonts w:ascii="Calibri" w:cs="Calibri" w:eastAsia="Calibri" w:hAnsi="Calibri"/>
                <w:sz w:val="23"/>
                <w:szCs w:val="23"/>
                <w:color w:val="auto"/>
                <w:vertAlign w:val="superscript"/>
              </w:rPr>
              <w:t>(6)</w:t>
            </w:r>
          </w:p>
        </w:tc>
        <w:tc>
          <w:tcPr>
            <w:tcW w:w="920" w:type="dxa"/>
            <w:vAlign w:val="bottom"/>
          </w:tcPr>
          <w:p>
            <w:pPr>
              <w:spacing w:after="0"/>
              <w:rPr>
                <w:sz w:val="18"/>
                <w:szCs w:val="18"/>
                <w:color w:val="auto"/>
              </w:rPr>
            </w:pPr>
          </w:p>
        </w:tc>
        <w:tc>
          <w:tcPr>
            <w:tcW w:w="840" w:type="dxa"/>
            <w:vAlign w:val="bottom"/>
            <w:gridSpan w:val="2"/>
          </w:tcPr>
          <w:p>
            <w:pPr>
              <w:jc w:val="right"/>
              <w:ind w:right="320"/>
              <w:spacing w:after="0" w:line="216" w:lineRule="exact"/>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8"/>
                <w:szCs w:val="18"/>
                <w:color w:val="auto"/>
              </w:rPr>
            </w:pPr>
          </w:p>
        </w:tc>
        <w:tc>
          <w:tcPr>
            <w:tcW w:w="1540" w:type="dxa"/>
            <w:vAlign w:val="bottom"/>
            <w:gridSpan w:val="3"/>
          </w:tcPr>
          <w:p>
            <w:pPr>
              <w:jc w:val="right"/>
              <w:ind w:right="420"/>
              <w:spacing w:after="0" w:line="216"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1520" w:type="dxa"/>
            <w:vAlign w:val="bottom"/>
            <w:gridSpan w:val="2"/>
          </w:tcPr>
          <w:p>
            <w:pPr>
              <w:jc w:val="right"/>
              <w:ind w:right="300"/>
              <w:spacing w:after="0" w:line="216" w:lineRule="exact"/>
              <w:rPr>
                <w:sz w:val="20"/>
                <w:szCs w:val="20"/>
                <w:color w:val="auto"/>
              </w:rPr>
            </w:pPr>
            <w:r>
              <w:rPr>
                <w:rFonts w:ascii="Calibri" w:cs="Calibri" w:eastAsia="Calibri" w:hAnsi="Calibri"/>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Calibri" w:cs="Calibri" w:eastAsia="Calibri" w:hAnsi="Calibri"/>
                <w:sz w:val="18"/>
                <w:szCs w:val="18"/>
                <w:color w:val="auto"/>
              </w:rPr>
              <w:t>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line="216" w:lineRule="exact"/>
              <w:rPr>
                <w:sz w:val="20"/>
                <w:szCs w:val="20"/>
                <w:color w:val="auto"/>
              </w:rPr>
            </w:pPr>
            <w:r>
              <w:rPr>
                <w:rFonts w:ascii="Calibri" w:cs="Calibri" w:eastAsia="Calibri" w:hAnsi="Calibri"/>
                <w:sz w:val="17"/>
                <w:szCs w:val="17"/>
                <w:color w:val="auto"/>
              </w:rPr>
              <w:t>Change in fair value of warrants</w:t>
            </w:r>
            <w:r>
              <w:rPr>
                <w:rFonts w:ascii="Calibri" w:cs="Calibri" w:eastAsia="Calibri" w:hAnsi="Calibri"/>
                <w:sz w:val="23"/>
                <w:szCs w:val="23"/>
                <w:color w:val="auto"/>
                <w:vertAlign w:val="superscript"/>
              </w:rPr>
              <w:t>(7)</w:t>
            </w:r>
          </w:p>
        </w:tc>
        <w:tc>
          <w:tcPr>
            <w:tcW w:w="920" w:type="dxa"/>
            <w:vAlign w:val="bottom"/>
          </w:tcPr>
          <w:p>
            <w:pPr>
              <w:spacing w:after="0"/>
              <w:rPr>
                <w:sz w:val="18"/>
                <w:szCs w:val="18"/>
                <w:color w:val="auto"/>
              </w:rPr>
            </w:pPr>
          </w:p>
        </w:tc>
        <w:tc>
          <w:tcPr>
            <w:tcW w:w="840" w:type="dxa"/>
            <w:vAlign w:val="bottom"/>
            <w:gridSpan w:val="2"/>
          </w:tcPr>
          <w:p>
            <w:pPr>
              <w:jc w:val="right"/>
              <w:ind w:right="240"/>
              <w:spacing w:after="0" w:line="216" w:lineRule="exact"/>
              <w:rPr>
                <w:sz w:val="20"/>
                <w:szCs w:val="20"/>
                <w:color w:val="auto"/>
              </w:rPr>
            </w:pPr>
            <w:r>
              <w:rPr>
                <w:rFonts w:ascii="Calibri" w:cs="Calibri" w:eastAsia="Calibri" w:hAnsi="Calibri"/>
                <w:sz w:val="18"/>
                <w:szCs w:val="18"/>
                <w:color w:val="auto"/>
              </w:rPr>
              <w:t>(65 )</w:t>
            </w:r>
          </w:p>
        </w:tc>
        <w:tc>
          <w:tcPr>
            <w:tcW w:w="340" w:type="dxa"/>
            <w:vAlign w:val="bottom"/>
          </w:tcPr>
          <w:p>
            <w:pPr>
              <w:spacing w:after="0"/>
              <w:rPr>
                <w:sz w:val="18"/>
                <w:szCs w:val="18"/>
                <w:color w:val="auto"/>
              </w:rPr>
            </w:pPr>
          </w:p>
        </w:tc>
        <w:tc>
          <w:tcPr>
            <w:tcW w:w="1540" w:type="dxa"/>
            <w:vAlign w:val="bottom"/>
            <w:gridSpan w:val="3"/>
          </w:tcPr>
          <w:p>
            <w:pPr>
              <w:jc w:val="right"/>
              <w:ind w:right="420"/>
              <w:spacing w:after="0" w:line="216"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1520" w:type="dxa"/>
            <w:vAlign w:val="bottom"/>
            <w:gridSpan w:val="2"/>
          </w:tcPr>
          <w:p>
            <w:pPr>
              <w:jc w:val="right"/>
              <w:ind w:right="220"/>
              <w:spacing w:after="0" w:line="216" w:lineRule="exact"/>
              <w:rPr>
                <w:sz w:val="20"/>
                <w:szCs w:val="20"/>
                <w:color w:val="auto"/>
              </w:rPr>
            </w:pPr>
            <w:r>
              <w:rPr>
                <w:rFonts w:ascii="Calibri" w:cs="Calibri" w:eastAsia="Calibri" w:hAnsi="Calibri"/>
                <w:sz w:val="18"/>
                <w:szCs w:val="18"/>
                <w:color w:val="auto"/>
              </w:rPr>
              <w:t>(6,618 )</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09"/>
        </w:trPr>
        <w:tc>
          <w:tcPr>
            <w:tcW w:w="4320" w:type="dxa"/>
            <w:vAlign w:val="bottom"/>
          </w:tcPr>
          <w:p>
            <w:pPr>
              <w:ind w:left="20"/>
              <w:spacing w:after="0" w:line="209" w:lineRule="exact"/>
              <w:rPr>
                <w:sz w:val="20"/>
                <w:szCs w:val="20"/>
                <w:color w:val="auto"/>
              </w:rPr>
            </w:pPr>
            <w:r>
              <w:rPr>
                <w:rFonts w:ascii="Calibri" w:cs="Calibri" w:eastAsia="Calibri" w:hAnsi="Calibri"/>
                <w:sz w:val="17"/>
                <w:szCs w:val="17"/>
                <w:color w:val="auto"/>
              </w:rPr>
              <w:t>Change in fair value of contngent consideraton</w:t>
            </w:r>
            <w:r>
              <w:rPr>
                <w:rFonts w:ascii="Calibri" w:cs="Calibri" w:eastAsia="Calibri" w:hAnsi="Calibri"/>
                <w:sz w:val="22"/>
                <w:szCs w:val="22"/>
                <w:color w:val="auto"/>
                <w:vertAlign w:val="superscript"/>
              </w:rPr>
              <w:t>(8)</w:t>
            </w:r>
          </w:p>
        </w:tc>
        <w:tc>
          <w:tcPr>
            <w:tcW w:w="920" w:type="dxa"/>
            <w:vAlign w:val="bottom"/>
          </w:tcPr>
          <w:p>
            <w:pPr>
              <w:spacing w:after="0"/>
              <w:rPr>
                <w:sz w:val="18"/>
                <w:szCs w:val="18"/>
                <w:color w:val="auto"/>
              </w:rPr>
            </w:pPr>
          </w:p>
        </w:tc>
        <w:tc>
          <w:tcPr>
            <w:tcW w:w="840" w:type="dxa"/>
            <w:vAlign w:val="bottom"/>
            <w:gridSpan w:val="2"/>
          </w:tcPr>
          <w:p>
            <w:pPr>
              <w:jc w:val="right"/>
              <w:ind w:right="240"/>
              <w:spacing w:after="0" w:line="209" w:lineRule="exact"/>
              <w:rPr>
                <w:sz w:val="20"/>
                <w:szCs w:val="20"/>
                <w:color w:val="auto"/>
              </w:rPr>
            </w:pPr>
            <w:r>
              <w:rPr>
                <w:rFonts w:ascii="Calibri" w:cs="Calibri" w:eastAsia="Calibri" w:hAnsi="Calibri"/>
                <w:sz w:val="18"/>
                <w:szCs w:val="18"/>
                <w:color w:val="auto"/>
              </w:rPr>
              <w:t>(1,220 )</w:t>
            </w:r>
          </w:p>
        </w:tc>
        <w:tc>
          <w:tcPr>
            <w:tcW w:w="340" w:type="dxa"/>
            <w:vAlign w:val="bottom"/>
          </w:tcPr>
          <w:p>
            <w:pPr>
              <w:spacing w:after="0"/>
              <w:rPr>
                <w:sz w:val="18"/>
                <w:szCs w:val="18"/>
                <w:color w:val="auto"/>
              </w:rPr>
            </w:pPr>
          </w:p>
        </w:tc>
        <w:tc>
          <w:tcPr>
            <w:tcW w:w="1540" w:type="dxa"/>
            <w:vAlign w:val="bottom"/>
            <w:gridSpan w:val="3"/>
          </w:tcPr>
          <w:p>
            <w:pPr>
              <w:jc w:val="right"/>
              <w:ind w:right="420"/>
              <w:spacing w:after="0" w:line="209"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1520" w:type="dxa"/>
            <w:vAlign w:val="bottom"/>
            <w:gridSpan w:val="2"/>
          </w:tcPr>
          <w:p>
            <w:pPr>
              <w:jc w:val="right"/>
              <w:ind w:right="220"/>
              <w:spacing w:after="0" w:line="209" w:lineRule="exact"/>
              <w:rPr>
                <w:sz w:val="20"/>
                <w:szCs w:val="20"/>
                <w:color w:val="auto"/>
              </w:rPr>
            </w:pPr>
            <w:r>
              <w:rPr>
                <w:rFonts w:ascii="Calibri" w:cs="Calibri" w:eastAsia="Calibri" w:hAnsi="Calibri"/>
                <w:sz w:val="18"/>
                <w:szCs w:val="18"/>
                <w:color w:val="auto"/>
              </w:rPr>
              <w:t>(1,220 )</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line="209"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83"/>
        </w:trPr>
        <w:tc>
          <w:tcPr>
            <w:tcW w:w="4320" w:type="dxa"/>
            <w:vAlign w:val="bottom"/>
          </w:tcPr>
          <w:p>
            <w:pPr>
              <w:ind w:left="20"/>
              <w:spacing w:after="0" w:line="284" w:lineRule="exact"/>
              <w:rPr>
                <w:sz w:val="20"/>
                <w:szCs w:val="20"/>
                <w:color w:val="auto"/>
              </w:rPr>
            </w:pPr>
            <w:r>
              <w:rPr>
                <w:rFonts w:ascii="Calibri" w:cs="Calibri" w:eastAsia="Calibri" w:hAnsi="Calibri"/>
                <w:sz w:val="18"/>
                <w:szCs w:val="18"/>
                <w:color w:val="auto"/>
              </w:rPr>
              <w:t>Loss on asset disposals</w:t>
            </w:r>
            <w:r>
              <w:rPr>
                <w:rFonts w:ascii="Calibri" w:cs="Calibri" w:eastAsia="Calibri" w:hAnsi="Calibri"/>
                <w:sz w:val="28"/>
                <w:szCs w:val="28"/>
                <w:color w:val="auto"/>
                <w:vertAlign w:val="superscript"/>
              </w:rPr>
              <w:t>(9)</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63</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gridSpan w:val="3"/>
          </w:tcPr>
          <w:p>
            <w:pPr>
              <w:jc w:val="right"/>
              <w:ind w:right="420"/>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18"/>
                <w:szCs w:val="18"/>
                <w:color w:val="auto"/>
              </w:rPr>
              <w:t>63</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Adjusted EBITDA</w:t>
            </w:r>
          </w:p>
        </w:tc>
        <w:tc>
          <w:tcPr>
            <w:tcW w:w="920" w:type="dxa"/>
            <w:vAlign w:val="bottom"/>
            <w:tcBorders>
              <w:top w:val="single" w:sz="8" w:color="auto"/>
              <w:bottom w:val="single" w:sz="8" w:color="auto"/>
            </w:tcBorders>
          </w:tcPr>
          <w:p>
            <w:pPr>
              <w:jc w:val="right"/>
              <w:ind w:right="730"/>
              <w:spacing w:after="0" w:line="209" w:lineRule="exact"/>
              <w:rPr>
                <w:sz w:val="20"/>
                <w:szCs w:val="20"/>
                <w:color w:val="auto"/>
              </w:rPr>
            </w:pPr>
            <w:r>
              <w:rPr>
                <w:rFonts w:ascii="Calibri" w:cs="Calibri" w:eastAsia="Calibri" w:hAnsi="Calibri"/>
                <w:sz w:val="18"/>
                <w:szCs w:val="18"/>
                <w:b w:val="1"/>
                <w:bCs w:val="1"/>
                <w:color w:val="auto"/>
                <w:w w:val="87"/>
              </w:rPr>
              <w:t>$</w:t>
            </w:r>
          </w:p>
        </w:tc>
        <w:tc>
          <w:tcPr>
            <w:tcW w:w="54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w w:val="99"/>
              </w:rPr>
              <w:t>28,284</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line="209" w:lineRule="exact"/>
              <w:rPr>
                <w:sz w:val="20"/>
                <w:szCs w:val="20"/>
                <w:color w:val="auto"/>
              </w:rPr>
            </w:pPr>
            <w:r>
              <w:rPr>
                <w:rFonts w:ascii="Calibri" w:cs="Calibri" w:eastAsia="Calibri" w:hAnsi="Calibri"/>
                <w:sz w:val="18"/>
                <w:szCs w:val="18"/>
                <w:b w:val="1"/>
                <w:bCs w:val="1"/>
                <w:color w:val="auto"/>
                <w:w w:val="87"/>
              </w:rPr>
              <w:t>$</w:t>
            </w:r>
          </w:p>
        </w:tc>
        <w:tc>
          <w:tcPr>
            <w:tcW w:w="114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41,965</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9" w:lineRule="exact"/>
              <w:rPr>
                <w:sz w:val="20"/>
                <w:szCs w:val="20"/>
                <w:color w:val="auto"/>
              </w:rPr>
            </w:pPr>
            <w:r>
              <w:rPr>
                <w:rFonts w:ascii="Calibri" w:cs="Calibri" w:eastAsia="Calibri" w:hAnsi="Calibri"/>
                <w:sz w:val="18"/>
                <w:szCs w:val="18"/>
                <w:b w:val="1"/>
                <w:bCs w:val="1"/>
                <w:color w:val="auto"/>
                <w:w w:val="87"/>
              </w:rPr>
              <w:t>$</w:t>
            </w:r>
          </w:p>
        </w:tc>
        <w:tc>
          <w:tcPr>
            <w:tcW w:w="124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79,625</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line="209" w:lineRule="exact"/>
              <w:rPr>
                <w:sz w:val="20"/>
                <w:szCs w:val="20"/>
                <w:color w:val="auto"/>
              </w:rPr>
            </w:pPr>
            <w:r>
              <w:rPr>
                <w:rFonts w:ascii="Calibri" w:cs="Calibri" w:eastAsia="Calibri" w:hAnsi="Calibri"/>
                <w:sz w:val="18"/>
                <w:szCs w:val="18"/>
                <w:b w:val="1"/>
                <w:bCs w:val="1"/>
                <w:color w:val="auto"/>
                <w:w w:val="87"/>
              </w:rPr>
              <w:t>$</w:t>
            </w:r>
          </w:p>
        </w:tc>
        <w:tc>
          <w:tcPr>
            <w:tcW w:w="114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82,347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-1405255</wp:posOffset>
            </wp:positionV>
            <wp:extent cx="713232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3086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66" w:lineRule="exact"/>
        <w:rPr>
          <w:sz w:val="20"/>
          <w:szCs w:val="20"/>
          <w:color w:val="auto"/>
        </w:rPr>
      </w:pPr>
    </w:p>
    <w:p>
      <w:pPr>
        <w:ind w:left="1020" w:hanging="503"/>
        <w:spacing w:after="0"/>
        <w:tabs>
          <w:tab w:leader="none" w:pos="1020" w:val="left"/>
        </w:tabs>
        <w:numPr>
          <w:ilvl w:val="0"/>
          <w:numId w:val="7"/>
        </w:numPr>
        <w:rPr>
          <w:rFonts w:ascii="Calibri" w:cs="Calibri" w:eastAsia="Calibri" w:hAnsi="Calibri"/>
          <w:sz w:val="17"/>
          <w:szCs w:val="17"/>
          <w:color w:val="auto"/>
        </w:rPr>
      </w:pPr>
      <w:r>
        <w:rPr>
          <w:rFonts w:ascii="Calibri" w:cs="Calibri" w:eastAsia="Calibri" w:hAnsi="Calibri"/>
          <w:sz w:val="17"/>
          <w:szCs w:val="17"/>
          <w:color w:val="auto"/>
        </w:rPr>
        <w:t>We have historically incurred sales tax expense in jurisdictons where we expected to remit sales tax payments but were not yet collectng from</w:t>
      </w:r>
    </w:p>
    <w:p>
      <w:pPr>
        <w:spacing w:after="0" w:line="7" w:lineRule="exact"/>
        <w:rPr>
          <w:sz w:val="20"/>
          <w:szCs w:val="20"/>
          <w:color w:val="auto"/>
        </w:rPr>
      </w:pPr>
    </w:p>
    <w:p>
      <w:pPr>
        <w:ind w:left="1020"/>
        <w:spacing w:after="0" w:line="221" w:lineRule="auto"/>
        <w:rPr>
          <w:sz w:val="20"/>
          <w:szCs w:val="20"/>
          <w:color w:val="auto"/>
        </w:rPr>
      </w:pPr>
      <w:r>
        <w:rPr>
          <w:rFonts w:ascii="Calibri" w:cs="Calibri" w:eastAsia="Calibri" w:hAnsi="Calibri"/>
          <w:sz w:val="18"/>
          <w:szCs w:val="18"/>
          <w:color w:val="auto"/>
        </w:rPr>
        <w:t>customers. During the second half of 2021, we began collectng sales tax from customers in the required jurisdictons. The sales tax liability presented herein</w:t>
      </w:r>
    </w:p>
    <w:p>
      <w:pPr>
        <w:jc w:val="center"/>
        <w:spacing w:after="0" w:line="221" w:lineRule="auto"/>
        <w:rPr>
          <w:sz w:val="20"/>
          <w:szCs w:val="20"/>
          <w:color w:val="auto"/>
        </w:rPr>
      </w:pPr>
      <w:r>
        <w:rPr>
          <w:rFonts w:ascii="Calibri" w:cs="Calibri" w:eastAsia="Calibri" w:hAnsi="Calibri"/>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1" w:name="page32"/>
    <w:bookmarkEnd w:id="31"/>
    <w:p>
      <w:pPr>
        <w:ind w:left="1020"/>
        <w:spacing w:after="0" w:line="235" w:lineRule="auto"/>
        <w:rPr>
          <w:sz w:val="20"/>
          <w:szCs w:val="20"/>
          <w:color w:val="auto"/>
        </w:rPr>
      </w:pPr>
      <w:r>
        <w:rPr>
          <w:rFonts w:ascii="Calibri" w:cs="Calibri" w:eastAsia="Calibri" w:hAnsi="Calibri"/>
          <w:sz w:val="18"/>
          <w:szCs w:val="18"/>
          <w:color w:val="auto"/>
        </w:rPr>
        <w:t>represents the tax liability for sales tax prior to the date we began collectng sales tax from customers reduced by abatements received, inclusive of any penaltes and interest assessed by the jurisdictons. The aforementoned liability was fully paid in October 2022.</w:t>
      </w:r>
    </w:p>
    <w:p>
      <w:pPr>
        <w:spacing w:after="0" w:line="96" w:lineRule="exact"/>
        <w:rPr>
          <w:sz w:val="20"/>
          <w:szCs w:val="20"/>
          <w:color w:val="auto"/>
        </w:rPr>
      </w:pPr>
    </w:p>
    <w:p>
      <w:pPr>
        <w:jc w:val="both"/>
        <w:ind w:left="1020" w:hanging="503"/>
        <w:spacing w:after="0" w:line="228" w:lineRule="auto"/>
        <w:tabs>
          <w:tab w:leader="none" w:pos="102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Transacton costs consist of legal; accountng; tax and other professional fees; personnel-related costs, which consist of retenton bonuses; and integraton costs. Transacton costs recognized in 2022 were related to the merger transacton with Horizon Acquisiton Corporaton (the "Merger Transacton"), the acquisiton of Betcha Sports, Inc. ("Betcha" rebranded as "Vivid Picks"), refnancing of the remaining June 2017 First Lien Loan with a new February 2022 First Lien Loan and our ofering to the holders of our outstanding public warrants to receive shares of Class A Common Stock in exchange for each outstanding public warrant tendered by the holder. Transacton costs recognized in 2021 were related to the Merger Transacton, to the extent they were not eligible for capitalizaton.</w:t>
      </w:r>
    </w:p>
    <w:p>
      <w:pPr>
        <w:spacing w:after="0" w:line="97" w:lineRule="exact"/>
        <w:rPr>
          <w:rFonts w:ascii="Calibri" w:cs="Calibri" w:eastAsia="Calibri" w:hAnsi="Calibri"/>
          <w:sz w:val="18"/>
          <w:szCs w:val="18"/>
          <w:color w:val="auto"/>
        </w:rPr>
      </w:pPr>
    </w:p>
    <w:p>
      <w:pPr>
        <w:jc w:val="both"/>
        <w:ind w:left="1020" w:hanging="503"/>
        <w:spacing w:after="0" w:line="228" w:lineRule="auto"/>
        <w:tabs>
          <w:tab w:leader="none" w:pos="102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We incur equity-based compensaton expenses for profts interests issued prior to the Merger Transacton and equity granted according to the 2021 Incentve Award Plan ("2021 Plan"), which we do not consider to be indicatve of our core operatng performance. The 2021 Plan was approved and adopted in order to facilitate the grant of equity incentve awards to our employees and directors. The 2021 Plan became efectve on October 18, 2021.</w:t>
      </w:r>
    </w:p>
    <w:p>
      <w:pPr>
        <w:spacing w:after="0" w:line="91" w:lineRule="exact"/>
        <w:rPr>
          <w:rFonts w:ascii="Calibri" w:cs="Calibri" w:eastAsia="Calibri" w:hAnsi="Calibri"/>
          <w:sz w:val="18"/>
          <w:szCs w:val="18"/>
          <w:color w:val="auto"/>
        </w:rPr>
      </w:pPr>
    </w:p>
    <w:p>
      <w:pPr>
        <w:ind w:left="1020" w:hanging="503"/>
        <w:spacing w:after="0"/>
        <w:tabs>
          <w:tab w:leader="none" w:pos="102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Losses incurred resulted from the extnguishment of the June 2017 First Lien Loan in February 2022.</w:t>
      </w:r>
    </w:p>
    <w:p>
      <w:pPr>
        <w:spacing w:after="0" w:line="95" w:lineRule="exact"/>
        <w:rPr>
          <w:rFonts w:ascii="Calibri" w:cs="Calibri" w:eastAsia="Calibri" w:hAnsi="Calibri"/>
          <w:sz w:val="18"/>
          <w:szCs w:val="18"/>
          <w:color w:val="auto"/>
        </w:rPr>
      </w:pPr>
    </w:p>
    <w:p>
      <w:pPr>
        <w:ind w:left="1020" w:hanging="503"/>
        <w:spacing w:after="0"/>
        <w:tabs>
          <w:tab w:leader="none" w:pos="1020" w:val="left"/>
        </w:tabs>
        <w:numPr>
          <w:ilvl w:val="0"/>
          <w:numId w:val="8"/>
        </w:numPr>
        <w:rPr>
          <w:rFonts w:ascii="Calibri" w:cs="Calibri" w:eastAsia="Calibri" w:hAnsi="Calibri"/>
          <w:sz w:val="17"/>
          <w:szCs w:val="17"/>
          <w:color w:val="auto"/>
        </w:rPr>
      </w:pPr>
      <w:r>
        <w:rPr>
          <w:rFonts w:ascii="Calibri" w:cs="Calibri" w:eastAsia="Calibri" w:hAnsi="Calibri"/>
          <w:sz w:val="17"/>
          <w:szCs w:val="17"/>
          <w:color w:val="auto"/>
        </w:rPr>
        <w:t>These amounts relate to external legal costs, setlement costs and insurance recoveries, which were unrelated to our core business operatons.</w:t>
      </w:r>
    </w:p>
    <w:p>
      <w:pPr>
        <w:spacing w:after="0" w:line="116" w:lineRule="exact"/>
        <w:rPr>
          <w:rFonts w:ascii="Calibri" w:cs="Calibri" w:eastAsia="Calibri" w:hAnsi="Calibri"/>
          <w:sz w:val="17"/>
          <w:szCs w:val="17"/>
          <w:color w:val="auto"/>
        </w:rPr>
      </w:pPr>
    </w:p>
    <w:p>
      <w:pPr>
        <w:ind w:left="1020" w:hanging="503"/>
        <w:spacing w:after="0" w:line="227" w:lineRule="auto"/>
        <w:tabs>
          <w:tab w:leader="none" w:pos="102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These charges relate to severance costs resultng from signifcant reductons in employee headcount due to the efects of the COVID-19 pandemic.</w:t>
      </w:r>
    </w:p>
    <w:p>
      <w:pPr>
        <w:spacing w:after="0" w:line="92" w:lineRule="exact"/>
        <w:rPr>
          <w:rFonts w:ascii="Calibri" w:cs="Calibri" w:eastAsia="Calibri" w:hAnsi="Calibri"/>
          <w:sz w:val="18"/>
          <w:szCs w:val="18"/>
          <w:color w:val="auto"/>
        </w:rPr>
      </w:pPr>
    </w:p>
    <w:p>
      <w:pPr>
        <w:ind w:left="1020" w:hanging="503"/>
        <w:spacing w:after="0"/>
        <w:tabs>
          <w:tab w:leader="none" w:pos="102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This relates to the revaluaton of Hoya Intermediate Warrants following the Merger Transacton.</w:t>
      </w:r>
    </w:p>
    <w:p>
      <w:pPr>
        <w:spacing w:after="0" w:line="104" w:lineRule="exact"/>
        <w:rPr>
          <w:rFonts w:ascii="Calibri" w:cs="Calibri" w:eastAsia="Calibri" w:hAnsi="Calibri"/>
          <w:sz w:val="18"/>
          <w:szCs w:val="18"/>
          <w:color w:val="auto"/>
        </w:rPr>
      </w:pPr>
    </w:p>
    <w:p>
      <w:pPr>
        <w:ind w:left="1020" w:hanging="503"/>
        <w:spacing w:after="0"/>
        <w:tabs>
          <w:tab w:leader="none" w:pos="102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This relates to the revaluaton of Vivid Picks cash earnouts.</w:t>
      </w:r>
    </w:p>
    <w:p>
      <w:pPr>
        <w:spacing w:after="0" w:line="90" w:lineRule="exact"/>
        <w:rPr>
          <w:rFonts w:ascii="Calibri" w:cs="Calibri" w:eastAsia="Calibri" w:hAnsi="Calibri"/>
          <w:sz w:val="18"/>
          <w:szCs w:val="18"/>
          <w:color w:val="auto"/>
        </w:rPr>
      </w:pPr>
    </w:p>
    <w:p>
      <w:pPr>
        <w:ind w:left="1020" w:hanging="503"/>
        <w:spacing w:after="0"/>
        <w:tabs>
          <w:tab w:leader="none" w:pos="102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This relates to asset disposals, which are not considered indicatve of our core operatng performance.</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Impact of COVID-19</w:t>
      </w:r>
    </w:p>
    <w:p>
      <w:pPr>
        <w:spacing w:after="0" w:line="136"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On March 11, 2020, the World Health Organizaton declared the COVID-19 outbreak a pandemic. Almost immediately, mitgaton measures implemented or recommended by governmental authorites and private organizatons restricted atendance at live events throughout North America resultng in large-scale event cancellatons and meaningfully reduced actvity on our platorm. Beginning in the second quarter of 2021, and contnuing into the third quarter of 2022, we have seen a recovery in tcket orders as mitgaton measures ease. While we have experienced recovery from the COVID-19 pandemic, given the emergence of new variants and contnued infectous cases, uncertainty remains. If economic conditons caused by the pandemic were to worsen, our fnancial conditon, cash fows, and results of operatons may be further materially impacted.</w:t>
      </w:r>
    </w:p>
    <w:p>
      <w:pPr>
        <w:spacing w:after="0" w:line="13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Key Factors Afectng our Performance</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There have been no material changes from the “Key Factors Afectng Our Performance” in the Management’s Discussion and Analysis secton disclosed in our 2021 Form 10-K. Our fnancial positon and results of operatons depend to a signifcant extent on those factors.</w:t>
      </w:r>
    </w:p>
    <w:p>
      <w:pPr>
        <w:spacing w:after="0" w:line="9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32" w:name="page33"/>
    <w:bookmarkEnd w:id="32"/>
    <w:p>
      <w:pPr>
        <w:spacing w:after="0"/>
        <w:rPr>
          <w:sz w:val="20"/>
          <w:szCs w:val="20"/>
          <w:color w:val="auto"/>
        </w:rPr>
      </w:pPr>
      <w:r>
        <w:rPr>
          <w:rFonts w:ascii="Calibri" w:cs="Calibri" w:eastAsia="Calibri" w:hAnsi="Calibri"/>
          <w:sz w:val="18"/>
          <w:szCs w:val="18"/>
          <w:b w:val="1"/>
          <w:bCs w:val="1"/>
          <w:color w:val="auto"/>
        </w:rPr>
        <w:t>Results of Operatons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Comparison of the Three and Nine Months Ended September 30, 2022 and 2021</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sets forth our results of operatons (in thousands, except percentages):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right"/>
              <w:ind w:right="388"/>
              <w:spacing w:after="0"/>
              <w:rPr>
                <w:sz w:val="20"/>
                <w:szCs w:val="20"/>
                <w:color w:val="auto"/>
              </w:rPr>
            </w:pPr>
            <w:r>
              <w:rPr>
                <w:rFonts w:ascii="Calibri" w:cs="Calibri" w:eastAsia="Calibri" w:hAnsi="Calibri"/>
                <w:sz w:val="14"/>
                <w:szCs w:val="14"/>
                <w:b w:val="1"/>
                <w:bCs w:val="1"/>
                <w:color w:val="auto"/>
              </w:rPr>
              <w:t>Three Months Ended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ind w:left="60"/>
              <w:spacing w:after="0"/>
              <w:rPr>
                <w:sz w:val="20"/>
                <w:szCs w:val="20"/>
                <w:color w:val="auto"/>
              </w:rPr>
            </w:pPr>
            <w:r>
              <w:rPr>
                <w:rFonts w:ascii="Calibri" w:cs="Calibri" w:eastAsia="Calibri" w:hAnsi="Calibri"/>
                <w:sz w:val="14"/>
                <w:szCs w:val="14"/>
                <w:b w:val="1"/>
                <w:bCs w:val="1"/>
                <w:color w:val="auto"/>
              </w:rPr>
              <w:t>Nine Months Ended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5"/>
          </w:tcPr>
          <w:p>
            <w:pPr>
              <w:jc w:val="right"/>
              <w:ind w:right="568"/>
              <w:spacing w:after="0"/>
              <w:rPr>
                <w:sz w:val="20"/>
                <w:szCs w:val="20"/>
                <w:color w:val="auto"/>
              </w:rPr>
            </w:pPr>
            <w:r>
              <w:rPr>
                <w:rFonts w:ascii="Calibri" w:cs="Calibri" w:eastAsia="Calibri" w:hAnsi="Calibri"/>
                <w:sz w:val="14"/>
                <w:szCs w:val="14"/>
                <w:b w:val="1"/>
                <w:bCs w:val="1"/>
                <w:color w:val="auto"/>
              </w:rPr>
              <w:t>September 30,</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5"/>
          </w:tcPr>
          <w:p>
            <w:pPr>
              <w:jc w:val="right"/>
              <w:ind w:right="508"/>
              <w:spacing w:after="0"/>
              <w:rPr>
                <w:sz w:val="20"/>
                <w:szCs w:val="20"/>
                <w:color w:val="auto"/>
              </w:rPr>
            </w:pPr>
            <w:r>
              <w:rPr>
                <w:rFonts w:ascii="Calibri" w:cs="Calibri" w:eastAsia="Calibri" w:hAnsi="Calibri"/>
                <w:sz w:val="14"/>
                <w:szCs w:val="14"/>
                <w:b w:val="1"/>
                <w:bCs w:val="1"/>
                <w:color w:val="auto"/>
              </w:rPr>
              <w:t>September 30,</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6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128"/>
              <w:spacing w:after="0"/>
              <w:rPr>
                <w:sz w:val="20"/>
                <w:szCs w:val="20"/>
                <w:color w:val="auto"/>
              </w:rPr>
            </w:pPr>
            <w:r>
              <w:rPr>
                <w:rFonts w:ascii="Calibri" w:cs="Calibri" w:eastAsia="Calibri" w:hAnsi="Calibri"/>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48"/>
              <w:spacing w:after="0"/>
              <w:rPr>
                <w:sz w:val="20"/>
                <w:szCs w:val="20"/>
                <w:color w:val="auto"/>
              </w:rPr>
            </w:pPr>
            <w:r>
              <w:rPr>
                <w:rFonts w:ascii="Calibri" w:cs="Calibri" w:eastAsia="Calibri" w:hAnsi="Calibri"/>
                <w:sz w:val="14"/>
                <w:szCs w:val="14"/>
                <w:b w:val="1"/>
                <w:bCs w:val="1"/>
                <w:color w:val="auto"/>
              </w:rPr>
              <w:t>2021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40"/>
              <w:spacing w:after="0" w:line="156" w:lineRule="exact"/>
              <w:rPr>
                <w:sz w:val="20"/>
                <w:szCs w:val="20"/>
                <w:color w:val="auto"/>
              </w:rPr>
            </w:pPr>
            <w:r>
              <w:rPr>
                <w:rFonts w:ascii="Calibri" w:cs="Calibri" w:eastAsia="Calibri" w:hAnsi="Calibri"/>
                <w:sz w:val="14"/>
                <w:szCs w:val="14"/>
                <w:b w:val="1"/>
                <w:bCs w:val="1"/>
                <w:color w:val="auto"/>
                <w:w w:val="97"/>
              </w:rPr>
              <w:t>Change</w:t>
            </w:r>
          </w:p>
        </w:tc>
        <w:tc>
          <w:tcPr>
            <w:tcW w:w="1060" w:type="dxa"/>
            <w:vAlign w:val="bottom"/>
            <w:gridSpan w:val="2"/>
          </w:tcPr>
          <w:p>
            <w:pPr>
              <w:jc w:val="right"/>
              <w:ind w:right="288"/>
              <w:spacing w:after="0" w:line="156" w:lineRule="exact"/>
              <w:rPr>
                <w:sz w:val="20"/>
                <w:szCs w:val="20"/>
                <w:color w:val="auto"/>
              </w:rPr>
            </w:pPr>
            <w:r>
              <w:rPr>
                <w:rFonts w:ascii="Calibri" w:cs="Calibri" w:eastAsia="Calibri" w:hAnsi="Calibri"/>
                <w:sz w:val="14"/>
                <w:szCs w:val="14"/>
                <w:b w:val="1"/>
                <w:bCs w:val="1"/>
                <w:color w:val="auto"/>
              </w:rPr>
              <w:t>% Change</w:t>
            </w: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ind w:left="60"/>
              <w:spacing w:after="0"/>
              <w:rPr>
                <w:sz w:val="20"/>
                <w:szCs w:val="20"/>
                <w:color w:val="auto"/>
              </w:rPr>
            </w:pPr>
            <w:r>
              <w:rPr>
                <w:rFonts w:ascii="Calibri" w:cs="Calibri" w:eastAsia="Calibri" w:hAnsi="Calibri"/>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128"/>
              <w:spacing w:after="0"/>
              <w:rPr>
                <w:sz w:val="20"/>
                <w:szCs w:val="20"/>
                <w:color w:val="auto"/>
              </w:rPr>
            </w:pPr>
            <w:r>
              <w:rPr>
                <w:rFonts w:ascii="Calibri" w:cs="Calibri" w:eastAsia="Calibri" w:hAnsi="Calibri"/>
                <w:sz w:val="14"/>
                <w:szCs w:val="14"/>
                <w:b w:val="1"/>
                <w:bCs w:val="1"/>
                <w:color w:val="auto"/>
              </w:rPr>
              <w:t>2021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60"/>
              <w:spacing w:after="0" w:line="156" w:lineRule="exact"/>
              <w:rPr>
                <w:sz w:val="20"/>
                <w:szCs w:val="20"/>
                <w:color w:val="auto"/>
              </w:rPr>
            </w:pPr>
            <w:r>
              <w:rPr>
                <w:rFonts w:ascii="Calibri" w:cs="Calibri" w:eastAsia="Calibri" w:hAnsi="Calibri"/>
                <w:sz w:val="14"/>
                <w:szCs w:val="14"/>
                <w:b w:val="1"/>
                <w:bCs w:val="1"/>
                <w:color w:val="auto"/>
              </w:rPr>
              <w:t>Change</w:t>
            </w:r>
          </w:p>
        </w:tc>
        <w:tc>
          <w:tcPr>
            <w:tcW w:w="1040" w:type="dxa"/>
            <w:vAlign w:val="bottom"/>
            <w:gridSpan w:val="3"/>
          </w:tcPr>
          <w:p>
            <w:pPr>
              <w:jc w:val="right"/>
              <w:ind w:right="320"/>
              <w:spacing w:after="0" w:line="156" w:lineRule="exact"/>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75"/>
        </w:trPr>
        <w:tc>
          <w:tcPr>
            <w:tcW w:w="366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Revenues</w:t>
            </w:r>
          </w:p>
        </w:tc>
        <w:tc>
          <w:tcPr>
            <w:tcW w:w="14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w w:val="83"/>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156,818</w:t>
            </w:r>
          </w:p>
        </w:tc>
        <w:tc>
          <w:tcPr>
            <w:tcW w:w="24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139,538</w:t>
            </w: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17,280</w:t>
            </w:r>
          </w:p>
        </w:tc>
        <w:tc>
          <w:tcPr>
            <w:tcW w:w="220" w:type="dxa"/>
            <w:vAlign w:val="bottom"/>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12</w:t>
            </w:r>
          </w:p>
        </w:tc>
        <w:tc>
          <w:tcPr>
            <w:tcW w:w="220" w:type="dxa"/>
            <w:vAlign w:val="bottom"/>
            <w:shd w:val="clear" w:color="auto" w:fill="CFF0FC"/>
          </w:tcPr>
          <w:p>
            <w:pPr>
              <w:jc w:val="right"/>
              <w:ind w:right="28"/>
              <w:spacing w:after="0"/>
              <w:rPr>
                <w:sz w:val="20"/>
                <w:szCs w:val="20"/>
                <w:color w:val="auto"/>
              </w:rPr>
            </w:pPr>
            <w:r>
              <w:rPr>
                <w:rFonts w:ascii="Calibri" w:cs="Calibri" w:eastAsia="Calibri" w:hAnsi="Calibri"/>
                <w:sz w:val="14"/>
                <w:szCs w:val="14"/>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w w:val="83"/>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435,284</w:t>
            </w:r>
          </w:p>
        </w:tc>
        <w:tc>
          <w:tcPr>
            <w:tcW w:w="2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w w:val="83"/>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279,150</w:t>
            </w: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w w:val="83"/>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156,134</w:t>
            </w:r>
          </w:p>
        </w:tc>
        <w:tc>
          <w:tcPr>
            <w:tcW w:w="220" w:type="dxa"/>
            <w:vAlign w:val="bottom"/>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56</w:t>
            </w:r>
          </w:p>
        </w:tc>
        <w:tc>
          <w:tcPr>
            <w:tcW w:w="1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w w:val="79"/>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660" w:type="dxa"/>
            <w:vAlign w:val="bottom"/>
          </w:tcPr>
          <w:p>
            <w:pPr>
              <w:ind w:left="20"/>
              <w:spacing w:after="0"/>
              <w:rPr>
                <w:sz w:val="20"/>
                <w:szCs w:val="20"/>
                <w:color w:val="auto"/>
              </w:rPr>
            </w:pPr>
            <w:r>
              <w:rPr>
                <w:rFonts w:ascii="Calibri" w:cs="Calibri" w:eastAsia="Calibri" w:hAnsi="Calibri"/>
                <w:sz w:val="14"/>
                <w:szCs w:val="14"/>
                <w:b w:val="1"/>
                <w:bCs w:val="1"/>
                <w:color w:val="auto"/>
              </w:rPr>
              <w:t>Costs and expenses:</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660" w:type="dxa"/>
            <w:vAlign w:val="bottom"/>
            <w:shd w:val="clear" w:color="auto" w:fill="CFF0FC"/>
          </w:tcPr>
          <w:p>
            <w:pPr>
              <w:ind w:left="20"/>
              <w:spacing w:after="0" w:line="137" w:lineRule="exact"/>
              <w:rPr>
                <w:sz w:val="20"/>
                <w:szCs w:val="20"/>
                <w:color w:val="auto"/>
              </w:rPr>
            </w:pPr>
            <w:r>
              <w:rPr>
                <w:rFonts w:ascii="Calibri" w:cs="Calibri" w:eastAsia="Calibri" w:hAnsi="Calibri"/>
                <w:sz w:val="14"/>
                <w:szCs w:val="14"/>
                <w:color w:val="auto"/>
              </w:rPr>
              <w:t>Cost of revenues (exclusive of depreciaton and</w:t>
            </w: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6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amortzaton shown separately below)</w:t>
            </w:r>
          </w:p>
        </w:tc>
        <w:tc>
          <w:tcPr>
            <w:tcW w:w="14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37,617</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30,475</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7,142</w:t>
            </w:r>
          </w:p>
        </w:tc>
        <w:tc>
          <w:tcPr>
            <w:tcW w:w="22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CFF0FC"/>
            </w:tcBorders>
            <w:gridSpan w:val="2"/>
            <w:shd w:val="clear" w:color="auto" w:fill="CFF0FC"/>
          </w:tcPr>
          <w:p>
            <w:pPr>
              <w:jc w:val="right"/>
              <w:ind w:right="28"/>
              <w:spacing w:after="0"/>
              <w:rPr>
                <w:sz w:val="20"/>
                <w:szCs w:val="20"/>
                <w:color w:val="auto"/>
              </w:rPr>
            </w:pPr>
            <w:r>
              <w:rPr>
                <w:rFonts w:ascii="Calibri" w:cs="Calibri" w:eastAsia="Calibri" w:hAnsi="Calibri"/>
                <w:sz w:val="14"/>
                <w:szCs w:val="14"/>
                <w:color w:val="auto"/>
              </w:rPr>
              <w:t>23 %</w:t>
            </w:r>
          </w:p>
        </w:tc>
        <w:tc>
          <w:tcPr>
            <w:tcW w:w="12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102,203</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54,386</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47,817</w:t>
            </w:r>
          </w:p>
        </w:tc>
        <w:tc>
          <w:tcPr>
            <w:tcW w:w="22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4"/>
                <w:szCs w:val="14"/>
                <w:color w:val="auto"/>
              </w:rPr>
              <w:t>88 %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60" w:type="dxa"/>
            <w:vAlign w:val="bottom"/>
          </w:tcPr>
          <w:p>
            <w:pPr>
              <w:ind w:left="20"/>
              <w:spacing w:after="0"/>
              <w:rPr>
                <w:sz w:val="20"/>
                <w:szCs w:val="20"/>
                <w:color w:val="auto"/>
              </w:rPr>
            </w:pPr>
            <w:r>
              <w:rPr>
                <w:rFonts w:ascii="Calibri" w:cs="Calibri" w:eastAsia="Calibri" w:hAnsi="Calibri"/>
                <w:sz w:val="14"/>
                <w:szCs w:val="14"/>
                <w:color w:val="auto"/>
              </w:rPr>
              <w:t>Marketng and selling</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alibri" w:cs="Calibri" w:eastAsia="Calibri" w:hAnsi="Calibri"/>
                <w:sz w:val="14"/>
                <w:szCs w:val="14"/>
                <w:color w:val="auto"/>
              </w:rPr>
              <w:t>66,323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alibri" w:cs="Calibri" w:eastAsia="Calibri" w:hAnsi="Calibri"/>
                <w:sz w:val="14"/>
                <w:szCs w:val="14"/>
                <w:color w:val="auto"/>
              </w:rPr>
              <w:t>50,371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15,952</w:t>
            </w:r>
          </w:p>
        </w:tc>
        <w:tc>
          <w:tcPr>
            <w:tcW w:w="220" w:type="dxa"/>
            <w:vAlign w:val="bottom"/>
          </w:tcPr>
          <w:p>
            <w:pPr>
              <w:spacing w:after="0"/>
              <w:rPr>
                <w:sz w:val="14"/>
                <w:szCs w:val="14"/>
                <w:color w:val="auto"/>
              </w:rPr>
            </w:pPr>
          </w:p>
        </w:tc>
        <w:tc>
          <w:tcPr>
            <w:tcW w:w="1060" w:type="dxa"/>
            <w:vAlign w:val="bottom"/>
            <w:gridSpan w:val="2"/>
          </w:tcPr>
          <w:p>
            <w:pPr>
              <w:jc w:val="right"/>
              <w:ind w:right="28"/>
              <w:spacing w:after="0"/>
              <w:rPr>
                <w:sz w:val="20"/>
                <w:szCs w:val="20"/>
                <w:color w:val="auto"/>
              </w:rPr>
            </w:pPr>
            <w:r>
              <w:rPr>
                <w:rFonts w:ascii="Calibri" w:cs="Calibri" w:eastAsia="Calibri" w:hAnsi="Calibri"/>
                <w:sz w:val="14"/>
                <w:szCs w:val="14"/>
                <w:color w:val="auto"/>
              </w:rPr>
              <w:t>32 %</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alibri" w:cs="Calibri" w:eastAsia="Calibri" w:hAnsi="Calibri"/>
                <w:sz w:val="14"/>
                <w:szCs w:val="14"/>
                <w:color w:val="auto"/>
              </w:rPr>
              <w:t>179,963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104,748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75,215</w:t>
            </w:r>
          </w:p>
        </w:tc>
        <w:tc>
          <w:tcPr>
            <w:tcW w:w="2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alibri" w:cs="Calibri" w:eastAsia="Calibri" w:hAnsi="Calibri"/>
                <w:sz w:val="14"/>
                <w:szCs w:val="14"/>
                <w:color w:val="auto"/>
              </w:rPr>
              <w:t>72 %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66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General and administratve</w:t>
            </w: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30,239</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42,509</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(12,270 )</w:t>
            </w:r>
          </w:p>
        </w:tc>
        <w:tc>
          <w:tcPr>
            <w:tcW w:w="106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color w:val="auto"/>
              </w:rPr>
              <w:t>(29 )%</w:t>
            </w: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95,721</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87,486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8,235</w:t>
            </w:r>
          </w:p>
        </w:tc>
        <w:tc>
          <w:tcPr>
            <w:tcW w:w="2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color w:val="auto"/>
              </w:rPr>
              <w:t>9 %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660" w:type="dxa"/>
            <w:vAlign w:val="bottom"/>
          </w:tcPr>
          <w:p>
            <w:pPr>
              <w:ind w:left="20"/>
              <w:spacing w:after="0"/>
              <w:rPr>
                <w:sz w:val="20"/>
                <w:szCs w:val="20"/>
                <w:color w:val="auto"/>
              </w:rPr>
            </w:pPr>
            <w:r>
              <w:rPr>
                <w:rFonts w:ascii="Calibri" w:cs="Calibri" w:eastAsia="Calibri" w:hAnsi="Calibri"/>
                <w:sz w:val="14"/>
                <w:szCs w:val="14"/>
                <w:color w:val="auto"/>
              </w:rPr>
              <w:t>Depreciaton and amortzaton</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alibri" w:cs="Calibri" w:eastAsia="Calibri" w:hAnsi="Calibri"/>
                <w:sz w:val="14"/>
                <w:szCs w:val="14"/>
                <w:color w:val="auto"/>
              </w:rPr>
              <w:t>2,158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alibri" w:cs="Calibri" w:eastAsia="Calibri" w:hAnsi="Calibri"/>
                <w:sz w:val="14"/>
                <w:szCs w:val="14"/>
                <w:color w:val="auto"/>
              </w:rPr>
              <w:t>711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1,447</w:t>
            </w:r>
          </w:p>
        </w:tc>
        <w:tc>
          <w:tcPr>
            <w:tcW w:w="220" w:type="dxa"/>
            <w:vAlign w:val="bottom"/>
          </w:tcPr>
          <w:p>
            <w:pPr>
              <w:spacing w:after="0"/>
              <w:rPr>
                <w:sz w:val="14"/>
                <w:szCs w:val="14"/>
                <w:color w:val="auto"/>
              </w:rPr>
            </w:pPr>
          </w:p>
        </w:tc>
        <w:tc>
          <w:tcPr>
            <w:tcW w:w="1060" w:type="dxa"/>
            <w:vAlign w:val="bottom"/>
            <w:gridSpan w:val="2"/>
          </w:tcPr>
          <w:p>
            <w:pPr>
              <w:jc w:val="right"/>
              <w:ind w:right="28"/>
              <w:spacing w:after="0"/>
              <w:rPr>
                <w:sz w:val="20"/>
                <w:szCs w:val="20"/>
                <w:color w:val="auto"/>
              </w:rPr>
            </w:pPr>
            <w:r>
              <w:rPr>
                <w:rFonts w:ascii="Calibri" w:cs="Calibri" w:eastAsia="Calibri" w:hAnsi="Calibri"/>
                <w:sz w:val="14"/>
                <w:szCs w:val="14"/>
                <w:color w:val="auto"/>
              </w:rPr>
              <w:t>204 %</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alibri" w:cs="Calibri" w:eastAsia="Calibri" w:hAnsi="Calibri"/>
                <w:sz w:val="14"/>
                <w:szCs w:val="14"/>
                <w:color w:val="auto"/>
              </w:rPr>
              <w:t>5,269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1,506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3,763</w:t>
            </w:r>
          </w:p>
        </w:tc>
        <w:tc>
          <w:tcPr>
            <w:tcW w:w="2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alibri" w:cs="Calibri" w:eastAsia="Calibri" w:hAnsi="Calibri"/>
                <w:sz w:val="14"/>
                <w:szCs w:val="14"/>
                <w:color w:val="auto"/>
              </w:rPr>
              <w:t>250 %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66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Change in fair value of contngent consideraton</w:t>
            </w:r>
          </w:p>
        </w:tc>
        <w:tc>
          <w:tcPr>
            <w:tcW w:w="1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4"/>
                <w:szCs w:val="14"/>
                <w:color w:val="auto"/>
              </w:rPr>
              <w:t>(1,220 )</w:t>
            </w:r>
          </w:p>
        </w:tc>
        <w:tc>
          <w:tcPr>
            <w:tcW w:w="1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8"/>
              <w:spacing w:after="0"/>
              <w:rPr>
                <w:sz w:val="20"/>
                <w:szCs w:val="20"/>
                <w:color w:val="auto"/>
              </w:rPr>
            </w:pPr>
            <w:r>
              <w:rPr>
                <w:rFonts w:ascii="Calibri" w:cs="Calibri" w:eastAsia="Calibri" w:hAnsi="Calibri"/>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(1,220 )</w:t>
            </w:r>
          </w:p>
        </w:tc>
        <w:tc>
          <w:tcPr>
            <w:tcW w:w="1060" w:type="dxa"/>
            <w:vAlign w:val="bottom"/>
            <w:gridSpan w:val="2"/>
            <w:shd w:val="clear" w:color="auto" w:fill="CFF0FC"/>
          </w:tcPr>
          <w:p>
            <w:pPr>
              <w:jc w:val="right"/>
              <w:ind w:right="28"/>
              <w:spacing w:after="0"/>
              <w:rPr>
                <w:sz w:val="20"/>
                <w:szCs w:val="20"/>
                <w:color w:val="auto"/>
              </w:rPr>
            </w:pPr>
            <w:r>
              <w:rPr>
                <w:rFonts w:ascii="Calibri" w:cs="Calibri" w:eastAsia="Calibri" w:hAnsi="Calibri"/>
                <w:sz w:val="14"/>
                <w:szCs w:val="14"/>
                <w:color w:val="auto"/>
              </w:rPr>
              <w:t>100 %</w:t>
            </w: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(1,220 )</w:t>
            </w:r>
          </w:p>
        </w:tc>
        <w:tc>
          <w:tcPr>
            <w:tcW w:w="1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8"/>
              <w:spacing w:after="0"/>
              <w:rPr>
                <w:sz w:val="20"/>
                <w:szCs w:val="20"/>
                <w:color w:val="auto"/>
              </w:rPr>
            </w:pPr>
            <w:r>
              <w:rPr>
                <w:rFonts w:ascii="Calibri" w:cs="Calibri" w:eastAsia="Calibri" w:hAnsi="Calibri"/>
                <w:sz w:val="14"/>
                <w:szCs w:val="14"/>
                <w:color w:val="auto"/>
              </w:rPr>
              <w:t>—</w:t>
            </w: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(1,220 )</w:t>
            </w:r>
          </w:p>
        </w:tc>
        <w:tc>
          <w:tcPr>
            <w:tcW w:w="98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color w:val="auto"/>
              </w:rPr>
              <w:t>100 %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60" w:type="dxa"/>
            <w:vAlign w:val="bottom"/>
          </w:tcPr>
          <w:p>
            <w:pPr>
              <w:ind w:left="20"/>
              <w:spacing w:after="0" w:line="169" w:lineRule="exact"/>
              <w:rPr>
                <w:sz w:val="20"/>
                <w:szCs w:val="20"/>
                <w:color w:val="auto"/>
              </w:rPr>
            </w:pPr>
            <w:r>
              <w:rPr>
                <w:rFonts w:ascii="Calibri" w:cs="Calibri" w:eastAsia="Calibri" w:hAnsi="Calibri"/>
                <w:sz w:val="14"/>
                <w:szCs w:val="14"/>
                <w:b w:val="1"/>
                <w:bCs w:val="1"/>
                <w:color w:val="auto"/>
              </w:rPr>
              <w:t>Income from operatons</w:t>
            </w:r>
          </w:p>
        </w:tc>
        <w:tc>
          <w:tcPr>
            <w:tcW w:w="14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Calibri" w:cs="Calibri" w:eastAsia="Calibri" w:hAnsi="Calibri"/>
                <w:sz w:val="14"/>
                <w:szCs w:val="14"/>
                <w:b w:val="1"/>
                <w:bCs w:val="1"/>
                <w:color w:val="auto"/>
              </w:rPr>
              <w:t>21,701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line="169" w:lineRule="exact"/>
              <w:rPr>
                <w:sz w:val="20"/>
                <w:szCs w:val="20"/>
                <w:color w:val="auto"/>
              </w:rPr>
            </w:pPr>
            <w:r>
              <w:rPr>
                <w:rFonts w:ascii="Calibri" w:cs="Calibri" w:eastAsia="Calibri" w:hAnsi="Calibri"/>
                <w:sz w:val="14"/>
                <w:szCs w:val="14"/>
                <w:b w:val="1"/>
                <w:bCs w:val="1"/>
                <w:color w:val="auto"/>
              </w:rPr>
              <w:t>15,472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Calibri" w:cs="Calibri" w:eastAsia="Calibri" w:hAnsi="Calibri"/>
                <w:sz w:val="14"/>
                <w:szCs w:val="14"/>
                <w:b w:val="1"/>
                <w:bCs w:val="1"/>
                <w:color w:val="auto"/>
              </w:rPr>
              <w:t>6,229</w:t>
            </w:r>
          </w:p>
        </w:tc>
        <w:tc>
          <w:tcPr>
            <w:tcW w:w="220" w:type="dxa"/>
            <w:vAlign w:val="bottom"/>
          </w:tcPr>
          <w:p>
            <w:pPr>
              <w:spacing w:after="0"/>
              <w:rPr>
                <w:sz w:val="14"/>
                <w:szCs w:val="14"/>
                <w:color w:val="auto"/>
              </w:rPr>
            </w:pPr>
          </w:p>
        </w:tc>
        <w:tc>
          <w:tcPr>
            <w:tcW w:w="1060" w:type="dxa"/>
            <w:vAlign w:val="bottom"/>
            <w:gridSpan w:val="2"/>
          </w:tcPr>
          <w:p>
            <w:pPr>
              <w:jc w:val="right"/>
              <w:ind w:right="28"/>
              <w:spacing w:after="0" w:line="169" w:lineRule="exact"/>
              <w:rPr>
                <w:sz w:val="20"/>
                <w:szCs w:val="20"/>
                <w:color w:val="auto"/>
              </w:rPr>
            </w:pPr>
            <w:r>
              <w:rPr>
                <w:rFonts w:ascii="Calibri" w:cs="Calibri" w:eastAsia="Calibri" w:hAnsi="Calibri"/>
                <w:sz w:val="14"/>
                <w:szCs w:val="14"/>
                <w:b w:val="1"/>
                <w:bCs w:val="1"/>
                <w:color w:val="auto"/>
              </w:rPr>
              <w:t xml:space="preserve">40 </w:t>
            </w:r>
            <w:r>
              <w:rPr>
                <w:rFonts w:ascii="Calibri" w:cs="Calibri" w:eastAsia="Calibri" w:hAnsi="Calibri"/>
                <w:sz w:val="14"/>
                <w:szCs w:val="14"/>
                <w:b w:val="1"/>
                <w:bCs w:val="1"/>
                <w:color w:val="auto"/>
                <w:highlight w:val="white"/>
              </w:rPr>
              <w:t>%</w:t>
            </w:r>
          </w:p>
        </w:tc>
        <w:tc>
          <w:tcPr>
            <w:tcW w:w="12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Calibri" w:cs="Calibri" w:eastAsia="Calibri" w:hAnsi="Calibri"/>
                <w:sz w:val="14"/>
                <w:szCs w:val="14"/>
                <w:b w:val="1"/>
                <w:bCs w:val="1"/>
                <w:color w:val="auto"/>
              </w:rPr>
              <w:t>53,348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Calibri" w:cs="Calibri" w:eastAsia="Calibri" w:hAnsi="Calibri"/>
                <w:sz w:val="14"/>
                <w:szCs w:val="14"/>
                <w:b w:val="1"/>
                <w:bCs w:val="1"/>
                <w:color w:val="auto"/>
              </w:rPr>
              <w:t>31,024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Calibri" w:cs="Calibri" w:eastAsia="Calibri" w:hAnsi="Calibri"/>
                <w:sz w:val="14"/>
                <w:szCs w:val="14"/>
                <w:b w:val="1"/>
                <w:bCs w:val="1"/>
                <w:color w:val="auto"/>
              </w:rPr>
              <w:t>22,324</w:t>
            </w:r>
          </w:p>
        </w:tc>
        <w:tc>
          <w:tcPr>
            <w:tcW w:w="220" w:type="dxa"/>
            <w:vAlign w:val="bottom"/>
          </w:tcPr>
          <w:p>
            <w:pPr>
              <w:spacing w:after="0"/>
              <w:rPr>
                <w:sz w:val="14"/>
                <w:szCs w:val="14"/>
                <w:color w:val="auto"/>
              </w:rPr>
            </w:pPr>
          </w:p>
        </w:tc>
        <w:tc>
          <w:tcPr>
            <w:tcW w:w="980" w:type="dxa"/>
            <w:vAlign w:val="bottom"/>
            <w:gridSpan w:val="2"/>
          </w:tcPr>
          <w:p>
            <w:pPr>
              <w:jc w:val="right"/>
              <w:spacing w:after="0" w:line="169" w:lineRule="exact"/>
              <w:rPr>
                <w:sz w:val="20"/>
                <w:szCs w:val="20"/>
                <w:color w:val="auto"/>
              </w:rPr>
            </w:pPr>
            <w:r>
              <w:rPr>
                <w:rFonts w:ascii="Calibri" w:cs="Calibri" w:eastAsia="Calibri" w:hAnsi="Calibri"/>
                <w:sz w:val="14"/>
                <w:szCs w:val="14"/>
                <w:b w:val="1"/>
                <w:bCs w:val="1"/>
                <w:color w:val="auto"/>
              </w:rPr>
              <w:t xml:space="preserve">72 </w:t>
            </w:r>
            <w:r>
              <w:rPr>
                <w:rFonts w:ascii="Calibri" w:cs="Calibri" w:eastAsia="Calibri" w:hAnsi="Calibri"/>
                <w:sz w:val="14"/>
                <w:szCs w:val="14"/>
                <w:b w:val="1"/>
                <w:bCs w:val="1"/>
                <w:color w:val="auto"/>
                <w:highlight w:val="white"/>
              </w:rPr>
              <w:t>%</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66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Other (income) expense:</w:t>
            </w: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660" w:type="dxa"/>
            <w:vAlign w:val="bottom"/>
          </w:tcPr>
          <w:p>
            <w:pPr>
              <w:ind w:left="20"/>
              <w:spacing w:after="0"/>
              <w:rPr>
                <w:sz w:val="20"/>
                <w:szCs w:val="20"/>
                <w:color w:val="auto"/>
              </w:rPr>
            </w:pPr>
            <w:r>
              <w:rPr>
                <w:rFonts w:ascii="Calibri" w:cs="Calibri" w:eastAsia="Calibri" w:hAnsi="Calibri"/>
                <w:sz w:val="14"/>
                <w:szCs w:val="14"/>
                <w:color w:val="auto"/>
              </w:rPr>
              <w:t>Interest expense – net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alibri" w:cs="Calibri" w:eastAsia="Calibri" w:hAnsi="Calibri"/>
                <w:sz w:val="14"/>
                <w:szCs w:val="14"/>
                <w:color w:val="auto"/>
              </w:rPr>
              <w:t>2,901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alibri" w:cs="Calibri" w:eastAsia="Calibri" w:hAnsi="Calibri"/>
                <w:sz w:val="14"/>
                <w:szCs w:val="14"/>
                <w:color w:val="auto"/>
              </w:rPr>
              <w:t>17,319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(14,418 )</w:t>
            </w:r>
          </w:p>
        </w:tc>
        <w:tc>
          <w:tcPr>
            <w:tcW w:w="1060" w:type="dxa"/>
            <w:vAlign w:val="bottom"/>
            <w:gridSpan w:val="2"/>
          </w:tcPr>
          <w:p>
            <w:pPr>
              <w:jc w:val="right"/>
              <w:spacing w:after="0"/>
              <w:rPr>
                <w:sz w:val="20"/>
                <w:szCs w:val="20"/>
                <w:color w:val="auto"/>
              </w:rPr>
            </w:pPr>
            <w:r>
              <w:rPr>
                <w:rFonts w:ascii="Calibri" w:cs="Calibri" w:eastAsia="Calibri" w:hAnsi="Calibri"/>
                <w:sz w:val="14"/>
                <w:szCs w:val="14"/>
                <w:color w:val="auto"/>
              </w:rPr>
              <w:t>(83 )%</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alibri" w:cs="Calibri" w:eastAsia="Calibri" w:hAnsi="Calibri"/>
                <w:sz w:val="14"/>
                <w:szCs w:val="14"/>
                <w:color w:val="auto"/>
              </w:rPr>
              <w:t>9,542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50,477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(40,935 )</w:t>
            </w:r>
          </w:p>
        </w:tc>
        <w:tc>
          <w:tcPr>
            <w:tcW w:w="1040" w:type="dxa"/>
            <w:vAlign w:val="bottom"/>
            <w:gridSpan w:val="3"/>
          </w:tcPr>
          <w:p>
            <w:pPr>
              <w:jc w:val="right"/>
              <w:spacing w:after="0"/>
              <w:rPr>
                <w:sz w:val="20"/>
                <w:szCs w:val="20"/>
                <w:color w:val="auto"/>
              </w:rPr>
            </w:pPr>
            <w:r>
              <w:rPr>
                <w:rFonts w:ascii="Calibri" w:cs="Calibri" w:eastAsia="Calibri" w:hAnsi="Calibri"/>
                <w:sz w:val="14"/>
                <w:szCs w:val="14"/>
                <w:color w:val="auto"/>
              </w:rPr>
              <w:t>(81 )%</w:t>
            </w:r>
          </w:p>
        </w:tc>
        <w:tc>
          <w:tcPr>
            <w:tcW w:w="0" w:type="dxa"/>
            <w:vAlign w:val="bottom"/>
          </w:tcPr>
          <w:p>
            <w:pPr>
              <w:spacing w:after="0"/>
              <w:rPr>
                <w:sz w:val="1"/>
                <w:szCs w:val="1"/>
                <w:color w:val="auto"/>
              </w:rPr>
            </w:pPr>
          </w:p>
        </w:tc>
      </w:tr>
      <w:tr>
        <w:trPr>
          <w:trHeight w:val="181"/>
        </w:trPr>
        <w:tc>
          <w:tcPr>
            <w:tcW w:w="366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Loss on extnguishment of debt</w:t>
            </w:r>
          </w:p>
        </w:tc>
        <w:tc>
          <w:tcPr>
            <w:tcW w:w="1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60"/>
              <w:spacing w:after="0"/>
              <w:rPr>
                <w:sz w:val="20"/>
                <w:szCs w:val="20"/>
                <w:color w:val="auto"/>
              </w:rPr>
            </w:pPr>
            <w:r>
              <w:rPr>
                <w:rFonts w:ascii="Calibri" w:cs="Calibri" w:eastAsia="Calibri" w:hAnsi="Calibri"/>
                <w:sz w:val="14"/>
                <w:szCs w:val="14"/>
                <w:color w:val="auto"/>
              </w:rPr>
              <w:t>—</w:t>
            </w:r>
          </w:p>
        </w:tc>
        <w:tc>
          <w:tcPr>
            <w:tcW w:w="1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8"/>
              <w:spacing w:after="0"/>
              <w:rPr>
                <w:sz w:val="20"/>
                <w:szCs w:val="20"/>
                <w:color w:val="auto"/>
              </w:rPr>
            </w:pPr>
            <w:r>
              <w:rPr>
                <w:rFonts w:ascii="Calibri" w:cs="Calibri" w:eastAsia="Calibri" w:hAnsi="Calibri"/>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4"/>
                <w:szCs w:val="14"/>
                <w:color w:val="auto"/>
              </w:rPr>
              <w:t>—</w:t>
            </w:r>
          </w:p>
        </w:tc>
        <w:tc>
          <w:tcPr>
            <w:tcW w:w="1060" w:type="dxa"/>
            <w:vAlign w:val="bottom"/>
            <w:gridSpan w:val="2"/>
            <w:shd w:val="clear" w:color="auto" w:fill="CFF0FC"/>
          </w:tcPr>
          <w:p>
            <w:pPr>
              <w:jc w:val="right"/>
              <w:ind w:right="28"/>
              <w:spacing w:after="0"/>
              <w:rPr>
                <w:sz w:val="20"/>
                <w:szCs w:val="20"/>
                <w:color w:val="auto"/>
              </w:rPr>
            </w:pPr>
            <w:r>
              <w:rPr>
                <w:rFonts w:ascii="Calibri" w:cs="Calibri" w:eastAsia="Calibri" w:hAnsi="Calibri"/>
                <w:sz w:val="14"/>
                <w:szCs w:val="14"/>
                <w:color w:val="auto"/>
              </w:rPr>
              <w:t>— %</w:t>
            </w: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4,285</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8"/>
              <w:spacing w:after="0"/>
              <w:rPr>
                <w:sz w:val="20"/>
                <w:szCs w:val="20"/>
                <w:color w:val="auto"/>
              </w:rPr>
            </w:pPr>
            <w:r>
              <w:rPr>
                <w:rFonts w:ascii="Calibri" w:cs="Calibri" w:eastAsia="Calibri" w:hAnsi="Calibri"/>
                <w:sz w:val="14"/>
                <w:szCs w:val="14"/>
                <w:color w:val="auto"/>
              </w:rPr>
              <w:t>—</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4,285</w:t>
            </w:r>
          </w:p>
        </w:tc>
        <w:tc>
          <w:tcPr>
            <w:tcW w:w="2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color w:val="auto"/>
              </w:rPr>
              <w:t>100 %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660" w:type="dxa"/>
            <w:vAlign w:val="bottom"/>
          </w:tcPr>
          <w:p>
            <w:pPr>
              <w:ind w:left="20"/>
              <w:spacing w:after="0"/>
              <w:rPr>
                <w:sz w:val="20"/>
                <w:szCs w:val="20"/>
                <w:color w:val="auto"/>
              </w:rPr>
            </w:pPr>
            <w:r>
              <w:rPr>
                <w:rFonts w:ascii="Calibri" w:cs="Calibri" w:eastAsia="Calibri" w:hAnsi="Calibri"/>
                <w:sz w:val="14"/>
                <w:szCs w:val="14"/>
                <w:color w:val="auto"/>
              </w:rPr>
              <w:t>Other income</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(65 )</w:t>
            </w:r>
          </w:p>
        </w:tc>
        <w:tc>
          <w:tcPr>
            <w:tcW w:w="160" w:type="dxa"/>
            <w:vAlign w:val="bottom"/>
          </w:tcPr>
          <w:p>
            <w:pPr>
              <w:spacing w:after="0"/>
              <w:rPr>
                <w:sz w:val="14"/>
                <w:szCs w:val="14"/>
                <w:color w:val="auto"/>
              </w:rPr>
            </w:pPr>
          </w:p>
        </w:tc>
        <w:tc>
          <w:tcPr>
            <w:tcW w:w="820" w:type="dxa"/>
            <w:vAlign w:val="bottom"/>
            <w:gridSpan w:val="2"/>
          </w:tcPr>
          <w:p>
            <w:pPr>
              <w:jc w:val="right"/>
              <w:ind w:right="168"/>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(65 )</w:t>
            </w:r>
          </w:p>
        </w:tc>
        <w:tc>
          <w:tcPr>
            <w:tcW w:w="1060" w:type="dxa"/>
            <w:vAlign w:val="bottom"/>
            <w:gridSpan w:val="2"/>
          </w:tcPr>
          <w:p>
            <w:pPr>
              <w:jc w:val="right"/>
              <w:ind w:right="28"/>
              <w:spacing w:after="0"/>
              <w:rPr>
                <w:sz w:val="20"/>
                <w:szCs w:val="20"/>
                <w:color w:val="auto"/>
              </w:rPr>
            </w:pPr>
            <w:r>
              <w:rPr>
                <w:rFonts w:ascii="Calibri" w:cs="Calibri" w:eastAsia="Calibri" w:hAnsi="Calibri"/>
                <w:sz w:val="14"/>
                <w:szCs w:val="14"/>
                <w:color w:val="auto"/>
              </w:rPr>
              <w:t>100 %</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(6,618 )</w:t>
            </w:r>
          </w:p>
        </w:tc>
        <w:tc>
          <w:tcPr>
            <w:tcW w:w="140" w:type="dxa"/>
            <w:vAlign w:val="bottom"/>
          </w:tcPr>
          <w:p>
            <w:pPr>
              <w:spacing w:after="0"/>
              <w:rPr>
                <w:sz w:val="14"/>
                <w:szCs w:val="14"/>
                <w:color w:val="auto"/>
              </w:rPr>
            </w:pPr>
          </w:p>
        </w:tc>
        <w:tc>
          <w:tcPr>
            <w:tcW w:w="780" w:type="dxa"/>
            <w:vAlign w:val="bottom"/>
            <w:gridSpan w:val="2"/>
          </w:tcPr>
          <w:p>
            <w:pPr>
              <w:jc w:val="right"/>
              <w:ind w:right="148"/>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(6,618 )</w:t>
            </w:r>
          </w:p>
        </w:tc>
        <w:tc>
          <w:tcPr>
            <w:tcW w:w="980" w:type="dxa"/>
            <w:vAlign w:val="bottom"/>
            <w:gridSpan w:val="2"/>
          </w:tcPr>
          <w:p>
            <w:pPr>
              <w:jc w:val="right"/>
              <w:spacing w:after="0"/>
              <w:rPr>
                <w:sz w:val="20"/>
                <w:szCs w:val="20"/>
                <w:color w:val="auto"/>
              </w:rPr>
            </w:pPr>
            <w:r>
              <w:rPr>
                <w:rFonts w:ascii="Calibri" w:cs="Calibri" w:eastAsia="Calibri" w:hAnsi="Calibri"/>
                <w:sz w:val="14"/>
                <w:szCs w:val="14"/>
                <w:color w:val="auto"/>
              </w:rPr>
              <w:t>100 %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Income (loss) before income taxes</w:t>
            </w:r>
          </w:p>
        </w:tc>
        <w:tc>
          <w:tcPr>
            <w:tcW w:w="140" w:type="dxa"/>
            <w:vAlign w:val="bottom"/>
            <w:tcBorders>
              <w:top w:val="single" w:sz="8" w:color="auto"/>
            </w:tcBorders>
            <w:shd w:val="clear" w:color="auto" w:fill="CFF0FC"/>
          </w:tcPr>
          <w:p>
            <w:pPr>
              <w:spacing w:after="0"/>
              <w:rPr>
                <w:sz w:val="15"/>
                <w:szCs w:val="15"/>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18,865</w:t>
            </w:r>
          </w:p>
        </w:tc>
        <w:tc>
          <w:tcPr>
            <w:tcW w:w="24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(1,847</w:t>
            </w:r>
          </w:p>
        </w:tc>
        <w:tc>
          <w:tcPr>
            <w:tcW w:w="240" w:type="dxa"/>
            <w:vAlign w:val="bottom"/>
            <w:shd w:val="clear" w:color="auto" w:fill="CFF0FC"/>
          </w:tcPr>
          <w:p>
            <w:pPr>
              <w:jc w:val="right"/>
              <w:ind w:right="108"/>
              <w:spacing w:after="0"/>
              <w:rPr>
                <w:sz w:val="20"/>
                <w:szCs w:val="20"/>
                <w:color w:val="auto"/>
              </w:rPr>
            </w:pPr>
            <w:r>
              <w:rPr>
                <w:rFonts w:ascii="Calibri" w:cs="Calibri" w:eastAsia="Calibri" w:hAnsi="Calibri"/>
                <w:sz w:val="14"/>
                <w:szCs w:val="14"/>
                <w:b w:val="1"/>
                <w:bCs w:val="1"/>
                <w:color w:val="auto"/>
                <w:w w:val="90"/>
              </w:rPr>
              <w:t>)</w:t>
            </w:r>
          </w:p>
        </w:tc>
        <w:tc>
          <w:tcPr>
            <w:tcW w:w="12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20,712</w:t>
            </w:r>
          </w:p>
        </w:tc>
        <w:tc>
          <w:tcPr>
            <w:tcW w:w="220" w:type="dxa"/>
            <w:vAlign w:val="bottom"/>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1,121</w:t>
            </w:r>
          </w:p>
        </w:tc>
        <w:tc>
          <w:tcPr>
            <w:tcW w:w="220" w:type="dxa"/>
            <w:vAlign w:val="bottom"/>
            <w:shd w:val="clear" w:color="auto" w:fill="CFF0FC"/>
          </w:tcPr>
          <w:p>
            <w:pPr>
              <w:jc w:val="right"/>
              <w:ind w:right="28"/>
              <w:spacing w:after="0"/>
              <w:rPr>
                <w:sz w:val="20"/>
                <w:szCs w:val="20"/>
                <w:color w:val="auto"/>
              </w:rPr>
            </w:pPr>
            <w:r>
              <w:rPr>
                <w:rFonts w:ascii="Calibri" w:cs="Calibri" w:eastAsia="Calibri" w:hAnsi="Calibri"/>
                <w:sz w:val="14"/>
                <w:szCs w:val="14"/>
                <w:b w:val="1"/>
                <w:bCs w:val="1"/>
                <w:color w:val="auto"/>
                <w:w w:val="97"/>
              </w:rPr>
              <w:t>%</w:t>
            </w:r>
          </w:p>
        </w:tc>
        <w:tc>
          <w:tcPr>
            <w:tcW w:w="120" w:type="dxa"/>
            <w:vAlign w:val="bottom"/>
            <w:tcBorders>
              <w:top w:val="single" w:sz="8" w:color="auto"/>
            </w:tcBorders>
            <w:shd w:val="clear" w:color="auto" w:fill="CFF0FC"/>
          </w:tcPr>
          <w:p>
            <w:pPr>
              <w:spacing w:after="0"/>
              <w:rPr>
                <w:sz w:val="15"/>
                <w:szCs w:val="15"/>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46,139</w:t>
            </w:r>
          </w:p>
        </w:tc>
        <w:tc>
          <w:tcPr>
            <w:tcW w:w="2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(19,453</w:t>
            </w:r>
          </w:p>
        </w:tc>
        <w:tc>
          <w:tcPr>
            <w:tcW w:w="220" w:type="dxa"/>
            <w:vAlign w:val="bottom"/>
            <w:shd w:val="clear" w:color="auto" w:fill="CFF0FC"/>
          </w:tcPr>
          <w:p>
            <w:pPr>
              <w:jc w:val="right"/>
              <w:ind w:right="88"/>
              <w:spacing w:after="0"/>
              <w:rPr>
                <w:sz w:val="20"/>
                <w:szCs w:val="20"/>
                <w:color w:val="auto"/>
              </w:rPr>
            </w:pPr>
            <w:r>
              <w:rPr>
                <w:rFonts w:ascii="Calibri" w:cs="Calibri" w:eastAsia="Calibri" w:hAnsi="Calibri"/>
                <w:sz w:val="14"/>
                <w:szCs w:val="14"/>
                <w:b w:val="1"/>
                <w:bCs w:val="1"/>
                <w:color w:val="auto"/>
                <w:w w:val="90"/>
              </w:rPr>
              <w:t>)</w:t>
            </w:r>
          </w:p>
        </w:tc>
        <w:tc>
          <w:tcPr>
            <w:tcW w:w="12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65,592</w:t>
            </w:r>
          </w:p>
        </w:tc>
        <w:tc>
          <w:tcPr>
            <w:tcW w:w="220" w:type="dxa"/>
            <w:vAlign w:val="bottom"/>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337</w:t>
            </w:r>
          </w:p>
        </w:tc>
        <w:tc>
          <w:tcPr>
            <w:tcW w:w="10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w w:val="77"/>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660" w:type="dxa"/>
            <w:vAlign w:val="bottom"/>
          </w:tcPr>
          <w:p>
            <w:pPr>
              <w:ind w:left="20"/>
              <w:spacing w:after="0"/>
              <w:rPr>
                <w:sz w:val="20"/>
                <w:szCs w:val="20"/>
                <w:color w:val="auto"/>
              </w:rPr>
            </w:pPr>
            <w:r>
              <w:rPr>
                <w:rFonts w:ascii="Calibri" w:cs="Calibri" w:eastAsia="Calibri" w:hAnsi="Calibri"/>
                <w:sz w:val="14"/>
                <w:szCs w:val="14"/>
                <w:color w:val="auto"/>
              </w:rPr>
              <w:t>Income tax expense</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alibri" w:cs="Calibri" w:eastAsia="Calibri" w:hAnsi="Calibri"/>
                <w:sz w:val="14"/>
                <w:szCs w:val="14"/>
                <w:color w:val="auto"/>
              </w:rPr>
              <w:t>118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8"/>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118</w:t>
            </w:r>
          </w:p>
        </w:tc>
        <w:tc>
          <w:tcPr>
            <w:tcW w:w="220" w:type="dxa"/>
            <w:vAlign w:val="bottom"/>
          </w:tcPr>
          <w:p>
            <w:pPr>
              <w:spacing w:after="0"/>
              <w:rPr>
                <w:sz w:val="14"/>
                <w:szCs w:val="14"/>
                <w:color w:val="auto"/>
              </w:rPr>
            </w:pPr>
          </w:p>
        </w:tc>
        <w:tc>
          <w:tcPr>
            <w:tcW w:w="1060" w:type="dxa"/>
            <w:vAlign w:val="bottom"/>
            <w:gridSpan w:val="2"/>
          </w:tcPr>
          <w:p>
            <w:pPr>
              <w:jc w:val="right"/>
              <w:ind w:right="28"/>
              <w:spacing w:after="0"/>
              <w:rPr>
                <w:sz w:val="20"/>
                <w:szCs w:val="20"/>
                <w:color w:val="auto"/>
              </w:rPr>
            </w:pPr>
            <w:r>
              <w:rPr>
                <w:rFonts w:ascii="Calibri" w:cs="Calibri" w:eastAsia="Calibri" w:hAnsi="Calibri"/>
                <w:sz w:val="14"/>
                <w:szCs w:val="14"/>
                <w:color w:val="auto"/>
              </w:rPr>
              <w:t>100 %</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alibri" w:cs="Calibri" w:eastAsia="Calibri" w:hAnsi="Calibri"/>
                <w:sz w:val="14"/>
                <w:szCs w:val="14"/>
                <w:color w:val="auto"/>
              </w:rPr>
              <w:t>194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8"/>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194</w:t>
            </w:r>
          </w:p>
        </w:tc>
        <w:tc>
          <w:tcPr>
            <w:tcW w:w="2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alibri" w:cs="Calibri" w:eastAsia="Calibri" w:hAnsi="Calibri"/>
                <w:sz w:val="14"/>
                <w:szCs w:val="14"/>
                <w:color w:val="auto"/>
              </w:rPr>
              <w:t>100 %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Net income (loss)</w:t>
            </w:r>
          </w:p>
        </w:tc>
        <w:tc>
          <w:tcPr>
            <w:tcW w:w="140" w:type="dxa"/>
            <w:vAlign w:val="bottom"/>
            <w:tcBorders>
              <w:top w:val="single" w:sz="8" w:color="auto"/>
            </w:tcBorders>
            <w:shd w:val="clear" w:color="auto" w:fill="CFF0FC"/>
          </w:tcPr>
          <w:p>
            <w:pPr>
              <w:spacing w:after="0"/>
              <w:rPr>
                <w:sz w:val="15"/>
                <w:szCs w:val="15"/>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18,747</w:t>
            </w:r>
          </w:p>
        </w:tc>
        <w:tc>
          <w:tcPr>
            <w:tcW w:w="24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(1,847</w:t>
            </w:r>
          </w:p>
        </w:tc>
        <w:tc>
          <w:tcPr>
            <w:tcW w:w="240" w:type="dxa"/>
            <w:vAlign w:val="bottom"/>
            <w:shd w:val="clear" w:color="auto" w:fill="CFF0FC"/>
          </w:tcPr>
          <w:p>
            <w:pPr>
              <w:jc w:val="right"/>
              <w:ind w:right="108"/>
              <w:spacing w:after="0"/>
              <w:rPr>
                <w:sz w:val="20"/>
                <w:szCs w:val="20"/>
                <w:color w:val="auto"/>
              </w:rPr>
            </w:pPr>
            <w:r>
              <w:rPr>
                <w:rFonts w:ascii="Calibri" w:cs="Calibri" w:eastAsia="Calibri" w:hAnsi="Calibri"/>
                <w:sz w:val="14"/>
                <w:szCs w:val="14"/>
                <w:b w:val="1"/>
                <w:bCs w:val="1"/>
                <w:color w:val="auto"/>
                <w:w w:val="90"/>
              </w:rPr>
              <w:t>)</w:t>
            </w:r>
          </w:p>
        </w:tc>
        <w:tc>
          <w:tcPr>
            <w:tcW w:w="12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20,594</w:t>
            </w:r>
          </w:p>
        </w:tc>
        <w:tc>
          <w:tcPr>
            <w:tcW w:w="220" w:type="dxa"/>
            <w:vAlign w:val="bottom"/>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1,115</w:t>
            </w:r>
          </w:p>
        </w:tc>
        <w:tc>
          <w:tcPr>
            <w:tcW w:w="220" w:type="dxa"/>
            <w:vAlign w:val="bottom"/>
            <w:shd w:val="clear" w:color="auto" w:fill="CFF0FC"/>
          </w:tcPr>
          <w:p>
            <w:pPr>
              <w:jc w:val="right"/>
              <w:ind w:right="28"/>
              <w:spacing w:after="0"/>
              <w:rPr>
                <w:sz w:val="20"/>
                <w:szCs w:val="20"/>
                <w:color w:val="auto"/>
              </w:rPr>
            </w:pPr>
            <w:r>
              <w:rPr>
                <w:rFonts w:ascii="Calibri" w:cs="Calibri" w:eastAsia="Calibri" w:hAnsi="Calibri"/>
                <w:sz w:val="14"/>
                <w:szCs w:val="14"/>
                <w:b w:val="1"/>
                <w:bCs w:val="1"/>
                <w:color w:val="auto"/>
                <w:w w:val="97"/>
              </w:rPr>
              <w:t>%</w:t>
            </w:r>
          </w:p>
        </w:tc>
        <w:tc>
          <w:tcPr>
            <w:tcW w:w="120" w:type="dxa"/>
            <w:vAlign w:val="bottom"/>
            <w:tcBorders>
              <w:top w:val="single" w:sz="8" w:color="auto"/>
            </w:tcBorders>
            <w:shd w:val="clear" w:color="auto" w:fill="CFF0FC"/>
          </w:tcPr>
          <w:p>
            <w:pPr>
              <w:spacing w:after="0"/>
              <w:rPr>
                <w:sz w:val="15"/>
                <w:szCs w:val="15"/>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45,945</w:t>
            </w:r>
          </w:p>
        </w:tc>
        <w:tc>
          <w:tcPr>
            <w:tcW w:w="2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(19,453</w:t>
            </w:r>
          </w:p>
        </w:tc>
        <w:tc>
          <w:tcPr>
            <w:tcW w:w="220" w:type="dxa"/>
            <w:vAlign w:val="bottom"/>
            <w:shd w:val="clear" w:color="auto" w:fill="CFF0FC"/>
          </w:tcPr>
          <w:p>
            <w:pPr>
              <w:jc w:val="right"/>
              <w:ind w:right="88"/>
              <w:spacing w:after="0"/>
              <w:rPr>
                <w:sz w:val="20"/>
                <w:szCs w:val="20"/>
                <w:color w:val="auto"/>
              </w:rPr>
            </w:pPr>
            <w:r>
              <w:rPr>
                <w:rFonts w:ascii="Calibri" w:cs="Calibri" w:eastAsia="Calibri" w:hAnsi="Calibri"/>
                <w:sz w:val="14"/>
                <w:szCs w:val="14"/>
                <w:b w:val="1"/>
                <w:bCs w:val="1"/>
                <w:color w:val="auto"/>
                <w:w w:val="90"/>
              </w:rPr>
              <w:t>)</w:t>
            </w:r>
          </w:p>
        </w:tc>
        <w:tc>
          <w:tcPr>
            <w:tcW w:w="12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65,398</w:t>
            </w:r>
          </w:p>
        </w:tc>
        <w:tc>
          <w:tcPr>
            <w:tcW w:w="220" w:type="dxa"/>
            <w:vAlign w:val="bottom"/>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336</w:t>
            </w:r>
          </w:p>
        </w:tc>
        <w:tc>
          <w:tcPr>
            <w:tcW w:w="10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w w:val="77"/>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660" w:type="dxa"/>
            <w:vAlign w:val="bottom"/>
          </w:tcPr>
          <w:p>
            <w:pPr>
              <w:ind w:left="20"/>
              <w:spacing w:after="0" w:line="134" w:lineRule="exact"/>
              <w:rPr>
                <w:sz w:val="20"/>
                <w:szCs w:val="20"/>
                <w:color w:val="auto"/>
              </w:rPr>
            </w:pPr>
            <w:r>
              <w:rPr>
                <w:rFonts w:ascii="Calibri" w:cs="Calibri" w:eastAsia="Calibri" w:hAnsi="Calibri"/>
                <w:sz w:val="14"/>
                <w:szCs w:val="14"/>
                <w:color w:val="auto"/>
              </w:rPr>
              <w:t>Net income (loss) atributable to Hoya Intermediate, LLC</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660" w:type="dxa"/>
            <w:vAlign w:val="bottom"/>
          </w:tcPr>
          <w:p>
            <w:pPr>
              <w:ind w:left="20"/>
              <w:spacing w:after="0"/>
              <w:rPr>
                <w:sz w:val="20"/>
                <w:szCs w:val="20"/>
                <w:color w:val="auto"/>
              </w:rPr>
            </w:pPr>
            <w:r>
              <w:rPr>
                <w:rFonts w:ascii="Calibri" w:cs="Calibri" w:eastAsia="Calibri" w:hAnsi="Calibri"/>
                <w:sz w:val="14"/>
                <w:szCs w:val="14"/>
                <w:color w:val="auto"/>
              </w:rPr>
              <w:t>shareholders prior to reverse recapitalizaton</w:t>
            </w:r>
          </w:p>
        </w:tc>
        <w:tc>
          <w:tcPr>
            <w:tcW w:w="14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108"/>
              <w:spacing w:after="0"/>
              <w:rPr>
                <w:sz w:val="20"/>
                <w:szCs w:val="20"/>
                <w:color w:val="auto"/>
              </w:rPr>
            </w:pPr>
            <w:r>
              <w:rPr>
                <w:rFonts w:ascii="Calibri" w:cs="Calibri" w:eastAsia="Calibri" w:hAnsi="Calibri"/>
                <w:sz w:val="14"/>
                <w:szCs w:val="14"/>
                <w:color w:val="auto"/>
              </w:rPr>
              <w:t>(1,847 )</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1,847</w:t>
            </w:r>
          </w:p>
        </w:tc>
        <w:tc>
          <w:tcPr>
            <w:tcW w:w="220" w:type="dxa"/>
            <w:vAlign w:val="bottom"/>
          </w:tcPr>
          <w:p>
            <w:pPr>
              <w:spacing w:after="0"/>
              <w:rPr>
                <w:sz w:val="15"/>
                <w:szCs w:val="15"/>
                <w:color w:val="auto"/>
              </w:rPr>
            </w:pPr>
          </w:p>
        </w:tc>
        <w:tc>
          <w:tcPr>
            <w:tcW w:w="1060" w:type="dxa"/>
            <w:vAlign w:val="bottom"/>
            <w:gridSpan w:val="2"/>
          </w:tcPr>
          <w:p>
            <w:pPr>
              <w:jc w:val="right"/>
              <w:ind w:right="28"/>
              <w:spacing w:after="0"/>
              <w:rPr>
                <w:sz w:val="20"/>
                <w:szCs w:val="20"/>
                <w:color w:val="auto"/>
              </w:rPr>
            </w:pPr>
            <w:r>
              <w:rPr>
                <w:rFonts w:ascii="Calibri" w:cs="Calibri" w:eastAsia="Calibri" w:hAnsi="Calibri"/>
                <w:sz w:val="14"/>
                <w:szCs w:val="14"/>
                <w:color w:val="auto"/>
              </w:rPr>
              <w:t>100 %</w:t>
            </w:r>
          </w:p>
        </w:tc>
        <w:tc>
          <w:tcPr>
            <w:tcW w:w="12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88"/>
              <w:spacing w:after="0"/>
              <w:rPr>
                <w:sz w:val="20"/>
                <w:szCs w:val="20"/>
                <w:color w:val="auto"/>
              </w:rPr>
            </w:pPr>
            <w:r>
              <w:rPr>
                <w:rFonts w:ascii="Calibri" w:cs="Calibri" w:eastAsia="Calibri" w:hAnsi="Calibri"/>
                <w:sz w:val="14"/>
                <w:szCs w:val="14"/>
                <w:color w:val="auto"/>
              </w:rPr>
              <w:t>(19,453 )</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19,453</w:t>
            </w:r>
          </w:p>
        </w:tc>
        <w:tc>
          <w:tcPr>
            <w:tcW w:w="220" w:type="dxa"/>
            <w:vAlign w:val="bottom"/>
          </w:tcPr>
          <w:p>
            <w:pPr>
              <w:spacing w:after="0"/>
              <w:rPr>
                <w:sz w:val="15"/>
                <w:szCs w:val="15"/>
                <w:color w:val="auto"/>
              </w:rPr>
            </w:pPr>
          </w:p>
        </w:tc>
        <w:tc>
          <w:tcPr>
            <w:tcW w:w="1040" w:type="dxa"/>
            <w:vAlign w:val="bottom"/>
            <w:gridSpan w:val="3"/>
          </w:tcPr>
          <w:p>
            <w:pPr>
              <w:jc w:val="right"/>
              <w:ind w:right="60"/>
              <w:spacing w:after="0"/>
              <w:rPr>
                <w:sz w:val="20"/>
                <w:szCs w:val="20"/>
                <w:color w:val="auto"/>
              </w:rPr>
            </w:pPr>
            <w:r>
              <w:rPr>
                <w:rFonts w:ascii="Calibri" w:cs="Calibri" w:eastAsia="Calibri" w:hAnsi="Calibri"/>
                <w:sz w:val="14"/>
                <w:szCs w:val="14"/>
                <w:color w:val="auto"/>
              </w:rPr>
              <w:t>100 %</w:t>
            </w:r>
          </w:p>
        </w:tc>
        <w:tc>
          <w:tcPr>
            <w:tcW w:w="0" w:type="dxa"/>
            <w:vAlign w:val="bottom"/>
          </w:tcPr>
          <w:p>
            <w:pPr>
              <w:spacing w:after="0"/>
              <w:rPr>
                <w:sz w:val="1"/>
                <w:szCs w:val="1"/>
                <w:color w:val="auto"/>
              </w:rPr>
            </w:pPr>
          </w:p>
        </w:tc>
      </w:tr>
      <w:tr>
        <w:trPr>
          <w:trHeight w:val="144"/>
        </w:trPr>
        <w:tc>
          <w:tcPr>
            <w:tcW w:w="3660" w:type="dxa"/>
            <w:vAlign w:val="bottom"/>
            <w:shd w:val="clear" w:color="auto" w:fill="CFF0FC"/>
          </w:tcPr>
          <w:p>
            <w:pPr>
              <w:ind w:left="20"/>
              <w:spacing w:after="0" w:line="144" w:lineRule="exact"/>
              <w:rPr>
                <w:sz w:val="20"/>
                <w:szCs w:val="20"/>
                <w:color w:val="auto"/>
              </w:rPr>
            </w:pPr>
            <w:r>
              <w:rPr>
                <w:rFonts w:ascii="Calibri" w:cs="Calibri" w:eastAsia="Calibri" w:hAnsi="Calibri"/>
                <w:sz w:val="14"/>
                <w:szCs w:val="14"/>
                <w:color w:val="auto"/>
              </w:rPr>
              <w:t>Net income atributable to redeemable noncontrolling</w:t>
            </w:r>
          </w:p>
        </w:tc>
        <w:tc>
          <w:tcPr>
            <w:tcW w:w="140" w:type="dxa"/>
            <w:vAlign w:val="bottom"/>
            <w:shd w:val="clear" w:color="auto" w:fill="CFF0FC"/>
          </w:tcPr>
          <w:p>
            <w:pPr>
              <w:spacing w:after="0"/>
              <w:rPr>
                <w:sz w:val="12"/>
                <w:szCs w:val="12"/>
                <w:color w:val="auto"/>
              </w:rPr>
            </w:pPr>
          </w:p>
        </w:tc>
        <w:tc>
          <w:tcPr>
            <w:tcW w:w="540" w:type="dxa"/>
            <w:vAlign w:val="bottom"/>
            <w:vMerge w:val="restart"/>
            <w:shd w:val="clear" w:color="auto" w:fill="CFF0FC"/>
          </w:tcPr>
          <w:p>
            <w:pPr>
              <w:jc w:val="right"/>
              <w:spacing w:after="0"/>
              <w:rPr>
                <w:sz w:val="20"/>
                <w:szCs w:val="20"/>
                <w:color w:val="auto"/>
              </w:rPr>
            </w:pPr>
            <w:r>
              <w:rPr>
                <w:rFonts w:ascii="Calibri" w:cs="Calibri" w:eastAsia="Calibri" w:hAnsi="Calibri"/>
                <w:sz w:val="14"/>
                <w:szCs w:val="14"/>
                <w:color w:val="auto"/>
              </w:rPr>
              <w:t>11,084</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vMerge w:val="restart"/>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Calibri" w:cs="Calibri" w:eastAsia="Calibri" w:hAnsi="Calibri"/>
                <w:sz w:val="14"/>
                <w:szCs w:val="14"/>
                <w:color w:val="auto"/>
              </w:rPr>
              <w:t>11,084</w:t>
            </w:r>
          </w:p>
        </w:tc>
        <w:tc>
          <w:tcPr>
            <w:tcW w:w="220" w:type="dxa"/>
            <w:vAlign w:val="bottom"/>
            <w:shd w:val="clear" w:color="auto" w:fill="CFF0FC"/>
          </w:tcPr>
          <w:p>
            <w:pPr>
              <w:spacing w:after="0"/>
              <w:rPr>
                <w:sz w:val="12"/>
                <w:szCs w:val="12"/>
                <w:color w:val="auto"/>
              </w:rPr>
            </w:pPr>
          </w:p>
        </w:tc>
        <w:tc>
          <w:tcPr>
            <w:tcW w:w="1060" w:type="dxa"/>
            <w:vAlign w:val="bottom"/>
            <w:gridSpan w:val="2"/>
            <w:vMerge w:val="restart"/>
            <w:shd w:val="clear" w:color="auto" w:fill="CFF0FC"/>
          </w:tcPr>
          <w:p>
            <w:pPr>
              <w:jc w:val="right"/>
              <w:ind w:right="28"/>
              <w:spacing w:after="0"/>
              <w:rPr>
                <w:sz w:val="20"/>
                <w:szCs w:val="20"/>
                <w:color w:val="auto"/>
              </w:rPr>
            </w:pPr>
            <w:r>
              <w:rPr>
                <w:rFonts w:ascii="Calibri" w:cs="Calibri" w:eastAsia="Calibri" w:hAnsi="Calibri"/>
                <w:sz w:val="14"/>
                <w:szCs w:val="14"/>
                <w:color w:val="auto"/>
              </w:rPr>
              <w:t>100 %</w:t>
            </w:r>
          </w:p>
        </w:tc>
        <w:tc>
          <w:tcPr>
            <w:tcW w:w="120" w:type="dxa"/>
            <w:vAlign w:val="bottom"/>
            <w:shd w:val="clear" w:color="auto" w:fill="CFF0FC"/>
          </w:tcPr>
          <w:p>
            <w:pPr>
              <w:spacing w:after="0"/>
              <w:rPr>
                <w:sz w:val="12"/>
                <w:szCs w:val="12"/>
                <w:color w:val="auto"/>
              </w:rPr>
            </w:pPr>
          </w:p>
        </w:tc>
        <w:tc>
          <w:tcPr>
            <w:tcW w:w="540" w:type="dxa"/>
            <w:vAlign w:val="bottom"/>
            <w:vMerge w:val="restart"/>
            <w:shd w:val="clear" w:color="auto" w:fill="CFF0FC"/>
          </w:tcPr>
          <w:p>
            <w:pPr>
              <w:jc w:val="right"/>
              <w:spacing w:after="0"/>
              <w:rPr>
                <w:sz w:val="20"/>
                <w:szCs w:val="20"/>
                <w:color w:val="auto"/>
              </w:rPr>
            </w:pPr>
            <w:r>
              <w:rPr>
                <w:rFonts w:ascii="Calibri" w:cs="Calibri" w:eastAsia="Calibri" w:hAnsi="Calibri"/>
                <w:sz w:val="14"/>
                <w:szCs w:val="14"/>
                <w:color w:val="auto"/>
              </w:rPr>
              <w:t>27,368</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148"/>
              <w:spacing w:after="0"/>
              <w:rPr>
                <w:sz w:val="20"/>
                <w:szCs w:val="20"/>
                <w:color w:val="auto"/>
              </w:rPr>
            </w:pPr>
            <w:r>
              <w:rPr>
                <w:rFonts w:ascii="Calibri" w:cs="Calibri" w:eastAsia="Calibri" w:hAnsi="Calibri"/>
                <w:sz w:val="14"/>
                <w:szCs w:val="14"/>
                <w:color w:val="auto"/>
              </w:rPr>
              <w:t>—</w:t>
            </w:r>
          </w:p>
        </w:tc>
        <w:tc>
          <w:tcPr>
            <w:tcW w:w="12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Calibri" w:cs="Calibri" w:eastAsia="Calibri" w:hAnsi="Calibri"/>
                <w:sz w:val="14"/>
                <w:szCs w:val="14"/>
                <w:color w:val="auto"/>
              </w:rPr>
              <w:t>27,368</w:t>
            </w:r>
          </w:p>
        </w:tc>
        <w:tc>
          <w:tcPr>
            <w:tcW w:w="22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spacing w:after="0"/>
              <w:rPr>
                <w:sz w:val="20"/>
                <w:szCs w:val="20"/>
                <w:color w:val="auto"/>
              </w:rPr>
            </w:pPr>
            <w:r>
              <w:rPr>
                <w:rFonts w:ascii="Calibri" w:cs="Calibri" w:eastAsia="Calibri" w:hAnsi="Calibri"/>
                <w:sz w:val="14"/>
                <w:szCs w:val="14"/>
                <w:color w:val="auto"/>
              </w:rPr>
              <w:t>100 %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6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interests</w:t>
            </w:r>
          </w:p>
        </w:tc>
        <w:tc>
          <w:tcPr>
            <w:tcW w:w="140" w:type="dxa"/>
            <w:vAlign w:val="bottom"/>
            <w:shd w:val="clear" w:color="auto" w:fill="CFF0FC"/>
          </w:tcPr>
          <w:p>
            <w:pPr>
              <w:spacing w:after="0"/>
              <w:rPr>
                <w:sz w:val="15"/>
                <w:szCs w:val="15"/>
                <w:color w:val="auto"/>
              </w:rPr>
            </w:pPr>
          </w:p>
        </w:tc>
        <w:tc>
          <w:tcPr>
            <w:tcW w:w="54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vMerge w:val="continue"/>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gridSpan w:val="2"/>
            <w:vMerge w:val="continue"/>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660" w:type="dxa"/>
            <w:vAlign w:val="bottom"/>
          </w:tcPr>
          <w:p>
            <w:pPr>
              <w:ind w:left="20"/>
              <w:spacing w:after="0"/>
              <w:rPr>
                <w:sz w:val="20"/>
                <w:szCs w:val="20"/>
                <w:color w:val="auto"/>
              </w:rPr>
            </w:pPr>
            <w:r>
              <w:rPr>
                <w:rFonts w:ascii="Calibri" w:cs="Calibri" w:eastAsia="Calibri" w:hAnsi="Calibri"/>
                <w:sz w:val="14"/>
                <w:szCs w:val="14"/>
                <w:b w:val="1"/>
                <w:bCs w:val="1"/>
                <w:color w:val="auto"/>
              </w:rPr>
              <w:t>Net income atributable to Class A Common Stockholders</w:t>
            </w:r>
          </w:p>
        </w:tc>
        <w:tc>
          <w:tcPr>
            <w:tcW w:w="140" w:type="dxa"/>
            <w:vAlign w:val="bottom"/>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540" w:type="dxa"/>
            <w:vAlign w:val="bottom"/>
          </w:tcPr>
          <w:p>
            <w:pPr>
              <w:jc w:val="right"/>
              <w:spacing w:after="0"/>
              <w:rPr>
                <w:sz w:val="20"/>
                <w:szCs w:val="20"/>
                <w:color w:val="auto"/>
              </w:rPr>
            </w:pPr>
            <w:r>
              <w:rPr>
                <w:rFonts w:ascii="Calibri" w:cs="Calibri" w:eastAsia="Calibri" w:hAnsi="Calibri"/>
                <w:sz w:val="14"/>
                <w:szCs w:val="14"/>
                <w:b w:val="1"/>
                <w:bCs w:val="1"/>
                <w:color w:val="auto"/>
              </w:rPr>
              <w:t>7,663</w:t>
            </w:r>
          </w:p>
        </w:tc>
        <w:tc>
          <w:tcPr>
            <w:tcW w:w="2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alibri" w:cs="Calibri" w:eastAsia="Calibri" w:hAnsi="Calibri"/>
                <w:sz w:val="14"/>
                <w:szCs w:val="14"/>
                <w:b w:val="1"/>
                <w:bCs w:val="1"/>
                <w:color w:val="auto"/>
              </w:rPr>
              <w:t>$</w:t>
            </w:r>
          </w:p>
        </w:tc>
        <w:tc>
          <w:tcPr>
            <w:tcW w:w="580" w:type="dxa"/>
            <w:vAlign w:val="bottom"/>
          </w:tcPr>
          <w:p>
            <w:pPr>
              <w:jc w:val="right"/>
              <w:spacing w:after="0"/>
              <w:rPr>
                <w:sz w:val="20"/>
                <w:szCs w:val="20"/>
                <w:color w:val="auto"/>
              </w:rPr>
            </w:pPr>
            <w:r>
              <w:rPr>
                <w:rFonts w:ascii="Calibri" w:cs="Calibri" w:eastAsia="Calibri" w:hAnsi="Calibri"/>
                <w:sz w:val="14"/>
                <w:szCs w:val="14"/>
                <w:b w:val="1"/>
                <w:bCs w:val="1"/>
                <w:color w:val="auto"/>
              </w:rPr>
              <w:t>—</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alibri" w:cs="Calibri" w:eastAsia="Calibri" w:hAnsi="Calibri"/>
                <w:sz w:val="14"/>
                <w:szCs w:val="14"/>
                <w:b w:val="1"/>
                <w:bCs w:val="1"/>
                <w:color w:val="auto"/>
              </w:rPr>
              <w:t>$</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7,663</w:t>
            </w:r>
          </w:p>
        </w:tc>
        <w:tc>
          <w:tcPr>
            <w:tcW w:w="220" w:type="dxa"/>
            <w:vAlign w:val="bottom"/>
          </w:tcPr>
          <w:p>
            <w:pPr>
              <w:spacing w:after="0"/>
              <w:rPr>
                <w:sz w:val="14"/>
                <w:szCs w:val="14"/>
                <w:color w:val="auto"/>
              </w:rPr>
            </w:pPr>
          </w:p>
        </w:tc>
        <w:tc>
          <w:tcPr>
            <w:tcW w:w="1060" w:type="dxa"/>
            <w:vAlign w:val="bottom"/>
            <w:gridSpan w:val="2"/>
          </w:tcPr>
          <w:p>
            <w:pPr>
              <w:jc w:val="right"/>
              <w:ind w:right="28"/>
              <w:spacing w:after="0"/>
              <w:rPr>
                <w:sz w:val="20"/>
                <w:szCs w:val="20"/>
                <w:color w:val="auto"/>
              </w:rPr>
            </w:pPr>
            <w:r>
              <w:rPr>
                <w:rFonts w:ascii="Calibri" w:cs="Calibri" w:eastAsia="Calibri" w:hAnsi="Calibri"/>
                <w:sz w:val="14"/>
                <w:szCs w:val="14"/>
                <w:b w:val="1"/>
                <w:bCs w:val="1"/>
                <w:color w:val="auto"/>
              </w:rPr>
              <w:t>100 %</w:t>
            </w:r>
          </w:p>
        </w:tc>
        <w:tc>
          <w:tcPr>
            <w:tcW w:w="120" w:type="dxa"/>
            <w:vAlign w:val="bottom"/>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540" w:type="dxa"/>
            <w:vAlign w:val="bottom"/>
          </w:tcPr>
          <w:p>
            <w:pPr>
              <w:jc w:val="right"/>
              <w:spacing w:after="0"/>
              <w:rPr>
                <w:sz w:val="20"/>
                <w:szCs w:val="20"/>
                <w:color w:val="auto"/>
              </w:rPr>
            </w:pPr>
            <w:r>
              <w:rPr>
                <w:rFonts w:ascii="Calibri" w:cs="Calibri" w:eastAsia="Calibri" w:hAnsi="Calibri"/>
                <w:sz w:val="14"/>
                <w:szCs w:val="14"/>
                <w:b w:val="1"/>
                <w:bCs w:val="1"/>
                <w:color w:val="auto"/>
              </w:rPr>
              <w:t>18,577</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780" w:type="dxa"/>
            <w:vAlign w:val="bottom"/>
            <w:gridSpan w:val="2"/>
          </w:tcPr>
          <w:p>
            <w:pPr>
              <w:jc w:val="right"/>
              <w:ind w:right="148"/>
              <w:spacing w:after="0"/>
              <w:rPr>
                <w:sz w:val="20"/>
                <w:szCs w:val="20"/>
                <w:color w:val="auto"/>
              </w:rPr>
            </w:pPr>
            <w:r>
              <w:rPr>
                <w:rFonts w:ascii="Calibri" w:cs="Calibri" w:eastAsia="Calibri" w:hAnsi="Calibri"/>
                <w:sz w:val="14"/>
                <w:szCs w:val="14"/>
                <w:b w:val="1"/>
                <w:bCs w:val="1"/>
                <w:color w:val="auto"/>
              </w:rPr>
              <w:t>—</w:t>
            </w:r>
          </w:p>
        </w:tc>
        <w:tc>
          <w:tcPr>
            <w:tcW w:w="120" w:type="dxa"/>
            <w:vAlign w:val="bottom"/>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600" w:type="dxa"/>
            <w:vAlign w:val="bottom"/>
          </w:tcPr>
          <w:p>
            <w:pPr>
              <w:jc w:val="right"/>
              <w:spacing w:after="0"/>
              <w:rPr>
                <w:sz w:val="20"/>
                <w:szCs w:val="20"/>
                <w:color w:val="auto"/>
              </w:rPr>
            </w:pPr>
            <w:r>
              <w:rPr>
                <w:rFonts w:ascii="Calibri" w:cs="Calibri" w:eastAsia="Calibri" w:hAnsi="Calibri"/>
                <w:sz w:val="14"/>
                <w:szCs w:val="14"/>
                <w:b w:val="1"/>
                <w:bCs w:val="1"/>
                <w:color w:val="auto"/>
              </w:rPr>
              <w:t>18,577</w:t>
            </w:r>
          </w:p>
        </w:tc>
        <w:tc>
          <w:tcPr>
            <w:tcW w:w="2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100 %</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-1464945</wp:posOffset>
            </wp:positionV>
            <wp:extent cx="76835" cy="1200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-1464945</wp:posOffset>
            </wp:positionV>
            <wp:extent cx="76835" cy="1200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-1464945</wp:posOffset>
            </wp:positionV>
            <wp:extent cx="68580" cy="1200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-1464945</wp:posOffset>
            </wp:positionV>
            <wp:extent cx="68580" cy="1200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-1464945</wp:posOffset>
            </wp:positionV>
            <wp:extent cx="68580" cy="1200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-1464945</wp:posOffset>
            </wp:positionV>
            <wp:extent cx="68580" cy="1200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-144780</wp:posOffset>
            </wp:positionV>
            <wp:extent cx="76835" cy="1454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-144780</wp:posOffset>
            </wp:positionV>
            <wp:extent cx="76835" cy="145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-144780</wp:posOffset>
            </wp:positionV>
            <wp:extent cx="68580" cy="1454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-144780</wp:posOffset>
            </wp:positionV>
            <wp:extent cx="68580" cy="1454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-144780</wp:posOffset>
            </wp:positionV>
            <wp:extent cx="68580" cy="1454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-144780</wp:posOffset>
            </wp:positionV>
            <wp:extent cx="68580" cy="145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-144780</wp:posOffset>
            </wp:positionV>
            <wp:extent cx="68580" cy="1454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Revenues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revenues by segment (in thousands, except percentages):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2100" w:type="dxa"/>
            <w:vAlign w:val="bottom"/>
            <w:gridSpan w:val="5"/>
          </w:tcPr>
          <w:p>
            <w:pPr>
              <w:jc w:val="right"/>
              <w:ind w:right="28"/>
              <w:spacing w:after="0"/>
              <w:rPr>
                <w:sz w:val="20"/>
                <w:szCs w:val="20"/>
                <w:color w:val="auto"/>
              </w:rPr>
            </w:pPr>
            <w:r>
              <w:rPr>
                <w:rFonts w:ascii="Calibri" w:cs="Calibri" w:eastAsia="Calibri" w:hAnsi="Calibri"/>
                <w:sz w:val="14"/>
                <w:szCs w:val="14"/>
                <w:b w:val="1"/>
                <w:bCs w:val="1"/>
                <w:color w:val="auto"/>
              </w:rPr>
              <w:t>Three Months Ended September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tcPr>
          <w:p>
            <w:pPr>
              <w:jc w:val="right"/>
              <w:spacing w:after="0"/>
              <w:rPr>
                <w:sz w:val="20"/>
                <w:szCs w:val="20"/>
                <w:color w:val="auto"/>
              </w:rPr>
            </w:pPr>
            <w:r>
              <w:rPr>
                <w:rFonts w:ascii="Calibri" w:cs="Calibri" w:eastAsia="Calibri" w:hAnsi="Calibri"/>
                <w:sz w:val="14"/>
                <w:szCs w:val="14"/>
                <w:b w:val="1"/>
                <w:bCs w:val="1"/>
                <w:color w:val="auto"/>
              </w:rPr>
              <w:t>Nine Months Ended September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jc w:val="right"/>
              <w:ind w:right="108"/>
              <w:spacing w:after="0"/>
              <w:rPr>
                <w:sz w:val="20"/>
                <w:szCs w:val="20"/>
                <w:color w:val="auto"/>
              </w:rPr>
            </w:pPr>
            <w:r>
              <w:rPr>
                <w:rFonts w:ascii="Calibri" w:cs="Calibri" w:eastAsia="Calibri" w:hAnsi="Calibri"/>
                <w:sz w:val="14"/>
                <w:szCs w:val="14"/>
                <w:b w:val="1"/>
                <w:bCs w:val="1"/>
                <w:color w:val="auto"/>
              </w:rPr>
              <w:t>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jc w:val="right"/>
              <w:ind w:right="180"/>
              <w:spacing w:after="0"/>
              <w:rPr>
                <w:sz w:val="20"/>
                <w:szCs w:val="20"/>
                <w:color w:val="auto"/>
              </w:rPr>
            </w:pPr>
            <w:r>
              <w:rPr>
                <w:rFonts w:ascii="Calibri" w:cs="Calibri" w:eastAsia="Calibri" w:hAnsi="Calibri"/>
                <w:sz w:val="14"/>
                <w:szCs w:val="14"/>
                <w:b w:val="1"/>
                <w:bCs w:val="1"/>
                <w:color w:val="auto"/>
              </w:rPr>
              <w:t>30,</w:t>
            </w: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08"/>
              <w:spacing w:after="0"/>
              <w:rPr>
                <w:sz w:val="20"/>
                <w:szCs w:val="20"/>
                <w:color w:val="auto"/>
              </w:rPr>
            </w:pPr>
            <w:r>
              <w:rPr>
                <w:rFonts w:ascii="Calibri" w:cs="Calibri" w:eastAsia="Calibri" w:hAnsi="Calibri"/>
                <w:sz w:val="14"/>
                <w:szCs w:val="14"/>
                <w:b w:val="1"/>
                <w:bCs w:val="1"/>
                <w:color w:val="auto"/>
              </w:rPr>
              <w:t>2022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8"/>
              <w:spacing w:after="0"/>
              <w:rPr>
                <w:sz w:val="20"/>
                <w:szCs w:val="20"/>
                <w:color w:val="auto"/>
              </w:rPr>
            </w:pPr>
            <w:r>
              <w:rPr>
                <w:rFonts w:ascii="Calibri" w:cs="Calibri" w:eastAsia="Calibri" w:hAnsi="Calibri"/>
                <w:sz w:val="14"/>
                <w:szCs w:val="14"/>
                <w:b w:val="1"/>
                <w:bCs w:val="1"/>
                <w:color w:val="auto"/>
              </w:rPr>
              <w:t>2021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168"/>
              <w:spacing w:after="0" w:line="156" w:lineRule="exact"/>
              <w:rPr>
                <w:sz w:val="20"/>
                <w:szCs w:val="20"/>
                <w:color w:val="auto"/>
              </w:rPr>
            </w:pPr>
            <w:r>
              <w:rPr>
                <w:rFonts w:ascii="Calibri" w:cs="Calibri" w:eastAsia="Calibri" w:hAnsi="Calibri"/>
                <w:sz w:val="14"/>
                <w:szCs w:val="14"/>
                <w:b w:val="1"/>
                <w:bCs w:val="1"/>
                <w:color w:val="auto"/>
              </w:rPr>
              <w:t>Change</w:t>
            </w:r>
          </w:p>
        </w:tc>
        <w:tc>
          <w:tcPr>
            <w:tcW w:w="220" w:type="dxa"/>
            <w:vAlign w:val="bottom"/>
          </w:tcPr>
          <w:p>
            <w:pPr>
              <w:spacing w:after="0"/>
              <w:rPr>
                <w:sz w:val="15"/>
                <w:szCs w:val="15"/>
                <w:color w:val="auto"/>
              </w:rPr>
            </w:pPr>
          </w:p>
        </w:tc>
        <w:tc>
          <w:tcPr>
            <w:tcW w:w="960" w:type="dxa"/>
            <w:vAlign w:val="bottom"/>
            <w:gridSpan w:val="2"/>
          </w:tcPr>
          <w:p>
            <w:pPr>
              <w:jc w:val="right"/>
              <w:ind w:right="280"/>
              <w:spacing w:after="0" w:line="156" w:lineRule="exact"/>
              <w:rPr>
                <w:sz w:val="20"/>
                <w:szCs w:val="20"/>
                <w:color w:val="auto"/>
              </w:rPr>
            </w:pPr>
            <w:r>
              <w:rPr>
                <w:rFonts w:ascii="Calibri" w:cs="Calibri" w:eastAsia="Calibri" w:hAnsi="Calibri"/>
                <w:sz w:val="14"/>
                <w:szCs w:val="14"/>
                <w:b w:val="1"/>
                <w:bCs w:val="1"/>
                <w:color w:val="auto"/>
              </w:rPr>
              <w:t>% Change</w:t>
            </w:r>
          </w:p>
        </w:tc>
        <w:tc>
          <w:tcPr>
            <w:tcW w:w="180" w:type="dxa"/>
            <w:vAlign w:val="bottom"/>
          </w:tcPr>
          <w:p>
            <w:pPr>
              <w:spacing w:after="0"/>
              <w:rPr>
                <w:sz w:val="15"/>
                <w:szCs w:val="15"/>
                <w:color w:val="auto"/>
              </w:rPr>
            </w:pPr>
          </w:p>
        </w:tc>
        <w:tc>
          <w:tcPr>
            <w:tcW w:w="660" w:type="dxa"/>
            <w:vAlign w:val="bottom"/>
          </w:tcPr>
          <w:p>
            <w:pPr>
              <w:jc w:val="right"/>
              <w:ind w:right="188"/>
              <w:spacing w:after="0"/>
              <w:rPr>
                <w:sz w:val="20"/>
                <w:szCs w:val="20"/>
                <w:color w:val="auto"/>
              </w:rPr>
            </w:pPr>
            <w:r>
              <w:rPr>
                <w:rFonts w:ascii="Calibri" w:cs="Calibri" w:eastAsia="Calibri" w:hAnsi="Calibri"/>
                <w:sz w:val="14"/>
                <w:szCs w:val="14"/>
                <w:b w:val="1"/>
                <w:bCs w:val="1"/>
                <w:color w:val="auto"/>
              </w:rPr>
              <w:t>2022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48"/>
              <w:spacing w:after="0"/>
              <w:rPr>
                <w:sz w:val="20"/>
                <w:szCs w:val="20"/>
                <w:color w:val="auto"/>
              </w:rPr>
            </w:pPr>
            <w:r>
              <w:rPr>
                <w:rFonts w:ascii="Calibri" w:cs="Calibri" w:eastAsia="Calibri" w:hAnsi="Calibri"/>
                <w:sz w:val="14"/>
                <w:szCs w:val="14"/>
                <w:b w:val="1"/>
                <w:bCs w:val="1"/>
                <w:color w:val="auto"/>
              </w:rPr>
              <w:t>2021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148"/>
              <w:spacing w:after="0" w:line="156" w:lineRule="exact"/>
              <w:rPr>
                <w:sz w:val="20"/>
                <w:szCs w:val="20"/>
                <w:color w:val="auto"/>
              </w:rPr>
            </w:pPr>
            <w:r>
              <w:rPr>
                <w:rFonts w:ascii="Calibri" w:cs="Calibri" w:eastAsia="Calibri" w:hAnsi="Calibri"/>
                <w:sz w:val="14"/>
                <w:szCs w:val="14"/>
                <w:b w:val="1"/>
                <w:bCs w:val="1"/>
                <w:color w:val="auto"/>
              </w:rPr>
              <w:t>Change</w:t>
            </w:r>
          </w:p>
        </w:tc>
        <w:tc>
          <w:tcPr>
            <w:tcW w:w="200" w:type="dxa"/>
            <w:vAlign w:val="bottom"/>
          </w:tcPr>
          <w:p>
            <w:pPr>
              <w:spacing w:after="0"/>
              <w:rPr>
                <w:sz w:val="15"/>
                <w:szCs w:val="15"/>
                <w:color w:val="auto"/>
              </w:rPr>
            </w:pPr>
          </w:p>
        </w:tc>
        <w:tc>
          <w:tcPr>
            <w:tcW w:w="920" w:type="dxa"/>
            <w:vAlign w:val="bottom"/>
            <w:gridSpan w:val="3"/>
          </w:tcPr>
          <w:p>
            <w:pPr>
              <w:ind w:left="120"/>
              <w:spacing w:after="0" w:line="156" w:lineRule="exact"/>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276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Revenues:</w:t>
            </w: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760" w:type="dxa"/>
            <w:vAlign w:val="bottom"/>
          </w:tcPr>
          <w:p>
            <w:pPr>
              <w:ind w:left="20"/>
              <w:spacing w:after="0"/>
              <w:rPr>
                <w:sz w:val="20"/>
                <w:szCs w:val="20"/>
                <w:color w:val="auto"/>
              </w:rPr>
            </w:pPr>
            <w:r>
              <w:rPr>
                <w:rFonts w:ascii="Calibri" w:cs="Calibri" w:eastAsia="Calibri" w:hAnsi="Calibri"/>
                <w:sz w:val="14"/>
                <w:szCs w:val="14"/>
                <w:color w:val="auto"/>
              </w:rPr>
              <w:t>Marketplace</w:t>
            </w:r>
          </w:p>
        </w:tc>
        <w:tc>
          <w:tcPr>
            <w:tcW w:w="180" w:type="dxa"/>
            <w:vAlign w:val="bottom"/>
          </w:tcPr>
          <w:p>
            <w:pPr>
              <w:jc w:val="right"/>
              <w:ind w:right="28"/>
              <w:spacing w:after="0"/>
              <w:rPr>
                <w:sz w:val="20"/>
                <w:szCs w:val="20"/>
                <w:color w:val="auto"/>
              </w:rPr>
            </w:pPr>
            <w:r>
              <w:rPr>
                <w:rFonts w:ascii="Calibri" w:cs="Calibri" w:eastAsia="Calibri" w:hAnsi="Calibri"/>
                <w:sz w:val="14"/>
                <w:szCs w:val="14"/>
                <w:color w:val="auto"/>
                <w:w w:val="83"/>
              </w:rPr>
              <w:t>$</w:t>
            </w:r>
          </w:p>
        </w:tc>
        <w:tc>
          <w:tcPr>
            <w:tcW w:w="680" w:type="dxa"/>
            <w:vAlign w:val="bottom"/>
          </w:tcPr>
          <w:p>
            <w:pPr>
              <w:jc w:val="right"/>
              <w:spacing w:after="0"/>
              <w:rPr>
                <w:sz w:val="20"/>
                <w:szCs w:val="20"/>
                <w:color w:val="auto"/>
              </w:rPr>
            </w:pPr>
            <w:r>
              <w:rPr>
                <w:rFonts w:ascii="Calibri" w:cs="Calibri" w:eastAsia="Calibri" w:hAnsi="Calibri"/>
                <w:sz w:val="14"/>
                <w:szCs w:val="14"/>
                <w:color w:val="auto"/>
              </w:rPr>
              <w:t>130,542</w:t>
            </w:r>
          </w:p>
        </w:tc>
        <w:tc>
          <w:tcPr>
            <w:tcW w:w="460" w:type="dxa"/>
            <w:vAlign w:val="bottom"/>
            <w:gridSpan w:val="2"/>
          </w:tcPr>
          <w:p>
            <w:pPr>
              <w:jc w:val="right"/>
              <w:ind w:right="48"/>
              <w:spacing w:after="0"/>
              <w:rPr>
                <w:sz w:val="20"/>
                <w:szCs w:val="20"/>
                <w:color w:val="auto"/>
              </w:rPr>
            </w:pPr>
            <w:r>
              <w:rPr>
                <w:rFonts w:ascii="Calibri" w:cs="Calibri" w:eastAsia="Calibri" w:hAnsi="Calibri"/>
                <w:sz w:val="14"/>
                <w:szCs w:val="14"/>
                <w:color w:val="auto"/>
              </w:rPr>
              <w:t>$</w:t>
            </w:r>
          </w:p>
        </w:tc>
        <w:tc>
          <w:tcPr>
            <w:tcW w:w="780" w:type="dxa"/>
            <w:vAlign w:val="bottom"/>
          </w:tcPr>
          <w:p>
            <w:pPr>
              <w:jc w:val="right"/>
              <w:spacing w:after="0"/>
              <w:rPr>
                <w:sz w:val="20"/>
                <w:szCs w:val="20"/>
                <w:color w:val="auto"/>
              </w:rPr>
            </w:pPr>
            <w:r>
              <w:rPr>
                <w:rFonts w:ascii="Calibri" w:cs="Calibri" w:eastAsia="Calibri" w:hAnsi="Calibri"/>
                <w:sz w:val="14"/>
                <w:szCs w:val="14"/>
                <w:color w:val="auto"/>
              </w:rPr>
              <w:t>120,465</w:t>
            </w:r>
          </w:p>
        </w:tc>
        <w:tc>
          <w:tcPr>
            <w:tcW w:w="280" w:type="dxa"/>
            <w:vAlign w:val="bottom"/>
            <w:gridSpan w:val="2"/>
          </w:tcPr>
          <w:p>
            <w:pPr>
              <w:jc w:val="right"/>
              <w:ind w:right="8"/>
              <w:spacing w:after="0"/>
              <w:rPr>
                <w:sz w:val="20"/>
                <w:szCs w:val="20"/>
                <w:color w:val="auto"/>
              </w:rPr>
            </w:pPr>
            <w:r>
              <w:rPr>
                <w:rFonts w:ascii="Calibri" w:cs="Calibri" w:eastAsia="Calibri" w:hAnsi="Calibri"/>
                <w:sz w:val="14"/>
                <w:szCs w:val="14"/>
                <w:color w:val="auto"/>
              </w:rPr>
              <w:t>$</w:t>
            </w:r>
          </w:p>
        </w:tc>
        <w:tc>
          <w:tcPr>
            <w:tcW w:w="740" w:type="dxa"/>
            <w:vAlign w:val="bottom"/>
          </w:tcPr>
          <w:p>
            <w:pPr>
              <w:jc w:val="right"/>
              <w:spacing w:after="0"/>
              <w:rPr>
                <w:sz w:val="20"/>
                <w:szCs w:val="20"/>
                <w:color w:val="auto"/>
              </w:rPr>
            </w:pPr>
            <w:r>
              <w:rPr>
                <w:rFonts w:ascii="Calibri" w:cs="Calibri" w:eastAsia="Calibri" w:hAnsi="Calibri"/>
                <w:sz w:val="14"/>
                <w:szCs w:val="14"/>
                <w:color w:val="auto"/>
              </w:rPr>
              <w:t>10,077</w:t>
            </w:r>
          </w:p>
        </w:tc>
        <w:tc>
          <w:tcPr>
            <w:tcW w:w="1180" w:type="dxa"/>
            <w:vAlign w:val="bottom"/>
            <w:gridSpan w:val="3"/>
          </w:tcPr>
          <w:p>
            <w:pPr>
              <w:jc w:val="right"/>
              <w:ind w:right="100"/>
              <w:spacing w:after="0"/>
              <w:rPr>
                <w:sz w:val="20"/>
                <w:szCs w:val="20"/>
                <w:color w:val="auto"/>
              </w:rPr>
            </w:pPr>
            <w:r>
              <w:rPr>
                <w:rFonts w:ascii="Calibri" w:cs="Calibri" w:eastAsia="Calibri" w:hAnsi="Calibri"/>
                <w:sz w:val="14"/>
                <w:szCs w:val="14"/>
                <w:color w:val="auto"/>
              </w:rPr>
              <w:t>8 %</w:t>
            </w:r>
          </w:p>
        </w:tc>
        <w:tc>
          <w:tcPr>
            <w:tcW w:w="1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370,972</w:t>
            </w:r>
          </w:p>
        </w:tc>
        <w:tc>
          <w:tcPr>
            <w:tcW w:w="42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247,106</w:t>
            </w:r>
          </w:p>
        </w:tc>
        <w:tc>
          <w:tcPr>
            <w:tcW w:w="360" w:type="dxa"/>
            <w:vAlign w:val="bottom"/>
            <w:gridSpan w:val="2"/>
          </w:tcPr>
          <w:p>
            <w:pPr>
              <w:jc w:val="right"/>
              <w:ind w:right="60"/>
              <w:spacing w:after="0"/>
              <w:rPr>
                <w:sz w:val="20"/>
                <w:szCs w:val="20"/>
                <w:color w:val="auto"/>
              </w:rPr>
            </w:pPr>
            <w:r>
              <w:rPr>
                <w:rFonts w:ascii="Calibri" w:cs="Calibri" w:eastAsia="Calibri" w:hAnsi="Calibri"/>
                <w:sz w:val="14"/>
                <w:szCs w:val="14"/>
                <w:color w:val="auto"/>
              </w:rPr>
              <w:t>$</w:t>
            </w:r>
          </w:p>
        </w:tc>
        <w:tc>
          <w:tcPr>
            <w:tcW w:w="740" w:type="dxa"/>
            <w:vAlign w:val="bottom"/>
          </w:tcPr>
          <w:p>
            <w:pPr>
              <w:jc w:val="right"/>
              <w:spacing w:after="0"/>
              <w:rPr>
                <w:sz w:val="20"/>
                <w:szCs w:val="20"/>
                <w:color w:val="auto"/>
              </w:rPr>
            </w:pPr>
            <w:r>
              <w:rPr>
                <w:rFonts w:ascii="Calibri" w:cs="Calibri" w:eastAsia="Calibri" w:hAnsi="Calibri"/>
                <w:sz w:val="14"/>
                <w:szCs w:val="14"/>
                <w:color w:val="auto"/>
              </w:rPr>
              <w:t>123,866</w:t>
            </w:r>
          </w:p>
        </w:tc>
        <w:tc>
          <w:tcPr>
            <w:tcW w:w="1100" w:type="dxa"/>
            <w:vAlign w:val="bottom"/>
            <w:gridSpan w:val="3"/>
          </w:tcPr>
          <w:p>
            <w:pPr>
              <w:jc w:val="right"/>
              <w:spacing w:after="0"/>
              <w:rPr>
                <w:sz w:val="20"/>
                <w:szCs w:val="20"/>
                <w:color w:val="auto"/>
              </w:rPr>
            </w:pPr>
            <w:r>
              <w:rPr>
                <w:rFonts w:ascii="Calibri" w:cs="Calibri" w:eastAsia="Calibri" w:hAnsi="Calibri"/>
                <w:sz w:val="14"/>
                <w:szCs w:val="14"/>
                <w:color w:val="auto"/>
              </w:rPr>
              <w:t>50 %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76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Resale</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26,276</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19,073</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7,203</w:t>
            </w: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00"/>
              <w:spacing w:after="0"/>
              <w:rPr>
                <w:sz w:val="20"/>
                <w:szCs w:val="20"/>
                <w:color w:val="auto"/>
              </w:rPr>
            </w:pPr>
            <w:r>
              <w:rPr>
                <w:rFonts w:ascii="Calibri" w:cs="Calibri" w:eastAsia="Calibri" w:hAnsi="Calibri"/>
                <w:sz w:val="14"/>
                <w:szCs w:val="14"/>
                <w:color w:val="auto"/>
              </w:rPr>
              <w:t>38 %</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64,312</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32,044</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32,268</w:t>
            </w:r>
          </w:p>
        </w:tc>
        <w:tc>
          <w:tcPr>
            <w:tcW w:w="1100" w:type="dxa"/>
            <w:vAlign w:val="bottom"/>
            <w:gridSpan w:val="3"/>
            <w:shd w:val="clear" w:color="auto" w:fill="CFF0FC"/>
          </w:tcPr>
          <w:p>
            <w:pPr>
              <w:jc w:val="right"/>
              <w:spacing w:after="0"/>
              <w:rPr>
                <w:sz w:val="20"/>
                <w:szCs w:val="20"/>
                <w:color w:val="auto"/>
              </w:rPr>
            </w:pPr>
            <w:r>
              <w:rPr>
                <w:rFonts w:ascii="Calibri" w:cs="Calibri" w:eastAsia="Calibri" w:hAnsi="Calibri"/>
                <w:sz w:val="14"/>
                <w:szCs w:val="14"/>
                <w:color w:val="auto"/>
              </w:rPr>
              <w:t>101 %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760" w:type="dxa"/>
            <w:vAlign w:val="bottom"/>
          </w:tcPr>
          <w:p>
            <w:pPr>
              <w:ind w:left="20"/>
              <w:spacing w:after="0"/>
              <w:rPr>
                <w:sz w:val="20"/>
                <w:szCs w:val="20"/>
                <w:color w:val="auto"/>
              </w:rPr>
            </w:pPr>
            <w:r>
              <w:rPr>
                <w:rFonts w:ascii="Calibri" w:cs="Calibri" w:eastAsia="Calibri" w:hAnsi="Calibri"/>
                <w:sz w:val="14"/>
                <w:szCs w:val="14"/>
                <w:b w:val="1"/>
                <w:bCs w:val="1"/>
                <w:color w:val="auto"/>
              </w:rPr>
              <w:t>Total revenues</w:t>
            </w:r>
          </w:p>
        </w:tc>
        <w:tc>
          <w:tcPr>
            <w:tcW w:w="180" w:type="dxa"/>
            <w:vAlign w:val="bottom"/>
          </w:tcPr>
          <w:p>
            <w:pPr>
              <w:jc w:val="right"/>
              <w:ind w:right="28"/>
              <w:spacing w:after="0"/>
              <w:rPr>
                <w:sz w:val="20"/>
                <w:szCs w:val="20"/>
                <w:color w:val="auto"/>
              </w:rPr>
            </w:pPr>
            <w:r>
              <w:rPr>
                <w:rFonts w:ascii="Calibri" w:cs="Calibri" w:eastAsia="Calibri" w:hAnsi="Calibri"/>
                <w:sz w:val="14"/>
                <w:szCs w:val="14"/>
                <w:b w:val="1"/>
                <w:bCs w:val="1"/>
                <w:color w:val="auto"/>
                <w:w w:val="83"/>
              </w:rPr>
              <w:t>$</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156,818</w:t>
            </w:r>
          </w:p>
        </w:tc>
        <w:tc>
          <w:tcPr>
            <w:tcW w:w="240" w:type="dxa"/>
            <w:vAlign w:val="bottom"/>
          </w:tcPr>
          <w:p>
            <w:pPr>
              <w:spacing w:after="0"/>
              <w:rPr>
                <w:sz w:val="14"/>
                <w:szCs w:val="14"/>
                <w:color w:val="auto"/>
              </w:rPr>
            </w:pPr>
          </w:p>
        </w:tc>
        <w:tc>
          <w:tcPr>
            <w:tcW w:w="220" w:type="dxa"/>
            <w:vAlign w:val="bottom"/>
          </w:tcPr>
          <w:p>
            <w:pPr>
              <w:jc w:val="right"/>
              <w:ind w:right="48"/>
              <w:spacing w:after="0"/>
              <w:rPr>
                <w:sz w:val="20"/>
                <w:szCs w:val="20"/>
                <w:color w:val="auto"/>
              </w:rPr>
            </w:pPr>
            <w:r>
              <w:rPr>
                <w:rFonts w:ascii="Calibri" w:cs="Calibri" w:eastAsia="Calibri" w:hAnsi="Calibri"/>
                <w:sz w:val="14"/>
                <w:szCs w:val="14"/>
                <w:b w:val="1"/>
                <w:bCs w:val="1"/>
                <w:color w:val="auto"/>
              </w:rPr>
              <w:t>$</w:t>
            </w:r>
          </w:p>
        </w:tc>
        <w:tc>
          <w:tcPr>
            <w:tcW w:w="780" w:type="dxa"/>
            <w:vAlign w:val="bottom"/>
          </w:tcPr>
          <w:p>
            <w:pPr>
              <w:jc w:val="right"/>
              <w:spacing w:after="0"/>
              <w:rPr>
                <w:sz w:val="20"/>
                <w:szCs w:val="20"/>
                <w:color w:val="auto"/>
              </w:rPr>
            </w:pPr>
            <w:r>
              <w:rPr>
                <w:rFonts w:ascii="Calibri" w:cs="Calibri" w:eastAsia="Calibri" w:hAnsi="Calibri"/>
                <w:sz w:val="14"/>
                <w:szCs w:val="14"/>
                <w:b w:val="1"/>
                <w:bCs w:val="1"/>
                <w:color w:val="auto"/>
              </w:rPr>
              <w:t>139,538</w:t>
            </w:r>
          </w:p>
        </w:tc>
        <w:tc>
          <w:tcPr>
            <w:tcW w:w="1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Calibri" w:cs="Calibri" w:eastAsia="Calibri" w:hAnsi="Calibri"/>
                <w:sz w:val="14"/>
                <w:szCs w:val="14"/>
                <w:b w:val="1"/>
                <w:bCs w:val="1"/>
                <w:color w:val="auto"/>
                <w:w w:val="83"/>
              </w:rPr>
              <w:t>$</w:t>
            </w:r>
          </w:p>
        </w:tc>
        <w:tc>
          <w:tcPr>
            <w:tcW w:w="740" w:type="dxa"/>
            <w:vAlign w:val="bottom"/>
          </w:tcPr>
          <w:p>
            <w:pPr>
              <w:jc w:val="right"/>
              <w:spacing w:after="0"/>
              <w:rPr>
                <w:sz w:val="20"/>
                <w:szCs w:val="20"/>
                <w:color w:val="auto"/>
              </w:rPr>
            </w:pPr>
            <w:r>
              <w:rPr>
                <w:rFonts w:ascii="Calibri" w:cs="Calibri" w:eastAsia="Calibri" w:hAnsi="Calibri"/>
                <w:sz w:val="14"/>
                <w:szCs w:val="14"/>
                <w:b w:val="1"/>
                <w:bCs w:val="1"/>
                <w:color w:val="auto"/>
              </w:rPr>
              <w:t>17,280</w:t>
            </w:r>
          </w:p>
        </w:tc>
        <w:tc>
          <w:tcPr>
            <w:tcW w:w="2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Calibri" w:cs="Calibri" w:eastAsia="Calibri" w:hAnsi="Calibri"/>
                <w:sz w:val="14"/>
                <w:szCs w:val="14"/>
                <w:b w:val="1"/>
                <w:bCs w:val="1"/>
                <w:color w:val="auto"/>
              </w:rPr>
              <w:t>12 %</w:t>
            </w:r>
          </w:p>
        </w:tc>
        <w:tc>
          <w:tcPr>
            <w:tcW w:w="18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b w:val="1"/>
                <w:bCs w:val="1"/>
                <w:color w:val="auto"/>
              </w:rPr>
              <w:t>435,284</w:t>
            </w:r>
          </w:p>
        </w:tc>
        <w:tc>
          <w:tcPr>
            <w:tcW w:w="420" w:type="dxa"/>
            <w:vAlign w:val="bottom"/>
            <w:gridSpan w:val="2"/>
          </w:tcPr>
          <w:p>
            <w:pPr>
              <w:jc w:val="right"/>
              <w:ind w:right="120"/>
              <w:spacing w:after="0"/>
              <w:rPr>
                <w:sz w:val="20"/>
                <w:szCs w:val="20"/>
                <w:color w:val="auto"/>
              </w:rPr>
            </w:pPr>
            <w:r>
              <w:rPr>
                <w:rFonts w:ascii="Calibri" w:cs="Calibri" w:eastAsia="Calibri" w:hAnsi="Calibri"/>
                <w:sz w:val="14"/>
                <w:szCs w:val="14"/>
                <w:b w:val="1"/>
                <w:bCs w:val="1"/>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color w:val="auto"/>
              </w:rPr>
              <w:t>279,150</w:t>
            </w:r>
          </w:p>
        </w:tc>
        <w:tc>
          <w:tcPr>
            <w:tcW w:w="360" w:type="dxa"/>
            <w:vAlign w:val="bottom"/>
            <w:gridSpan w:val="2"/>
          </w:tcPr>
          <w:p>
            <w:pPr>
              <w:jc w:val="right"/>
              <w:ind w:right="60"/>
              <w:spacing w:after="0"/>
              <w:rPr>
                <w:sz w:val="20"/>
                <w:szCs w:val="20"/>
                <w:color w:val="auto"/>
              </w:rPr>
            </w:pPr>
            <w:r>
              <w:rPr>
                <w:rFonts w:ascii="Calibri" w:cs="Calibri" w:eastAsia="Calibri" w:hAnsi="Calibri"/>
                <w:sz w:val="14"/>
                <w:szCs w:val="14"/>
                <w:b w:val="1"/>
                <w:bCs w:val="1"/>
                <w:color w:val="auto"/>
              </w:rPr>
              <w:t>$</w:t>
            </w:r>
          </w:p>
        </w:tc>
        <w:tc>
          <w:tcPr>
            <w:tcW w:w="740" w:type="dxa"/>
            <w:vAlign w:val="bottom"/>
          </w:tcPr>
          <w:p>
            <w:pPr>
              <w:jc w:val="right"/>
              <w:spacing w:after="0"/>
              <w:rPr>
                <w:sz w:val="20"/>
                <w:szCs w:val="20"/>
                <w:color w:val="auto"/>
              </w:rPr>
            </w:pPr>
            <w:r>
              <w:rPr>
                <w:rFonts w:ascii="Calibri" w:cs="Calibri" w:eastAsia="Calibri" w:hAnsi="Calibri"/>
                <w:sz w:val="14"/>
                <w:szCs w:val="14"/>
                <w:b w:val="1"/>
                <w:bCs w:val="1"/>
                <w:color w:val="auto"/>
              </w:rPr>
              <w:t>156,134</w:t>
            </w:r>
          </w:p>
        </w:tc>
        <w:tc>
          <w:tcPr>
            <w:tcW w:w="110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56 %</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-145415</wp:posOffset>
            </wp:positionV>
            <wp:extent cx="77470" cy="146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-145415</wp:posOffset>
            </wp:positionV>
            <wp:extent cx="76835" cy="146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-145415</wp:posOffset>
            </wp:positionV>
            <wp:extent cx="77470" cy="146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-145415</wp:posOffset>
            </wp:positionV>
            <wp:extent cx="68580" cy="146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-145415</wp:posOffset>
            </wp:positionV>
            <wp:extent cx="68580" cy="146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-145415</wp:posOffset>
            </wp:positionV>
            <wp:extent cx="68580" cy="146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-145415</wp:posOffset>
            </wp:positionV>
            <wp:extent cx="68580" cy="146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06" w:lineRule="exact"/>
        <w:rPr>
          <w:sz w:val="20"/>
          <w:szCs w:val="20"/>
          <w:color w:val="auto"/>
        </w:rPr>
      </w:pPr>
    </w:p>
    <w:p>
      <w:pPr>
        <w:jc w:val="both"/>
        <w:ind w:right="60"/>
        <w:spacing w:after="0" w:line="227" w:lineRule="auto"/>
        <w:rPr>
          <w:sz w:val="20"/>
          <w:szCs w:val="20"/>
          <w:color w:val="auto"/>
        </w:rPr>
      </w:pPr>
      <w:r>
        <w:rPr>
          <w:rFonts w:ascii="Calibri" w:cs="Calibri" w:eastAsia="Calibri" w:hAnsi="Calibri"/>
          <w:sz w:val="18"/>
          <w:szCs w:val="18"/>
          <w:color w:val="auto"/>
        </w:rPr>
        <w:t>Total revenues increased $17.3 million, or 12% during the three months ended September 30, 2022 compared to the three months ended September 30, 2021 and increased $156.1 million, or 56% during the nine months ended September 30, 2022 compared to the nine months ended September 30, 2021. The increase, which occurred in both our Marketplace and Resale segments, resulted from an increase in new orders processed resultng from the resumpton and increasing number of live events. The pandemic and resultng mitgaton measures had a signifcant adverse efect on order volume and event cancellatons during the three and nine months ended September 30, 2021. In the second quarter of 2021, most local governments began to lif large scale restrictons on live events such that there was a signifcant increase in live events held for both the three and nine months ended September 30, 2022 compared to the nine months ended September 30, 2021.</w:t>
      </w:r>
    </w:p>
    <w:p>
      <w:pPr>
        <w:spacing w:after="0" w:line="93"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63" w:right="279" w:bottom="1440" w:gutter="0" w:footer="0" w:header="0"/>
        </w:sectPr>
      </w:pPr>
    </w:p>
    <w:bookmarkStart w:id="33" w:name="page34"/>
    <w:bookmarkEnd w:id="33"/>
    <w:p>
      <w:pPr>
        <w:spacing w:after="0"/>
        <w:rPr>
          <w:sz w:val="20"/>
          <w:szCs w:val="20"/>
          <w:color w:val="auto"/>
        </w:rPr>
      </w:pPr>
      <w:r>
        <w:rPr>
          <w:rFonts w:ascii="Calibri" w:cs="Calibri" w:eastAsia="Calibri" w:hAnsi="Calibri"/>
          <w:sz w:val="18"/>
          <w:szCs w:val="18"/>
          <w:i w:val="1"/>
          <w:iCs w:val="1"/>
          <w:color w:val="auto"/>
        </w:rPr>
        <w:t>Marketplace</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Marketplace revenues by event category (in thousands, except percentages):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4"/>
          </w:tcPr>
          <w:p>
            <w:pPr>
              <w:jc w:val="right"/>
              <w:ind w:right="48"/>
              <w:spacing w:after="0"/>
              <w:rPr>
                <w:sz w:val="20"/>
                <w:szCs w:val="20"/>
                <w:color w:val="auto"/>
              </w:rPr>
            </w:pPr>
            <w:r>
              <w:rPr>
                <w:rFonts w:ascii="Calibri" w:cs="Calibri" w:eastAsia="Calibri" w:hAnsi="Calibri"/>
                <w:sz w:val="14"/>
                <w:szCs w:val="14"/>
                <w:b w:val="1"/>
                <w:bCs w:val="1"/>
                <w:color w:val="auto"/>
              </w:rPr>
              <w:t>Three Months Ended September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jc w:val="right"/>
              <w:ind w:right="28"/>
              <w:spacing w:after="0"/>
              <w:rPr>
                <w:sz w:val="20"/>
                <w:szCs w:val="20"/>
                <w:color w:val="auto"/>
              </w:rPr>
            </w:pPr>
            <w:r>
              <w:rPr>
                <w:rFonts w:ascii="Calibri" w:cs="Calibri" w:eastAsia="Calibri" w:hAnsi="Calibri"/>
                <w:sz w:val="14"/>
                <w:szCs w:val="14"/>
                <w:b w:val="1"/>
                <w:bCs w:val="1"/>
                <w:color w:val="auto"/>
              </w:rPr>
              <w:t>Nine Months Ended September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ind w:right="128"/>
              <w:spacing w:after="0"/>
              <w:rPr>
                <w:sz w:val="20"/>
                <w:szCs w:val="20"/>
                <w:color w:val="auto"/>
              </w:rPr>
            </w:pPr>
            <w:r>
              <w:rPr>
                <w:rFonts w:ascii="Calibri" w:cs="Calibri" w:eastAsia="Calibri" w:hAnsi="Calibri"/>
                <w:sz w:val="14"/>
                <w:szCs w:val="14"/>
                <w:b w:val="1"/>
                <w:bCs w:val="1"/>
                <w:color w:val="auto"/>
              </w:rPr>
              <w:t>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jc w:val="right"/>
              <w:ind w:right="180"/>
              <w:spacing w:after="0"/>
              <w:rPr>
                <w:sz w:val="20"/>
                <w:szCs w:val="20"/>
                <w:color w:val="auto"/>
              </w:rPr>
            </w:pPr>
            <w:r>
              <w:rPr>
                <w:rFonts w:ascii="Calibri" w:cs="Calibri" w:eastAsia="Calibri" w:hAnsi="Calibri"/>
                <w:sz w:val="14"/>
                <w:szCs w:val="14"/>
                <w:b w:val="1"/>
                <w:bCs w:val="1"/>
                <w:color w:val="auto"/>
              </w:rPr>
              <w:t>30,</w:t>
            </w: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28"/>
              <w:spacing w:after="0"/>
              <w:rPr>
                <w:sz w:val="20"/>
                <w:szCs w:val="20"/>
                <w:color w:val="auto"/>
              </w:rPr>
            </w:pPr>
            <w:r>
              <w:rPr>
                <w:rFonts w:ascii="Calibri" w:cs="Calibri" w:eastAsia="Calibri" w:hAnsi="Calibri"/>
                <w:sz w:val="14"/>
                <w:szCs w:val="14"/>
                <w:b w:val="1"/>
                <w:bCs w:val="1"/>
                <w:color w:val="auto"/>
              </w:rPr>
              <w:t>2022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8"/>
              <w:spacing w:after="0"/>
              <w:rPr>
                <w:sz w:val="20"/>
                <w:szCs w:val="20"/>
                <w:color w:val="auto"/>
              </w:rPr>
            </w:pPr>
            <w:r>
              <w:rPr>
                <w:rFonts w:ascii="Calibri" w:cs="Calibri" w:eastAsia="Calibri" w:hAnsi="Calibri"/>
                <w:sz w:val="14"/>
                <w:szCs w:val="14"/>
                <w:b w:val="1"/>
                <w:bCs w:val="1"/>
                <w:color w:val="auto"/>
              </w:rPr>
              <w:t>2021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480"/>
              <w:spacing w:after="0" w:line="156" w:lineRule="exact"/>
              <w:rPr>
                <w:sz w:val="20"/>
                <w:szCs w:val="20"/>
                <w:color w:val="auto"/>
              </w:rPr>
            </w:pPr>
            <w:r>
              <w:rPr>
                <w:rFonts w:ascii="Calibri" w:cs="Calibri" w:eastAsia="Calibri" w:hAnsi="Calibri"/>
                <w:sz w:val="14"/>
                <w:szCs w:val="14"/>
                <w:b w:val="1"/>
                <w:bCs w:val="1"/>
                <w:color w:val="auto"/>
              </w:rPr>
              <w:t>Change</w:t>
            </w:r>
          </w:p>
        </w:tc>
        <w:tc>
          <w:tcPr>
            <w:tcW w:w="1020" w:type="dxa"/>
            <w:vAlign w:val="bottom"/>
            <w:gridSpan w:val="2"/>
          </w:tcPr>
          <w:p>
            <w:pPr>
              <w:jc w:val="right"/>
              <w:ind w:right="320"/>
              <w:spacing w:after="0" w:line="156" w:lineRule="exact"/>
              <w:rPr>
                <w:sz w:val="20"/>
                <w:szCs w:val="20"/>
                <w:color w:val="auto"/>
              </w:rPr>
            </w:pPr>
            <w:r>
              <w:rPr>
                <w:rFonts w:ascii="Calibri" w:cs="Calibri" w:eastAsia="Calibri" w:hAnsi="Calibri"/>
                <w:sz w:val="14"/>
                <w:szCs w:val="14"/>
                <w:b w:val="1"/>
                <w:bCs w:val="1"/>
                <w:color w:val="auto"/>
              </w:rPr>
              <w:t>% Change</w:t>
            </w:r>
          </w:p>
        </w:tc>
        <w:tc>
          <w:tcPr>
            <w:tcW w:w="180" w:type="dxa"/>
            <w:vAlign w:val="bottom"/>
          </w:tcPr>
          <w:p>
            <w:pPr>
              <w:spacing w:after="0"/>
              <w:rPr>
                <w:sz w:val="15"/>
                <w:szCs w:val="15"/>
                <w:color w:val="auto"/>
              </w:rPr>
            </w:pPr>
          </w:p>
        </w:tc>
        <w:tc>
          <w:tcPr>
            <w:tcW w:w="680" w:type="dxa"/>
            <w:vAlign w:val="bottom"/>
          </w:tcPr>
          <w:p>
            <w:pPr>
              <w:jc w:val="right"/>
              <w:ind w:right="208"/>
              <w:spacing w:after="0"/>
              <w:rPr>
                <w:sz w:val="20"/>
                <w:szCs w:val="20"/>
                <w:color w:val="auto"/>
              </w:rPr>
            </w:pPr>
            <w:r>
              <w:rPr>
                <w:rFonts w:ascii="Calibri" w:cs="Calibri" w:eastAsia="Calibri" w:hAnsi="Calibri"/>
                <w:sz w:val="14"/>
                <w:szCs w:val="14"/>
                <w:b w:val="1"/>
                <w:bCs w:val="1"/>
                <w:color w:val="auto"/>
              </w:rPr>
              <w:t>2022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48"/>
              <w:spacing w:after="0"/>
              <w:rPr>
                <w:sz w:val="20"/>
                <w:szCs w:val="20"/>
                <w:color w:val="auto"/>
              </w:rPr>
            </w:pPr>
            <w:r>
              <w:rPr>
                <w:rFonts w:ascii="Calibri" w:cs="Calibri" w:eastAsia="Calibri" w:hAnsi="Calibri"/>
                <w:sz w:val="14"/>
                <w:szCs w:val="14"/>
                <w:b w:val="1"/>
                <w:bCs w:val="1"/>
                <w:color w:val="auto"/>
              </w:rPr>
              <w:t>2021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148"/>
              <w:spacing w:after="0" w:line="156" w:lineRule="exact"/>
              <w:rPr>
                <w:sz w:val="20"/>
                <w:szCs w:val="20"/>
                <w:color w:val="auto"/>
              </w:rPr>
            </w:pPr>
            <w:r>
              <w:rPr>
                <w:rFonts w:ascii="Calibri" w:cs="Calibri" w:eastAsia="Calibri" w:hAnsi="Calibri"/>
                <w:sz w:val="14"/>
                <w:szCs w:val="14"/>
                <w:b w:val="1"/>
                <w:bCs w:val="1"/>
                <w:color w:val="auto"/>
              </w:rPr>
              <w:t>Change</w:t>
            </w:r>
          </w:p>
        </w:tc>
        <w:tc>
          <w:tcPr>
            <w:tcW w:w="220" w:type="dxa"/>
            <w:vAlign w:val="bottom"/>
          </w:tcPr>
          <w:p>
            <w:pPr>
              <w:spacing w:after="0"/>
              <w:rPr>
                <w:sz w:val="15"/>
                <w:szCs w:val="15"/>
                <w:color w:val="auto"/>
              </w:rPr>
            </w:pPr>
          </w:p>
        </w:tc>
        <w:tc>
          <w:tcPr>
            <w:tcW w:w="1180" w:type="dxa"/>
            <w:vAlign w:val="bottom"/>
            <w:gridSpan w:val="3"/>
          </w:tcPr>
          <w:p>
            <w:pPr>
              <w:ind w:left="240"/>
              <w:spacing w:after="0" w:line="156" w:lineRule="exact"/>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228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Revenues:</w:t>
            </w:r>
          </w:p>
        </w:tc>
        <w:tc>
          <w:tcPr>
            <w:tcW w:w="8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280" w:type="dxa"/>
            <w:vAlign w:val="bottom"/>
          </w:tcPr>
          <w:p>
            <w:pPr>
              <w:ind w:left="20"/>
              <w:spacing w:after="0"/>
              <w:rPr>
                <w:sz w:val="20"/>
                <w:szCs w:val="20"/>
                <w:color w:val="auto"/>
              </w:rPr>
            </w:pPr>
            <w:r>
              <w:rPr>
                <w:rFonts w:ascii="Calibri" w:cs="Calibri" w:eastAsia="Calibri" w:hAnsi="Calibri"/>
                <w:sz w:val="14"/>
                <w:szCs w:val="14"/>
                <w:color w:val="auto"/>
              </w:rPr>
              <w:t>Concerts</w:t>
            </w:r>
          </w:p>
        </w:tc>
        <w:tc>
          <w:tcPr>
            <w:tcW w:w="8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800" w:type="dxa"/>
            <w:vAlign w:val="bottom"/>
          </w:tcPr>
          <w:p>
            <w:pPr>
              <w:jc w:val="right"/>
              <w:spacing w:after="0"/>
              <w:rPr>
                <w:sz w:val="20"/>
                <w:szCs w:val="20"/>
                <w:color w:val="auto"/>
              </w:rPr>
            </w:pPr>
            <w:r>
              <w:rPr>
                <w:rFonts w:ascii="Calibri" w:cs="Calibri" w:eastAsia="Calibri" w:hAnsi="Calibri"/>
                <w:sz w:val="14"/>
                <w:szCs w:val="14"/>
                <w:color w:val="auto"/>
              </w:rPr>
              <w:t>63,802</w:t>
            </w:r>
          </w:p>
        </w:tc>
        <w:tc>
          <w:tcPr>
            <w:tcW w:w="480" w:type="dxa"/>
            <w:vAlign w:val="bottom"/>
            <w:gridSpan w:val="2"/>
          </w:tcPr>
          <w:p>
            <w:pPr>
              <w:jc w:val="right"/>
              <w:ind w:right="68"/>
              <w:spacing w:after="0"/>
              <w:rPr>
                <w:sz w:val="20"/>
                <w:szCs w:val="20"/>
                <w:color w:val="auto"/>
              </w:rPr>
            </w:pPr>
            <w:r>
              <w:rPr>
                <w:rFonts w:ascii="Calibri" w:cs="Calibri" w:eastAsia="Calibri" w:hAnsi="Calibri"/>
                <w:sz w:val="14"/>
                <w:szCs w:val="14"/>
                <w:color w:val="auto"/>
              </w:rPr>
              <w:t>$</w:t>
            </w:r>
          </w:p>
        </w:tc>
        <w:tc>
          <w:tcPr>
            <w:tcW w:w="780" w:type="dxa"/>
            <w:vAlign w:val="bottom"/>
          </w:tcPr>
          <w:p>
            <w:pPr>
              <w:jc w:val="right"/>
              <w:spacing w:after="0"/>
              <w:rPr>
                <w:sz w:val="20"/>
                <w:szCs w:val="20"/>
                <w:color w:val="auto"/>
              </w:rPr>
            </w:pPr>
            <w:r>
              <w:rPr>
                <w:rFonts w:ascii="Calibri" w:cs="Calibri" w:eastAsia="Calibri" w:hAnsi="Calibri"/>
                <w:sz w:val="14"/>
                <w:szCs w:val="14"/>
                <w:color w:val="auto"/>
              </w:rPr>
              <w:t>55,343</w:t>
            </w:r>
          </w:p>
        </w:tc>
        <w:tc>
          <w:tcPr>
            <w:tcW w:w="280" w:type="dxa"/>
            <w:vAlign w:val="bottom"/>
            <w:gridSpan w:val="2"/>
          </w:tcPr>
          <w:p>
            <w:pPr>
              <w:jc w:val="right"/>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spacing w:after="0"/>
              <w:rPr>
                <w:sz w:val="20"/>
                <w:szCs w:val="20"/>
                <w:color w:val="auto"/>
              </w:rPr>
            </w:pPr>
            <w:r>
              <w:rPr>
                <w:rFonts w:ascii="Calibri" w:cs="Calibri" w:eastAsia="Calibri" w:hAnsi="Calibri"/>
                <w:sz w:val="14"/>
                <w:szCs w:val="14"/>
                <w:color w:val="auto"/>
              </w:rPr>
              <w:t>8,459</w:t>
            </w:r>
          </w:p>
        </w:tc>
        <w:tc>
          <w:tcPr>
            <w:tcW w:w="2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15 %</w:t>
            </w:r>
          </w:p>
        </w:tc>
        <w:tc>
          <w:tcPr>
            <w:tcW w:w="180" w:type="dxa"/>
            <w:vAlign w:val="bottom"/>
          </w:tcPr>
          <w:p>
            <w:pPr>
              <w:jc w:val="right"/>
              <w:ind w:right="28"/>
              <w:spacing w:after="0"/>
              <w:rPr>
                <w:sz w:val="20"/>
                <w:szCs w:val="20"/>
                <w:color w:val="auto"/>
              </w:rPr>
            </w:pPr>
            <w:r>
              <w:rPr>
                <w:rFonts w:ascii="Calibri" w:cs="Calibri" w:eastAsia="Calibri" w:hAnsi="Calibri"/>
                <w:sz w:val="14"/>
                <w:szCs w:val="14"/>
                <w:color w:val="auto"/>
                <w:w w:val="83"/>
              </w:rPr>
              <w:t>$</w:t>
            </w:r>
          </w:p>
        </w:tc>
        <w:tc>
          <w:tcPr>
            <w:tcW w:w="680" w:type="dxa"/>
            <w:vAlign w:val="bottom"/>
          </w:tcPr>
          <w:p>
            <w:pPr>
              <w:jc w:val="right"/>
              <w:spacing w:after="0"/>
              <w:rPr>
                <w:sz w:val="20"/>
                <w:szCs w:val="20"/>
                <w:color w:val="auto"/>
              </w:rPr>
            </w:pPr>
            <w:r>
              <w:rPr>
                <w:rFonts w:ascii="Calibri" w:cs="Calibri" w:eastAsia="Calibri" w:hAnsi="Calibri"/>
                <w:sz w:val="14"/>
                <w:szCs w:val="14"/>
                <w:color w:val="auto"/>
              </w:rPr>
              <w:t>188,291</w:t>
            </w:r>
          </w:p>
        </w:tc>
        <w:tc>
          <w:tcPr>
            <w:tcW w:w="42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c>
          <w:tcPr>
            <w:tcW w:w="740" w:type="dxa"/>
            <w:vAlign w:val="bottom"/>
          </w:tcPr>
          <w:p>
            <w:pPr>
              <w:jc w:val="right"/>
              <w:spacing w:after="0"/>
              <w:rPr>
                <w:sz w:val="20"/>
                <w:szCs w:val="20"/>
                <w:color w:val="auto"/>
              </w:rPr>
            </w:pPr>
            <w:r>
              <w:rPr>
                <w:rFonts w:ascii="Calibri" w:cs="Calibri" w:eastAsia="Calibri" w:hAnsi="Calibri"/>
                <w:sz w:val="14"/>
                <w:szCs w:val="14"/>
                <w:color w:val="auto"/>
              </w:rPr>
              <w:t>112,200</w:t>
            </w:r>
          </w:p>
        </w:tc>
        <w:tc>
          <w:tcPr>
            <w:tcW w:w="380" w:type="dxa"/>
            <w:vAlign w:val="bottom"/>
            <w:gridSpan w:val="2"/>
          </w:tcPr>
          <w:p>
            <w:pPr>
              <w:jc w:val="right"/>
              <w:ind w:right="80"/>
              <w:spacing w:after="0"/>
              <w:rPr>
                <w:sz w:val="20"/>
                <w:szCs w:val="20"/>
                <w:color w:val="auto"/>
              </w:rPr>
            </w:pPr>
            <w:r>
              <w:rPr>
                <w:rFonts w:ascii="Calibri" w:cs="Calibri" w:eastAsia="Calibri" w:hAnsi="Calibri"/>
                <w:sz w:val="14"/>
                <w:szCs w:val="14"/>
                <w:color w:val="auto"/>
              </w:rPr>
              <w:t>$</w:t>
            </w:r>
          </w:p>
        </w:tc>
        <w:tc>
          <w:tcPr>
            <w:tcW w:w="740" w:type="dxa"/>
            <w:vAlign w:val="bottom"/>
          </w:tcPr>
          <w:p>
            <w:pPr>
              <w:jc w:val="right"/>
              <w:spacing w:after="0"/>
              <w:rPr>
                <w:sz w:val="20"/>
                <w:szCs w:val="20"/>
                <w:color w:val="auto"/>
              </w:rPr>
            </w:pPr>
            <w:r>
              <w:rPr>
                <w:rFonts w:ascii="Calibri" w:cs="Calibri" w:eastAsia="Calibri" w:hAnsi="Calibri"/>
                <w:sz w:val="14"/>
                <w:szCs w:val="14"/>
                <w:color w:val="auto"/>
              </w:rPr>
              <w:t>76,091</w:t>
            </w:r>
          </w:p>
        </w:tc>
        <w:tc>
          <w:tcPr>
            <w:tcW w:w="1380" w:type="dxa"/>
            <w:vAlign w:val="bottom"/>
            <w:gridSpan w:val="3"/>
          </w:tcPr>
          <w:p>
            <w:pPr>
              <w:jc w:val="right"/>
              <w:spacing w:after="0"/>
              <w:rPr>
                <w:sz w:val="20"/>
                <w:szCs w:val="20"/>
                <w:color w:val="auto"/>
              </w:rPr>
            </w:pPr>
            <w:r>
              <w:rPr>
                <w:rFonts w:ascii="Calibri" w:cs="Calibri" w:eastAsia="Calibri" w:hAnsi="Calibri"/>
                <w:sz w:val="14"/>
                <w:szCs w:val="14"/>
                <w:color w:val="auto"/>
              </w:rPr>
              <w:t>68 %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28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Sports</w:t>
            </w: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52,812</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53,485</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4"/>
                <w:szCs w:val="14"/>
                <w:color w:val="auto"/>
              </w:rPr>
              <w:t>(673 )</w:t>
            </w:r>
          </w:p>
        </w:tc>
        <w:tc>
          <w:tcPr>
            <w:tcW w:w="1020" w:type="dxa"/>
            <w:vAlign w:val="bottom"/>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(1 )%</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143,012</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115,628</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27,384</w:t>
            </w:r>
          </w:p>
        </w:tc>
        <w:tc>
          <w:tcPr>
            <w:tcW w:w="1380" w:type="dxa"/>
            <w:vAlign w:val="bottom"/>
            <w:gridSpan w:val="3"/>
            <w:shd w:val="clear" w:color="auto" w:fill="CFF0FC"/>
          </w:tcPr>
          <w:p>
            <w:pPr>
              <w:jc w:val="right"/>
              <w:spacing w:after="0"/>
              <w:rPr>
                <w:sz w:val="20"/>
                <w:szCs w:val="20"/>
                <w:color w:val="auto"/>
              </w:rPr>
            </w:pPr>
            <w:r>
              <w:rPr>
                <w:rFonts w:ascii="Calibri" w:cs="Calibri" w:eastAsia="Calibri" w:hAnsi="Calibri"/>
                <w:sz w:val="14"/>
                <w:szCs w:val="14"/>
                <w:color w:val="auto"/>
              </w:rPr>
              <w:t>24 %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280" w:type="dxa"/>
            <w:vAlign w:val="bottom"/>
          </w:tcPr>
          <w:p>
            <w:pPr>
              <w:ind w:left="20"/>
              <w:spacing w:after="0"/>
              <w:rPr>
                <w:sz w:val="20"/>
                <w:szCs w:val="20"/>
                <w:color w:val="auto"/>
              </w:rPr>
            </w:pPr>
            <w:r>
              <w:rPr>
                <w:rFonts w:ascii="Calibri" w:cs="Calibri" w:eastAsia="Calibri" w:hAnsi="Calibri"/>
                <w:sz w:val="14"/>
                <w:szCs w:val="14"/>
                <w:color w:val="auto"/>
              </w:rPr>
              <w:t>Theater</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alibri" w:cs="Calibri" w:eastAsia="Calibri" w:hAnsi="Calibri"/>
                <w:sz w:val="14"/>
                <w:szCs w:val="14"/>
                <w:color w:val="auto"/>
              </w:rPr>
              <w:t>13,526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alibri" w:cs="Calibri" w:eastAsia="Calibri" w:hAnsi="Calibri"/>
                <w:sz w:val="14"/>
                <w:szCs w:val="14"/>
                <w:color w:val="auto"/>
              </w:rPr>
              <w:t>11,131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alibri" w:cs="Calibri" w:eastAsia="Calibri" w:hAnsi="Calibri"/>
                <w:sz w:val="14"/>
                <w:szCs w:val="14"/>
                <w:color w:val="auto"/>
              </w:rPr>
              <w:t>2,395</w:t>
            </w:r>
          </w:p>
        </w:tc>
        <w:tc>
          <w:tcPr>
            <w:tcW w:w="2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22 %</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37,997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18,429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19,568</w:t>
            </w:r>
          </w:p>
        </w:tc>
        <w:tc>
          <w:tcPr>
            <w:tcW w:w="1380" w:type="dxa"/>
            <w:vAlign w:val="bottom"/>
            <w:gridSpan w:val="3"/>
          </w:tcPr>
          <w:p>
            <w:pPr>
              <w:jc w:val="right"/>
              <w:spacing w:after="0"/>
              <w:rPr>
                <w:sz w:val="20"/>
                <w:szCs w:val="20"/>
                <w:color w:val="auto"/>
              </w:rPr>
            </w:pPr>
            <w:r>
              <w:rPr>
                <w:rFonts w:ascii="Calibri" w:cs="Calibri" w:eastAsia="Calibri" w:hAnsi="Calibri"/>
                <w:sz w:val="14"/>
                <w:szCs w:val="14"/>
                <w:color w:val="auto"/>
              </w:rPr>
              <w:t>106 %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28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Other</w:t>
            </w: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402</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506</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4"/>
                <w:szCs w:val="14"/>
                <w:color w:val="auto"/>
              </w:rPr>
              <w:t>(104 )</w:t>
            </w:r>
          </w:p>
        </w:tc>
        <w:tc>
          <w:tcPr>
            <w:tcW w:w="1020" w:type="dxa"/>
            <w:vAlign w:val="bottom"/>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(21 )%</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1,672</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849</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823</w:t>
            </w:r>
          </w:p>
        </w:tc>
        <w:tc>
          <w:tcPr>
            <w:tcW w:w="1380" w:type="dxa"/>
            <w:vAlign w:val="bottom"/>
            <w:gridSpan w:val="3"/>
            <w:shd w:val="clear" w:color="auto" w:fill="CFF0FC"/>
          </w:tcPr>
          <w:p>
            <w:pPr>
              <w:jc w:val="right"/>
              <w:spacing w:after="0"/>
              <w:rPr>
                <w:sz w:val="20"/>
                <w:szCs w:val="20"/>
                <w:color w:val="auto"/>
              </w:rPr>
            </w:pPr>
            <w:r>
              <w:rPr>
                <w:rFonts w:ascii="Calibri" w:cs="Calibri" w:eastAsia="Calibri" w:hAnsi="Calibri"/>
                <w:sz w:val="14"/>
                <w:szCs w:val="14"/>
                <w:color w:val="auto"/>
              </w:rPr>
              <w:t>97 %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280" w:type="dxa"/>
            <w:vAlign w:val="bottom"/>
          </w:tcPr>
          <w:p>
            <w:pPr>
              <w:ind w:left="20"/>
              <w:spacing w:after="0"/>
              <w:rPr>
                <w:sz w:val="20"/>
                <w:szCs w:val="20"/>
                <w:color w:val="auto"/>
              </w:rPr>
            </w:pPr>
            <w:r>
              <w:rPr>
                <w:rFonts w:ascii="Calibri" w:cs="Calibri" w:eastAsia="Calibri" w:hAnsi="Calibri"/>
                <w:sz w:val="14"/>
                <w:szCs w:val="14"/>
                <w:b w:val="1"/>
                <w:bCs w:val="1"/>
                <w:color w:val="auto"/>
              </w:rPr>
              <w:t>Total Marketplace revenues</w:t>
            </w:r>
          </w:p>
        </w:tc>
        <w:tc>
          <w:tcPr>
            <w:tcW w:w="80" w:type="dxa"/>
            <w:vAlign w:val="bottom"/>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800" w:type="dxa"/>
            <w:vAlign w:val="bottom"/>
          </w:tcPr>
          <w:p>
            <w:pPr>
              <w:jc w:val="right"/>
              <w:spacing w:after="0"/>
              <w:rPr>
                <w:sz w:val="20"/>
                <w:szCs w:val="20"/>
                <w:color w:val="auto"/>
              </w:rPr>
            </w:pPr>
            <w:r>
              <w:rPr>
                <w:rFonts w:ascii="Calibri" w:cs="Calibri" w:eastAsia="Calibri" w:hAnsi="Calibri"/>
                <w:sz w:val="14"/>
                <w:szCs w:val="14"/>
                <w:b w:val="1"/>
                <w:bCs w:val="1"/>
                <w:color w:val="auto"/>
              </w:rPr>
              <w:t>130,542</w:t>
            </w:r>
          </w:p>
        </w:tc>
        <w:tc>
          <w:tcPr>
            <w:tcW w:w="24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Calibri" w:cs="Calibri" w:eastAsia="Calibri" w:hAnsi="Calibri"/>
                <w:sz w:val="14"/>
                <w:szCs w:val="14"/>
                <w:b w:val="1"/>
                <w:bCs w:val="1"/>
                <w:color w:val="auto"/>
              </w:rPr>
              <w:t>$</w:t>
            </w:r>
          </w:p>
        </w:tc>
        <w:tc>
          <w:tcPr>
            <w:tcW w:w="780" w:type="dxa"/>
            <w:vAlign w:val="bottom"/>
          </w:tcPr>
          <w:p>
            <w:pPr>
              <w:jc w:val="right"/>
              <w:spacing w:after="0"/>
              <w:rPr>
                <w:sz w:val="20"/>
                <w:szCs w:val="20"/>
                <w:color w:val="auto"/>
              </w:rPr>
            </w:pPr>
            <w:r>
              <w:rPr>
                <w:rFonts w:ascii="Calibri" w:cs="Calibri" w:eastAsia="Calibri" w:hAnsi="Calibri"/>
                <w:sz w:val="14"/>
                <w:szCs w:val="14"/>
                <w:b w:val="1"/>
                <w:bCs w:val="1"/>
                <w:color w:val="auto"/>
              </w:rPr>
              <w:t>120,465</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alibri" w:cs="Calibri" w:eastAsia="Calibri" w:hAnsi="Calibri"/>
                <w:sz w:val="14"/>
                <w:szCs w:val="14"/>
                <w:b w:val="1"/>
                <w:bCs w:val="1"/>
                <w:color w:val="auto"/>
              </w:rPr>
              <w:t>$</w:t>
            </w:r>
          </w:p>
        </w:tc>
        <w:tc>
          <w:tcPr>
            <w:tcW w:w="760" w:type="dxa"/>
            <w:vAlign w:val="bottom"/>
          </w:tcPr>
          <w:p>
            <w:pPr>
              <w:jc w:val="right"/>
              <w:spacing w:after="0"/>
              <w:rPr>
                <w:sz w:val="20"/>
                <w:szCs w:val="20"/>
                <w:color w:val="auto"/>
              </w:rPr>
            </w:pPr>
            <w:r>
              <w:rPr>
                <w:rFonts w:ascii="Calibri" w:cs="Calibri" w:eastAsia="Calibri" w:hAnsi="Calibri"/>
                <w:sz w:val="14"/>
                <w:szCs w:val="14"/>
                <w:b w:val="1"/>
                <w:bCs w:val="1"/>
                <w:color w:val="auto"/>
              </w:rPr>
              <w:t>10,077</w:t>
            </w:r>
          </w:p>
        </w:tc>
        <w:tc>
          <w:tcPr>
            <w:tcW w:w="2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Calibri" w:cs="Calibri" w:eastAsia="Calibri" w:hAnsi="Calibri"/>
                <w:sz w:val="14"/>
                <w:szCs w:val="14"/>
                <w:b w:val="1"/>
                <w:bCs w:val="1"/>
                <w:color w:val="auto"/>
              </w:rPr>
              <w:t>8 %</w:t>
            </w:r>
          </w:p>
        </w:tc>
        <w:tc>
          <w:tcPr>
            <w:tcW w:w="180" w:type="dxa"/>
            <w:vAlign w:val="bottom"/>
          </w:tcPr>
          <w:p>
            <w:pPr>
              <w:jc w:val="right"/>
              <w:ind w:right="28"/>
              <w:spacing w:after="0"/>
              <w:rPr>
                <w:sz w:val="20"/>
                <w:szCs w:val="20"/>
                <w:color w:val="auto"/>
              </w:rPr>
            </w:pPr>
            <w:r>
              <w:rPr>
                <w:rFonts w:ascii="Calibri" w:cs="Calibri" w:eastAsia="Calibri" w:hAnsi="Calibri"/>
                <w:sz w:val="14"/>
                <w:szCs w:val="14"/>
                <w:b w:val="1"/>
                <w:bCs w:val="1"/>
                <w:color w:val="auto"/>
                <w:w w:val="83"/>
              </w:rPr>
              <w:t>$</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370,972</w:t>
            </w:r>
          </w:p>
        </w:tc>
        <w:tc>
          <w:tcPr>
            <w:tcW w:w="420" w:type="dxa"/>
            <w:vAlign w:val="bottom"/>
            <w:gridSpan w:val="2"/>
          </w:tcPr>
          <w:p>
            <w:pPr>
              <w:jc w:val="right"/>
              <w:ind w:right="120"/>
              <w:spacing w:after="0"/>
              <w:rPr>
                <w:sz w:val="20"/>
                <w:szCs w:val="20"/>
                <w:color w:val="auto"/>
              </w:rPr>
            </w:pPr>
            <w:r>
              <w:rPr>
                <w:rFonts w:ascii="Calibri" w:cs="Calibri" w:eastAsia="Calibri" w:hAnsi="Calibri"/>
                <w:sz w:val="14"/>
                <w:szCs w:val="14"/>
                <w:b w:val="1"/>
                <w:bCs w:val="1"/>
                <w:color w:val="auto"/>
              </w:rPr>
              <w:t>$</w:t>
            </w:r>
          </w:p>
        </w:tc>
        <w:tc>
          <w:tcPr>
            <w:tcW w:w="740" w:type="dxa"/>
            <w:vAlign w:val="bottom"/>
          </w:tcPr>
          <w:p>
            <w:pPr>
              <w:jc w:val="right"/>
              <w:spacing w:after="0"/>
              <w:rPr>
                <w:sz w:val="20"/>
                <w:szCs w:val="20"/>
                <w:color w:val="auto"/>
              </w:rPr>
            </w:pPr>
            <w:r>
              <w:rPr>
                <w:rFonts w:ascii="Calibri" w:cs="Calibri" w:eastAsia="Calibri" w:hAnsi="Calibri"/>
                <w:sz w:val="14"/>
                <w:szCs w:val="14"/>
                <w:b w:val="1"/>
                <w:bCs w:val="1"/>
                <w:color w:val="auto"/>
              </w:rPr>
              <w:t>247,106</w:t>
            </w:r>
          </w:p>
        </w:tc>
        <w:tc>
          <w:tcPr>
            <w:tcW w:w="380" w:type="dxa"/>
            <w:vAlign w:val="bottom"/>
            <w:gridSpan w:val="2"/>
          </w:tcPr>
          <w:p>
            <w:pPr>
              <w:jc w:val="right"/>
              <w:ind w:right="80"/>
              <w:spacing w:after="0"/>
              <w:rPr>
                <w:sz w:val="20"/>
                <w:szCs w:val="20"/>
                <w:color w:val="auto"/>
              </w:rPr>
            </w:pPr>
            <w:r>
              <w:rPr>
                <w:rFonts w:ascii="Calibri" w:cs="Calibri" w:eastAsia="Calibri" w:hAnsi="Calibri"/>
                <w:sz w:val="14"/>
                <w:szCs w:val="14"/>
                <w:b w:val="1"/>
                <w:bCs w:val="1"/>
                <w:color w:val="auto"/>
              </w:rPr>
              <w:t>$</w:t>
            </w:r>
          </w:p>
        </w:tc>
        <w:tc>
          <w:tcPr>
            <w:tcW w:w="740" w:type="dxa"/>
            <w:vAlign w:val="bottom"/>
          </w:tcPr>
          <w:p>
            <w:pPr>
              <w:jc w:val="right"/>
              <w:spacing w:after="0"/>
              <w:rPr>
                <w:sz w:val="20"/>
                <w:szCs w:val="20"/>
                <w:color w:val="auto"/>
              </w:rPr>
            </w:pPr>
            <w:r>
              <w:rPr>
                <w:rFonts w:ascii="Calibri" w:cs="Calibri" w:eastAsia="Calibri" w:hAnsi="Calibri"/>
                <w:sz w:val="14"/>
                <w:szCs w:val="14"/>
                <w:b w:val="1"/>
                <w:bCs w:val="1"/>
                <w:color w:val="auto"/>
              </w:rPr>
              <w:t>123,866</w:t>
            </w:r>
          </w:p>
        </w:tc>
        <w:tc>
          <w:tcPr>
            <w:tcW w:w="138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50 %</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-144780</wp:posOffset>
            </wp:positionV>
            <wp:extent cx="76835" cy="1454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-144780</wp:posOffset>
            </wp:positionV>
            <wp:extent cx="76835" cy="1454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-144780</wp:posOffset>
            </wp:positionV>
            <wp:extent cx="76835" cy="145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-144780</wp:posOffset>
            </wp:positionV>
            <wp:extent cx="68580" cy="1454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-144780</wp:posOffset>
            </wp:positionV>
            <wp:extent cx="68580" cy="1454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-144780</wp:posOffset>
            </wp:positionV>
            <wp:extent cx="68580" cy="145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-144780</wp:posOffset>
            </wp:positionV>
            <wp:extent cx="68580" cy="1454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06" w:lineRule="exact"/>
        <w:rPr>
          <w:sz w:val="20"/>
          <w:szCs w:val="20"/>
          <w:color w:val="auto"/>
        </w:rPr>
      </w:pPr>
    </w:p>
    <w:p>
      <w:pPr>
        <w:jc w:val="both"/>
        <w:ind w:right="20"/>
        <w:spacing w:after="0" w:line="227" w:lineRule="auto"/>
        <w:rPr>
          <w:sz w:val="20"/>
          <w:szCs w:val="20"/>
          <w:color w:val="auto"/>
        </w:rPr>
      </w:pPr>
      <w:r>
        <w:rPr>
          <w:rFonts w:ascii="Calibri" w:cs="Calibri" w:eastAsia="Calibri" w:hAnsi="Calibri"/>
          <w:sz w:val="18"/>
          <w:szCs w:val="18"/>
          <w:color w:val="auto"/>
        </w:rPr>
        <w:t>Marketplace revenues increased $10.1 million, or 8% during the three months ended September 30, 2022 compared to the three months ended September 30, 2021 and increased $123.9 million, or 50% during the nine months ended September 30, 2022 compared to the nine months ended September 30, 2021. The increase in Marketplace revenues for the three months ended September 30, 2022 resulted primarily from an overall increase in new orders processed, partcularly in the concert and theater categories due to an increase in orders placed and more unique events were sold in those categories. The increase in Marketplace revenues for the nine months ended September 30, 2022 resulted primarily from an overall increase in new orders processed in all event categories on our Marketplace platorm compared to the nine months ended September 30, 2021, which was driven by the increase in order volume as COVID-19 restrictons were lifed and more events occurred with larger audiences startng in the second quarter of 2021.</w:t>
      </w:r>
    </w:p>
    <w:p>
      <w:pPr>
        <w:spacing w:after="0" w:line="138" w:lineRule="exact"/>
        <w:rPr>
          <w:sz w:val="20"/>
          <w:szCs w:val="20"/>
          <w:color w:val="auto"/>
        </w:rPr>
      </w:pPr>
    </w:p>
    <w:p>
      <w:pPr>
        <w:jc w:val="both"/>
        <w:ind w:right="40"/>
        <w:spacing w:after="0" w:line="242" w:lineRule="auto"/>
        <w:rPr>
          <w:sz w:val="20"/>
          <w:szCs w:val="20"/>
          <w:color w:val="auto"/>
        </w:rPr>
      </w:pPr>
      <w:r>
        <w:rPr>
          <w:rFonts w:ascii="Calibri" w:cs="Calibri" w:eastAsia="Calibri" w:hAnsi="Calibri"/>
          <w:sz w:val="17"/>
          <w:szCs w:val="17"/>
          <w:color w:val="auto"/>
        </w:rPr>
        <w:t>Total Marketplace orders increased 0.2 million, or 9%, during the three months ended September 30, 2022 compared to the three months ended September 30, 2021 and increased 2.6 million, or 61%, during the nine months ended September 30, 2022 compared to the nine months ended September 30, 2021.</w:t>
      </w:r>
    </w:p>
    <w:p>
      <w:pPr>
        <w:spacing w:after="0" w:line="135" w:lineRule="exact"/>
        <w:rPr>
          <w:sz w:val="20"/>
          <w:szCs w:val="20"/>
          <w:color w:val="auto"/>
        </w:rPr>
      </w:pPr>
    </w:p>
    <w:p>
      <w:pPr>
        <w:jc w:val="both"/>
        <w:ind w:right="20"/>
        <w:spacing w:after="0" w:line="228" w:lineRule="auto"/>
        <w:rPr>
          <w:sz w:val="20"/>
          <w:szCs w:val="20"/>
          <w:color w:val="auto"/>
        </w:rPr>
      </w:pPr>
      <w:r>
        <w:rPr>
          <w:rFonts w:ascii="Calibri" w:cs="Calibri" w:eastAsia="Calibri" w:hAnsi="Calibri"/>
          <w:sz w:val="18"/>
          <w:szCs w:val="18"/>
          <w:color w:val="auto"/>
        </w:rPr>
        <w:t>Cancellaton charges, which are recognized as a reducton to revenues, were $3.0 million and $24.0 million for the three and nine months ended September 30, 2022, respectvely, compared to $8.4 million and $25.6 million for the three and nine months ended September 30, 2021, respectvely. Cancellaton charges for the three months ended September 30, 2022 were lower than the three months ended September 30, 2021 due to a signifcant decrease in event cancellatons, partcularly in the concert event category. Cancellaton charges for the nine months ended September 30, 2022 were slightly lower than the nine months ended September 30, 2021 due to lower event cancellatons in all event categories, partly ofset by higher post purchase customer refunds that increase as order volume increases.</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color w:val="auto"/>
        </w:rPr>
        <w:t>Marketplace revenues by business model consisted of the following (in thousands, except percentages):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2080" w:type="dxa"/>
            <w:vAlign w:val="bottom"/>
            <w:gridSpan w:val="5"/>
          </w:tcPr>
          <w:p>
            <w:pPr>
              <w:jc w:val="right"/>
              <w:ind w:right="8"/>
              <w:spacing w:after="0"/>
              <w:rPr>
                <w:sz w:val="20"/>
                <w:szCs w:val="20"/>
                <w:color w:val="auto"/>
              </w:rPr>
            </w:pPr>
            <w:r>
              <w:rPr>
                <w:rFonts w:ascii="Calibri" w:cs="Calibri" w:eastAsia="Calibri" w:hAnsi="Calibri"/>
                <w:sz w:val="14"/>
                <w:szCs w:val="14"/>
                <w:b w:val="1"/>
                <w:bCs w:val="1"/>
                <w:color w:val="auto"/>
              </w:rPr>
              <w:t>Three Months Ended September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5"/>
          </w:tcPr>
          <w:p>
            <w:pPr>
              <w:ind w:left="20"/>
              <w:spacing w:after="0"/>
              <w:rPr>
                <w:sz w:val="20"/>
                <w:szCs w:val="20"/>
                <w:color w:val="auto"/>
              </w:rPr>
            </w:pPr>
            <w:r>
              <w:rPr>
                <w:rFonts w:ascii="Calibri" w:cs="Calibri" w:eastAsia="Calibri" w:hAnsi="Calibri"/>
                <w:sz w:val="14"/>
                <w:szCs w:val="14"/>
                <w:b w:val="1"/>
                <w:bCs w:val="1"/>
                <w:color w:val="auto"/>
              </w:rPr>
              <w:t>Nine Months Ended September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jc w:val="right"/>
              <w:ind w:right="108"/>
              <w:spacing w:after="0"/>
              <w:rPr>
                <w:sz w:val="20"/>
                <w:szCs w:val="20"/>
                <w:color w:val="auto"/>
              </w:rPr>
            </w:pPr>
            <w:r>
              <w:rPr>
                <w:rFonts w:ascii="Calibri" w:cs="Calibri" w:eastAsia="Calibri" w:hAnsi="Calibri"/>
                <w:sz w:val="14"/>
                <w:szCs w:val="14"/>
                <w:b w:val="1"/>
                <w:bCs w:val="1"/>
                <w:color w:val="auto"/>
              </w:rPr>
              <w:t>30,</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jc w:val="right"/>
              <w:ind w:right="180"/>
              <w:spacing w:after="0"/>
              <w:rPr>
                <w:sz w:val="20"/>
                <w:szCs w:val="20"/>
                <w:color w:val="auto"/>
              </w:rPr>
            </w:pPr>
            <w:r>
              <w:rPr>
                <w:rFonts w:ascii="Calibri" w:cs="Calibri" w:eastAsia="Calibri" w:hAnsi="Calibri"/>
                <w:sz w:val="14"/>
                <w:szCs w:val="14"/>
                <w:b w:val="1"/>
                <w:bCs w:val="1"/>
                <w:color w:val="auto"/>
              </w:rPr>
              <w:t>30,</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08"/>
              <w:spacing w:after="0"/>
              <w:rPr>
                <w:sz w:val="20"/>
                <w:szCs w:val="20"/>
                <w:color w:val="auto"/>
              </w:rPr>
            </w:pPr>
            <w:r>
              <w:rPr>
                <w:rFonts w:ascii="Calibri" w:cs="Calibri" w:eastAsia="Calibri" w:hAnsi="Calibri"/>
                <w:sz w:val="14"/>
                <w:szCs w:val="14"/>
                <w:b w:val="1"/>
                <w:bCs w:val="1"/>
                <w:color w:val="auto"/>
              </w:rPr>
              <w:t>2022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68"/>
              <w:spacing w:after="0"/>
              <w:rPr>
                <w:sz w:val="20"/>
                <w:szCs w:val="20"/>
                <w:color w:val="auto"/>
              </w:rPr>
            </w:pPr>
            <w:r>
              <w:rPr>
                <w:rFonts w:ascii="Calibri" w:cs="Calibri" w:eastAsia="Calibri" w:hAnsi="Calibri"/>
                <w:sz w:val="14"/>
                <w:szCs w:val="14"/>
                <w:b w:val="1"/>
                <w:bCs w:val="1"/>
                <w:color w:val="auto"/>
              </w:rPr>
              <w:t>2021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440"/>
              <w:spacing w:after="0" w:line="156" w:lineRule="exact"/>
              <w:rPr>
                <w:sz w:val="20"/>
                <w:szCs w:val="20"/>
                <w:color w:val="auto"/>
              </w:rPr>
            </w:pPr>
            <w:r>
              <w:rPr>
                <w:rFonts w:ascii="Calibri" w:cs="Calibri" w:eastAsia="Calibri" w:hAnsi="Calibri"/>
                <w:sz w:val="14"/>
                <w:szCs w:val="14"/>
                <w:b w:val="1"/>
                <w:bCs w:val="1"/>
                <w:color w:val="auto"/>
              </w:rPr>
              <w:t>Change</w:t>
            </w:r>
          </w:p>
        </w:tc>
        <w:tc>
          <w:tcPr>
            <w:tcW w:w="1020" w:type="dxa"/>
            <w:vAlign w:val="bottom"/>
            <w:gridSpan w:val="2"/>
          </w:tcPr>
          <w:p>
            <w:pPr>
              <w:jc w:val="right"/>
              <w:ind w:right="320"/>
              <w:spacing w:after="0" w:line="156" w:lineRule="exact"/>
              <w:rPr>
                <w:sz w:val="20"/>
                <w:szCs w:val="20"/>
                <w:color w:val="auto"/>
              </w:rPr>
            </w:pPr>
            <w:r>
              <w:rPr>
                <w:rFonts w:ascii="Calibri" w:cs="Calibri" w:eastAsia="Calibri" w:hAnsi="Calibri"/>
                <w:sz w:val="14"/>
                <w:szCs w:val="14"/>
                <w:b w:val="1"/>
                <w:bCs w:val="1"/>
                <w:color w:val="auto"/>
              </w:rPr>
              <w:t>% Change</w:t>
            </w:r>
          </w:p>
        </w:tc>
        <w:tc>
          <w:tcPr>
            <w:tcW w:w="180" w:type="dxa"/>
            <w:vAlign w:val="bottom"/>
          </w:tcPr>
          <w:p>
            <w:pPr>
              <w:spacing w:after="0"/>
              <w:rPr>
                <w:sz w:val="15"/>
                <w:szCs w:val="15"/>
                <w:color w:val="auto"/>
              </w:rPr>
            </w:pPr>
          </w:p>
        </w:tc>
        <w:tc>
          <w:tcPr>
            <w:tcW w:w="640" w:type="dxa"/>
            <w:vAlign w:val="bottom"/>
          </w:tcPr>
          <w:p>
            <w:pPr>
              <w:jc w:val="right"/>
              <w:ind w:right="188"/>
              <w:spacing w:after="0"/>
              <w:rPr>
                <w:sz w:val="20"/>
                <w:szCs w:val="20"/>
                <w:color w:val="auto"/>
              </w:rPr>
            </w:pPr>
            <w:r>
              <w:rPr>
                <w:rFonts w:ascii="Calibri" w:cs="Calibri" w:eastAsia="Calibri" w:hAnsi="Calibri"/>
                <w:sz w:val="14"/>
                <w:szCs w:val="14"/>
                <w:b w:val="1"/>
                <w:bCs w:val="1"/>
                <w:color w:val="auto"/>
              </w:rPr>
              <w:t>2022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28"/>
              <w:spacing w:after="0"/>
              <w:rPr>
                <w:sz w:val="20"/>
                <w:szCs w:val="20"/>
                <w:color w:val="auto"/>
              </w:rPr>
            </w:pPr>
            <w:r>
              <w:rPr>
                <w:rFonts w:ascii="Calibri" w:cs="Calibri" w:eastAsia="Calibri" w:hAnsi="Calibri"/>
                <w:sz w:val="14"/>
                <w:szCs w:val="14"/>
                <w:b w:val="1"/>
                <w:bCs w:val="1"/>
                <w:color w:val="auto"/>
              </w:rPr>
              <w:t>2021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148"/>
              <w:spacing w:after="0" w:line="156" w:lineRule="exact"/>
              <w:rPr>
                <w:sz w:val="20"/>
                <w:szCs w:val="20"/>
                <w:color w:val="auto"/>
              </w:rPr>
            </w:pPr>
            <w:r>
              <w:rPr>
                <w:rFonts w:ascii="Calibri" w:cs="Calibri" w:eastAsia="Calibri" w:hAnsi="Calibri"/>
                <w:sz w:val="14"/>
                <w:szCs w:val="14"/>
                <w:b w:val="1"/>
                <w:bCs w:val="1"/>
                <w:color w:val="auto"/>
              </w:rPr>
              <w:t>Change</w:t>
            </w:r>
          </w:p>
        </w:tc>
        <w:tc>
          <w:tcPr>
            <w:tcW w:w="200" w:type="dxa"/>
            <w:vAlign w:val="bottom"/>
          </w:tcPr>
          <w:p>
            <w:pPr>
              <w:spacing w:after="0"/>
              <w:rPr>
                <w:sz w:val="15"/>
                <w:szCs w:val="15"/>
                <w:color w:val="auto"/>
              </w:rPr>
            </w:pPr>
          </w:p>
        </w:tc>
        <w:tc>
          <w:tcPr>
            <w:tcW w:w="920" w:type="dxa"/>
            <w:vAlign w:val="bottom"/>
            <w:gridSpan w:val="3"/>
          </w:tcPr>
          <w:p>
            <w:pPr>
              <w:ind w:left="120"/>
              <w:spacing w:after="0" w:line="156" w:lineRule="exact"/>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276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Revenues:</w:t>
            </w: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760" w:type="dxa"/>
            <w:vAlign w:val="bottom"/>
          </w:tcPr>
          <w:p>
            <w:pPr>
              <w:ind w:left="20"/>
              <w:spacing w:after="0"/>
              <w:rPr>
                <w:sz w:val="20"/>
                <w:szCs w:val="20"/>
                <w:color w:val="auto"/>
              </w:rPr>
            </w:pPr>
            <w:r>
              <w:rPr>
                <w:rFonts w:ascii="Calibri" w:cs="Calibri" w:eastAsia="Calibri" w:hAnsi="Calibri"/>
                <w:sz w:val="14"/>
                <w:szCs w:val="14"/>
                <w:color w:val="auto"/>
              </w:rPr>
              <w:t>Owned Propertes</w:t>
            </w:r>
          </w:p>
        </w:tc>
        <w:tc>
          <w:tcPr>
            <w:tcW w:w="180" w:type="dxa"/>
            <w:vAlign w:val="bottom"/>
          </w:tcPr>
          <w:p>
            <w:pPr>
              <w:jc w:val="right"/>
              <w:ind w:right="28"/>
              <w:spacing w:after="0"/>
              <w:rPr>
                <w:sz w:val="20"/>
                <w:szCs w:val="20"/>
                <w:color w:val="auto"/>
              </w:rPr>
            </w:pPr>
            <w:r>
              <w:rPr>
                <w:rFonts w:ascii="Calibri" w:cs="Calibri" w:eastAsia="Calibri" w:hAnsi="Calibri"/>
                <w:sz w:val="14"/>
                <w:szCs w:val="14"/>
                <w:color w:val="auto"/>
                <w:w w:val="83"/>
              </w:rPr>
              <w:t>$</w:t>
            </w:r>
          </w:p>
        </w:tc>
        <w:tc>
          <w:tcPr>
            <w:tcW w:w="680" w:type="dxa"/>
            <w:vAlign w:val="bottom"/>
          </w:tcPr>
          <w:p>
            <w:pPr>
              <w:jc w:val="right"/>
              <w:spacing w:after="0"/>
              <w:rPr>
                <w:sz w:val="20"/>
                <w:szCs w:val="20"/>
                <w:color w:val="auto"/>
              </w:rPr>
            </w:pPr>
            <w:r>
              <w:rPr>
                <w:rFonts w:ascii="Calibri" w:cs="Calibri" w:eastAsia="Calibri" w:hAnsi="Calibri"/>
                <w:sz w:val="14"/>
                <w:szCs w:val="14"/>
                <w:color w:val="auto"/>
              </w:rPr>
              <w:t>106,597</w:t>
            </w:r>
          </w:p>
        </w:tc>
        <w:tc>
          <w:tcPr>
            <w:tcW w:w="460" w:type="dxa"/>
            <w:vAlign w:val="bottom"/>
            <w:gridSpan w:val="2"/>
          </w:tcPr>
          <w:p>
            <w:pPr>
              <w:jc w:val="right"/>
              <w:ind w:right="68"/>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spacing w:after="0"/>
              <w:rPr>
                <w:sz w:val="20"/>
                <w:szCs w:val="20"/>
                <w:color w:val="auto"/>
              </w:rPr>
            </w:pPr>
            <w:r>
              <w:rPr>
                <w:rFonts w:ascii="Calibri" w:cs="Calibri" w:eastAsia="Calibri" w:hAnsi="Calibri"/>
                <w:sz w:val="14"/>
                <w:szCs w:val="14"/>
                <w:color w:val="auto"/>
              </w:rPr>
              <w:t>96,169</w:t>
            </w:r>
          </w:p>
        </w:tc>
        <w:tc>
          <w:tcPr>
            <w:tcW w:w="280" w:type="dxa"/>
            <w:vAlign w:val="bottom"/>
            <w:gridSpan w:val="2"/>
          </w:tcPr>
          <w:p>
            <w:pPr>
              <w:jc w:val="right"/>
              <w:ind w:right="8"/>
              <w:spacing w:after="0"/>
              <w:rPr>
                <w:sz w:val="20"/>
                <w:szCs w:val="20"/>
                <w:color w:val="auto"/>
              </w:rPr>
            </w:pPr>
            <w:r>
              <w:rPr>
                <w:rFonts w:ascii="Calibri" w:cs="Calibri" w:eastAsia="Calibri" w:hAnsi="Calibri"/>
                <w:sz w:val="14"/>
                <w:szCs w:val="14"/>
                <w:color w:val="auto"/>
              </w:rPr>
              <w:t>$</w:t>
            </w:r>
          </w:p>
        </w:tc>
        <w:tc>
          <w:tcPr>
            <w:tcW w:w="740" w:type="dxa"/>
            <w:vAlign w:val="bottom"/>
          </w:tcPr>
          <w:p>
            <w:pPr>
              <w:jc w:val="right"/>
              <w:spacing w:after="0"/>
              <w:rPr>
                <w:sz w:val="20"/>
                <w:szCs w:val="20"/>
                <w:color w:val="auto"/>
              </w:rPr>
            </w:pPr>
            <w:r>
              <w:rPr>
                <w:rFonts w:ascii="Calibri" w:cs="Calibri" w:eastAsia="Calibri" w:hAnsi="Calibri"/>
                <w:sz w:val="14"/>
                <w:szCs w:val="14"/>
                <w:color w:val="auto"/>
              </w:rPr>
              <w:t>10,428</w:t>
            </w:r>
          </w:p>
        </w:tc>
        <w:tc>
          <w:tcPr>
            <w:tcW w:w="22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11 %</w:t>
            </w:r>
          </w:p>
        </w:tc>
        <w:tc>
          <w:tcPr>
            <w:tcW w:w="180" w:type="dxa"/>
            <w:vAlign w:val="bottom"/>
          </w:tcPr>
          <w:p>
            <w:pPr>
              <w:spacing w:after="0"/>
              <w:rPr>
                <w:sz w:val="20"/>
                <w:szCs w:val="20"/>
                <w:color w:val="auto"/>
              </w:rPr>
            </w:pPr>
            <w:r>
              <w:rPr>
                <w:rFonts w:ascii="Calibri" w:cs="Calibri" w:eastAsia="Calibri" w:hAnsi="Calibri"/>
                <w:sz w:val="14"/>
                <w:szCs w:val="14"/>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288,827</w:t>
            </w:r>
          </w:p>
        </w:tc>
        <w:tc>
          <w:tcPr>
            <w:tcW w:w="42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198,900</w:t>
            </w:r>
          </w:p>
        </w:tc>
        <w:tc>
          <w:tcPr>
            <w:tcW w:w="360" w:type="dxa"/>
            <w:vAlign w:val="bottom"/>
            <w:gridSpan w:val="2"/>
          </w:tcPr>
          <w:p>
            <w:pPr>
              <w:jc w:val="right"/>
              <w:ind w:right="60"/>
              <w:spacing w:after="0"/>
              <w:rPr>
                <w:sz w:val="20"/>
                <w:szCs w:val="20"/>
                <w:color w:val="auto"/>
              </w:rPr>
            </w:pPr>
            <w:r>
              <w:rPr>
                <w:rFonts w:ascii="Calibri" w:cs="Calibri" w:eastAsia="Calibri" w:hAnsi="Calibri"/>
                <w:sz w:val="14"/>
                <w:szCs w:val="14"/>
                <w:color w:val="auto"/>
              </w:rPr>
              <w:t>$</w:t>
            </w:r>
          </w:p>
        </w:tc>
        <w:tc>
          <w:tcPr>
            <w:tcW w:w="740" w:type="dxa"/>
            <w:vAlign w:val="bottom"/>
          </w:tcPr>
          <w:p>
            <w:pPr>
              <w:jc w:val="right"/>
              <w:spacing w:after="0"/>
              <w:rPr>
                <w:sz w:val="20"/>
                <w:szCs w:val="20"/>
                <w:color w:val="auto"/>
              </w:rPr>
            </w:pPr>
            <w:r>
              <w:rPr>
                <w:rFonts w:ascii="Calibri" w:cs="Calibri" w:eastAsia="Calibri" w:hAnsi="Calibri"/>
                <w:sz w:val="14"/>
                <w:szCs w:val="14"/>
                <w:color w:val="auto"/>
              </w:rPr>
              <w:t>89,927</w:t>
            </w:r>
          </w:p>
        </w:tc>
        <w:tc>
          <w:tcPr>
            <w:tcW w:w="1100" w:type="dxa"/>
            <w:vAlign w:val="bottom"/>
            <w:gridSpan w:val="3"/>
          </w:tcPr>
          <w:p>
            <w:pPr>
              <w:jc w:val="right"/>
              <w:spacing w:after="0"/>
              <w:rPr>
                <w:sz w:val="20"/>
                <w:szCs w:val="20"/>
                <w:color w:val="auto"/>
              </w:rPr>
            </w:pPr>
            <w:r>
              <w:rPr>
                <w:rFonts w:ascii="Calibri" w:cs="Calibri" w:eastAsia="Calibri" w:hAnsi="Calibri"/>
                <w:sz w:val="14"/>
                <w:szCs w:val="14"/>
                <w:color w:val="auto"/>
              </w:rPr>
              <w:t>45 %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76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Private Label</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23,945</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24,296</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(351 )</w:t>
            </w:r>
          </w:p>
        </w:tc>
        <w:tc>
          <w:tcPr>
            <w:tcW w:w="1020" w:type="dxa"/>
            <w:vAlign w:val="bottom"/>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(1 )%</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82,145</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48,206</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33,939</w:t>
            </w:r>
          </w:p>
        </w:tc>
        <w:tc>
          <w:tcPr>
            <w:tcW w:w="1100" w:type="dxa"/>
            <w:vAlign w:val="bottom"/>
            <w:gridSpan w:val="3"/>
            <w:shd w:val="clear" w:color="auto" w:fill="CFF0FC"/>
          </w:tcPr>
          <w:p>
            <w:pPr>
              <w:jc w:val="right"/>
              <w:spacing w:after="0"/>
              <w:rPr>
                <w:sz w:val="20"/>
                <w:szCs w:val="20"/>
                <w:color w:val="auto"/>
              </w:rPr>
            </w:pPr>
            <w:r>
              <w:rPr>
                <w:rFonts w:ascii="Calibri" w:cs="Calibri" w:eastAsia="Calibri" w:hAnsi="Calibri"/>
                <w:sz w:val="14"/>
                <w:szCs w:val="14"/>
                <w:color w:val="auto"/>
              </w:rPr>
              <w:t>70 %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760" w:type="dxa"/>
            <w:vAlign w:val="bottom"/>
          </w:tcPr>
          <w:p>
            <w:pPr>
              <w:ind w:left="20"/>
              <w:spacing w:after="0"/>
              <w:rPr>
                <w:sz w:val="20"/>
                <w:szCs w:val="20"/>
                <w:color w:val="auto"/>
              </w:rPr>
            </w:pPr>
            <w:r>
              <w:rPr>
                <w:rFonts w:ascii="Calibri" w:cs="Calibri" w:eastAsia="Calibri" w:hAnsi="Calibri"/>
                <w:sz w:val="14"/>
                <w:szCs w:val="14"/>
                <w:b w:val="1"/>
                <w:bCs w:val="1"/>
                <w:color w:val="auto"/>
              </w:rPr>
              <w:t>Total Marketplace revenues</w:t>
            </w:r>
          </w:p>
        </w:tc>
        <w:tc>
          <w:tcPr>
            <w:tcW w:w="180" w:type="dxa"/>
            <w:vAlign w:val="bottom"/>
          </w:tcPr>
          <w:p>
            <w:pPr>
              <w:jc w:val="right"/>
              <w:ind w:right="28"/>
              <w:spacing w:after="0"/>
              <w:rPr>
                <w:sz w:val="20"/>
                <w:szCs w:val="20"/>
                <w:color w:val="auto"/>
              </w:rPr>
            </w:pPr>
            <w:r>
              <w:rPr>
                <w:rFonts w:ascii="Calibri" w:cs="Calibri" w:eastAsia="Calibri" w:hAnsi="Calibri"/>
                <w:sz w:val="14"/>
                <w:szCs w:val="14"/>
                <w:b w:val="1"/>
                <w:bCs w:val="1"/>
                <w:color w:val="auto"/>
                <w:w w:val="83"/>
              </w:rPr>
              <w:t>$</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130,542</w:t>
            </w:r>
          </w:p>
        </w:tc>
        <w:tc>
          <w:tcPr>
            <w:tcW w:w="24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alibri" w:cs="Calibri" w:eastAsia="Calibri" w:hAnsi="Calibri"/>
                <w:sz w:val="14"/>
                <w:szCs w:val="14"/>
                <w:b w:val="1"/>
                <w:bCs w:val="1"/>
                <w:color w:val="auto"/>
                <w:w w:val="83"/>
              </w:rPr>
              <w:t>$</w:t>
            </w:r>
          </w:p>
        </w:tc>
        <w:tc>
          <w:tcPr>
            <w:tcW w:w="760" w:type="dxa"/>
            <w:vAlign w:val="bottom"/>
          </w:tcPr>
          <w:p>
            <w:pPr>
              <w:jc w:val="right"/>
              <w:spacing w:after="0"/>
              <w:rPr>
                <w:sz w:val="20"/>
                <w:szCs w:val="20"/>
                <w:color w:val="auto"/>
              </w:rPr>
            </w:pPr>
            <w:r>
              <w:rPr>
                <w:rFonts w:ascii="Calibri" w:cs="Calibri" w:eastAsia="Calibri" w:hAnsi="Calibri"/>
                <w:sz w:val="14"/>
                <w:szCs w:val="14"/>
                <w:b w:val="1"/>
                <w:bCs w:val="1"/>
                <w:color w:val="auto"/>
              </w:rPr>
              <w:t>120,465</w:t>
            </w:r>
          </w:p>
        </w:tc>
        <w:tc>
          <w:tcPr>
            <w:tcW w:w="1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Calibri" w:cs="Calibri" w:eastAsia="Calibri" w:hAnsi="Calibri"/>
                <w:sz w:val="14"/>
                <w:szCs w:val="14"/>
                <w:b w:val="1"/>
                <w:bCs w:val="1"/>
                <w:color w:val="auto"/>
                <w:w w:val="83"/>
              </w:rPr>
              <w:t>$</w:t>
            </w:r>
          </w:p>
        </w:tc>
        <w:tc>
          <w:tcPr>
            <w:tcW w:w="740" w:type="dxa"/>
            <w:vAlign w:val="bottom"/>
          </w:tcPr>
          <w:p>
            <w:pPr>
              <w:jc w:val="right"/>
              <w:spacing w:after="0"/>
              <w:rPr>
                <w:sz w:val="20"/>
                <w:szCs w:val="20"/>
                <w:color w:val="auto"/>
              </w:rPr>
            </w:pPr>
            <w:r>
              <w:rPr>
                <w:rFonts w:ascii="Calibri" w:cs="Calibri" w:eastAsia="Calibri" w:hAnsi="Calibri"/>
                <w:sz w:val="14"/>
                <w:szCs w:val="14"/>
                <w:b w:val="1"/>
                <w:bCs w:val="1"/>
                <w:color w:val="auto"/>
              </w:rPr>
              <w:t>10,077</w:t>
            </w:r>
          </w:p>
        </w:tc>
        <w:tc>
          <w:tcPr>
            <w:tcW w:w="22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Calibri" w:cs="Calibri" w:eastAsia="Calibri" w:hAnsi="Calibri"/>
                <w:sz w:val="14"/>
                <w:szCs w:val="14"/>
                <w:b w:val="1"/>
                <w:bCs w:val="1"/>
                <w:color w:val="auto"/>
              </w:rPr>
              <w:t>8 %</w:t>
            </w:r>
          </w:p>
        </w:tc>
        <w:tc>
          <w:tcPr>
            <w:tcW w:w="180" w:type="dxa"/>
            <w:vAlign w:val="bottom"/>
          </w:tcPr>
          <w:p>
            <w:pPr>
              <w:spacing w:after="0"/>
              <w:rPr>
                <w:sz w:val="20"/>
                <w:szCs w:val="20"/>
                <w:color w:val="auto"/>
              </w:rPr>
            </w:pPr>
            <w:r>
              <w:rPr>
                <w:rFonts w:ascii="Calibri" w:cs="Calibri" w:eastAsia="Calibri" w:hAnsi="Calibri"/>
                <w:sz w:val="14"/>
                <w:szCs w:val="14"/>
                <w:b w:val="1"/>
                <w:bCs w:val="1"/>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370,972</w:t>
            </w:r>
          </w:p>
        </w:tc>
        <w:tc>
          <w:tcPr>
            <w:tcW w:w="420" w:type="dxa"/>
            <w:vAlign w:val="bottom"/>
            <w:gridSpan w:val="2"/>
          </w:tcPr>
          <w:p>
            <w:pPr>
              <w:jc w:val="right"/>
              <w:ind w:right="120"/>
              <w:spacing w:after="0"/>
              <w:rPr>
                <w:sz w:val="20"/>
                <w:szCs w:val="20"/>
                <w:color w:val="auto"/>
              </w:rPr>
            </w:pPr>
            <w:r>
              <w:rPr>
                <w:rFonts w:ascii="Calibri" w:cs="Calibri" w:eastAsia="Calibri" w:hAnsi="Calibri"/>
                <w:sz w:val="14"/>
                <w:szCs w:val="14"/>
                <w:b w:val="1"/>
                <w:bCs w:val="1"/>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b w:val="1"/>
                <w:bCs w:val="1"/>
                <w:color w:val="auto"/>
              </w:rPr>
              <w:t>247,106</w:t>
            </w:r>
          </w:p>
        </w:tc>
        <w:tc>
          <w:tcPr>
            <w:tcW w:w="360" w:type="dxa"/>
            <w:vAlign w:val="bottom"/>
            <w:gridSpan w:val="2"/>
          </w:tcPr>
          <w:p>
            <w:pPr>
              <w:jc w:val="right"/>
              <w:ind w:right="60"/>
              <w:spacing w:after="0"/>
              <w:rPr>
                <w:sz w:val="20"/>
                <w:szCs w:val="20"/>
                <w:color w:val="auto"/>
              </w:rPr>
            </w:pPr>
            <w:r>
              <w:rPr>
                <w:rFonts w:ascii="Calibri" w:cs="Calibri" w:eastAsia="Calibri" w:hAnsi="Calibri"/>
                <w:sz w:val="14"/>
                <w:szCs w:val="14"/>
                <w:b w:val="1"/>
                <w:bCs w:val="1"/>
                <w:color w:val="auto"/>
              </w:rPr>
              <w:t>$</w:t>
            </w:r>
          </w:p>
        </w:tc>
        <w:tc>
          <w:tcPr>
            <w:tcW w:w="740" w:type="dxa"/>
            <w:vAlign w:val="bottom"/>
          </w:tcPr>
          <w:p>
            <w:pPr>
              <w:jc w:val="right"/>
              <w:spacing w:after="0"/>
              <w:rPr>
                <w:sz w:val="20"/>
                <w:szCs w:val="20"/>
                <w:color w:val="auto"/>
              </w:rPr>
            </w:pPr>
            <w:r>
              <w:rPr>
                <w:rFonts w:ascii="Calibri" w:cs="Calibri" w:eastAsia="Calibri" w:hAnsi="Calibri"/>
                <w:sz w:val="14"/>
                <w:szCs w:val="14"/>
                <w:b w:val="1"/>
                <w:bCs w:val="1"/>
                <w:color w:val="auto"/>
              </w:rPr>
              <w:t>123,866</w:t>
            </w:r>
          </w:p>
        </w:tc>
        <w:tc>
          <w:tcPr>
            <w:tcW w:w="110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50 %</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-144780</wp:posOffset>
            </wp:positionV>
            <wp:extent cx="76835" cy="1454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-144780</wp:posOffset>
            </wp:positionV>
            <wp:extent cx="77470" cy="1454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-144780</wp:posOffset>
            </wp:positionV>
            <wp:extent cx="68580" cy="1454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-144780</wp:posOffset>
            </wp:positionV>
            <wp:extent cx="68580" cy="1454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-144780</wp:posOffset>
            </wp:positionV>
            <wp:extent cx="68580" cy="145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-144780</wp:posOffset>
            </wp:positionV>
            <wp:extent cx="68580" cy="1454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-144780</wp:posOffset>
            </wp:positionV>
            <wp:extent cx="68580" cy="1454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06" w:lineRule="exact"/>
        <w:rPr>
          <w:sz w:val="20"/>
          <w:szCs w:val="20"/>
          <w:color w:val="auto"/>
        </w:rPr>
      </w:pPr>
    </w:p>
    <w:p>
      <w:pPr>
        <w:jc w:val="both"/>
        <w:ind w:right="20"/>
        <w:spacing w:after="0" w:line="227" w:lineRule="auto"/>
        <w:rPr>
          <w:sz w:val="20"/>
          <w:szCs w:val="20"/>
          <w:color w:val="auto"/>
        </w:rPr>
      </w:pPr>
      <w:r>
        <w:rPr>
          <w:rFonts w:ascii="Calibri" w:cs="Calibri" w:eastAsia="Calibri" w:hAnsi="Calibri"/>
          <w:sz w:val="18"/>
          <w:szCs w:val="18"/>
          <w:color w:val="auto"/>
        </w:rPr>
        <w:t>The increase in revenue from Owned Propertes during the three months ended September 30, 2022 resulted from an increase in new orders processed, partcularly in our concert and theater categories.</w:t>
      </w:r>
    </w:p>
    <w:p>
      <w:pPr>
        <w:spacing w:after="0" w:line="138" w:lineRule="exact"/>
        <w:rPr>
          <w:sz w:val="20"/>
          <w:szCs w:val="20"/>
          <w:color w:val="auto"/>
        </w:rPr>
      </w:pPr>
    </w:p>
    <w:p>
      <w:pPr>
        <w:jc w:val="both"/>
        <w:ind w:right="20"/>
        <w:spacing w:after="0" w:line="225" w:lineRule="auto"/>
        <w:rPr>
          <w:sz w:val="20"/>
          <w:szCs w:val="20"/>
          <w:color w:val="auto"/>
        </w:rPr>
      </w:pPr>
      <w:r>
        <w:rPr>
          <w:rFonts w:ascii="Calibri" w:cs="Calibri" w:eastAsia="Calibri" w:hAnsi="Calibri"/>
          <w:sz w:val="18"/>
          <w:szCs w:val="18"/>
          <w:color w:val="auto"/>
        </w:rPr>
        <w:t>The increases in revenue from both Owned Propertes and Private Label during the nine months ended September 30, 2022 compared to the nine months ended September 30, 2021 resulted primarily from the increase in order volume as COVID-19 restrictons were lifed and more events occurred with larger audiences startng in the second quarter of 2021.</w:t>
      </w:r>
    </w:p>
    <w:p>
      <w:pPr>
        <w:spacing w:after="0" w:line="10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63" w:right="319" w:bottom="1440" w:gutter="0" w:footer="0" w:header="0"/>
        </w:sectPr>
      </w:pPr>
    </w:p>
    <w:bookmarkStart w:id="34" w:name="page35"/>
    <w:bookmarkEnd w:id="34"/>
    <w:p>
      <w:pPr>
        <w:spacing w:after="0"/>
        <w:rPr>
          <w:sz w:val="20"/>
          <w:szCs w:val="20"/>
          <w:color w:val="auto"/>
        </w:rPr>
      </w:pPr>
      <w:r>
        <w:rPr>
          <w:rFonts w:ascii="Calibri" w:cs="Calibri" w:eastAsia="Calibri" w:hAnsi="Calibri"/>
          <w:sz w:val="18"/>
          <w:szCs w:val="18"/>
          <w:i w:val="1"/>
          <w:iCs w:val="1"/>
          <w:color w:val="auto"/>
        </w:rPr>
        <w:t>Resale</w:t>
      </w:r>
    </w:p>
    <w:p>
      <w:pPr>
        <w:spacing w:after="0" w:line="136" w:lineRule="exact"/>
        <w:rPr>
          <w:sz w:val="20"/>
          <w:szCs w:val="20"/>
          <w:color w:val="auto"/>
        </w:rPr>
      </w:pPr>
    </w:p>
    <w:p>
      <w:pPr>
        <w:jc w:val="both"/>
        <w:ind w:right="20"/>
        <w:spacing w:after="0" w:line="227" w:lineRule="auto"/>
        <w:rPr>
          <w:sz w:val="20"/>
          <w:szCs w:val="20"/>
          <w:color w:val="auto"/>
        </w:rPr>
      </w:pPr>
      <w:r>
        <w:rPr>
          <w:rFonts w:ascii="Calibri" w:cs="Calibri" w:eastAsia="Calibri" w:hAnsi="Calibri"/>
          <w:sz w:val="18"/>
          <w:szCs w:val="18"/>
          <w:color w:val="auto"/>
        </w:rPr>
        <w:t>Resale revenues increased $7.2 million, or 38%, during the three months ended September 30, 2022 compared to the three months ended September 30, 2021 and increased $32.3 million, or 101%, during the nine months ended September 30, 2022 compared to the nine months ended September 30, 2021. The increase resulted primarily from higher order volume. Total Resale orders increased less than 0.1 million during the three months ended September 30, 2022 compared to the three months ended September 30, 2021 and increased 0.1 million, or 86%, during the nine months ended September 30, 2022 compared to the nine months ended September 30, 2021. Cancellaton charges, classifed as a reducton of revenue, negatvely impacted Resale revenue by less than $0.1 million and $0.6 million for the three and nine months ended September 30, 2022, respectvely, and $0.1 million and $3.0 million for the three and nine months ended September 30, 2021, respectvely.</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Cost of Revenues (exclusive of Depreciaton and Amortzaton)</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cost of revenues by segment (in thousands, except percentages):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2060" w:type="dxa"/>
            <w:vAlign w:val="bottom"/>
            <w:gridSpan w:val="5"/>
          </w:tcPr>
          <w:p>
            <w:pPr>
              <w:jc w:val="right"/>
              <w:ind w:right="8"/>
              <w:spacing w:after="0"/>
              <w:rPr>
                <w:sz w:val="20"/>
                <w:szCs w:val="20"/>
                <w:color w:val="auto"/>
              </w:rPr>
            </w:pPr>
            <w:r>
              <w:rPr>
                <w:rFonts w:ascii="Calibri" w:cs="Calibri" w:eastAsia="Calibri" w:hAnsi="Calibri"/>
                <w:sz w:val="14"/>
                <w:szCs w:val="14"/>
                <w:b w:val="1"/>
                <w:bCs w:val="1"/>
                <w:color w:val="auto"/>
              </w:rPr>
              <w:t>Three Months Ended September</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5"/>
          </w:tcPr>
          <w:p>
            <w:pPr>
              <w:jc w:val="right"/>
              <w:ind w:right="8"/>
              <w:spacing w:after="0"/>
              <w:rPr>
                <w:sz w:val="20"/>
                <w:szCs w:val="20"/>
                <w:color w:val="auto"/>
              </w:rPr>
            </w:pPr>
            <w:r>
              <w:rPr>
                <w:rFonts w:ascii="Calibri" w:cs="Calibri" w:eastAsia="Calibri" w:hAnsi="Calibri"/>
                <w:sz w:val="14"/>
                <w:szCs w:val="14"/>
                <w:b w:val="1"/>
                <w:bCs w:val="1"/>
                <w:color w:val="auto"/>
              </w:rPr>
              <w:t>Nine Months Ended September</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ind w:right="128"/>
              <w:spacing w:after="0"/>
              <w:rPr>
                <w:sz w:val="20"/>
                <w:szCs w:val="20"/>
                <w:color w:val="auto"/>
              </w:rPr>
            </w:pPr>
            <w:r>
              <w:rPr>
                <w:rFonts w:ascii="Calibri" w:cs="Calibri" w:eastAsia="Calibri" w:hAnsi="Calibri"/>
                <w:sz w:val="14"/>
                <w:szCs w:val="14"/>
                <w:b w:val="1"/>
                <w:bCs w:val="1"/>
                <w:color w:val="auto"/>
              </w:rPr>
              <w:t>30,</w:t>
            </w:r>
          </w:p>
        </w:tc>
        <w:tc>
          <w:tcPr>
            <w:tcW w:w="7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jc w:val="right"/>
              <w:ind w:right="160"/>
              <w:spacing w:after="0"/>
              <w:rPr>
                <w:sz w:val="20"/>
                <w:szCs w:val="20"/>
                <w:color w:val="auto"/>
              </w:rPr>
            </w:pPr>
            <w:r>
              <w:rPr>
                <w:rFonts w:ascii="Calibri" w:cs="Calibri" w:eastAsia="Calibri" w:hAnsi="Calibri"/>
                <w:sz w:val="14"/>
                <w:szCs w:val="14"/>
                <w:b w:val="1"/>
                <w:bCs w:val="1"/>
                <w:color w:val="auto"/>
              </w:rPr>
              <w:t>30,</w:t>
            </w:r>
          </w:p>
        </w:tc>
        <w:tc>
          <w:tcPr>
            <w:tcW w:w="7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08"/>
              <w:spacing w:after="0"/>
              <w:rPr>
                <w:sz w:val="20"/>
                <w:szCs w:val="20"/>
                <w:color w:val="auto"/>
              </w:rPr>
            </w:pPr>
            <w:r>
              <w:rPr>
                <w:rFonts w:ascii="Calibri" w:cs="Calibri" w:eastAsia="Calibri" w:hAnsi="Calibri"/>
                <w:sz w:val="14"/>
                <w:szCs w:val="14"/>
                <w:b w:val="1"/>
                <w:bCs w:val="1"/>
                <w:color w:val="auto"/>
              </w:rPr>
              <w:t>2022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68"/>
              <w:spacing w:after="0"/>
              <w:rPr>
                <w:sz w:val="20"/>
                <w:szCs w:val="20"/>
                <w:color w:val="auto"/>
              </w:rPr>
            </w:pPr>
            <w:r>
              <w:rPr>
                <w:rFonts w:ascii="Calibri" w:cs="Calibri" w:eastAsia="Calibri" w:hAnsi="Calibri"/>
                <w:sz w:val="14"/>
                <w:szCs w:val="14"/>
                <w:b w:val="1"/>
                <w:bCs w:val="1"/>
                <w:color w:val="auto"/>
              </w:rPr>
              <w:t>2021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08"/>
              <w:spacing w:after="0" w:line="156" w:lineRule="exact"/>
              <w:rPr>
                <w:sz w:val="20"/>
                <w:szCs w:val="20"/>
                <w:color w:val="auto"/>
              </w:rPr>
            </w:pPr>
            <w:r>
              <w:rPr>
                <w:rFonts w:ascii="Calibri" w:cs="Calibri" w:eastAsia="Calibri" w:hAnsi="Calibri"/>
                <w:sz w:val="14"/>
                <w:szCs w:val="14"/>
                <w:b w:val="1"/>
                <w:bCs w:val="1"/>
                <w:color w:val="auto"/>
              </w:rPr>
              <w:t>Change</w:t>
            </w:r>
          </w:p>
        </w:tc>
        <w:tc>
          <w:tcPr>
            <w:tcW w:w="240" w:type="dxa"/>
            <w:vAlign w:val="bottom"/>
          </w:tcPr>
          <w:p>
            <w:pPr>
              <w:spacing w:after="0"/>
              <w:rPr>
                <w:sz w:val="15"/>
                <w:szCs w:val="15"/>
                <w:color w:val="auto"/>
              </w:rPr>
            </w:pPr>
          </w:p>
        </w:tc>
        <w:tc>
          <w:tcPr>
            <w:tcW w:w="1180" w:type="dxa"/>
            <w:vAlign w:val="bottom"/>
            <w:gridSpan w:val="2"/>
          </w:tcPr>
          <w:p>
            <w:pPr>
              <w:jc w:val="right"/>
              <w:ind w:right="400"/>
              <w:spacing w:after="0" w:line="156" w:lineRule="exact"/>
              <w:rPr>
                <w:sz w:val="20"/>
                <w:szCs w:val="20"/>
                <w:color w:val="auto"/>
              </w:rPr>
            </w:pPr>
            <w:r>
              <w:rPr>
                <w:rFonts w:ascii="Calibri" w:cs="Calibri" w:eastAsia="Calibri" w:hAnsi="Calibri"/>
                <w:sz w:val="14"/>
                <w:szCs w:val="14"/>
                <w:b w:val="1"/>
                <w:bCs w:val="1"/>
                <w:color w:val="auto"/>
              </w:rPr>
              <w:t>% Change</w:t>
            </w:r>
          </w:p>
        </w:tc>
        <w:tc>
          <w:tcPr>
            <w:tcW w:w="180" w:type="dxa"/>
            <w:vAlign w:val="bottom"/>
          </w:tcPr>
          <w:p>
            <w:pPr>
              <w:spacing w:after="0"/>
              <w:rPr>
                <w:sz w:val="15"/>
                <w:szCs w:val="15"/>
                <w:color w:val="auto"/>
              </w:rPr>
            </w:pPr>
          </w:p>
        </w:tc>
        <w:tc>
          <w:tcPr>
            <w:tcW w:w="620" w:type="dxa"/>
            <w:vAlign w:val="bottom"/>
          </w:tcPr>
          <w:p>
            <w:pPr>
              <w:jc w:val="right"/>
              <w:ind w:right="168"/>
              <w:spacing w:after="0"/>
              <w:rPr>
                <w:sz w:val="20"/>
                <w:szCs w:val="20"/>
                <w:color w:val="auto"/>
              </w:rPr>
            </w:pPr>
            <w:r>
              <w:rPr>
                <w:rFonts w:ascii="Calibri" w:cs="Calibri" w:eastAsia="Calibri" w:hAnsi="Calibri"/>
                <w:sz w:val="14"/>
                <w:szCs w:val="14"/>
                <w:b w:val="1"/>
                <w:bCs w:val="1"/>
                <w:color w:val="auto"/>
              </w:rPr>
              <w:t>2022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48"/>
              <w:spacing w:after="0"/>
              <w:rPr>
                <w:sz w:val="20"/>
                <w:szCs w:val="20"/>
                <w:color w:val="auto"/>
              </w:rPr>
            </w:pPr>
            <w:r>
              <w:rPr>
                <w:rFonts w:ascii="Calibri" w:cs="Calibri" w:eastAsia="Calibri" w:hAnsi="Calibri"/>
                <w:sz w:val="14"/>
                <w:szCs w:val="14"/>
                <w:b w:val="1"/>
                <w:bCs w:val="1"/>
                <w:color w:val="auto"/>
              </w:rPr>
              <w:t>2021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88"/>
              <w:spacing w:after="0" w:line="156" w:lineRule="exact"/>
              <w:rPr>
                <w:sz w:val="20"/>
                <w:szCs w:val="20"/>
                <w:color w:val="auto"/>
              </w:rPr>
            </w:pPr>
            <w:r>
              <w:rPr>
                <w:rFonts w:ascii="Calibri" w:cs="Calibri" w:eastAsia="Calibri" w:hAnsi="Calibri"/>
                <w:sz w:val="14"/>
                <w:szCs w:val="14"/>
                <w:b w:val="1"/>
                <w:bCs w:val="1"/>
                <w:color w:val="auto"/>
              </w:rPr>
              <w:t>Change</w:t>
            </w:r>
          </w:p>
        </w:tc>
        <w:tc>
          <w:tcPr>
            <w:tcW w:w="220" w:type="dxa"/>
            <w:vAlign w:val="bottom"/>
          </w:tcPr>
          <w:p>
            <w:pPr>
              <w:spacing w:after="0"/>
              <w:rPr>
                <w:sz w:val="15"/>
                <w:szCs w:val="15"/>
                <w:color w:val="auto"/>
              </w:rPr>
            </w:pPr>
          </w:p>
        </w:tc>
        <w:tc>
          <w:tcPr>
            <w:tcW w:w="1080" w:type="dxa"/>
            <w:vAlign w:val="bottom"/>
            <w:gridSpan w:val="3"/>
          </w:tcPr>
          <w:p>
            <w:pPr>
              <w:ind w:left="180"/>
              <w:spacing w:after="0" w:line="156" w:lineRule="exact"/>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238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Cost of revenues:</w:t>
            </w: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20"/>
              <w:spacing w:after="0"/>
              <w:rPr>
                <w:sz w:val="20"/>
                <w:szCs w:val="20"/>
                <w:color w:val="auto"/>
              </w:rPr>
            </w:pPr>
            <w:r>
              <w:rPr>
                <w:rFonts w:ascii="Calibri" w:cs="Calibri" w:eastAsia="Calibri" w:hAnsi="Calibri"/>
                <w:sz w:val="14"/>
                <w:szCs w:val="14"/>
                <w:color w:val="auto"/>
              </w:rPr>
              <w:t>Marketplace</w:t>
            </w:r>
          </w:p>
        </w:tc>
        <w:tc>
          <w:tcPr>
            <w:tcW w:w="160" w:type="dxa"/>
            <w:vAlign w:val="bottom"/>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17,950</w:t>
            </w:r>
          </w:p>
        </w:tc>
        <w:tc>
          <w:tcPr>
            <w:tcW w:w="500" w:type="dxa"/>
            <w:vAlign w:val="bottom"/>
            <w:gridSpan w:val="2"/>
          </w:tcPr>
          <w:p>
            <w:pPr>
              <w:jc w:val="right"/>
              <w:ind w:right="68"/>
              <w:spacing w:after="0"/>
              <w:rPr>
                <w:sz w:val="20"/>
                <w:szCs w:val="20"/>
                <w:color w:val="auto"/>
              </w:rPr>
            </w:pPr>
            <w:r>
              <w:rPr>
                <w:rFonts w:ascii="Calibri" w:cs="Calibri" w:eastAsia="Calibri" w:hAnsi="Calibri"/>
                <w:sz w:val="14"/>
                <w:szCs w:val="14"/>
                <w:color w:val="auto"/>
              </w:rPr>
              <w:t>$</w:t>
            </w:r>
          </w:p>
        </w:tc>
        <w:tc>
          <w:tcPr>
            <w:tcW w:w="740" w:type="dxa"/>
            <w:vAlign w:val="bottom"/>
          </w:tcPr>
          <w:p>
            <w:pPr>
              <w:jc w:val="right"/>
              <w:spacing w:after="0"/>
              <w:rPr>
                <w:sz w:val="20"/>
                <w:szCs w:val="20"/>
                <w:color w:val="auto"/>
              </w:rPr>
            </w:pPr>
            <w:r>
              <w:rPr>
                <w:rFonts w:ascii="Calibri" w:cs="Calibri" w:eastAsia="Calibri" w:hAnsi="Calibri"/>
                <w:sz w:val="14"/>
                <w:szCs w:val="14"/>
                <w:color w:val="auto"/>
              </w:rPr>
              <w:t>15,694</w:t>
            </w:r>
          </w:p>
        </w:tc>
        <w:tc>
          <w:tcPr>
            <w:tcW w:w="420" w:type="dxa"/>
            <w:vAlign w:val="bottom"/>
            <w:gridSpan w:val="2"/>
          </w:tcPr>
          <w:p>
            <w:pPr>
              <w:jc w:val="right"/>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2,256</w:t>
            </w:r>
          </w:p>
        </w:tc>
        <w:tc>
          <w:tcPr>
            <w:tcW w:w="1420" w:type="dxa"/>
            <w:vAlign w:val="bottom"/>
            <w:gridSpan w:val="3"/>
          </w:tcPr>
          <w:p>
            <w:pPr>
              <w:jc w:val="right"/>
              <w:ind w:right="100"/>
              <w:spacing w:after="0"/>
              <w:rPr>
                <w:sz w:val="20"/>
                <w:szCs w:val="20"/>
                <w:color w:val="auto"/>
              </w:rPr>
            </w:pPr>
            <w:r>
              <w:rPr>
                <w:rFonts w:ascii="Calibri" w:cs="Calibri" w:eastAsia="Calibri" w:hAnsi="Calibri"/>
                <w:sz w:val="14"/>
                <w:szCs w:val="14"/>
                <w:color w:val="auto"/>
              </w:rPr>
              <w:t>14 %</w:t>
            </w:r>
          </w:p>
        </w:tc>
        <w:tc>
          <w:tcPr>
            <w:tcW w:w="1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620" w:type="dxa"/>
            <w:vAlign w:val="bottom"/>
          </w:tcPr>
          <w:p>
            <w:pPr>
              <w:jc w:val="right"/>
              <w:spacing w:after="0"/>
              <w:rPr>
                <w:sz w:val="20"/>
                <w:szCs w:val="20"/>
                <w:color w:val="auto"/>
              </w:rPr>
            </w:pPr>
            <w:r>
              <w:rPr>
                <w:rFonts w:ascii="Calibri" w:cs="Calibri" w:eastAsia="Calibri" w:hAnsi="Calibri"/>
                <w:sz w:val="14"/>
                <w:szCs w:val="14"/>
                <w:color w:val="auto"/>
              </w:rPr>
              <w:t>52,912</w:t>
            </w:r>
          </w:p>
        </w:tc>
        <w:tc>
          <w:tcPr>
            <w:tcW w:w="46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c>
          <w:tcPr>
            <w:tcW w:w="740" w:type="dxa"/>
            <w:vAlign w:val="bottom"/>
          </w:tcPr>
          <w:p>
            <w:pPr>
              <w:jc w:val="right"/>
              <w:spacing w:after="0"/>
              <w:rPr>
                <w:sz w:val="20"/>
                <w:szCs w:val="20"/>
                <w:color w:val="auto"/>
              </w:rPr>
            </w:pPr>
            <w:r>
              <w:rPr>
                <w:rFonts w:ascii="Calibri" w:cs="Calibri" w:eastAsia="Calibri" w:hAnsi="Calibri"/>
                <w:sz w:val="14"/>
                <w:szCs w:val="14"/>
                <w:color w:val="auto"/>
              </w:rPr>
              <w:t>32,101</w:t>
            </w:r>
          </w:p>
        </w:tc>
        <w:tc>
          <w:tcPr>
            <w:tcW w:w="380" w:type="dxa"/>
            <w:vAlign w:val="bottom"/>
            <w:gridSpan w:val="2"/>
          </w:tcPr>
          <w:p>
            <w:pPr>
              <w:jc w:val="right"/>
              <w:ind w:right="40"/>
              <w:spacing w:after="0"/>
              <w:rPr>
                <w:sz w:val="20"/>
                <w:szCs w:val="20"/>
                <w:color w:val="auto"/>
              </w:rPr>
            </w:pPr>
            <w:r>
              <w:rPr>
                <w:rFonts w:ascii="Calibri" w:cs="Calibri" w:eastAsia="Calibri" w:hAnsi="Calibri"/>
                <w:sz w:val="14"/>
                <w:szCs w:val="14"/>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20,811</w:t>
            </w:r>
          </w:p>
        </w:tc>
        <w:tc>
          <w:tcPr>
            <w:tcW w:w="1280" w:type="dxa"/>
            <w:vAlign w:val="bottom"/>
            <w:gridSpan w:val="3"/>
          </w:tcPr>
          <w:p>
            <w:pPr>
              <w:jc w:val="right"/>
              <w:spacing w:after="0"/>
              <w:rPr>
                <w:sz w:val="20"/>
                <w:szCs w:val="20"/>
                <w:color w:val="auto"/>
              </w:rPr>
            </w:pPr>
            <w:r>
              <w:rPr>
                <w:rFonts w:ascii="Calibri" w:cs="Calibri" w:eastAsia="Calibri" w:hAnsi="Calibri"/>
                <w:sz w:val="14"/>
                <w:szCs w:val="14"/>
                <w:color w:val="auto"/>
              </w:rPr>
              <w:t>65 %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8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Resale</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19,667</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14,781</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4,886</w:t>
            </w:r>
          </w:p>
        </w:tc>
        <w:tc>
          <w:tcPr>
            <w:tcW w:w="2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rPr>
                <w:sz w:val="20"/>
                <w:szCs w:val="20"/>
                <w:color w:val="auto"/>
              </w:rPr>
            </w:pPr>
            <w:r>
              <w:rPr>
                <w:rFonts w:ascii="Calibri" w:cs="Calibri" w:eastAsia="Calibri" w:hAnsi="Calibri"/>
                <w:sz w:val="14"/>
                <w:szCs w:val="14"/>
                <w:color w:val="auto"/>
              </w:rPr>
              <w:t>33 %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49,291</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22,285</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27,006</w:t>
            </w:r>
          </w:p>
        </w:tc>
        <w:tc>
          <w:tcPr>
            <w:tcW w:w="1280" w:type="dxa"/>
            <w:vAlign w:val="bottom"/>
            <w:gridSpan w:val="3"/>
            <w:shd w:val="clear" w:color="auto" w:fill="CFF0FC"/>
          </w:tcPr>
          <w:p>
            <w:pPr>
              <w:jc w:val="right"/>
              <w:spacing w:after="0"/>
              <w:rPr>
                <w:sz w:val="20"/>
                <w:szCs w:val="20"/>
                <w:color w:val="auto"/>
              </w:rPr>
            </w:pPr>
            <w:r>
              <w:rPr>
                <w:rFonts w:ascii="Calibri" w:cs="Calibri" w:eastAsia="Calibri" w:hAnsi="Calibri"/>
                <w:sz w:val="14"/>
                <w:szCs w:val="14"/>
                <w:color w:val="auto"/>
              </w:rPr>
              <w:t>121 %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380" w:type="dxa"/>
            <w:vAlign w:val="bottom"/>
          </w:tcPr>
          <w:p>
            <w:pPr>
              <w:ind w:left="20"/>
              <w:spacing w:after="0"/>
              <w:rPr>
                <w:sz w:val="20"/>
                <w:szCs w:val="20"/>
                <w:color w:val="auto"/>
              </w:rPr>
            </w:pPr>
            <w:r>
              <w:rPr>
                <w:rFonts w:ascii="Calibri" w:cs="Calibri" w:eastAsia="Calibri" w:hAnsi="Calibri"/>
                <w:sz w:val="14"/>
                <w:szCs w:val="14"/>
                <w:b w:val="1"/>
                <w:bCs w:val="1"/>
                <w:color w:val="auto"/>
              </w:rPr>
              <w:t>Total cost of revenues</w:t>
            </w:r>
          </w:p>
        </w:tc>
        <w:tc>
          <w:tcPr>
            <w:tcW w:w="160" w:type="dxa"/>
            <w:vAlign w:val="bottom"/>
          </w:tcPr>
          <w:p>
            <w:pPr>
              <w:jc w:val="right"/>
              <w:ind w:right="8"/>
              <w:spacing w:after="0"/>
              <w:rPr>
                <w:sz w:val="20"/>
                <w:szCs w:val="20"/>
                <w:color w:val="auto"/>
              </w:rPr>
            </w:pPr>
            <w:r>
              <w:rPr>
                <w:rFonts w:ascii="Calibri" w:cs="Calibri" w:eastAsia="Calibri" w:hAnsi="Calibri"/>
                <w:sz w:val="14"/>
                <w:szCs w:val="14"/>
                <w:b w:val="1"/>
                <w:bCs w:val="1"/>
                <w:color w:val="auto"/>
                <w:w w:val="83"/>
              </w:rPr>
              <w:t>$</w:t>
            </w:r>
          </w:p>
        </w:tc>
        <w:tc>
          <w:tcPr>
            <w:tcW w:w="660" w:type="dxa"/>
            <w:vAlign w:val="bottom"/>
          </w:tcPr>
          <w:p>
            <w:pPr>
              <w:jc w:val="right"/>
              <w:spacing w:after="0"/>
              <w:rPr>
                <w:sz w:val="20"/>
                <w:szCs w:val="20"/>
                <w:color w:val="auto"/>
              </w:rPr>
            </w:pPr>
            <w:r>
              <w:rPr>
                <w:rFonts w:ascii="Calibri" w:cs="Calibri" w:eastAsia="Calibri" w:hAnsi="Calibri"/>
                <w:sz w:val="14"/>
                <w:szCs w:val="14"/>
                <w:b w:val="1"/>
                <w:bCs w:val="1"/>
                <w:color w:val="auto"/>
              </w:rPr>
              <w:t>37,617</w:t>
            </w:r>
          </w:p>
        </w:tc>
        <w:tc>
          <w:tcPr>
            <w:tcW w:w="2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alibri" w:cs="Calibri" w:eastAsia="Calibri" w:hAnsi="Calibri"/>
                <w:sz w:val="14"/>
                <w:szCs w:val="14"/>
                <w:b w:val="1"/>
                <w:bCs w:val="1"/>
                <w:color w:val="auto"/>
                <w:w w:val="83"/>
              </w:rPr>
              <w:t>$</w:t>
            </w:r>
          </w:p>
        </w:tc>
        <w:tc>
          <w:tcPr>
            <w:tcW w:w="740" w:type="dxa"/>
            <w:vAlign w:val="bottom"/>
          </w:tcPr>
          <w:p>
            <w:pPr>
              <w:jc w:val="right"/>
              <w:spacing w:after="0"/>
              <w:rPr>
                <w:sz w:val="20"/>
                <w:szCs w:val="20"/>
                <w:color w:val="auto"/>
              </w:rPr>
            </w:pPr>
            <w:r>
              <w:rPr>
                <w:rFonts w:ascii="Calibri" w:cs="Calibri" w:eastAsia="Calibri" w:hAnsi="Calibri"/>
                <w:sz w:val="14"/>
                <w:szCs w:val="14"/>
                <w:b w:val="1"/>
                <w:bCs w:val="1"/>
                <w:color w:val="auto"/>
              </w:rPr>
              <w:t>30,475</w:t>
            </w:r>
          </w:p>
        </w:tc>
        <w:tc>
          <w:tcPr>
            <w:tcW w:w="3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660" w:type="dxa"/>
            <w:vAlign w:val="bottom"/>
          </w:tcPr>
          <w:p>
            <w:pPr>
              <w:jc w:val="right"/>
              <w:spacing w:after="0"/>
              <w:rPr>
                <w:sz w:val="20"/>
                <w:szCs w:val="20"/>
                <w:color w:val="auto"/>
              </w:rPr>
            </w:pPr>
            <w:r>
              <w:rPr>
                <w:rFonts w:ascii="Calibri" w:cs="Calibri" w:eastAsia="Calibri" w:hAnsi="Calibri"/>
                <w:sz w:val="14"/>
                <w:szCs w:val="14"/>
                <w:b w:val="1"/>
                <w:bCs w:val="1"/>
                <w:color w:val="auto"/>
              </w:rPr>
              <w:t>7,142</w:t>
            </w:r>
          </w:p>
        </w:tc>
        <w:tc>
          <w:tcPr>
            <w:tcW w:w="24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Calibri" w:cs="Calibri" w:eastAsia="Calibri" w:hAnsi="Calibri"/>
                <w:sz w:val="14"/>
                <w:szCs w:val="14"/>
                <w:b w:val="1"/>
                <w:bCs w:val="1"/>
                <w:color w:val="auto"/>
              </w:rPr>
              <w:t>23 %</w:t>
            </w:r>
          </w:p>
        </w:tc>
        <w:tc>
          <w:tcPr>
            <w:tcW w:w="18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w:t>
            </w:r>
          </w:p>
        </w:tc>
        <w:tc>
          <w:tcPr>
            <w:tcW w:w="620" w:type="dxa"/>
            <w:vAlign w:val="bottom"/>
          </w:tcPr>
          <w:p>
            <w:pPr>
              <w:jc w:val="right"/>
              <w:spacing w:after="0"/>
              <w:rPr>
                <w:sz w:val="20"/>
                <w:szCs w:val="20"/>
                <w:color w:val="auto"/>
              </w:rPr>
            </w:pPr>
            <w:r>
              <w:rPr>
                <w:rFonts w:ascii="Calibri" w:cs="Calibri" w:eastAsia="Calibri" w:hAnsi="Calibri"/>
                <w:sz w:val="14"/>
                <w:szCs w:val="14"/>
                <w:b w:val="1"/>
                <w:bCs w:val="1"/>
                <w:color w:val="auto"/>
              </w:rPr>
              <w:t>102,203</w:t>
            </w:r>
          </w:p>
        </w:tc>
        <w:tc>
          <w:tcPr>
            <w:tcW w:w="460" w:type="dxa"/>
            <w:vAlign w:val="bottom"/>
            <w:gridSpan w:val="2"/>
          </w:tcPr>
          <w:p>
            <w:pPr>
              <w:jc w:val="right"/>
              <w:ind w:right="120"/>
              <w:spacing w:after="0"/>
              <w:rPr>
                <w:sz w:val="20"/>
                <w:szCs w:val="20"/>
                <w:color w:val="auto"/>
              </w:rPr>
            </w:pPr>
            <w:r>
              <w:rPr>
                <w:rFonts w:ascii="Calibri" w:cs="Calibri" w:eastAsia="Calibri" w:hAnsi="Calibri"/>
                <w:sz w:val="14"/>
                <w:szCs w:val="14"/>
                <w:b w:val="1"/>
                <w:bCs w:val="1"/>
                <w:color w:val="auto"/>
              </w:rPr>
              <w:t>$</w:t>
            </w:r>
          </w:p>
        </w:tc>
        <w:tc>
          <w:tcPr>
            <w:tcW w:w="740" w:type="dxa"/>
            <w:vAlign w:val="bottom"/>
          </w:tcPr>
          <w:p>
            <w:pPr>
              <w:jc w:val="right"/>
              <w:spacing w:after="0"/>
              <w:rPr>
                <w:sz w:val="20"/>
                <w:szCs w:val="20"/>
                <w:color w:val="auto"/>
              </w:rPr>
            </w:pPr>
            <w:r>
              <w:rPr>
                <w:rFonts w:ascii="Calibri" w:cs="Calibri" w:eastAsia="Calibri" w:hAnsi="Calibri"/>
                <w:sz w:val="14"/>
                <w:szCs w:val="14"/>
                <w:b w:val="1"/>
                <w:bCs w:val="1"/>
                <w:color w:val="auto"/>
              </w:rPr>
              <w:t>54,386</w:t>
            </w:r>
          </w:p>
        </w:tc>
        <w:tc>
          <w:tcPr>
            <w:tcW w:w="380" w:type="dxa"/>
            <w:vAlign w:val="bottom"/>
            <w:gridSpan w:val="2"/>
          </w:tcPr>
          <w:p>
            <w:pPr>
              <w:jc w:val="right"/>
              <w:ind w:right="40"/>
              <w:spacing w:after="0"/>
              <w:rPr>
                <w:sz w:val="20"/>
                <w:szCs w:val="20"/>
                <w:color w:val="auto"/>
              </w:rPr>
            </w:pPr>
            <w:r>
              <w:rPr>
                <w:rFonts w:ascii="Calibri" w:cs="Calibri" w:eastAsia="Calibri" w:hAnsi="Calibri"/>
                <w:sz w:val="14"/>
                <w:szCs w:val="14"/>
                <w:b w:val="1"/>
                <w:bCs w:val="1"/>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47,817</w:t>
            </w:r>
          </w:p>
        </w:tc>
        <w:tc>
          <w:tcPr>
            <w:tcW w:w="128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88 %</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-145415</wp:posOffset>
            </wp:positionV>
            <wp:extent cx="76835" cy="146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-145415</wp:posOffset>
            </wp:positionV>
            <wp:extent cx="76835" cy="1460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-145415</wp:posOffset>
            </wp:positionV>
            <wp:extent cx="77470" cy="146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-145415</wp:posOffset>
            </wp:positionV>
            <wp:extent cx="68580" cy="146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-145415</wp:posOffset>
            </wp:positionV>
            <wp:extent cx="68580" cy="146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-145415</wp:posOffset>
            </wp:positionV>
            <wp:extent cx="68580" cy="146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-145415</wp:posOffset>
            </wp:positionV>
            <wp:extent cx="68580" cy="146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06" w:lineRule="exact"/>
        <w:rPr>
          <w:sz w:val="20"/>
          <w:szCs w:val="20"/>
          <w:color w:val="auto"/>
        </w:rPr>
      </w:pPr>
    </w:p>
    <w:p>
      <w:pPr>
        <w:jc w:val="both"/>
        <w:ind w:right="20" w:firstLine="44"/>
        <w:spacing w:after="0" w:line="225" w:lineRule="auto"/>
        <w:rPr>
          <w:sz w:val="20"/>
          <w:szCs w:val="20"/>
          <w:color w:val="auto"/>
        </w:rPr>
      </w:pPr>
      <w:r>
        <w:rPr>
          <w:rFonts w:ascii="Calibri" w:cs="Calibri" w:eastAsia="Calibri" w:hAnsi="Calibri"/>
          <w:sz w:val="18"/>
          <w:szCs w:val="18"/>
          <w:color w:val="auto"/>
        </w:rPr>
        <w:t>Total cost of revenues increased $7.1 million, or 23%, for the three months ended September 30, 2022 compared to the three months ended September 30, 2021 and increased $47.8 million, or 88%, for the nine months ended September 30, 2022 compared to the nine months ended September 30, 2021. The increase to total cost of revenues resulted primarily from higher order volume in both our Marketplace and Resale segments.</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w:t>
      </w:r>
    </w:p>
    <w:p>
      <w:pPr>
        <w:spacing w:after="0" w:line="136" w:lineRule="exact"/>
        <w:rPr>
          <w:sz w:val="20"/>
          <w:szCs w:val="20"/>
          <w:color w:val="auto"/>
        </w:rPr>
      </w:pPr>
    </w:p>
    <w:p>
      <w:pPr>
        <w:jc w:val="both"/>
        <w:ind w:right="20"/>
        <w:spacing w:after="0" w:line="229" w:lineRule="auto"/>
        <w:rPr>
          <w:sz w:val="20"/>
          <w:szCs w:val="20"/>
          <w:color w:val="auto"/>
        </w:rPr>
      </w:pPr>
      <w:r>
        <w:rPr>
          <w:rFonts w:ascii="Calibri" w:cs="Calibri" w:eastAsia="Calibri" w:hAnsi="Calibri"/>
          <w:sz w:val="18"/>
          <w:szCs w:val="18"/>
          <w:color w:val="auto"/>
        </w:rPr>
        <w:t>Marketplace cost of revenues increased $2.3 million, or 14%, for the three months ended September 30, 2022 compared to the three months ended September 30, 2021 and increased $20.8 million, or 65%, for the nine months ended September 30, 2022 compared to the nine months ended September 30, 2021. The increase in cost of revenues is fairly consistent with the increase in total Marketplace orders, which increased by 0.2 million orders, or 9%, for the three months ended September 30, 2022 compared to the three months ended September 30, 2021 and increased by 2.6 million orders, or 61%, for the nine months ended September 30, 2022 compared to the nine months ended September 30, 2021.</w:t>
      </w:r>
    </w:p>
    <w:p>
      <w:pPr>
        <w:spacing w:after="0" w:line="13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Resale</w:t>
      </w:r>
    </w:p>
    <w:p>
      <w:pPr>
        <w:spacing w:after="0" w:line="96" w:lineRule="exact"/>
        <w:rPr>
          <w:sz w:val="20"/>
          <w:szCs w:val="20"/>
          <w:color w:val="auto"/>
        </w:rPr>
      </w:pPr>
    </w:p>
    <w:p>
      <w:pPr>
        <w:jc w:val="both"/>
        <w:ind w:right="20"/>
        <w:spacing w:after="0" w:line="225" w:lineRule="auto"/>
        <w:rPr>
          <w:sz w:val="20"/>
          <w:szCs w:val="20"/>
          <w:color w:val="auto"/>
        </w:rPr>
      </w:pPr>
      <w:r>
        <w:rPr>
          <w:rFonts w:ascii="Calibri" w:cs="Calibri" w:eastAsia="Calibri" w:hAnsi="Calibri"/>
          <w:sz w:val="18"/>
          <w:szCs w:val="18"/>
          <w:color w:val="auto"/>
        </w:rPr>
        <w:t>Resale cost of revenues increased $4.9 million, or 33%, for the three months ended September 30, 2022 compared to the three months ended September 30, 2021 and increased $27.0 million, or 121%, for the nine months ended September 30, 2022 compared to the nine months ended September 30, 2021. The increase resulted from an increase in total Resale orders of less than 0.1 million orders during the three months ended September 30, 2022 compared to the three months ended September 30, 2021 and an increase of 0.1 million orders, or 86%, during the nine months ended September 30, 2022 compared to the nine months ended September 30, 2021. For the three months ended September 30, 2022, the increase in Resale cost of revenues is not consistent with the increase in Resale revenues due to higher margins for the three months ended September 30, 2022 compared to the three months ended September 30, 2021. For the nine months ended September 30, 2022, the increase in Resale cost of revenues is not consistent with the increase in Resale revenues due to lower margins for the nine months ended September 30, 2022 compared to the nine months ended September 30, 2021 given the strong post-COVID recovery demand that started in the second quarter of 2021.</w:t>
      </w:r>
    </w:p>
    <w:p>
      <w:pPr>
        <w:spacing w:after="0" w:line="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63" w:right="319" w:bottom="1440" w:gutter="0" w:footer="0" w:header="0"/>
        </w:sectPr>
      </w:pPr>
    </w:p>
    <w:bookmarkStart w:id="35" w:name="page36"/>
    <w:bookmarkEnd w:id="35"/>
    <w:p>
      <w:pPr>
        <w:spacing w:after="0"/>
        <w:rPr>
          <w:sz w:val="20"/>
          <w:szCs w:val="20"/>
          <w:color w:val="auto"/>
        </w:rPr>
      </w:pPr>
      <w:r>
        <w:rPr>
          <w:rFonts w:ascii="Calibri" w:cs="Calibri" w:eastAsia="Calibri" w:hAnsi="Calibri"/>
          <w:sz w:val="18"/>
          <w:szCs w:val="18"/>
          <w:b w:val="1"/>
          <w:bCs w:val="1"/>
          <w:color w:val="auto"/>
        </w:rPr>
        <w:t>Marketng and Selling</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marketng and selling expenses (in thousands, except percentages):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2040" w:type="dxa"/>
            <w:vAlign w:val="bottom"/>
            <w:gridSpan w:val="5"/>
          </w:tcPr>
          <w:p>
            <w:pPr>
              <w:jc w:val="center"/>
              <w:spacing w:after="0"/>
              <w:rPr>
                <w:sz w:val="20"/>
                <w:szCs w:val="20"/>
                <w:color w:val="auto"/>
              </w:rPr>
            </w:pPr>
            <w:r>
              <w:rPr>
                <w:rFonts w:ascii="Calibri" w:cs="Calibri" w:eastAsia="Calibri" w:hAnsi="Calibri"/>
                <w:sz w:val="14"/>
                <w:szCs w:val="14"/>
                <w:b w:val="1"/>
                <w:bCs w:val="1"/>
                <w:color w:val="auto"/>
              </w:rPr>
              <w:t>Three Months Ended September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5"/>
          </w:tcPr>
          <w:p>
            <w:pPr>
              <w:ind w:left="20"/>
              <w:spacing w:after="0"/>
              <w:rPr>
                <w:sz w:val="20"/>
                <w:szCs w:val="20"/>
                <w:color w:val="auto"/>
              </w:rPr>
            </w:pPr>
            <w:r>
              <w:rPr>
                <w:rFonts w:ascii="Calibri" w:cs="Calibri" w:eastAsia="Calibri" w:hAnsi="Calibri"/>
                <w:sz w:val="14"/>
                <w:szCs w:val="14"/>
                <w:b w:val="1"/>
                <w:bCs w:val="1"/>
                <w:color w:val="auto"/>
              </w:rPr>
              <w:t>Nine Months Ended September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30,</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jc w:val="right"/>
              <w:ind w:right="200"/>
              <w:spacing w:after="0"/>
              <w:rPr>
                <w:sz w:val="20"/>
                <w:szCs w:val="20"/>
                <w:color w:val="auto"/>
              </w:rPr>
            </w:pPr>
            <w:r>
              <w:rPr>
                <w:rFonts w:ascii="Calibri" w:cs="Calibri" w:eastAsia="Calibri" w:hAnsi="Calibri"/>
                <w:sz w:val="14"/>
                <w:szCs w:val="14"/>
                <w:b w:val="1"/>
                <w:bCs w:val="1"/>
                <w:color w:val="auto"/>
              </w:rPr>
              <w:t>30,</w:t>
            </w: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Calibri" w:cs="Calibri" w:eastAsia="Calibri" w:hAnsi="Calibri"/>
                <w:sz w:val="14"/>
                <w:szCs w:val="14"/>
                <w:b w:val="1"/>
                <w:bCs w:val="1"/>
                <w:color w:val="auto"/>
              </w:rPr>
              <w:t>2022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48"/>
              <w:spacing w:after="0"/>
              <w:rPr>
                <w:sz w:val="20"/>
                <w:szCs w:val="20"/>
                <w:color w:val="auto"/>
              </w:rPr>
            </w:pPr>
            <w:r>
              <w:rPr>
                <w:rFonts w:ascii="Calibri" w:cs="Calibri" w:eastAsia="Calibri" w:hAnsi="Calibri"/>
                <w:sz w:val="14"/>
                <w:szCs w:val="14"/>
                <w:b w:val="1"/>
                <w:bCs w:val="1"/>
                <w:color w:val="auto"/>
              </w:rPr>
              <w:t>2021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48"/>
              <w:spacing w:after="0" w:line="156" w:lineRule="exact"/>
              <w:rPr>
                <w:sz w:val="20"/>
                <w:szCs w:val="20"/>
                <w:color w:val="auto"/>
              </w:rPr>
            </w:pPr>
            <w:r>
              <w:rPr>
                <w:rFonts w:ascii="Calibri" w:cs="Calibri" w:eastAsia="Calibri" w:hAnsi="Calibri"/>
                <w:sz w:val="14"/>
                <w:szCs w:val="14"/>
                <w:b w:val="1"/>
                <w:bCs w:val="1"/>
                <w:color w:val="auto"/>
              </w:rPr>
              <w:t>Change</w:t>
            </w:r>
          </w:p>
        </w:tc>
        <w:tc>
          <w:tcPr>
            <w:tcW w:w="220" w:type="dxa"/>
            <w:vAlign w:val="bottom"/>
          </w:tcPr>
          <w:p>
            <w:pPr>
              <w:spacing w:after="0"/>
              <w:rPr>
                <w:sz w:val="14"/>
                <w:szCs w:val="14"/>
                <w:color w:val="auto"/>
              </w:rPr>
            </w:pPr>
          </w:p>
        </w:tc>
        <w:tc>
          <w:tcPr>
            <w:tcW w:w="1260" w:type="dxa"/>
            <w:vAlign w:val="bottom"/>
            <w:gridSpan w:val="2"/>
          </w:tcPr>
          <w:p>
            <w:pPr>
              <w:jc w:val="right"/>
              <w:ind w:right="460"/>
              <w:spacing w:after="0" w:line="156" w:lineRule="exact"/>
              <w:rPr>
                <w:sz w:val="20"/>
                <w:szCs w:val="20"/>
                <w:color w:val="auto"/>
              </w:rPr>
            </w:pPr>
            <w:r>
              <w:rPr>
                <w:rFonts w:ascii="Calibri" w:cs="Calibri" w:eastAsia="Calibri" w:hAnsi="Calibri"/>
                <w:sz w:val="14"/>
                <w:szCs w:val="14"/>
                <w:b w:val="1"/>
                <w:bCs w:val="1"/>
                <w:color w:val="auto"/>
              </w:rPr>
              <w:t>% Change</w:t>
            </w:r>
          </w:p>
        </w:tc>
        <w:tc>
          <w:tcPr>
            <w:tcW w:w="180" w:type="dxa"/>
            <w:vAlign w:val="bottom"/>
          </w:tcPr>
          <w:p>
            <w:pPr>
              <w:spacing w:after="0"/>
              <w:rPr>
                <w:sz w:val="14"/>
                <w:szCs w:val="14"/>
                <w:color w:val="auto"/>
              </w:rPr>
            </w:pPr>
          </w:p>
        </w:tc>
        <w:tc>
          <w:tcPr>
            <w:tcW w:w="660" w:type="dxa"/>
            <w:vAlign w:val="bottom"/>
          </w:tcPr>
          <w:p>
            <w:pPr>
              <w:jc w:val="right"/>
              <w:ind w:right="208"/>
              <w:spacing w:after="0"/>
              <w:rPr>
                <w:sz w:val="20"/>
                <w:szCs w:val="20"/>
                <w:color w:val="auto"/>
              </w:rPr>
            </w:pPr>
            <w:r>
              <w:rPr>
                <w:rFonts w:ascii="Calibri" w:cs="Calibri" w:eastAsia="Calibri" w:hAnsi="Calibri"/>
                <w:sz w:val="14"/>
                <w:szCs w:val="14"/>
                <w:b w:val="1"/>
                <w:bCs w:val="1"/>
                <w:color w:val="auto"/>
              </w:rPr>
              <w:t>2022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alibri" w:cs="Calibri" w:eastAsia="Calibri" w:hAnsi="Calibri"/>
                <w:sz w:val="14"/>
                <w:szCs w:val="14"/>
                <w:b w:val="1"/>
                <w:bCs w:val="1"/>
                <w:color w:val="auto"/>
              </w:rPr>
              <w:t>2021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28"/>
              <w:spacing w:after="0" w:line="156" w:lineRule="exact"/>
              <w:rPr>
                <w:sz w:val="20"/>
                <w:szCs w:val="20"/>
                <w:color w:val="auto"/>
              </w:rPr>
            </w:pPr>
            <w:r>
              <w:rPr>
                <w:rFonts w:ascii="Calibri" w:cs="Calibri" w:eastAsia="Calibri" w:hAnsi="Calibri"/>
                <w:sz w:val="14"/>
                <w:szCs w:val="14"/>
                <w:b w:val="1"/>
                <w:bCs w:val="1"/>
                <w:color w:val="auto"/>
              </w:rPr>
              <w:t>Change</w:t>
            </w:r>
          </w:p>
        </w:tc>
        <w:tc>
          <w:tcPr>
            <w:tcW w:w="220" w:type="dxa"/>
            <w:vAlign w:val="bottom"/>
          </w:tcPr>
          <w:p>
            <w:pPr>
              <w:spacing w:after="0"/>
              <w:rPr>
                <w:sz w:val="14"/>
                <w:szCs w:val="14"/>
                <w:color w:val="auto"/>
              </w:rPr>
            </w:pPr>
          </w:p>
        </w:tc>
        <w:tc>
          <w:tcPr>
            <w:tcW w:w="1240" w:type="dxa"/>
            <w:vAlign w:val="bottom"/>
            <w:gridSpan w:val="3"/>
          </w:tcPr>
          <w:p>
            <w:pPr>
              <w:ind w:left="260"/>
              <w:spacing w:after="0" w:line="156" w:lineRule="exact"/>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75"/>
        </w:trPr>
        <w:tc>
          <w:tcPr>
            <w:tcW w:w="216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Marketng and selling:</w:t>
            </w:r>
          </w:p>
        </w:tc>
        <w:tc>
          <w:tcPr>
            <w:tcW w:w="18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20"/>
              <w:spacing w:after="0"/>
              <w:rPr>
                <w:sz w:val="20"/>
                <w:szCs w:val="20"/>
                <w:color w:val="auto"/>
              </w:rPr>
            </w:pPr>
            <w:r>
              <w:rPr>
                <w:rFonts w:ascii="Calibri" w:cs="Calibri" w:eastAsia="Calibri" w:hAnsi="Calibri"/>
                <w:sz w:val="14"/>
                <w:szCs w:val="14"/>
                <w:color w:val="auto"/>
              </w:rPr>
              <w:t>Online</w:t>
            </w:r>
          </w:p>
        </w:tc>
        <w:tc>
          <w:tcPr>
            <w:tcW w:w="180" w:type="dxa"/>
            <w:vAlign w:val="bottom"/>
          </w:tcPr>
          <w:p>
            <w:pPr>
              <w:jc w:val="right"/>
              <w:ind w:right="28"/>
              <w:spacing w:after="0"/>
              <w:rPr>
                <w:sz w:val="20"/>
                <w:szCs w:val="20"/>
                <w:color w:val="auto"/>
              </w:rPr>
            </w:pPr>
            <w:r>
              <w:rPr>
                <w:rFonts w:ascii="Calibri" w:cs="Calibri" w:eastAsia="Calibri" w:hAnsi="Calibri"/>
                <w:sz w:val="14"/>
                <w:szCs w:val="14"/>
                <w:color w:val="auto"/>
                <w:w w:val="83"/>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59,774</w:t>
            </w:r>
          </w:p>
        </w:tc>
        <w:tc>
          <w:tcPr>
            <w:tcW w:w="440" w:type="dxa"/>
            <w:vAlign w:val="bottom"/>
            <w:gridSpan w:val="2"/>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48,711</w:t>
            </w:r>
          </w:p>
        </w:tc>
        <w:tc>
          <w:tcPr>
            <w:tcW w:w="380" w:type="dxa"/>
            <w:vAlign w:val="bottom"/>
            <w:gridSpan w:val="2"/>
          </w:tcPr>
          <w:p>
            <w:pPr>
              <w:jc w:val="right"/>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11,063</w:t>
            </w:r>
          </w:p>
        </w:tc>
        <w:tc>
          <w:tcPr>
            <w:tcW w:w="1480" w:type="dxa"/>
            <w:vAlign w:val="bottom"/>
            <w:gridSpan w:val="3"/>
          </w:tcPr>
          <w:p>
            <w:pPr>
              <w:jc w:val="right"/>
              <w:ind w:right="100"/>
              <w:spacing w:after="0"/>
              <w:rPr>
                <w:sz w:val="20"/>
                <w:szCs w:val="20"/>
                <w:color w:val="auto"/>
              </w:rPr>
            </w:pPr>
            <w:r>
              <w:rPr>
                <w:rFonts w:ascii="Calibri" w:cs="Calibri" w:eastAsia="Calibri" w:hAnsi="Calibri"/>
                <w:sz w:val="14"/>
                <w:szCs w:val="14"/>
                <w:color w:val="auto"/>
              </w:rPr>
              <w:t>23 %</w:t>
            </w:r>
          </w:p>
        </w:tc>
        <w:tc>
          <w:tcPr>
            <w:tcW w:w="180" w:type="dxa"/>
            <w:vAlign w:val="bottom"/>
          </w:tcPr>
          <w:p>
            <w:pPr>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164,444</w:t>
            </w:r>
          </w:p>
        </w:tc>
        <w:tc>
          <w:tcPr>
            <w:tcW w:w="42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c>
          <w:tcPr>
            <w:tcW w:w="680" w:type="dxa"/>
            <w:vAlign w:val="bottom"/>
          </w:tcPr>
          <w:p>
            <w:pPr>
              <w:jc w:val="right"/>
              <w:spacing w:after="0"/>
              <w:rPr>
                <w:sz w:val="20"/>
                <w:szCs w:val="20"/>
                <w:color w:val="auto"/>
              </w:rPr>
            </w:pPr>
            <w:r>
              <w:rPr>
                <w:rFonts w:ascii="Calibri" w:cs="Calibri" w:eastAsia="Calibri" w:hAnsi="Calibri"/>
                <w:sz w:val="14"/>
                <w:szCs w:val="14"/>
                <w:color w:val="auto"/>
              </w:rPr>
              <w:t>101,595</w:t>
            </w:r>
          </w:p>
        </w:tc>
        <w:tc>
          <w:tcPr>
            <w:tcW w:w="380" w:type="dxa"/>
            <w:vAlign w:val="bottom"/>
            <w:gridSpan w:val="2"/>
          </w:tcPr>
          <w:p>
            <w:pPr>
              <w:jc w:val="right"/>
              <w:ind w:right="60"/>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62,849</w:t>
            </w:r>
          </w:p>
        </w:tc>
        <w:tc>
          <w:tcPr>
            <w:tcW w:w="1440" w:type="dxa"/>
            <w:vAlign w:val="bottom"/>
            <w:gridSpan w:val="3"/>
          </w:tcPr>
          <w:p>
            <w:pPr>
              <w:jc w:val="right"/>
              <w:spacing w:after="0"/>
              <w:rPr>
                <w:sz w:val="20"/>
                <w:szCs w:val="20"/>
                <w:color w:val="auto"/>
              </w:rPr>
            </w:pPr>
            <w:r>
              <w:rPr>
                <w:rFonts w:ascii="Calibri" w:cs="Calibri" w:eastAsia="Calibri" w:hAnsi="Calibri"/>
                <w:sz w:val="14"/>
                <w:szCs w:val="14"/>
                <w:color w:val="auto"/>
              </w:rPr>
              <w:t>62 %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6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Ofine</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6,549</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1,660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4,889</w:t>
            </w:r>
          </w:p>
        </w:tc>
        <w:tc>
          <w:tcPr>
            <w:tcW w:w="2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00"/>
              <w:spacing w:after="0"/>
              <w:rPr>
                <w:sz w:val="20"/>
                <w:szCs w:val="20"/>
                <w:color w:val="auto"/>
              </w:rPr>
            </w:pPr>
            <w:r>
              <w:rPr>
                <w:rFonts w:ascii="Calibri" w:cs="Calibri" w:eastAsia="Calibri" w:hAnsi="Calibri"/>
                <w:sz w:val="14"/>
                <w:szCs w:val="14"/>
                <w:color w:val="auto"/>
              </w:rPr>
              <w:t>295 %</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15,519</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3,153</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12,366</w:t>
            </w:r>
          </w:p>
        </w:tc>
        <w:tc>
          <w:tcPr>
            <w:tcW w:w="1440" w:type="dxa"/>
            <w:vAlign w:val="bottom"/>
            <w:gridSpan w:val="3"/>
            <w:shd w:val="clear" w:color="auto" w:fill="CFF0FC"/>
          </w:tcPr>
          <w:p>
            <w:pPr>
              <w:jc w:val="right"/>
              <w:spacing w:after="0"/>
              <w:rPr>
                <w:sz w:val="20"/>
                <w:szCs w:val="20"/>
                <w:color w:val="auto"/>
              </w:rPr>
            </w:pPr>
            <w:r>
              <w:rPr>
                <w:rFonts w:ascii="Calibri" w:cs="Calibri" w:eastAsia="Calibri" w:hAnsi="Calibri"/>
                <w:sz w:val="14"/>
                <w:szCs w:val="14"/>
                <w:color w:val="auto"/>
              </w:rPr>
              <w:t>392 %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160" w:type="dxa"/>
            <w:vAlign w:val="bottom"/>
          </w:tcPr>
          <w:p>
            <w:pPr>
              <w:ind w:left="20"/>
              <w:spacing w:after="0"/>
              <w:rPr>
                <w:sz w:val="20"/>
                <w:szCs w:val="20"/>
                <w:color w:val="auto"/>
              </w:rPr>
            </w:pPr>
            <w:r>
              <w:rPr>
                <w:rFonts w:ascii="Calibri" w:cs="Calibri" w:eastAsia="Calibri" w:hAnsi="Calibri"/>
                <w:sz w:val="14"/>
                <w:szCs w:val="14"/>
                <w:b w:val="1"/>
                <w:bCs w:val="1"/>
                <w:color w:val="auto"/>
              </w:rPr>
              <w:t>Total marketng and selling</w:t>
            </w:r>
          </w:p>
        </w:tc>
        <w:tc>
          <w:tcPr>
            <w:tcW w:w="180" w:type="dxa"/>
            <w:vAlign w:val="bottom"/>
          </w:tcPr>
          <w:p>
            <w:pPr>
              <w:jc w:val="right"/>
              <w:ind w:right="28"/>
              <w:spacing w:after="0"/>
              <w:rPr>
                <w:sz w:val="20"/>
                <w:szCs w:val="20"/>
                <w:color w:val="auto"/>
              </w:rPr>
            </w:pPr>
            <w:r>
              <w:rPr>
                <w:rFonts w:ascii="Calibri" w:cs="Calibri" w:eastAsia="Calibri" w:hAnsi="Calibri"/>
                <w:sz w:val="14"/>
                <w:szCs w:val="14"/>
                <w:b w:val="1"/>
                <w:bCs w:val="1"/>
                <w:color w:val="auto"/>
                <w:w w:val="83"/>
              </w:rPr>
              <w:t>$</w:t>
            </w:r>
          </w:p>
        </w:tc>
        <w:tc>
          <w:tcPr>
            <w:tcW w:w="700" w:type="dxa"/>
            <w:vAlign w:val="bottom"/>
          </w:tcPr>
          <w:p>
            <w:pPr>
              <w:jc w:val="right"/>
              <w:spacing w:after="0"/>
              <w:rPr>
                <w:sz w:val="20"/>
                <w:szCs w:val="20"/>
                <w:color w:val="auto"/>
              </w:rPr>
            </w:pPr>
            <w:r>
              <w:rPr>
                <w:rFonts w:ascii="Calibri" w:cs="Calibri" w:eastAsia="Calibri" w:hAnsi="Calibri"/>
                <w:sz w:val="14"/>
                <w:szCs w:val="14"/>
                <w:b w:val="1"/>
                <w:bCs w:val="1"/>
                <w:color w:val="auto"/>
              </w:rPr>
              <w:t>66,323</w:t>
            </w: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Calibri" w:cs="Calibri" w:eastAsia="Calibri" w:hAnsi="Calibri"/>
                <w:sz w:val="14"/>
                <w:szCs w:val="14"/>
                <w:b w:val="1"/>
                <w:bCs w:val="1"/>
                <w:color w:val="auto"/>
                <w:w w:val="83"/>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color w:val="auto"/>
              </w:rPr>
              <w:t>50,371</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color w:val="auto"/>
              </w:rPr>
              <w:t>15,952</w:t>
            </w:r>
          </w:p>
        </w:tc>
        <w:tc>
          <w:tcPr>
            <w:tcW w:w="22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Calibri" w:cs="Calibri" w:eastAsia="Calibri" w:hAnsi="Calibri"/>
                <w:sz w:val="14"/>
                <w:szCs w:val="14"/>
                <w:b w:val="1"/>
                <w:bCs w:val="1"/>
                <w:color w:val="auto"/>
              </w:rPr>
              <w:t>32 %</w:t>
            </w:r>
          </w:p>
        </w:tc>
        <w:tc>
          <w:tcPr>
            <w:tcW w:w="180" w:type="dxa"/>
            <w:vAlign w:val="bottom"/>
          </w:tcPr>
          <w:p>
            <w:pPr>
              <w:spacing w:after="0"/>
              <w:rPr>
                <w:sz w:val="20"/>
                <w:szCs w:val="20"/>
                <w:color w:val="auto"/>
              </w:rPr>
            </w:pPr>
            <w:r>
              <w:rPr>
                <w:rFonts w:ascii="Calibri" w:cs="Calibri" w:eastAsia="Calibri" w:hAnsi="Calibri"/>
                <w:sz w:val="14"/>
                <w:szCs w:val="14"/>
                <w:b w:val="1"/>
                <w:bCs w:val="1"/>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b w:val="1"/>
                <w:bCs w:val="1"/>
                <w:color w:val="auto"/>
              </w:rPr>
              <w:t>179,963</w:t>
            </w:r>
          </w:p>
        </w:tc>
        <w:tc>
          <w:tcPr>
            <w:tcW w:w="420" w:type="dxa"/>
            <w:vAlign w:val="bottom"/>
            <w:gridSpan w:val="2"/>
          </w:tcPr>
          <w:p>
            <w:pPr>
              <w:jc w:val="right"/>
              <w:ind w:right="120"/>
              <w:spacing w:after="0"/>
              <w:rPr>
                <w:sz w:val="20"/>
                <w:szCs w:val="20"/>
                <w:color w:val="auto"/>
              </w:rPr>
            </w:pPr>
            <w:r>
              <w:rPr>
                <w:rFonts w:ascii="Calibri" w:cs="Calibri" w:eastAsia="Calibri" w:hAnsi="Calibri"/>
                <w:sz w:val="14"/>
                <w:szCs w:val="14"/>
                <w:b w:val="1"/>
                <w:bCs w:val="1"/>
                <w:color w:val="auto"/>
              </w:rPr>
              <w:t>$</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104,748</w:t>
            </w:r>
          </w:p>
        </w:tc>
        <w:tc>
          <w:tcPr>
            <w:tcW w:w="380" w:type="dxa"/>
            <w:vAlign w:val="bottom"/>
            <w:gridSpan w:val="2"/>
          </w:tcPr>
          <w:p>
            <w:pPr>
              <w:jc w:val="right"/>
              <w:ind w:right="60"/>
              <w:spacing w:after="0"/>
              <w:rPr>
                <w:sz w:val="20"/>
                <w:szCs w:val="20"/>
                <w:color w:val="auto"/>
              </w:rPr>
            </w:pPr>
            <w:r>
              <w:rPr>
                <w:rFonts w:ascii="Calibri" w:cs="Calibri" w:eastAsia="Calibri" w:hAnsi="Calibri"/>
                <w:sz w:val="14"/>
                <w:szCs w:val="14"/>
                <w:b w:val="1"/>
                <w:bCs w:val="1"/>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b w:val="1"/>
                <w:bCs w:val="1"/>
                <w:color w:val="auto"/>
              </w:rPr>
              <w:t>75,215</w:t>
            </w:r>
          </w:p>
        </w:tc>
        <w:tc>
          <w:tcPr>
            <w:tcW w:w="144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72 %</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-144780</wp:posOffset>
            </wp:positionV>
            <wp:extent cx="77470" cy="1454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-144780</wp:posOffset>
            </wp:positionV>
            <wp:extent cx="76835" cy="1454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-144780</wp:posOffset>
            </wp:positionV>
            <wp:extent cx="68580" cy="1454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-144780</wp:posOffset>
            </wp:positionV>
            <wp:extent cx="68580" cy="1454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-144780</wp:posOffset>
            </wp:positionV>
            <wp:extent cx="68580" cy="1454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-144780</wp:posOffset>
            </wp:positionV>
            <wp:extent cx="68580" cy="1454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-144780</wp:posOffset>
            </wp:positionV>
            <wp:extent cx="68580" cy="1454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06" w:lineRule="exact"/>
        <w:rPr>
          <w:sz w:val="20"/>
          <w:szCs w:val="20"/>
          <w:color w:val="auto"/>
        </w:rPr>
      </w:pPr>
    </w:p>
    <w:p>
      <w:pPr>
        <w:jc w:val="both"/>
        <w:ind w:right="60"/>
        <w:spacing w:after="0" w:line="226" w:lineRule="auto"/>
        <w:rPr>
          <w:sz w:val="20"/>
          <w:szCs w:val="20"/>
          <w:color w:val="auto"/>
        </w:rPr>
      </w:pPr>
      <w:r>
        <w:rPr>
          <w:rFonts w:ascii="Calibri" w:cs="Calibri" w:eastAsia="Calibri" w:hAnsi="Calibri"/>
          <w:sz w:val="18"/>
          <w:szCs w:val="18"/>
          <w:color w:val="auto"/>
        </w:rPr>
        <w:t>Marketng and selling expenses, which are entrely atributable to our Marketplace segment, increased $16.0 million, or 32%, during the three months ended September 30, 2022 compared to the three months ended September 30, 2021 and increased $75.2 million, or 72%, during the nine months ended September 30, 2022 compared to the nine months ended September 30, 2021. The increase in expenses primarily resulted from greater spending on online advertsing. Our spending on online advertsing increased by $11.1 million, or 23%, during the three months ended September 30, 2022 compared to the three months ended September 30, 2021 and increased by $62.8 million, or 62%, during the nine months ended September 30, 2022 compared to the nine months ended September 30, 2021. Our spending on ofine advertsing increased by $4.9 million, or 295%, during the three months ended September 30, 2022 compared to the three months ended September 30, 2021 and increased by $12.4 million, or 392%, during the nine months ended September 30, 2022 compared to the nine months ended September 30, 2021 as we increased our brand awareness marketng eforts.</w:t>
      </w:r>
    </w:p>
    <w:p>
      <w:pPr>
        <w:spacing w:after="0" w:line="13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General and Administratve</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general and administratve expenses (in thousands, except percentages):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1980" w:type="dxa"/>
            <w:vAlign w:val="bottom"/>
            <w:gridSpan w:val="5"/>
          </w:tcPr>
          <w:p>
            <w:pPr>
              <w:spacing w:after="0"/>
              <w:rPr>
                <w:sz w:val="20"/>
                <w:szCs w:val="20"/>
                <w:color w:val="auto"/>
              </w:rPr>
            </w:pPr>
            <w:r>
              <w:rPr>
                <w:rFonts w:ascii="Calibri" w:cs="Calibri" w:eastAsia="Calibri" w:hAnsi="Calibri"/>
                <w:sz w:val="14"/>
                <w:szCs w:val="14"/>
                <w:b w:val="1"/>
                <w:bCs w:val="1"/>
                <w:color w:val="auto"/>
              </w:rPr>
              <w:t>Three Months Ended September</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5"/>
          </w:tcPr>
          <w:p>
            <w:pPr>
              <w:jc w:val="right"/>
              <w:spacing w:after="0"/>
              <w:rPr>
                <w:sz w:val="20"/>
                <w:szCs w:val="20"/>
                <w:color w:val="auto"/>
              </w:rPr>
            </w:pPr>
            <w:r>
              <w:rPr>
                <w:rFonts w:ascii="Calibri" w:cs="Calibri" w:eastAsia="Calibri" w:hAnsi="Calibri"/>
                <w:sz w:val="14"/>
                <w:szCs w:val="14"/>
                <w:b w:val="1"/>
                <w:bCs w:val="1"/>
                <w:color w:val="auto"/>
              </w:rPr>
              <w:t>Nine Months Ended September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2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30,</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ind w:right="128"/>
              <w:spacing w:after="0"/>
              <w:rPr>
                <w:sz w:val="20"/>
                <w:szCs w:val="20"/>
                <w:color w:val="auto"/>
              </w:rPr>
            </w:pPr>
            <w:r>
              <w:rPr>
                <w:rFonts w:ascii="Calibri" w:cs="Calibri" w:eastAsia="Calibri" w:hAnsi="Calibri"/>
                <w:sz w:val="14"/>
                <w:szCs w:val="14"/>
                <w:b w:val="1"/>
                <w:bCs w:val="1"/>
                <w:color w:val="auto"/>
              </w:rPr>
              <w:t>30,</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08"/>
              <w:spacing w:after="0"/>
              <w:rPr>
                <w:sz w:val="20"/>
                <w:szCs w:val="20"/>
                <w:color w:val="auto"/>
              </w:rPr>
            </w:pPr>
            <w:r>
              <w:rPr>
                <w:rFonts w:ascii="Calibri" w:cs="Calibri" w:eastAsia="Calibri" w:hAnsi="Calibri"/>
                <w:sz w:val="14"/>
                <w:szCs w:val="14"/>
                <w:b w:val="1"/>
                <w:bCs w:val="1"/>
                <w:color w:val="auto"/>
              </w:rPr>
              <w:t>2022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Calibri" w:cs="Calibri" w:eastAsia="Calibri" w:hAnsi="Calibri"/>
                <w:sz w:val="14"/>
                <w:szCs w:val="14"/>
                <w:b w:val="1"/>
                <w:bCs w:val="1"/>
                <w:color w:val="auto"/>
              </w:rPr>
              <w:t>2021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348"/>
              <w:spacing w:after="0" w:line="156" w:lineRule="exact"/>
              <w:rPr>
                <w:sz w:val="20"/>
                <w:szCs w:val="20"/>
                <w:color w:val="auto"/>
              </w:rPr>
            </w:pPr>
            <w:r>
              <w:rPr>
                <w:rFonts w:ascii="Calibri" w:cs="Calibri" w:eastAsia="Calibri" w:hAnsi="Calibri"/>
                <w:sz w:val="14"/>
                <w:szCs w:val="14"/>
                <w:b w:val="1"/>
                <w:bCs w:val="1"/>
                <w:color w:val="auto"/>
              </w:rPr>
              <w:t>Change</w:t>
            </w:r>
          </w:p>
        </w:tc>
        <w:tc>
          <w:tcPr>
            <w:tcW w:w="1360" w:type="dxa"/>
            <w:vAlign w:val="bottom"/>
            <w:gridSpan w:val="2"/>
          </w:tcPr>
          <w:p>
            <w:pPr>
              <w:jc w:val="right"/>
              <w:ind w:right="428"/>
              <w:spacing w:after="0" w:line="156" w:lineRule="exact"/>
              <w:rPr>
                <w:sz w:val="20"/>
                <w:szCs w:val="20"/>
                <w:color w:val="auto"/>
              </w:rPr>
            </w:pPr>
            <w:r>
              <w:rPr>
                <w:rFonts w:ascii="Calibri" w:cs="Calibri" w:eastAsia="Calibri" w:hAnsi="Calibri"/>
                <w:sz w:val="14"/>
                <w:szCs w:val="14"/>
                <w:b w:val="1"/>
                <w:bCs w:val="1"/>
                <w:color w:val="auto"/>
              </w:rPr>
              <w:t>% Change</w:t>
            </w:r>
          </w:p>
        </w:tc>
        <w:tc>
          <w:tcPr>
            <w:tcW w:w="18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Calibri" w:cs="Calibri" w:eastAsia="Calibri" w:hAnsi="Calibri"/>
                <w:sz w:val="14"/>
                <w:szCs w:val="14"/>
                <w:b w:val="1"/>
                <w:bCs w:val="1"/>
                <w:color w:val="auto"/>
              </w:rPr>
              <w:t>2022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208"/>
              <w:spacing w:after="0"/>
              <w:rPr>
                <w:sz w:val="20"/>
                <w:szCs w:val="20"/>
                <w:color w:val="auto"/>
              </w:rPr>
            </w:pPr>
            <w:r>
              <w:rPr>
                <w:rFonts w:ascii="Calibri" w:cs="Calibri" w:eastAsia="Calibri" w:hAnsi="Calibri"/>
                <w:sz w:val="14"/>
                <w:szCs w:val="14"/>
                <w:b w:val="1"/>
                <w:bCs w:val="1"/>
                <w:color w:val="auto"/>
              </w:rPr>
              <w:t>2021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20"/>
              <w:spacing w:after="0" w:line="156" w:lineRule="exact"/>
              <w:rPr>
                <w:sz w:val="20"/>
                <w:szCs w:val="20"/>
                <w:color w:val="auto"/>
              </w:rPr>
            </w:pPr>
            <w:r>
              <w:rPr>
                <w:rFonts w:ascii="Calibri" w:cs="Calibri" w:eastAsia="Calibri" w:hAnsi="Calibri"/>
                <w:sz w:val="14"/>
                <w:szCs w:val="14"/>
                <w:b w:val="1"/>
                <w:bCs w:val="1"/>
                <w:color w:val="auto"/>
              </w:rPr>
              <w:t>Change</w:t>
            </w:r>
          </w:p>
        </w:tc>
        <w:tc>
          <w:tcPr>
            <w:tcW w:w="1300" w:type="dxa"/>
            <w:vAlign w:val="bottom"/>
            <w:gridSpan w:val="3"/>
          </w:tcPr>
          <w:p>
            <w:pPr>
              <w:jc w:val="right"/>
              <w:ind w:right="440"/>
              <w:spacing w:after="0" w:line="156" w:lineRule="exact"/>
              <w:rPr>
                <w:sz w:val="20"/>
                <w:szCs w:val="20"/>
                <w:color w:val="auto"/>
              </w:rPr>
            </w:pPr>
            <w:r>
              <w:rPr>
                <w:rFonts w:ascii="Calibri" w:cs="Calibri" w:eastAsia="Calibri" w:hAnsi="Calibri"/>
                <w:sz w:val="14"/>
                <w:szCs w:val="14"/>
                <w:b w:val="1"/>
                <w:bCs w:val="1"/>
                <w:color w:val="auto"/>
              </w:rPr>
              <w:t>% Change</w:t>
            </w:r>
          </w:p>
        </w:tc>
      </w:tr>
      <w:tr>
        <w:trPr>
          <w:trHeight w:val="175"/>
        </w:trPr>
        <w:tc>
          <w:tcPr>
            <w:tcW w:w="216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General and administratve:</w:t>
            </w:r>
          </w:p>
        </w:tc>
        <w:tc>
          <w:tcPr>
            <w:tcW w:w="18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2160" w:type="dxa"/>
            <w:vAlign w:val="bottom"/>
          </w:tcPr>
          <w:p>
            <w:pPr>
              <w:ind w:left="20"/>
              <w:spacing w:after="0"/>
              <w:rPr>
                <w:sz w:val="20"/>
                <w:szCs w:val="20"/>
                <w:color w:val="auto"/>
              </w:rPr>
            </w:pPr>
            <w:r>
              <w:rPr>
                <w:rFonts w:ascii="Calibri" w:cs="Calibri" w:eastAsia="Calibri" w:hAnsi="Calibri"/>
                <w:sz w:val="14"/>
                <w:szCs w:val="14"/>
                <w:color w:val="auto"/>
              </w:rPr>
              <w:t>Personnel expenses</w:t>
            </w:r>
          </w:p>
        </w:tc>
        <w:tc>
          <w:tcPr>
            <w:tcW w:w="180" w:type="dxa"/>
            <w:vAlign w:val="bottom"/>
          </w:tcPr>
          <w:p>
            <w:pPr>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22,251</w:t>
            </w:r>
          </w:p>
        </w:tc>
        <w:tc>
          <w:tcPr>
            <w:tcW w:w="440" w:type="dxa"/>
            <w:vAlign w:val="bottom"/>
            <w:gridSpan w:val="2"/>
          </w:tcPr>
          <w:p>
            <w:pPr>
              <w:jc w:val="right"/>
              <w:ind w:right="28"/>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12,549</w:t>
            </w:r>
          </w:p>
        </w:tc>
        <w:tc>
          <w:tcPr>
            <w:tcW w:w="400" w:type="dxa"/>
            <w:vAlign w:val="bottom"/>
            <w:gridSpan w:val="2"/>
          </w:tcPr>
          <w:p>
            <w:pPr>
              <w:jc w:val="right"/>
              <w:ind w:right="8"/>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9,702</w:t>
            </w:r>
          </w:p>
        </w:tc>
        <w:tc>
          <w:tcPr>
            <w:tcW w:w="22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alibri" w:cs="Calibri" w:eastAsia="Calibri" w:hAnsi="Calibri"/>
                <w:sz w:val="14"/>
                <w:szCs w:val="14"/>
                <w:color w:val="auto"/>
              </w:rPr>
              <w:t>77 %</w:t>
            </w:r>
          </w:p>
        </w:tc>
        <w:tc>
          <w:tcPr>
            <w:tcW w:w="1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64,685</w:t>
            </w:r>
          </w:p>
        </w:tc>
        <w:tc>
          <w:tcPr>
            <w:tcW w:w="420" w:type="dxa"/>
            <w:vAlign w:val="bottom"/>
            <w:gridSpan w:val="2"/>
          </w:tcPr>
          <w:p>
            <w:pPr>
              <w:jc w:val="right"/>
              <w:ind w:right="28"/>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28,822</w:t>
            </w:r>
          </w:p>
        </w:tc>
        <w:tc>
          <w:tcPr>
            <w:tcW w:w="360" w:type="dxa"/>
            <w:vAlign w:val="bottom"/>
            <w:gridSpan w:val="2"/>
          </w:tcPr>
          <w:p>
            <w:pPr>
              <w:jc w:val="right"/>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35,863</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alibri" w:cs="Calibri" w:eastAsia="Calibri" w:hAnsi="Calibri"/>
                <w:sz w:val="14"/>
                <w:szCs w:val="14"/>
                <w:color w:val="auto"/>
              </w:rPr>
              <w:t>124 %</w:t>
            </w:r>
          </w:p>
        </w:tc>
        <w:tc>
          <w:tcPr>
            <w:tcW w:w="60" w:type="dxa"/>
            <w:vAlign w:val="bottom"/>
          </w:tcPr>
          <w:p>
            <w:pPr>
              <w:spacing w:after="0"/>
              <w:rPr>
                <w:sz w:val="14"/>
                <w:szCs w:val="14"/>
                <w:color w:val="auto"/>
              </w:rPr>
            </w:pPr>
          </w:p>
        </w:tc>
      </w:tr>
      <w:tr>
        <w:trPr>
          <w:trHeight w:val="170"/>
        </w:trPr>
        <w:tc>
          <w:tcPr>
            <w:tcW w:w="2160" w:type="dxa"/>
            <w:vAlign w:val="bottom"/>
          </w:tcPr>
          <w:p>
            <w:pPr>
              <w:ind w:left="20"/>
              <w:spacing w:after="0"/>
              <w:rPr>
                <w:sz w:val="20"/>
                <w:szCs w:val="20"/>
                <w:color w:val="auto"/>
              </w:rPr>
            </w:pPr>
            <w:r>
              <w:rPr>
                <w:rFonts w:ascii="Calibri" w:cs="Calibri" w:eastAsia="Calibri" w:hAnsi="Calibri"/>
                <w:sz w:val="14"/>
                <w:szCs w:val="14"/>
                <w:color w:val="auto"/>
              </w:rPr>
              <w:t>Non-income tax expenses</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alibri" w:cs="Calibri" w:eastAsia="Calibri" w:hAnsi="Calibri"/>
                <w:sz w:val="14"/>
                <w:szCs w:val="14"/>
                <w:color w:val="auto"/>
              </w:rPr>
              <w:t>177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22,075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88"/>
              <w:spacing w:after="0"/>
              <w:rPr>
                <w:sz w:val="20"/>
                <w:szCs w:val="20"/>
                <w:color w:val="auto"/>
              </w:rPr>
            </w:pPr>
            <w:r>
              <w:rPr>
                <w:rFonts w:ascii="Calibri" w:cs="Calibri" w:eastAsia="Calibri" w:hAnsi="Calibri"/>
                <w:sz w:val="14"/>
                <w:szCs w:val="14"/>
                <w:color w:val="auto"/>
              </w:rPr>
              <w:t>(21,898 )</w:t>
            </w:r>
          </w:p>
        </w:tc>
        <w:tc>
          <w:tcPr>
            <w:tcW w:w="1360" w:type="dxa"/>
            <w:vAlign w:val="bottom"/>
            <w:gridSpan w:val="2"/>
          </w:tcPr>
          <w:p>
            <w:pPr>
              <w:jc w:val="right"/>
              <w:spacing w:after="0"/>
              <w:rPr>
                <w:sz w:val="20"/>
                <w:szCs w:val="20"/>
                <w:color w:val="auto"/>
              </w:rPr>
            </w:pPr>
            <w:r>
              <w:rPr>
                <w:rFonts w:ascii="Calibri" w:cs="Calibri" w:eastAsia="Calibri" w:hAnsi="Calibri"/>
                <w:sz w:val="14"/>
                <w:szCs w:val="14"/>
                <w:color w:val="auto"/>
              </w:rPr>
              <w:t>(99 )%</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3,859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alibri" w:cs="Calibri" w:eastAsia="Calibri" w:hAnsi="Calibri"/>
                <w:sz w:val="14"/>
                <w:szCs w:val="14"/>
                <w:color w:val="auto"/>
              </w:rPr>
              <w:t>35,520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(31,661 )</w:t>
            </w:r>
          </w:p>
        </w:tc>
        <w:tc>
          <w:tcPr>
            <w:tcW w:w="1300" w:type="dxa"/>
            <w:vAlign w:val="bottom"/>
            <w:gridSpan w:val="3"/>
          </w:tcPr>
          <w:p>
            <w:pPr>
              <w:jc w:val="right"/>
              <w:spacing w:after="0"/>
              <w:rPr>
                <w:sz w:val="20"/>
                <w:szCs w:val="20"/>
                <w:color w:val="auto"/>
              </w:rPr>
            </w:pPr>
            <w:r>
              <w:rPr>
                <w:rFonts w:ascii="Calibri" w:cs="Calibri" w:eastAsia="Calibri" w:hAnsi="Calibri"/>
                <w:sz w:val="14"/>
                <w:szCs w:val="14"/>
                <w:color w:val="auto"/>
              </w:rPr>
              <w:t>(89 )%</w:t>
            </w:r>
          </w:p>
        </w:tc>
      </w:tr>
      <w:tr>
        <w:trPr>
          <w:trHeight w:val="180"/>
        </w:trPr>
        <w:tc>
          <w:tcPr>
            <w:tcW w:w="2160" w:type="dxa"/>
            <w:vAlign w:val="bottom"/>
          </w:tcPr>
          <w:p>
            <w:pPr>
              <w:ind w:left="20"/>
              <w:spacing w:after="0"/>
              <w:rPr>
                <w:sz w:val="20"/>
                <w:szCs w:val="20"/>
                <w:color w:val="auto"/>
              </w:rPr>
            </w:pPr>
            <w:r>
              <w:rPr>
                <w:rFonts w:ascii="Calibri" w:cs="Calibri" w:eastAsia="Calibri" w:hAnsi="Calibri"/>
                <w:sz w:val="14"/>
                <w:szCs w:val="14"/>
                <w:color w:val="auto"/>
              </w:rPr>
              <w:t>Other</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alibri" w:cs="Calibri" w:eastAsia="Calibri" w:hAnsi="Calibri"/>
                <w:sz w:val="14"/>
                <w:szCs w:val="14"/>
                <w:color w:val="auto"/>
              </w:rPr>
              <w:t>7,811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7,885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88"/>
              <w:spacing w:after="0"/>
              <w:rPr>
                <w:sz w:val="20"/>
                <w:szCs w:val="20"/>
                <w:color w:val="auto"/>
              </w:rPr>
            </w:pPr>
            <w:r>
              <w:rPr>
                <w:rFonts w:ascii="Calibri" w:cs="Calibri" w:eastAsia="Calibri" w:hAnsi="Calibri"/>
                <w:sz w:val="14"/>
                <w:szCs w:val="14"/>
                <w:color w:val="auto"/>
              </w:rPr>
              <w:t>(74 )</w:t>
            </w:r>
          </w:p>
        </w:tc>
        <w:tc>
          <w:tcPr>
            <w:tcW w:w="1360" w:type="dxa"/>
            <w:vAlign w:val="bottom"/>
            <w:gridSpan w:val="2"/>
          </w:tcPr>
          <w:p>
            <w:pPr>
              <w:jc w:val="right"/>
              <w:spacing w:after="0"/>
              <w:rPr>
                <w:sz w:val="20"/>
                <w:szCs w:val="20"/>
                <w:color w:val="auto"/>
              </w:rPr>
            </w:pPr>
            <w:r>
              <w:rPr>
                <w:rFonts w:ascii="Calibri" w:cs="Calibri" w:eastAsia="Calibri" w:hAnsi="Calibri"/>
                <w:sz w:val="14"/>
                <w:szCs w:val="14"/>
                <w:color w:val="auto"/>
              </w:rPr>
              <w:t>(1 )%</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27,177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alibri" w:cs="Calibri" w:eastAsia="Calibri" w:hAnsi="Calibri"/>
                <w:sz w:val="14"/>
                <w:szCs w:val="14"/>
                <w:color w:val="auto"/>
              </w:rPr>
              <w:t>23,144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4,033</w:t>
            </w:r>
          </w:p>
        </w:tc>
        <w:tc>
          <w:tcPr>
            <w:tcW w:w="220" w:type="dxa"/>
            <w:vAlign w:val="bottom"/>
          </w:tcPr>
          <w:p>
            <w:pPr>
              <w:spacing w:after="0"/>
              <w:rPr>
                <w:sz w:val="15"/>
                <w:szCs w:val="15"/>
                <w:color w:val="auto"/>
              </w:rPr>
            </w:pPr>
          </w:p>
        </w:tc>
        <w:tc>
          <w:tcPr>
            <w:tcW w:w="1300" w:type="dxa"/>
            <w:vAlign w:val="bottom"/>
            <w:gridSpan w:val="3"/>
          </w:tcPr>
          <w:p>
            <w:pPr>
              <w:jc w:val="right"/>
              <w:ind w:right="60"/>
              <w:spacing w:after="0"/>
              <w:rPr>
                <w:sz w:val="20"/>
                <w:szCs w:val="20"/>
                <w:color w:val="auto"/>
              </w:rPr>
            </w:pPr>
            <w:r>
              <w:rPr>
                <w:rFonts w:ascii="Calibri" w:cs="Calibri" w:eastAsia="Calibri" w:hAnsi="Calibri"/>
                <w:sz w:val="14"/>
                <w:szCs w:val="14"/>
                <w:color w:val="auto"/>
              </w:rPr>
              <w:t>17 %</w:t>
            </w:r>
          </w:p>
        </w:tc>
      </w:tr>
      <w:tr>
        <w:trPr>
          <w:trHeight w:val="215"/>
        </w:trPr>
        <w:tc>
          <w:tcPr>
            <w:tcW w:w="21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b w:val="1"/>
                <w:bCs w:val="1"/>
                <w:color w:val="auto"/>
              </w:rPr>
              <w:t>Total general and administratve</w:t>
            </w: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Calibri" w:cs="Calibri" w:eastAsia="Calibri" w:hAnsi="Calibri"/>
                <w:sz w:val="14"/>
                <w:szCs w:val="14"/>
                <w:b w:val="1"/>
                <w:bCs w:val="1"/>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30,239</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Calibri" w:cs="Calibri" w:eastAsia="Calibri" w:hAnsi="Calibri"/>
                <w:sz w:val="14"/>
                <w:szCs w:val="14"/>
                <w:b w:val="1"/>
                <w:bCs w:val="1"/>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42,509</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Calibri" w:cs="Calibri" w:eastAsia="Calibri" w:hAnsi="Calibri"/>
                <w:sz w:val="14"/>
                <w:szCs w:val="14"/>
                <w:b w:val="1"/>
                <w:bCs w:val="1"/>
                <w:color w:val="auto"/>
                <w:w w:val="83"/>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(12,270</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Calibri" w:cs="Calibri" w:eastAsia="Calibri" w:hAnsi="Calibri"/>
                <w:sz w:val="14"/>
                <w:szCs w:val="14"/>
                <w:b w:val="1"/>
                <w:bCs w:val="1"/>
                <w:color w:val="auto"/>
                <w:w w:val="9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(29</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w:t>
            </w:r>
          </w:p>
        </w:tc>
        <w:tc>
          <w:tcPr>
            <w:tcW w:w="18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Calibri" w:cs="Calibri" w:eastAsia="Calibri" w:hAnsi="Calibri"/>
                <w:sz w:val="14"/>
                <w:szCs w:val="14"/>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95,721</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Calibri" w:cs="Calibri" w:eastAsia="Calibri" w:hAnsi="Calibri"/>
                <w:sz w:val="14"/>
                <w:szCs w:val="14"/>
                <w:b w:val="1"/>
                <w:bCs w:val="1"/>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87,486</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8,235</w:t>
            </w:r>
          </w:p>
        </w:tc>
        <w:tc>
          <w:tcPr>
            <w:tcW w:w="2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w w:val="77"/>
              </w:rPr>
              <w:t>%</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1117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-25400</wp:posOffset>
            </wp:positionV>
            <wp:extent cx="768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-7620</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-25400</wp:posOffset>
            </wp:positionV>
            <wp:extent cx="768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-7620</wp:posOffset>
            </wp:positionV>
            <wp:extent cx="76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-25400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-7620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-25400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-25400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-25400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jc w:val="both"/>
        <w:ind w:right="60"/>
        <w:spacing w:after="0" w:line="225" w:lineRule="auto"/>
        <w:rPr>
          <w:sz w:val="20"/>
          <w:szCs w:val="20"/>
          <w:color w:val="auto"/>
        </w:rPr>
      </w:pPr>
      <w:r>
        <w:rPr>
          <w:rFonts w:ascii="Calibri" w:cs="Calibri" w:eastAsia="Calibri" w:hAnsi="Calibri"/>
          <w:sz w:val="18"/>
          <w:szCs w:val="18"/>
          <w:color w:val="auto"/>
        </w:rPr>
        <w:t>Total general and administratve expenses decreased $12.3 million, or 29%, for the three months ended September 30, 2022 compared to the three months ended September 30, 2021 primarily due to non-income tax expense, as we began collectng sales tax from customers in the required jurisdicton in the second half of 2021. The majority of the non-income tax expense in the prior periods represents the exposure for sales tax prior to the date we began collectng sales tax from customers reduced by abatements received, inclusive of any penaltes and interest assessed by the jurisdictons. The decrease in non-income tax expense was partally ofset by an increase in personnel expenses due to higher employee headcount, an increase in costs for our outsourced customer service provided, and an increase in stock compensaton expense due to awards granted afer the 2021 Plan became efectve on October 18, 2021. Total general and administratve expenses increased $8.2 million, or 9%, for the nine months ended September 30, 2022 compared to the nine months ended September 30, 2021. The increase was primarily due to a higher personnel expenses due to higher employee headcount, an increase in costs for our outsourced customer service provider and an increase in stock compensaton expense. This increase was largely ofset by a decrease in non-income tax expense, as we began collectng sales tax from customers in the required jurisdicton in the second half of 2021. The majority of the non-income tax expense in the prior periods represents the exposure for sales tax prior to the date we began collectng sales tax from customers reduced by abatements received, inclusive of any penaltes and interest assessed by the jurisdictons.</w:t>
      </w:r>
    </w:p>
    <w:p>
      <w:pPr>
        <w:spacing w:after="0" w:line="115"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63" w:right="279" w:bottom="1440" w:gutter="0" w:footer="0" w:header="0"/>
        </w:sectPr>
      </w:pPr>
    </w:p>
    <w:bookmarkStart w:id="36" w:name="page37"/>
    <w:bookmarkEnd w:id="36"/>
    <w:p>
      <w:pPr>
        <w:spacing w:after="0"/>
        <w:rPr>
          <w:sz w:val="20"/>
          <w:szCs w:val="20"/>
          <w:color w:val="auto"/>
        </w:rPr>
      </w:pPr>
      <w:r>
        <w:rPr>
          <w:rFonts w:ascii="Calibri" w:cs="Calibri" w:eastAsia="Calibri" w:hAnsi="Calibri"/>
          <w:sz w:val="18"/>
          <w:szCs w:val="18"/>
          <w:b w:val="1"/>
          <w:bCs w:val="1"/>
          <w:color w:val="auto"/>
        </w:rPr>
        <w:t>Depreciaton and Amortzaton</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Depreciaton and amortzaton expenses increased $1.4 million, or 204%, during the three months ended September 30, 2022 compared to the three months ended September 30, 2021 and increased $3.8 million, or 250%, during the nine months ended September 30, 2022 compared to the nine months ended September 30, 2021. The increase is primarily related to an increase in development actvites related to our platorm and the intangibles acquired as part of the Vivid Picks acquisiton.</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Change in fair value of contngent consideraton</w:t>
      </w:r>
    </w:p>
    <w:p>
      <w:pPr>
        <w:spacing w:after="0" w:line="13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Change in fair value of contngent consideraton was $1.2 million during the three and nine months ended September 30, 2022 due to the fair value remeasurement of cash earnouts.</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Other (Income) Expense</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Interest expense – net</w:t>
      </w:r>
    </w:p>
    <w:p>
      <w:pPr>
        <w:spacing w:after="0" w:line="136" w:lineRule="exact"/>
        <w:rPr>
          <w:sz w:val="20"/>
          <w:szCs w:val="20"/>
          <w:color w:val="auto"/>
        </w:rPr>
      </w:pPr>
    </w:p>
    <w:p>
      <w:pPr>
        <w:jc w:val="both"/>
        <w:spacing w:after="0" w:line="226" w:lineRule="auto"/>
        <w:rPr>
          <w:sz w:val="20"/>
          <w:szCs w:val="20"/>
          <w:color w:val="auto"/>
        </w:rPr>
      </w:pPr>
      <w:r>
        <w:rPr>
          <w:rFonts w:ascii="Calibri" w:cs="Calibri" w:eastAsia="Calibri" w:hAnsi="Calibri"/>
          <w:sz w:val="18"/>
          <w:szCs w:val="18"/>
          <w:color w:val="auto"/>
        </w:rPr>
        <w:t>Interest expense decreased $14.4 million, or 83%, for the three months ended September 30, 2022 compared to the three months ended September 30, 2021 and decreased $40.9 million, or 81%, for the nine months ended September 30, 2022 compared to the nine months ended September 30, 2021. We paid of the May 2020 First Lien Loan and made a partal payment of the outstanding principal on the June 2017 First Lien Loan in the fourth quarter of 2021. In additon, we further reduced our outstanding debt balance and efectve interest rate on February 3, 2022 when we refnanced the June 2017 First Lien Loan with the February 2022 First Lien Loan.</w:t>
      </w:r>
    </w:p>
    <w:p>
      <w:pPr>
        <w:spacing w:after="0" w:line="13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Loss on extnguishment of debt</w:t>
      </w:r>
    </w:p>
    <w:p>
      <w:pPr>
        <w:spacing w:after="0" w:line="109" w:lineRule="exact"/>
        <w:rPr>
          <w:sz w:val="20"/>
          <w:szCs w:val="20"/>
          <w:color w:val="auto"/>
        </w:rPr>
      </w:pPr>
    </w:p>
    <w:p>
      <w:pPr>
        <w:ind w:right="220"/>
        <w:spacing w:after="0" w:line="227" w:lineRule="auto"/>
        <w:rPr>
          <w:sz w:val="20"/>
          <w:szCs w:val="20"/>
          <w:color w:val="auto"/>
        </w:rPr>
      </w:pPr>
      <w:r>
        <w:rPr>
          <w:rFonts w:ascii="Calibri" w:cs="Calibri" w:eastAsia="Calibri" w:hAnsi="Calibri"/>
          <w:sz w:val="18"/>
          <w:szCs w:val="18"/>
          <w:color w:val="auto"/>
        </w:rPr>
        <w:t>Loss on extnguishment of debt was $4.3 million during the nine months ended September 30, 2022 due to the refnancing of the June 2017 First Lien Loan with the February 2022 First Lien Loan in the frst quarter of 2022 and therefore had no impact on the three months ended September 30, 2022.</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Other income</w:t>
      </w:r>
    </w:p>
    <w:p>
      <w:pPr>
        <w:spacing w:after="0" w:line="13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Other income was $0.1 million and $6.6 million during the three and nine months ended September 30, 2022 due to the fair value remeasurement of the Hoya Intermediate Warrants.</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136"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We have historically fnanced our operatons primarily through cash generated from our operatng actvites. Our primary short-term requirements for liquidity and capital are to fund general working capital, capital expenditures, and debt service requirements. Our primary long-term liquidity needs are related to debt repayment and potental acquisitons.</w:t>
      </w:r>
    </w:p>
    <w:p>
      <w:pPr>
        <w:spacing w:after="0" w:line="138"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Our primary sources of funds are cash generated from operatons and proceeds from borrowings, including our term loans. In response to the COVID-19 pandemic, we borrowed $50.0 million under our revolving credit facility in March 2020 and subsequently entered into the May 2020 First Lien Loan (defned below). We received $251.5 million in net cash proceeds from the May 2020 First Lien Loan, which we used to repay the $50.0 million in outstanding borrowings under the revolving credit facility in May 2020 and to fund our operatons. As noted in the “Liquidity and Capital Resources—Loan Agreements” secton below, we repaid the May 2020 First Lien Loan in connecton with, and using the proceeds from, the Merger Transacton and the PIPE Subscripton. Our existng cash and cash equivalents are sufcient to fund our liquidity needs for the next 12 months.</w:t>
      </w:r>
    </w:p>
    <w:p>
      <w:pPr>
        <w:spacing w:after="0" w:line="141"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As of September 30, 2022, we had $273.9 million of cash and cash equivalents. Cash and cash equivalents consist of interest-bearing deposit accounts, money market accounts managed by fnancial insttutons, and highly liquid investments with maturites of three months or less. For the nine months ended September 30, 2022, we generated positve cash fows from our operatng actvites.</w:t>
      </w:r>
    </w:p>
    <w:p>
      <w:pPr>
        <w:spacing w:after="0" w:line="9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7" w:name="page38"/>
    <w:bookmarkEnd w:id="37"/>
    <w:p>
      <w:pPr>
        <w:spacing w:after="0"/>
        <w:rPr>
          <w:sz w:val="20"/>
          <w:szCs w:val="20"/>
          <w:color w:val="auto"/>
        </w:rPr>
      </w:pPr>
      <w:r>
        <w:rPr>
          <w:rFonts w:ascii="Calibri" w:cs="Calibri" w:eastAsia="Calibri" w:hAnsi="Calibri"/>
          <w:sz w:val="18"/>
          <w:szCs w:val="18"/>
          <w:i w:val="1"/>
          <w:iCs w:val="1"/>
          <w:color w:val="auto"/>
        </w:rPr>
        <w:t>Loan Agreements</w:t>
      </w:r>
    </w:p>
    <w:p>
      <w:pPr>
        <w:spacing w:after="0" w:line="136" w:lineRule="exact"/>
        <w:rPr>
          <w:sz w:val="20"/>
          <w:szCs w:val="20"/>
          <w:color w:val="auto"/>
        </w:rPr>
      </w:pPr>
    </w:p>
    <w:p>
      <w:pPr>
        <w:jc w:val="both"/>
        <w:spacing w:after="0" w:line="226" w:lineRule="auto"/>
        <w:rPr>
          <w:sz w:val="20"/>
          <w:szCs w:val="20"/>
          <w:color w:val="auto"/>
        </w:rPr>
      </w:pPr>
      <w:r>
        <w:rPr>
          <w:rFonts w:ascii="Calibri" w:cs="Calibri" w:eastAsia="Calibri" w:hAnsi="Calibri"/>
          <w:sz w:val="18"/>
          <w:szCs w:val="18"/>
          <w:color w:val="auto"/>
        </w:rPr>
        <w:t>In response to the COVID-19 pandemic, we entered into the May 2020 First Lien Loan, which resulted in $251.5 million in net cash proceeds. The May 2020 First Lien Loan, which is pari passu with the June 2017 First Lien Loan, carries a variable interest rate of LIBOR plus an applicable margin of 9.50%, or a base rate plus an applicable margin of 8.50%. The May 2020 First Lien Loan matures in May 2026, subject to an earlier springing maturity date of June 30, 2024 if the June 2017 First Lien Loan, or a refnancing thereof with scheduled payments of principal prior to June 30, 2024, remains outstanding as of that date. The efectve interest rate on the May 2020 First Lien Loan, which fuctuates based on certain paid-in-kind electons, was 11.50% per annum as of December 31, 2020. We made no payments during 2020 on the May 2020 First Lien Term Loan. Interest incurred under the May 2020 First Lien Loan was capitalized into the principal quarterly in August and November 2020, resultng in an outstanding principal of $275.7 million as of December 31, 2020. Additonal interest was capitalized into the principal in the frst nine months of 2021, resultng in an outstanding principal of $304.1 million as of September 30, 2021. On October 18, 2021, we repaid this loan in full in connecton with, and using the proceeds from, the Merger Transacton and the PIPE Subscripton and incurred a $28.0 million prepayment penalty.</w:t>
      </w:r>
    </w:p>
    <w:p>
      <w:pPr>
        <w:spacing w:after="0" w:line="145"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We had an outstanding loan balance of $465.7 million under the June 2017 First Lien Loan as of December 31, 2021. In the frst quarter of 2022, we repaid $190.7 million of the outstanding June 2017 First Lien Loan. On February 3, 2022, we entered into an amendment which refnances the remaining June 2017 First Lien Loan with a new $275.0 million February 2022 First Lien Loan with a maturity date of February 3, 2029, adds a new revolving credit facility (the “Revolving Facility”) in an aggregate principal amount of $100.0 million with a maturity date of February 3, 2027, replaces the LIBOR based foatng interest rate with a term SOFR based foatng interest rate and revises the springing fnancial covenant to require compliance with a frst lien net leverage rato when revolver borrowings exceed certain levels. The February 2022 First Lien Loan requires quarterly amortzaton payments of $0.7 million. The Revolving Facility does not require periodic payments. All obligatons under the February 2022 First Lien Loan are secured, subject to permited liens and other exceptons, by frst-priority perfected security interests in substantally all of our assets. The February 2022 First Lien Loan will carry an interest rate of SOFR plus 3.25%. The SOFR rate for the February 2022 First Lien Loan is subject to a 0.5% foor.</w:t>
      </w:r>
    </w:p>
    <w:p>
      <w:pPr>
        <w:spacing w:after="0" w:line="1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September 30, 2022, we are only party to one credit facility, the February 2022 First Lien Loan. At September 30, 2022, we had no outstanding borrowings under our Revolving Facility.</w:t>
      </w:r>
    </w:p>
    <w:p>
      <w:pPr>
        <w:spacing w:after="0" w:line="11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Share Repurchase Program</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On May 25, 2022, our board of directors authorized a share repurchase program of our Class A Common Stock of up to $40.0 million ("Program"). The Program will be efectve untl March 31, 2023. We may repurchase shares from tme to tme in open market transactons, through privately negotated transactons or otherwise in accordance with applicable federal securites laws. The amount and tming of repurchases will depend upon market conditons and other factors including price. The Program does not obligate us to acquire any partcular amount of stock, and it may be terminated, modifed, or suspended at any tme at our discreton. The Program commenced on July 5, 2022, upon the completon of our ofering to the holders of our outstanding public warrants to receive shares of Class A Common Stock in exchange for each outstanding public warrant tendered by the holder (the "Ofer"). As of September 30, 2022, we have repurchased 0.4 million shares of our Class A Common Stock for $3.1 million under the Program. The share repurchases are accounted for as Treasury stock in the Condensed Consolidated Balance Sheets.</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Distributons to non-controlling interests</w:t>
      </w:r>
    </w:p>
    <w:p>
      <w:pPr>
        <w:spacing w:after="0" w:line="9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Per the Hoya Intermediate LLC agreement, Hoya Intermediate is required to make pro-rata tax distributons to its members, of which $4.9 million was distributed to non-controlling interests in the nine months ended September 30, 2022.</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Tax Receivable Agreement</w:t>
      </w:r>
    </w:p>
    <w:p>
      <w:pPr>
        <w:spacing w:after="0" w:line="136"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In connecton with the Merger Transacton, we entered into a Tax Receivable Agreement with the existng Hoya Intermediate shareholders that will provide for payment to Hoya Intermediate shareholders of 85% of the amount of the tax savings, if any, that we realize (or, under certain circumstances, is deemed to realize) as a result of, or</w:t>
      </w:r>
    </w:p>
    <w:p>
      <w:pPr>
        <w:spacing w:after="0" w:line="9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8" w:name="page39"/>
    <w:bookmarkEnd w:id="38"/>
    <w:p>
      <w:pPr>
        <w:jc w:val="both"/>
        <w:spacing w:after="0" w:line="228" w:lineRule="auto"/>
        <w:rPr>
          <w:sz w:val="20"/>
          <w:szCs w:val="20"/>
          <w:color w:val="auto"/>
        </w:rPr>
      </w:pPr>
      <w:r>
        <w:rPr>
          <w:rFonts w:ascii="Calibri" w:cs="Calibri" w:eastAsia="Calibri" w:hAnsi="Calibri"/>
          <w:sz w:val="18"/>
          <w:szCs w:val="18"/>
          <w:color w:val="auto"/>
        </w:rPr>
        <w:t>atributable to, (i) increases in the tax basis of assets owned directly or indirectly by Hoya Intermediate or its subsidiaries from, among other things, any redemptons or exchanges of Hoya Intermediate common units (ii) existng tax basis (including depreciaton and amortzaton deductons arising from such tax basis) in long-lived assets owned directly or indirectly by Hoya Intermediate and its subsidiaries, and (iii) certain other tax benefts (including deductons in respect of imputed interest) related to Hoya Intermediate making payments under the Tax Receivable Agreement.</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Cash Flows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our cash fows for the periods indicated (in thousands):</w:t>
      </w:r>
    </w:p>
    <w:p>
      <w:pPr>
        <w:spacing w:after="0" w:line="91" w:lineRule="exact"/>
        <w:rPr>
          <w:sz w:val="20"/>
          <w:szCs w:val="20"/>
          <w:color w:val="auto"/>
        </w:rPr>
      </w:pPr>
    </w:p>
    <w:p>
      <w:pPr>
        <w:jc w:val="center"/>
        <w:ind w:left="7580"/>
        <w:spacing w:after="0"/>
        <w:rPr>
          <w:sz w:val="20"/>
          <w:szCs w:val="20"/>
          <w:color w:val="auto"/>
        </w:rPr>
      </w:pPr>
      <w:r>
        <w:rPr>
          <w:rFonts w:ascii="Calibri" w:cs="Calibri" w:eastAsia="Calibri" w:hAnsi="Calibri"/>
          <w:sz w:val="18"/>
          <w:szCs w:val="18"/>
          <w:b w:val="1"/>
          <w:bCs w:val="1"/>
          <w:color w:val="auto"/>
        </w:rPr>
        <w:t>Nine Months Ended</w:t>
      </w:r>
    </w:p>
    <w:p>
      <w:pPr>
        <w:jc w:val="center"/>
        <w:ind w:left="7580"/>
        <w:spacing w:after="0" w:line="206" w:lineRule="auto"/>
        <w:rPr>
          <w:sz w:val="20"/>
          <w:szCs w:val="20"/>
          <w:color w:val="auto"/>
        </w:rPr>
      </w:pPr>
      <w:r>
        <w:rPr>
          <w:rFonts w:ascii="Calibri" w:cs="Calibri" w:eastAsia="Calibri" w:hAnsi="Calibri"/>
          <w:sz w:val="18"/>
          <w:szCs w:val="18"/>
          <w:b w:val="1"/>
          <w:bCs w:val="1"/>
          <w:color w:val="auto"/>
        </w:rPr>
        <w:t>September 30,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Calibri" w:cs="Calibri" w:eastAsia="Calibri" w:hAnsi="Calibri"/>
                <w:sz w:val="18"/>
                <w:szCs w:val="18"/>
                <w:b w:val="1"/>
                <w:bCs w:val="1"/>
                <w:color w:val="auto"/>
              </w:rPr>
              <w:t>2022</w:t>
            </w:r>
          </w:p>
        </w:tc>
        <w:tc>
          <w:tcPr>
            <w:tcW w:w="3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9"/>
                <w:szCs w:val="19"/>
                <w:color w:val="auto"/>
              </w:rPr>
            </w:pPr>
          </w:p>
        </w:tc>
      </w:tr>
      <w:tr>
        <w:trPr>
          <w:trHeight w:val="211"/>
        </w:trPr>
        <w:tc>
          <w:tcPr>
            <w:tcW w:w="770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Net cash provided by operatng actvites</w:t>
            </w:r>
          </w:p>
        </w:tc>
        <w:tc>
          <w:tcPr>
            <w:tcW w:w="360" w:type="dxa"/>
            <w:vAlign w:val="bottom"/>
            <w:shd w:val="clear" w:color="auto" w:fill="CFF0FC"/>
          </w:tcPr>
          <w:p>
            <w:pPr>
              <w:jc w:val="right"/>
              <w:ind w:right="170"/>
              <w:spacing w:after="0" w:line="210" w:lineRule="exact"/>
              <w:rPr>
                <w:sz w:val="20"/>
                <w:szCs w:val="20"/>
                <w:color w:val="auto"/>
              </w:rPr>
            </w:pPr>
            <w:r>
              <w:rPr>
                <w:rFonts w:ascii="Calibri" w:cs="Calibri" w:eastAsia="Calibri" w:hAnsi="Calibri"/>
                <w:sz w:val="18"/>
                <w:szCs w:val="18"/>
                <w:color w:val="auto"/>
                <w:w w:val="87"/>
              </w:rPr>
              <w:t>$</w:t>
            </w:r>
          </w:p>
        </w:tc>
        <w:tc>
          <w:tcPr>
            <w:tcW w:w="12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1,389</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line="210" w:lineRule="exact"/>
              <w:rPr>
                <w:sz w:val="20"/>
                <w:szCs w:val="20"/>
                <w:color w:val="auto"/>
              </w:rPr>
            </w:pPr>
            <w:r>
              <w:rPr>
                <w:rFonts w:ascii="Calibri" w:cs="Calibri" w:eastAsia="Calibri" w:hAnsi="Calibri"/>
                <w:sz w:val="18"/>
                <w:szCs w:val="18"/>
                <w:color w:val="auto"/>
              </w:rPr>
              <w:t>$</w:t>
            </w:r>
          </w:p>
        </w:tc>
        <w:tc>
          <w:tcPr>
            <w:tcW w:w="12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215,262</w:t>
            </w:r>
          </w:p>
        </w:tc>
        <w:tc>
          <w:tcPr>
            <w:tcW w:w="100" w:type="dxa"/>
            <w:vAlign w:val="bottom"/>
            <w:shd w:val="clear" w:color="auto" w:fill="CFF0FC"/>
          </w:tcPr>
          <w:p>
            <w:pPr>
              <w:spacing w:after="0"/>
              <w:rPr>
                <w:sz w:val="18"/>
                <w:szCs w:val="18"/>
                <w:color w:val="auto"/>
              </w:rPr>
            </w:pPr>
          </w:p>
        </w:tc>
      </w:tr>
      <w:tr>
        <w:trPr>
          <w:trHeight w:val="215"/>
        </w:trPr>
        <w:tc>
          <w:tcPr>
            <w:tcW w:w="7700" w:type="dxa"/>
            <w:vAlign w:val="bottom"/>
          </w:tcPr>
          <w:p>
            <w:pPr>
              <w:ind w:left="20"/>
              <w:spacing w:after="0" w:line="215" w:lineRule="exact"/>
              <w:rPr>
                <w:sz w:val="20"/>
                <w:szCs w:val="20"/>
                <w:color w:val="auto"/>
              </w:rPr>
            </w:pPr>
            <w:r>
              <w:rPr>
                <w:rFonts w:ascii="Calibri" w:cs="Calibri" w:eastAsia="Calibri" w:hAnsi="Calibri"/>
                <w:sz w:val="18"/>
                <w:szCs w:val="18"/>
                <w:color w:val="auto"/>
              </w:rPr>
              <w:t>Net cash used in investng actvites</w:t>
            </w:r>
          </w:p>
        </w:tc>
        <w:tc>
          <w:tcPr>
            <w:tcW w:w="360" w:type="dxa"/>
            <w:vAlign w:val="bottom"/>
          </w:tcPr>
          <w:p>
            <w:pPr>
              <w:spacing w:after="0"/>
              <w:rPr>
                <w:sz w:val="18"/>
                <w:szCs w:val="18"/>
                <w:color w:val="auto"/>
              </w:rPr>
            </w:pPr>
          </w:p>
        </w:tc>
        <w:tc>
          <w:tcPr>
            <w:tcW w:w="15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(11,888 )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(7,323 )</w:t>
            </w:r>
          </w:p>
        </w:tc>
      </w:tr>
      <w:tr>
        <w:trPr>
          <w:trHeight w:val="216"/>
        </w:trPr>
        <w:tc>
          <w:tcPr>
            <w:tcW w:w="77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Net cash used in fnancing actvites</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line="216" w:lineRule="exact"/>
              <w:rPr>
                <w:sz w:val="20"/>
                <w:szCs w:val="20"/>
                <w:color w:val="auto"/>
              </w:rPr>
            </w:pPr>
            <w:r>
              <w:rPr>
                <w:rFonts w:ascii="Calibri" w:cs="Calibri" w:eastAsia="Calibri" w:hAnsi="Calibri"/>
                <w:sz w:val="18"/>
                <w:szCs w:val="18"/>
                <w:color w:val="auto"/>
              </w:rPr>
              <w:t>(204,911 )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(4,809 )</w:t>
            </w: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0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Net increase (decrease) in cash and cash equivalents</w:t>
            </w:r>
          </w:p>
        </w:tc>
        <w:tc>
          <w:tcPr>
            <w:tcW w:w="360" w:type="dxa"/>
            <w:vAlign w:val="bottom"/>
          </w:tcPr>
          <w:p>
            <w:pPr>
              <w:jc w:val="right"/>
              <w:ind w:right="170"/>
              <w:spacing w:after="0" w:line="209" w:lineRule="exact"/>
              <w:rPr>
                <w:sz w:val="20"/>
                <w:szCs w:val="20"/>
                <w:color w:val="auto"/>
              </w:rPr>
            </w:pPr>
            <w:r>
              <w:rPr>
                <w:rFonts w:ascii="Calibri" w:cs="Calibri" w:eastAsia="Calibri" w:hAnsi="Calibri"/>
                <w:sz w:val="18"/>
                <w:szCs w:val="18"/>
                <w:b w:val="1"/>
                <w:bCs w:val="1"/>
                <w:color w:val="auto"/>
                <w:w w:val="87"/>
              </w:rPr>
              <w:t>$</w:t>
            </w:r>
          </w:p>
        </w:tc>
        <w:tc>
          <w:tcPr>
            <w:tcW w:w="1500" w:type="dxa"/>
            <w:vAlign w:val="bottom"/>
            <w:gridSpan w:val="2"/>
          </w:tcPr>
          <w:p>
            <w:pPr>
              <w:jc w:val="right"/>
              <w:ind w:right="220"/>
              <w:spacing w:after="0" w:line="209" w:lineRule="exact"/>
              <w:rPr>
                <w:sz w:val="20"/>
                <w:szCs w:val="20"/>
                <w:color w:val="auto"/>
              </w:rPr>
            </w:pPr>
            <w:r>
              <w:rPr>
                <w:rFonts w:ascii="Calibri" w:cs="Calibri" w:eastAsia="Calibri" w:hAnsi="Calibri"/>
                <w:sz w:val="18"/>
                <w:szCs w:val="18"/>
                <w:b w:val="1"/>
                <w:bCs w:val="1"/>
                <w:color w:val="auto"/>
              </w:rPr>
              <w:t>(215,410 )</w:t>
            </w:r>
          </w:p>
        </w:tc>
        <w:tc>
          <w:tcPr>
            <w:tcW w:w="360" w:type="dxa"/>
            <w:vAlign w:val="bottom"/>
          </w:tcPr>
          <w:p>
            <w:pPr>
              <w:jc w:val="right"/>
              <w:ind w:right="150"/>
              <w:spacing w:after="0" w:line="209" w:lineRule="exact"/>
              <w:rPr>
                <w:sz w:val="20"/>
                <w:szCs w:val="20"/>
                <w:color w:val="auto"/>
              </w:rPr>
            </w:pPr>
            <w:r>
              <w:rPr>
                <w:rFonts w:ascii="Calibri" w:cs="Calibri" w:eastAsia="Calibri" w:hAnsi="Calibri"/>
                <w:sz w:val="18"/>
                <w:szCs w:val="18"/>
                <w:b w:val="1"/>
                <w:bCs w:val="1"/>
                <w:color w:val="auto"/>
              </w:rPr>
              <w:t>$</w:t>
            </w:r>
          </w:p>
        </w:tc>
        <w:tc>
          <w:tcPr>
            <w:tcW w:w="122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203,130</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1714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Cash Provided by Operatng Actvites</w:t>
      </w:r>
    </w:p>
    <w:p>
      <w:pPr>
        <w:spacing w:after="0" w:line="136" w:lineRule="exact"/>
        <w:rPr>
          <w:sz w:val="20"/>
          <w:szCs w:val="20"/>
          <w:color w:val="auto"/>
        </w:rPr>
      </w:pPr>
    </w:p>
    <w:p>
      <w:pPr>
        <w:jc w:val="both"/>
        <w:spacing w:after="0" w:line="226" w:lineRule="auto"/>
        <w:rPr>
          <w:sz w:val="20"/>
          <w:szCs w:val="20"/>
          <w:color w:val="auto"/>
        </w:rPr>
      </w:pPr>
      <w:r>
        <w:rPr>
          <w:rFonts w:ascii="Calibri" w:cs="Calibri" w:eastAsia="Calibri" w:hAnsi="Calibri"/>
          <w:sz w:val="18"/>
          <w:szCs w:val="18"/>
          <w:color w:val="auto"/>
        </w:rPr>
        <w:t>Net cash provided by operatng actvites was $1.4 million for the nine months ended September 30, 2022 due to $45.9 million in net income, non-cash charges of $18.2 million, and net cash outlows from a $62.7 million change in net operatng liabilites. The net cash outlows from the change in our net operatng liabilites were primarily due to decreases in accrued expenses and other current liabilites and accounts payable. The decreases resulted primarily from sales tax liability setlements, the redempton of customer credits issued during the COVID-19 pandemic, and a decrease in amounts payable to tcket sellers as events postponed during the COVID-19 pandemic fnally occurred.</w:t>
      </w:r>
    </w:p>
    <w:p>
      <w:pPr>
        <w:spacing w:after="0" w:line="140"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Net cash provided by operatng actvites was $215.3 million for the nine months ended September 30, 2021 due to $19.5 million in net loss, non-cash charges of $34.2 million, and net cash infows from a $200.5 million change in net operatng assets. The net cash infows from the change in net operatng assets were primarily due to an increase in accounts payable. The increase in accounts payable resulted primarily from an increase in amounts payable to tcket sellers as sales increased in the nine months ending September 30, 2021.</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Cash Used in Investng Actvites</w:t>
      </w:r>
    </w:p>
    <w:p>
      <w:pPr>
        <w:spacing w:after="0" w:line="13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Net cash used in investng actvites for the nine months ended September 30, 2022 was $11.9 million and was primarily related to capital spending on development actvites related to our platorm.</w:t>
      </w:r>
    </w:p>
    <w:p>
      <w:pPr>
        <w:spacing w:after="0" w:line="138"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Net cash used in investng actvites for the nine months ended September 30, 2021 was $7.3 million and was primarily related to capital spending on development actvites related to our platorm.</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Cash Used in Financing Actvites</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used in fnancing actvites for the nine months ended September 30, 2022 was $204.9 million and was primarily related to the repayment of the June 2017 First Lien Loan in connecton with the refnancing.</w:t>
      </w:r>
    </w:p>
    <w:p>
      <w:pPr>
        <w:spacing w:after="0" w:line="137"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Net cash used in fnancing actvites for the nine months ended September 30, 2021 was $4.8 million and was primarily related to payments on our June 2017 First Lien Loan.</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Accountng Policies and Estmates</w:t>
      </w:r>
    </w:p>
    <w:p>
      <w:pPr>
        <w:spacing w:after="0" w:line="136"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Accountng policies and estmates are considered critcal when they require management to make subjectve and complex judgments, estmates and assumptons about maters that have a material impact on the presentaton of our fnancial statements and accompanying notes. For a descripton of our critcal accountng policies and estmates, see our Annual Report on Form 10-K for the fscal year ended December 31, 2021. During the nine months ended</w:t>
      </w:r>
    </w:p>
    <w:p>
      <w:pPr>
        <w:spacing w:after="0" w:line="9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9" w:name="page40"/>
    <w:bookmarkEnd w:id="39"/>
    <w:p>
      <w:pPr>
        <w:spacing w:after="0"/>
        <w:rPr>
          <w:sz w:val="20"/>
          <w:szCs w:val="20"/>
          <w:color w:val="auto"/>
        </w:rPr>
      </w:pPr>
      <w:r>
        <w:rPr>
          <w:rFonts w:ascii="Calibri" w:cs="Calibri" w:eastAsia="Calibri" w:hAnsi="Calibri"/>
          <w:sz w:val="18"/>
          <w:szCs w:val="18"/>
          <w:color w:val="auto"/>
        </w:rPr>
        <w:t>September 30, 2022, there were no material changes to our critcal accountng policies from those discussed in the 2021 Form 10-K.</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 Accountng Pronouncements</w:t>
      </w:r>
    </w:p>
    <w:p>
      <w:pPr>
        <w:spacing w:after="0" w:line="136"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Refer to Note 2, New Accountng Standards, in our notes to the unaudited condensed consolidated fnancial statements included elsewhere in this Quarterly Report on Form 10-Q for a descripton of recently adopted accountng pronouncements and issued accountng pronouncements not yet adopted.</w:t>
      </w:r>
    </w:p>
    <w:p>
      <w:pPr>
        <w:spacing w:after="0" w:line="130"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b w:val="1"/>
          <w:bCs w:val="1"/>
          <w:color w:val="auto"/>
        </w:rPr>
        <w:t>Item 3. Quanttatve and Qualitatve Disclosures about Market Risk</w:t>
      </w:r>
    </w:p>
    <w:p>
      <w:pPr>
        <w:spacing w:after="0" w:line="136"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Market risk is the potental loss from adverse changes in interest rates, foreign exchange rates, and market prices. Our primary market risk is interest rate risk associated with our long-term debt. We manage our exposure to this risk through established policies and procedures. Our objectve is to mitgate potental income statement, cash fow, and market exposures from changes in interest rates.</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Interest Rate Risk</w:t>
      </w:r>
    </w:p>
    <w:p>
      <w:pPr>
        <w:spacing w:after="0" w:line="136" w:lineRule="exact"/>
        <w:rPr>
          <w:sz w:val="20"/>
          <w:szCs w:val="20"/>
          <w:color w:val="auto"/>
        </w:rPr>
      </w:pPr>
    </w:p>
    <w:p>
      <w:pPr>
        <w:jc w:val="both"/>
        <w:spacing w:after="0" w:line="226" w:lineRule="auto"/>
        <w:rPr>
          <w:sz w:val="20"/>
          <w:szCs w:val="20"/>
          <w:color w:val="auto"/>
        </w:rPr>
      </w:pPr>
      <w:r>
        <w:rPr>
          <w:rFonts w:ascii="Calibri" w:cs="Calibri" w:eastAsia="Calibri" w:hAnsi="Calibri"/>
          <w:sz w:val="18"/>
          <w:szCs w:val="18"/>
          <w:color w:val="auto"/>
        </w:rPr>
        <w:t>Our market risk is afected by changes in interest rates. We maintain foatng-rate debt that bears interest based on market rates plus an applicable spread. Because our interest rate is ted to market rates, we will be susceptble to fuctuatons in interest rates if we do not hedge the interest rate exposure arising from our foatng-rate borrowings. A hypothetcal 1% increase or decrease in interest rates, assuming rates are above our interest rate foor, would not have a material impact on interest expense based on amounts outstanding under the June 2017 First Lien Loan and February 2022 First Lien Loan during the three and nine months ended September 30, 2022.</w:t>
      </w:r>
    </w:p>
    <w:p>
      <w:pPr>
        <w:spacing w:after="0" w:line="135" w:lineRule="exact"/>
        <w:rPr>
          <w:sz w:val="20"/>
          <w:szCs w:val="20"/>
          <w:color w:val="auto"/>
        </w:rPr>
      </w:pPr>
    </w:p>
    <w:p>
      <w:pPr>
        <w:ind w:left="4460"/>
        <w:spacing w:after="0"/>
        <w:rPr>
          <w:sz w:val="20"/>
          <w:szCs w:val="20"/>
          <w:color w:val="auto"/>
        </w:rPr>
      </w:pPr>
      <w:r>
        <w:rPr>
          <w:rFonts w:ascii="Calibri" w:cs="Calibri" w:eastAsia="Calibri" w:hAnsi="Calibri"/>
          <w:sz w:val="18"/>
          <w:szCs w:val="18"/>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Limitatons on Efectveness of Disclosure Controls and Procedures</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In designing and evaluatng our disclosure controls and procedures, management recognizes that any controls and procedures, no mater how well designed and operated, can provide only reasonable assurance of achieving the desired control objectves. In additon, the design of disclosure controls and procedures must refect the fact that there are resource constraints and that management is required to apply judgment in evaluatng the benefts of possible controls and procedures relatve to their costs.</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Evaluaton of Disclosure Controls and Procedures</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Disclosure controls and procedures (as defned in Rules 13a-15(e) and 15d-15(e) under the Exchange Act) are designed to ensure that informaton required to be disclosed in reports fled or submited under the Exchange Act is recorded, processed, summarized, and reported within the tme periods specifed in the SEC rules and forms, and that such informaton is accumulated and communicated to management, including our Chief Executve Ofcer and Chief Financial Ofcer, to allow tmely decisions regarding required disclosures.</w:t>
      </w:r>
    </w:p>
    <w:p>
      <w:pPr>
        <w:spacing w:after="0" w:line="137"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Our management, with the partcipaton of our principal executve ofcer and principal fnancial ofcer, has evaluated the efectveness of our disclosure controls and procedures (as defned in Rules 13a-15(e) and 15d-15(e) under the Exchange Act), as of the end of the period covered by this Quarterly Report on Form 10-Q. Based on such evaluaton, our principal executve ofcer and principal fnancial ofcer have concluded that our disclosure controls and procedures were not efectve at reasonable assurance levels as of September 30, 2022 due to the reasons described below.</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Material Weakness</w:t>
      </w:r>
    </w:p>
    <w:p>
      <w:pPr>
        <w:spacing w:after="0" w:line="136" w:lineRule="exact"/>
        <w:rPr>
          <w:sz w:val="20"/>
          <w:szCs w:val="20"/>
          <w:color w:val="auto"/>
        </w:rPr>
      </w:pPr>
    </w:p>
    <w:p>
      <w:pPr>
        <w:jc w:val="both"/>
        <w:spacing w:after="0" w:line="224" w:lineRule="auto"/>
        <w:rPr>
          <w:sz w:val="20"/>
          <w:szCs w:val="20"/>
          <w:color w:val="auto"/>
        </w:rPr>
      </w:pPr>
      <w:r>
        <w:rPr>
          <w:rFonts w:ascii="Calibri" w:cs="Calibri" w:eastAsia="Calibri" w:hAnsi="Calibri"/>
          <w:sz w:val="18"/>
          <w:szCs w:val="18"/>
          <w:color w:val="auto"/>
        </w:rPr>
        <w:t>In connecton with the audit of our consolidated fnancial statements as of December 31, 2021, we identfed a material weakness in our internal control over fnancial reportng related to the implementaton of segregaton of dutes as part of our control actvites, establishment of clearly defned roles within our fnance and accountng functons and the number of personnel in our fnance and accountng functons with an appropriate level of technical accountng and SEC reportng experience, which in the aggregate, consttute a material weakness.</w:t>
      </w:r>
    </w:p>
    <w:p>
      <w:pPr>
        <w:spacing w:after="0" w:line="10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0" w:name="page41"/>
    <w:bookmarkEnd w:id="40"/>
    <w:p>
      <w:pPr>
        <w:spacing w:after="0"/>
        <w:rPr>
          <w:sz w:val="20"/>
          <w:szCs w:val="20"/>
          <w:color w:val="auto"/>
        </w:rPr>
      </w:pPr>
      <w:r>
        <w:rPr>
          <w:rFonts w:ascii="Calibri" w:cs="Calibri" w:eastAsia="Calibri" w:hAnsi="Calibri"/>
          <w:sz w:val="18"/>
          <w:szCs w:val="18"/>
          <w:i w:val="1"/>
          <w:iCs w:val="1"/>
          <w:color w:val="auto"/>
        </w:rPr>
        <w:t>Remediaton Actvites</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As part of our plan to remediate this material weakness, we are performing a full review of our internal control procedures. We have implemented, and plan to contnue to implement, new controls and new processes. We have hired and plan to contnue to hire additonal qualifed personnel and establish more robust processes to support our internal control over fnancial reportng, including clearly defned roles and responsibilites and appropriate segregaton of dutes.</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Changes in Internal Control over Financial Reportng</w:t>
      </w:r>
    </w:p>
    <w:p>
      <w:pPr>
        <w:spacing w:after="0" w:line="13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There were no changes in our internal control over fnancial reportng (as defned in Rules 13a-15(f) and 15d-15(f) under the Exchange Act) during the quarter ended September 30, 2022 that have materially afected, or are reasonably likely to materially afect, our internal control over fnancial reportng.</w:t>
      </w:r>
    </w:p>
    <w:p>
      <w:pPr>
        <w:spacing w:after="0" w:line="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Part II - Other Informaton</w:t>
      </w:r>
    </w:p>
    <w:p>
      <w:pPr>
        <w:spacing w:after="0" w:line="19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1. Legal Proceedings</w:t>
      </w:r>
    </w:p>
    <w:p>
      <w:pPr>
        <w:spacing w:after="0" w:line="204"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Refer to Note 12, Commitments and Contngencies, in our notes to the unaudited condensed consolidated fnancial statements in this Quarterly Report on Form 10-Q.</w:t>
      </w:r>
    </w:p>
    <w:p>
      <w:pPr>
        <w:spacing w:after="0" w:line="13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1A. Risk Factors</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In additon to the other informaton set forth in this Quarterly Report on Form 10-Q, you should carefully consider the factors discussed under Part I, Item 1A, “Risk Factors” in our 2021 Form 10-K. These factors could materially adversely afect our business, fnancial conditon, liquidity, results of operatons and capital positon, and could cause our actual results to difer materially from our historical results or the results contemplated by any forward-looking statements contained in this Quarterly Report on Form 10-Q. There have been no material changes from the risk factors disclosed in our 2021 Form 10-K.</w:t>
      </w:r>
    </w:p>
    <w:p>
      <w:pPr>
        <w:spacing w:after="0" w:line="200"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2. Unregistered Sales of Equity Securites and Use of Proceeds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19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3. Defaults Upon Senior Securites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19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4. Mine Safety Disclosures</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color w:val="auto"/>
        </w:rPr>
        <w:t>Not applicable.</w:t>
      </w:r>
    </w:p>
    <w:p>
      <w:pPr>
        <w:spacing w:after="0" w:line="18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Item 5. Other Informaton</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20"/>
        </w:trPr>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gridSpan w:val="19"/>
          </w:tcPr>
          <w:p>
            <w:pPr>
              <w:spacing w:after="0"/>
              <w:rPr>
                <w:sz w:val="20"/>
                <w:szCs w:val="20"/>
                <w:color w:val="auto"/>
              </w:rPr>
            </w:pPr>
            <w:r>
              <w:rPr>
                <w:rFonts w:ascii="Calibri" w:cs="Calibri" w:eastAsia="Calibri" w:hAnsi="Calibri"/>
                <w:sz w:val="18"/>
                <w:szCs w:val="18"/>
                <w:b w:val="1"/>
                <w:bCs w:val="1"/>
                <w:color w:val="auto"/>
              </w:rPr>
              <w:t>Item 6. Exhibits</w:t>
            </w:r>
          </w:p>
        </w:tc>
        <w:tc>
          <w:tcPr>
            <w:tcW w:w="10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gridSpan w:val="3"/>
          </w:tcPr>
          <w:p>
            <w:pPr>
              <w:ind w:left="680"/>
              <w:spacing w:after="0"/>
              <w:rPr>
                <w:sz w:val="20"/>
                <w:szCs w:val="20"/>
                <w:color w:val="auto"/>
              </w:rPr>
            </w:pPr>
            <w:r>
              <w:rPr>
                <w:rFonts w:ascii="Calibri" w:cs="Calibri" w:eastAsia="Calibri" w:hAnsi="Calibri"/>
                <w:sz w:val="18"/>
                <w:szCs w:val="18"/>
                <w:b w:val="1"/>
                <w:bCs w:val="1"/>
                <w:color w:val="auto"/>
              </w:rPr>
              <w:t>Incorporated by Reference</w:t>
            </w: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960" w:type="dxa"/>
            <w:vAlign w:val="bottom"/>
          </w:tcPr>
          <w:p>
            <w:pPr>
              <w:spacing w:after="0"/>
              <w:rPr>
                <w:sz w:val="2"/>
                <w:szCs w:val="2"/>
                <w:color w:val="auto"/>
              </w:rPr>
            </w:pPr>
          </w:p>
        </w:tc>
        <w:tc>
          <w:tcPr>
            <w:tcW w:w="920" w:type="dxa"/>
            <w:vAlign w:val="bottom"/>
            <w:vMerge w:val="restart"/>
          </w:tcPr>
          <w:p>
            <w:pPr>
              <w:ind w:left="200"/>
              <w:spacing w:after="0" w:line="190" w:lineRule="exact"/>
              <w:rPr>
                <w:sz w:val="20"/>
                <w:szCs w:val="20"/>
                <w:color w:val="auto"/>
              </w:rPr>
            </w:pPr>
            <w:r>
              <w:rPr>
                <w:rFonts w:ascii="Calibri" w:cs="Calibri" w:eastAsia="Calibri" w:hAnsi="Calibri"/>
                <w:sz w:val="18"/>
                <w:szCs w:val="18"/>
                <w:b w:val="1"/>
                <w:bCs w:val="1"/>
                <w:color w:val="auto"/>
              </w:rPr>
              <w:t>Exhibit</w:t>
            </w:r>
          </w:p>
        </w:tc>
        <w:tc>
          <w:tcPr>
            <w:tcW w:w="7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660" w:type="dxa"/>
            <w:vAlign w:val="bottom"/>
            <w:gridSpan w:val="25"/>
            <w:vMerge w:val="restart"/>
          </w:tcPr>
          <w:p>
            <w:pPr>
              <w:ind w:left="340"/>
              <w:spacing w:after="0" w:line="190" w:lineRule="exact"/>
              <w:rPr>
                <w:sz w:val="20"/>
                <w:szCs w:val="20"/>
                <w:color w:val="auto"/>
              </w:rPr>
            </w:pPr>
            <w:r>
              <w:rPr>
                <w:rFonts w:ascii="Calibri" w:cs="Calibri" w:eastAsia="Calibri" w:hAnsi="Calibri"/>
                <w:sz w:val="18"/>
                <w:szCs w:val="18"/>
                <w:b w:val="1"/>
                <w:bCs w:val="1"/>
                <w:color w:val="auto"/>
              </w:rPr>
              <w:t>Descripton</w:t>
            </w:r>
          </w:p>
        </w:tc>
        <w:tc>
          <w:tcPr>
            <w:tcW w:w="8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vMerge w:val="restart"/>
          </w:tcPr>
          <w:p>
            <w:pPr>
              <w:jc w:val="center"/>
              <w:spacing w:after="0" w:line="190" w:lineRule="exact"/>
              <w:rPr>
                <w:sz w:val="20"/>
                <w:szCs w:val="20"/>
                <w:color w:val="auto"/>
              </w:rPr>
            </w:pPr>
            <w:r>
              <w:rPr>
                <w:rFonts w:ascii="Calibri" w:cs="Calibri" w:eastAsia="Calibri" w:hAnsi="Calibri"/>
                <w:sz w:val="18"/>
                <w:szCs w:val="18"/>
                <w:b w:val="1"/>
                <w:bCs w:val="1"/>
                <w:color w:val="auto"/>
                <w:w w:val="97"/>
              </w:rPr>
              <w:t>Filed / Furnished</w:t>
            </w: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9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660" w:type="dxa"/>
            <w:vAlign w:val="bottom"/>
            <w:gridSpan w:val="25"/>
            <w:vMerge w:val="continue"/>
          </w:tcPr>
          <w:p>
            <w:pPr>
              <w:spacing w:after="0"/>
              <w:rPr>
                <w:sz w:val="12"/>
                <w:szCs w:val="12"/>
                <w:color w:val="auto"/>
              </w:rPr>
            </w:pPr>
          </w:p>
        </w:tc>
        <w:tc>
          <w:tcPr>
            <w:tcW w:w="880" w:type="dxa"/>
            <w:vAlign w:val="bottom"/>
          </w:tcPr>
          <w:p>
            <w:pPr>
              <w:ind w:left="320"/>
              <w:spacing w:after="0" w:line="147" w:lineRule="exact"/>
              <w:rPr>
                <w:sz w:val="20"/>
                <w:szCs w:val="20"/>
                <w:color w:val="auto"/>
              </w:rPr>
            </w:pPr>
            <w:r>
              <w:rPr>
                <w:rFonts w:ascii="Calibri" w:cs="Calibri" w:eastAsia="Calibri" w:hAnsi="Calibri"/>
                <w:sz w:val="16"/>
                <w:szCs w:val="16"/>
                <w:b w:val="1"/>
                <w:bCs w:val="1"/>
                <w:color w:val="auto"/>
              </w:rPr>
              <w:t>Form</w:t>
            </w:r>
          </w:p>
        </w:tc>
        <w:tc>
          <w:tcPr>
            <w:tcW w:w="1040" w:type="dxa"/>
            <w:vAlign w:val="bottom"/>
          </w:tcPr>
          <w:p>
            <w:pPr>
              <w:ind w:left="420"/>
              <w:spacing w:after="0" w:line="147" w:lineRule="exact"/>
              <w:rPr>
                <w:sz w:val="20"/>
                <w:szCs w:val="20"/>
                <w:color w:val="auto"/>
              </w:rPr>
            </w:pPr>
            <w:r>
              <w:rPr>
                <w:rFonts w:ascii="Calibri" w:cs="Calibri" w:eastAsia="Calibri" w:hAnsi="Calibri"/>
                <w:sz w:val="16"/>
                <w:szCs w:val="16"/>
                <w:b w:val="1"/>
                <w:bCs w:val="1"/>
                <w:color w:val="auto"/>
              </w:rPr>
              <w:t>Exhibit</w:t>
            </w:r>
          </w:p>
        </w:tc>
        <w:tc>
          <w:tcPr>
            <w:tcW w:w="1420" w:type="dxa"/>
            <w:vAlign w:val="bottom"/>
          </w:tcPr>
          <w:p>
            <w:pPr>
              <w:ind w:left="380"/>
              <w:spacing w:after="0" w:line="147" w:lineRule="exact"/>
              <w:rPr>
                <w:sz w:val="20"/>
                <w:szCs w:val="20"/>
                <w:color w:val="auto"/>
              </w:rPr>
            </w:pPr>
            <w:r>
              <w:rPr>
                <w:rFonts w:ascii="Calibri" w:cs="Calibri" w:eastAsia="Calibri" w:hAnsi="Calibri"/>
                <w:sz w:val="16"/>
                <w:szCs w:val="16"/>
                <w:b w:val="1"/>
                <w:bCs w:val="1"/>
                <w:color w:val="auto"/>
              </w:rPr>
              <w:t>Filing Date</w:t>
            </w:r>
          </w:p>
        </w:tc>
        <w:tc>
          <w:tcPr>
            <w:tcW w:w="130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960" w:type="dxa"/>
            <w:vAlign w:val="bottom"/>
          </w:tcPr>
          <w:p>
            <w:pPr>
              <w:spacing w:after="0"/>
              <w:rPr>
                <w:sz w:val="18"/>
                <w:szCs w:val="18"/>
                <w:color w:val="auto"/>
              </w:rPr>
            </w:pPr>
          </w:p>
        </w:tc>
        <w:tc>
          <w:tcPr>
            <w:tcW w:w="920" w:type="dxa"/>
            <w:vAlign w:val="bottom"/>
          </w:tcPr>
          <w:p>
            <w:pPr>
              <w:ind w:left="160"/>
              <w:spacing w:after="0" w:line="215" w:lineRule="exact"/>
              <w:rPr>
                <w:sz w:val="20"/>
                <w:szCs w:val="20"/>
                <w:color w:val="auto"/>
              </w:rPr>
            </w:pPr>
            <w:r>
              <w:rPr>
                <w:rFonts w:ascii="Calibri" w:cs="Calibri" w:eastAsia="Calibri" w:hAnsi="Calibri"/>
                <w:sz w:val="18"/>
                <w:szCs w:val="18"/>
                <w:b w:val="1"/>
                <w:bCs w:val="1"/>
                <w:color w:val="auto"/>
              </w:rPr>
              <w:t>Number</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7"/>
              </w:rPr>
              <w:t>Herewith</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9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920" w:type="dxa"/>
            <w:vAlign w:val="bottom"/>
          </w:tcPr>
          <w:p>
            <w:pPr>
              <w:ind w:left="20"/>
              <w:spacing w:after="0" w:line="142" w:lineRule="exact"/>
              <w:rPr>
                <w:sz w:val="20"/>
                <w:szCs w:val="20"/>
                <w:color w:val="auto"/>
              </w:rPr>
            </w:pPr>
            <w:r>
              <w:rPr>
                <w:rFonts w:ascii="Calibri" w:cs="Calibri" w:eastAsia="Calibri" w:hAnsi="Calibri"/>
                <w:sz w:val="15"/>
                <w:szCs w:val="15"/>
                <w:color w:val="auto"/>
              </w:rPr>
              <w:t>2.1</w:t>
            </w:r>
          </w:p>
        </w:tc>
        <w:tc>
          <w:tcPr>
            <w:tcW w:w="4640" w:type="dxa"/>
            <w:vAlign w:val="bottom"/>
            <w:gridSpan w:val="31"/>
          </w:tcPr>
          <w:p>
            <w:pPr>
              <w:spacing w:after="0" w:line="142" w:lineRule="exact"/>
              <w:rPr>
                <w:rFonts w:ascii="Calibri" w:cs="Calibri" w:eastAsia="Calibri" w:hAnsi="Calibri"/>
                <w:sz w:val="15"/>
                <w:szCs w:val="15"/>
                <w:color w:val="0000FF"/>
              </w:rPr>
            </w:pPr>
            <w:hyperlink r:id="rId286">
              <w:r>
                <w:rPr>
                  <w:rFonts w:ascii="Calibri" w:cs="Calibri" w:eastAsia="Calibri" w:hAnsi="Calibri"/>
                  <w:sz w:val="15"/>
                  <w:szCs w:val="15"/>
                  <w:color w:val="0000FF"/>
                </w:rPr>
                <w:t xml:space="preserve">Transacton Agreement dated April 21, 2021 among </w:t>
              </w:r>
            </w:hyperlink>
            <w:r>
              <w:rPr>
                <w:rFonts w:ascii="Calibri" w:cs="Calibri" w:eastAsia="Calibri" w:hAnsi="Calibri"/>
                <w:sz w:val="15"/>
                <w:szCs w:val="15"/>
                <w:color w:val="000000"/>
              </w:rPr>
              <w:t>S-4</w:t>
            </w:r>
          </w:p>
        </w:tc>
        <w:tc>
          <w:tcPr>
            <w:tcW w:w="1040" w:type="dxa"/>
            <w:vAlign w:val="bottom"/>
          </w:tcPr>
          <w:p>
            <w:pPr>
              <w:ind w:left="180"/>
              <w:spacing w:after="0" w:line="142" w:lineRule="exact"/>
              <w:rPr>
                <w:sz w:val="20"/>
                <w:szCs w:val="20"/>
                <w:color w:val="auto"/>
              </w:rPr>
            </w:pPr>
            <w:r>
              <w:rPr>
                <w:rFonts w:ascii="Calibri" w:cs="Calibri" w:eastAsia="Calibri" w:hAnsi="Calibri"/>
                <w:sz w:val="15"/>
                <w:szCs w:val="15"/>
                <w:color w:val="auto"/>
              </w:rPr>
              <w:t>2.1</w:t>
            </w:r>
          </w:p>
        </w:tc>
        <w:tc>
          <w:tcPr>
            <w:tcW w:w="1420" w:type="dxa"/>
            <w:vAlign w:val="bottom"/>
          </w:tcPr>
          <w:p>
            <w:pPr>
              <w:ind w:left="120"/>
              <w:spacing w:after="0" w:line="142" w:lineRule="exact"/>
              <w:rPr>
                <w:sz w:val="20"/>
                <w:szCs w:val="20"/>
                <w:color w:val="auto"/>
              </w:rPr>
            </w:pPr>
            <w:r>
              <w:rPr>
                <w:rFonts w:ascii="Calibri" w:cs="Calibri" w:eastAsia="Calibri" w:hAnsi="Calibri"/>
                <w:sz w:val="15"/>
                <w:szCs w:val="15"/>
                <w:color w:val="auto"/>
              </w:rPr>
              <w:t>5/28/2021</w:t>
            </w: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720" w:type="dxa"/>
            <w:vAlign w:val="bottom"/>
            <w:tcBorders>
              <w:top w:val="single" w:sz="8" w:color="0000FF"/>
            </w:tcBorders>
            <w:gridSpan w:val="28"/>
          </w:tcPr>
          <w:p>
            <w:pPr>
              <w:spacing w:after="0" w:line="169" w:lineRule="exact"/>
              <w:rPr>
                <w:rFonts w:ascii="Calibri" w:cs="Calibri" w:eastAsia="Calibri" w:hAnsi="Calibri"/>
                <w:sz w:val="18"/>
                <w:szCs w:val="18"/>
                <w:color w:val="0000FF"/>
              </w:rPr>
            </w:pPr>
            <w:hyperlink r:id="rId286">
              <w:r>
                <w:rPr>
                  <w:rFonts w:ascii="Calibri" w:cs="Calibri" w:eastAsia="Calibri" w:hAnsi="Calibri"/>
                  <w:sz w:val="18"/>
                  <w:szCs w:val="18"/>
                  <w:color w:val="0000FF"/>
                </w:rPr>
                <w:t>Horizon Acquisiton Corporaton, Horizon Sponsor,</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20" w:type="dxa"/>
            <w:vAlign w:val="bottom"/>
            <w:tcBorders>
              <w:top w:val="single" w:sz="8" w:color="0000FF"/>
            </w:tcBorders>
            <w:gridSpan w:val="23"/>
          </w:tcPr>
          <w:p>
            <w:pPr>
              <w:spacing w:after="0" w:line="169" w:lineRule="exact"/>
              <w:rPr>
                <w:rFonts w:ascii="Calibri" w:cs="Calibri" w:eastAsia="Calibri" w:hAnsi="Calibri"/>
                <w:sz w:val="18"/>
                <w:szCs w:val="18"/>
                <w:color w:val="0000FF"/>
                <w:w w:val="98"/>
              </w:rPr>
            </w:pPr>
            <w:hyperlink r:id="rId286">
              <w:r>
                <w:rPr>
                  <w:rFonts w:ascii="Calibri" w:cs="Calibri" w:eastAsia="Calibri" w:hAnsi="Calibri"/>
                  <w:sz w:val="18"/>
                  <w:szCs w:val="18"/>
                  <w:color w:val="0000FF"/>
                  <w:w w:val="98"/>
                </w:rPr>
                <w:t>LLC, Hoya Topco, LLC, Hoya Intermediate, LLC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Borders>
              <w:top w:val="single" w:sz="8" w:color="0000FF"/>
              <w:bottom w:val="single" w:sz="8" w:color="0000FF"/>
            </w:tcBorders>
            <w:gridSpan w:val="3"/>
          </w:tcPr>
          <w:p>
            <w:pPr>
              <w:spacing w:after="0" w:line="169" w:lineRule="exact"/>
              <w:rPr>
                <w:rFonts w:ascii="Calibri" w:cs="Calibri" w:eastAsia="Calibri" w:hAnsi="Calibri"/>
                <w:sz w:val="18"/>
                <w:szCs w:val="18"/>
                <w:color w:val="0000FF"/>
                <w:w w:val="95"/>
              </w:rPr>
            </w:pPr>
            <w:hyperlink r:id="rId286">
              <w:r>
                <w:rPr>
                  <w:rFonts w:ascii="Calibri" w:cs="Calibri" w:eastAsia="Calibri" w:hAnsi="Calibri"/>
                  <w:sz w:val="18"/>
                  <w:szCs w:val="18"/>
                  <w:color w:val="0000FF"/>
                  <w:w w:val="95"/>
                </w:rPr>
                <w:t>Vivid Seats Inc.</w:t>
              </w:r>
            </w:hyperlink>
          </w:p>
        </w:tc>
        <w:tc>
          <w:tcPr>
            <w:tcW w:w="40" w:type="dxa"/>
            <w:vAlign w:val="bottom"/>
            <w:tcBorders>
              <w:top w:val="single" w:sz="8" w:color="0000FF"/>
              <w:bottom w:val="single" w:sz="8" w:color="0000EE"/>
            </w:tcBorders>
            <w:gridSpan w:val="2"/>
          </w:tcPr>
          <w:p>
            <w:pPr>
              <w:spacing w:after="0"/>
              <w:rPr>
                <w:sz w:val="14"/>
                <w:szCs w:val="14"/>
                <w:color w:val="auto"/>
              </w:rPr>
            </w:pPr>
          </w:p>
        </w:tc>
        <w:tc>
          <w:tcPr>
            <w:tcW w:w="244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920" w:type="dxa"/>
            <w:vAlign w:val="bottom"/>
          </w:tcPr>
          <w:p>
            <w:pPr>
              <w:ind w:left="20"/>
              <w:spacing w:after="0" w:line="183" w:lineRule="exact"/>
              <w:rPr>
                <w:sz w:val="20"/>
                <w:szCs w:val="20"/>
                <w:color w:val="auto"/>
              </w:rPr>
            </w:pPr>
            <w:r>
              <w:rPr>
                <w:rFonts w:ascii="Calibri" w:cs="Calibri" w:eastAsia="Calibri" w:hAnsi="Calibri"/>
                <w:sz w:val="18"/>
                <w:szCs w:val="18"/>
                <w:color w:val="auto"/>
              </w:rPr>
              <w:t>2.2</w:t>
            </w:r>
          </w:p>
        </w:tc>
        <w:tc>
          <w:tcPr>
            <w:tcW w:w="3760" w:type="dxa"/>
            <w:vAlign w:val="bottom"/>
            <w:gridSpan w:val="30"/>
          </w:tcPr>
          <w:p>
            <w:pPr>
              <w:spacing w:after="0" w:line="183" w:lineRule="exact"/>
              <w:rPr>
                <w:rFonts w:ascii="Calibri" w:cs="Calibri" w:eastAsia="Calibri" w:hAnsi="Calibri"/>
                <w:sz w:val="18"/>
                <w:szCs w:val="18"/>
                <w:color w:val="0000FF"/>
              </w:rPr>
            </w:pPr>
            <w:hyperlink r:id="rId287">
              <w:r>
                <w:rPr>
                  <w:rFonts w:ascii="Calibri" w:cs="Calibri" w:eastAsia="Calibri" w:hAnsi="Calibri"/>
                  <w:sz w:val="18"/>
                  <w:szCs w:val="18"/>
                  <w:color w:val="0000FF"/>
                </w:rPr>
                <w:t>Purchase, Sale and Redempton Agreement dated</w:t>
              </w:r>
            </w:hyperlink>
          </w:p>
        </w:tc>
        <w:tc>
          <w:tcPr>
            <w:tcW w:w="880" w:type="dxa"/>
            <w:vAlign w:val="bottom"/>
          </w:tcPr>
          <w:p>
            <w:pPr>
              <w:spacing w:after="0" w:line="183" w:lineRule="exact"/>
              <w:rPr>
                <w:sz w:val="20"/>
                <w:szCs w:val="20"/>
                <w:color w:val="auto"/>
              </w:rPr>
            </w:pPr>
            <w:r>
              <w:rPr>
                <w:rFonts w:ascii="Calibri" w:cs="Calibri" w:eastAsia="Calibri" w:hAnsi="Calibri"/>
                <w:sz w:val="18"/>
                <w:szCs w:val="18"/>
                <w:color w:val="auto"/>
              </w:rPr>
              <w:t>S-4</w:t>
            </w:r>
          </w:p>
        </w:tc>
        <w:tc>
          <w:tcPr>
            <w:tcW w:w="1040" w:type="dxa"/>
            <w:vAlign w:val="bottom"/>
          </w:tcPr>
          <w:p>
            <w:pPr>
              <w:ind w:left="180"/>
              <w:spacing w:after="0" w:line="183" w:lineRule="exact"/>
              <w:rPr>
                <w:sz w:val="20"/>
                <w:szCs w:val="20"/>
                <w:color w:val="auto"/>
              </w:rPr>
            </w:pPr>
            <w:r>
              <w:rPr>
                <w:rFonts w:ascii="Calibri" w:cs="Calibri" w:eastAsia="Calibri" w:hAnsi="Calibri"/>
                <w:sz w:val="18"/>
                <w:szCs w:val="18"/>
                <w:color w:val="auto"/>
              </w:rPr>
              <w:t>2.2</w:t>
            </w:r>
          </w:p>
        </w:tc>
        <w:tc>
          <w:tcPr>
            <w:tcW w:w="1420" w:type="dxa"/>
            <w:vAlign w:val="bottom"/>
          </w:tcPr>
          <w:p>
            <w:pPr>
              <w:ind w:left="120"/>
              <w:spacing w:after="0" w:line="183" w:lineRule="exact"/>
              <w:rPr>
                <w:sz w:val="20"/>
                <w:szCs w:val="20"/>
                <w:color w:val="auto"/>
              </w:rPr>
            </w:pPr>
            <w:r>
              <w:rPr>
                <w:rFonts w:ascii="Calibri" w:cs="Calibri" w:eastAsia="Calibri" w:hAnsi="Calibri"/>
                <w:sz w:val="18"/>
                <w:szCs w:val="18"/>
                <w:color w:val="auto"/>
              </w:rPr>
              <w:t>5/28/2021</w:t>
            </w: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0" w:type="dxa"/>
            <w:vAlign w:val="bottom"/>
            <w:tcBorders>
              <w:top w:val="single" w:sz="8" w:color="0000FF"/>
            </w:tcBorders>
            <w:gridSpan w:val="22"/>
          </w:tcPr>
          <w:p>
            <w:pPr>
              <w:spacing w:after="0" w:line="169" w:lineRule="exact"/>
              <w:rPr>
                <w:rFonts w:ascii="Calibri" w:cs="Calibri" w:eastAsia="Calibri" w:hAnsi="Calibri"/>
                <w:sz w:val="18"/>
                <w:szCs w:val="18"/>
                <w:color w:val="0000FF"/>
              </w:rPr>
            </w:pPr>
            <w:hyperlink r:id="rId287">
              <w:r>
                <w:rPr>
                  <w:rFonts w:ascii="Calibri" w:cs="Calibri" w:eastAsia="Calibri" w:hAnsi="Calibri"/>
                  <w:sz w:val="18"/>
                  <w:szCs w:val="18"/>
                  <w:color w:val="0000FF"/>
                </w:rPr>
                <w:t>April 21, 2021 among Hoya Topco, LLC, Hoya</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11"/>
          </w:tcPr>
          <w:p>
            <w:pPr>
              <w:spacing w:after="0" w:line="169" w:lineRule="exact"/>
              <w:rPr>
                <w:rFonts w:ascii="Calibri" w:cs="Calibri" w:eastAsia="Calibri" w:hAnsi="Calibri"/>
                <w:sz w:val="18"/>
                <w:szCs w:val="18"/>
                <w:color w:val="0000FF"/>
                <w:w w:val="97"/>
              </w:rPr>
            </w:pPr>
            <w:hyperlink r:id="rId287">
              <w:r>
                <w:rPr>
                  <w:rFonts w:ascii="Calibri" w:cs="Calibri" w:eastAsia="Calibri" w:hAnsi="Calibri"/>
                  <w:sz w:val="18"/>
                  <w:szCs w:val="18"/>
                  <w:color w:val="0000FF"/>
                  <w:w w:val="97"/>
                </w:rPr>
                <w:t>Intermediate, LLC, Vivid Seats Inc., Crescent</w:t>
              </w:r>
            </w:hyperlink>
          </w:p>
        </w:tc>
        <w:tc>
          <w:tcPr>
            <w:tcW w:w="6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760" w:type="dxa"/>
            <w:vAlign w:val="bottom"/>
            <w:gridSpan w:val="30"/>
          </w:tcPr>
          <w:p>
            <w:pPr>
              <w:spacing w:after="0" w:line="169" w:lineRule="exact"/>
              <w:rPr>
                <w:rFonts w:ascii="Calibri" w:cs="Calibri" w:eastAsia="Calibri" w:hAnsi="Calibri"/>
                <w:sz w:val="18"/>
                <w:szCs w:val="18"/>
                <w:color w:val="0000FF"/>
              </w:rPr>
            </w:pPr>
            <w:hyperlink r:id="rId287">
              <w:r>
                <w:rPr>
                  <w:rFonts w:ascii="Calibri" w:cs="Calibri" w:eastAsia="Calibri" w:hAnsi="Calibri"/>
                  <w:sz w:val="18"/>
                  <w:szCs w:val="18"/>
                  <w:color w:val="0000FF"/>
                </w:rPr>
                <w:t>Mezzanine Partners VIB, L.P., Crescent Mezzanine</w:t>
              </w:r>
            </w:hyperlink>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60" w:type="dxa"/>
            <w:vAlign w:val="bottom"/>
            <w:tcBorders>
              <w:top w:val="single" w:sz="8" w:color="0000FF"/>
            </w:tcBorders>
            <w:gridSpan w:val="20"/>
          </w:tcPr>
          <w:p>
            <w:pPr>
              <w:spacing w:after="0" w:line="169" w:lineRule="exact"/>
              <w:rPr>
                <w:rFonts w:ascii="Calibri" w:cs="Calibri" w:eastAsia="Calibri" w:hAnsi="Calibri"/>
                <w:sz w:val="18"/>
                <w:szCs w:val="18"/>
                <w:color w:val="0000FF"/>
              </w:rPr>
            </w:pPr>
            <w:hyperlink r:id="rId287">
              <w:r>
                <w:rPr>
                  <w:rFonts w:ascii="Calibri" w:cs="Calibri" w:eastAsia="Calibri" w:hAnsi="Calibri"/>
                  <w:sz w:val="18"/>
                  <w:szCs w:val="18"/>
                  <w:color w:val="0000FF"/>
                </w:rPr>
                <w:t>Partners VIC, L.P., NPS/Crescent Strategic</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40" w:type="dxa"/>
            <w:vAlign w:val="bottom"/>
            <w:tcBorders>
              <w:top w:val="single" w:sz="8" w:color="0000FF"/>
              <w:bottom w:val="single" w:sz="8" w:color="0000FF"/>
            </w:tcBorders>
            <w:gridSpan w:val="8"/>
          </w:tcPr>
          <w:p>
            <w:pPr>
              <w:spacing w:after="0" w:line="169" w:lineRule="exact"/>
              <w:rPr>
                <w:rFonts w:ascii="Calibri" w:cs="Calibri" w:eastAsia="Calibri" w:hAnsi="Calibri"/>
                <w:sz w:val="18"/>
                <w:szCs w:val="18"/>
                <w:color w:val="0000FF"/>
                <w:w w:val="91"/>
              </w:rPr>
            </w:pPr>
            <w:hyperlink r:id="rId287">
              <w:r>
                <w:rPr>
                  <w:rFonts w:ascii="Calibri" w:cs="Calibri" w:eastAsia="Calibri" w:hAnsi="Calibri"/>
                  <w:sz w:val="18"/>
                  <w:szCs w:val="18"/>
                  <w:color w:val="0000FF"/>
                  <w:w w:val="91"/>
                </w:rPr>
                <w:t>Partnership II, LP, CM7C VS Equity Holdings,</w:t>
              </w:r>
            </w:hyperlink>
          </w:p>
        </w:tc>
        <w:tc>
          <w:tcPr>
            <w:tcW w:w="4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320" w:type="dxa"/>
            <w:vAlign w:val="bottom"/>
            <w:tcBorders>
              <w:bottom w:val="single" w:sz="8" w:color="0000FF"/>
            </w:tcBorders>
            <w:gridSpan w:val="4"/>
          </w:tcPr>
          <w:p>
            <w:pPr>
              <w:ind w:left="100"/>
              <w:spacing w:after="0" w:line="169" w:lineRule="exact"/>
              <w:rPr>
                <w:rFonts w:ascii="Calibri" w:cs="Calibri" w:eastAsia="Calibri" w:hAnsi="Calibri"/>
                <w:sz w:val="18"/>
                <w:szCs w:val="18"/>
                <w:color w:val="0000FF"/>
                <w:w w:val="93"/>
              </w:rPr>
            </w:pPr>
            <w:hyperlink r:id="rId287">
              <w:r>
                <w:rPr>
                  <w:rFonts w:ascii="Calibri" w:cs="Calibri" w:eastAsia="Calibri" w:hAnsi="Calibri"/>
                  <w:sz w:val="18"/>
                  <w:szCs w:val="18"/>
                  <w:color w:val="0000FF"/>
                  <w:w w:val="93"/>
                </w:rPr>
                <w:t>LP,</w:t>
              </w:r>
            </w:hyperlink>
          </w:p>
        </w:tc>
        <w:tc>
          <w:tcPr>
            <w:tcW w:w="420" w:type="dxa"/>
            <w:vAlign w:val="bottom"/>
            <w:gridSpan w:val="16"/>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760" w:type="dxa"/>
            <w:vAlign w:val="bottom"/>
            <w:gridSpan w:val="30"/>
          </w:tcPr>
          <w:p>
            <w:pPr>
              <w:spacing w:after="0" w:line="169" w:lineRule="exact"/>
              <w:rPr>
                <w:rFonts w:ascii="Calibri" w:cs="Calibri" w:eastAsia="Calibri" w:hAnsi="Calibri"/>
                <w:sz w:val="18"/>
                <w:szCs w:val="18"/>
                <w:color w:val="0000FF"/>
              </w:rPr>
            </w:pPr>
            <w:hyperlink r:id="rId287">
              <w:r>
                <w:rPr>
                  <w:rFonts w:ascii="Calibri" w:cs="Calibri" w:eastAsia="Calibri" w:hAnsi="Calibri"/>
                  <w:sz w:val="18"/>
                  <w:szCs w:val="18"/>
                  <w:color w:val="0000FF"/>
                </w:rPr>
                <w:t>Crescent Mezzanine Partners VIIB, L.P., CM6B Vivid</w:t>
              </w:r>
            </w:hyperlink>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60" w:type="dxa"/>
            <w:vAlign w:val="bottom"/>
            <w:tcBorders>
              <w:top w:val="single" w:sz="8" w:color="0000FF"/>
            </w:tcBorders>
            <w:gridSpan w:val="25"/>
          </w:tcPr>
          <w:p>
            <w:pPr>
              <w:spacing w:after="0" w:line="169" w:lineRule="exact"/>
              <w:rPr>
                <w:rFonts w:ascii="Calibri" w:cs="Calibri" w:eastAsia="Calibri" w:hAnsi="Calibri"/>
                <w:sz w:val="18"/>
                <w:szCs w:val="18"/>
                <w:color w:val="0000FF"/>
              </w:rPr>
            </w:pPr>
            <w:hyperlink r:id="rId287">
              <w:r>
                <w:rPr>
                  <w:rFonts w:ascii="Calibri" w:cs="Calibri" w:eastAsia="Calibri" w:hAnsi="Calibri"/>
                  <w:sz w:val="18"/>
                  <w:szCs w:val="18"/>
                  <w:color w:val="0000FF"/>
                </w:rPr>
                <w:t>Equity, Inc., CM6C Vivid Equity, Inc., CM7C VS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20" w:type="dxa"/>
            <w:vAlign w:val="bottom"/>
            <w:tcBorders>
              <w:top w:val="single" w:sz="8" w:color="0000FF"/>
              <w:bottom w:val="single" w:sz="8" w:color="0000FF"/>
            </w:tcBorders>
            <w:gridSpan w:val="10"/>
          </w:tcPr>
          <w:p>
            <w:pPr>
              <w:spacing w:after="0" w:line="169" w:lineRule="exact"/>
              <w:rPr>
                <w:rFonts w:ascii="Calibri" w:cs="Calibri" w:eastAsia="Calibri" w:hAnsi="Calibri"/>
                <w:sz w:val="18"/>
                <w:szCs w:val="18"/>
                <w:color w:val="0000FF"/>
                <w:w w:val="96"/>
              </w:rPr>
            </w:pPr>
            <w:hyperlink r:id="rId287">
              <w:r>
                <w:rPr>
                  <w:rFonts w:ascii="Calibri" w:cs="Calibri" w:eastAsia="Calibri" w:hAnsi="Calibri"/>
                  <w:sz w:val="18"/>
                  <w:szCs w:val="18"/>
                  <w:color w:val="0000FF"/>
                  <w:w w:val="96"/>
                </w:rPr>
                <w:t>Equity, LLC, CM7B VS Equity, LLC, Crescent</w:t>
              </w:r>
            </w:hyperlink>
          </w:p>
        </w:tc>
        <w:tc>
          <w:tcPr>
            <w:tcW w:w="220" w:type="dxa"/>
            <w:vAlign w:val="bottom"/>
            <w:tcBorders>
              <w:top w:val="single" w:sz="8" w:color="0000FF"/>
            </w:tcBorders>
            <w:gridSpan w:val="3"/>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40" w:type="dxa"/>
            <w:vAlign w:val="bottom"/>
            <w:tcBorders>
              <w:bottom w:val="single" w:sz="8" w:color="0000FF"/>
            </w:tcBorders>
            <w:gridSpan w:val="18"/>
          </w:tcPr>
          <w:p>
            <w:pPr>
              <w:spacing w:after="0" w:line="169" w:lineRule="exact"/>
              <w:rPr>
                <w:rFonts w:ascii="Calibri" w:cs="Calibri" w:eastAsia="Calibri" w:hAnsi="Calibri"/>
                <w:sz w:val="18"/>
                <w:szCs w:val="18"/>
                <w:color w:val="0000FF"/>
                <w:w w:val="96"/>
              </w:rPr>
            </w:pPr>
            <w:hyperlink r:id="rId287">
              <w:r>
                <w:rPr>
                  <w:rFonts w:ascii="Calibri" w:cs="Calibri" w:eastAsia="Calibri" w:hAnsi="Calibri"/>
                  <w:sz w:val="18"/>
                  <w:szCs w:val="18"/>
                  <w:color w:val="0000FF"/>
                  <w:w w:val="96"/>
                </w:rPr>
                <w:t>Mezzanine Partners VI, L.P., Crescent Mezzanine</w:t>
              </w:r>
            </w:hyperlink>
          </w:p>
        </w:tc>
        <w:tc>
          <w:tcPr>
            <w:tcW w:w="320" w:type="dxa"/>
            <w:vAlign w:val="bottom"/>
            <w:gridSpan w:val="12"/>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760" w:type="dxa"/>
            <w:vAlign w:val="bottom"/>
            <w:gridSpan w:val="30"/>
          </w:tcPr>
          <w:p>
            <w:pPr>
              <w:spacing w:after="0" w:line="169" w:lineRule="exact"/>
              <w:rPr>
                <w:rFonts w:ascii="Calibri" w:cs="Calibri" w:eastAsia="Calibri" w:hAnsi="Calibri"/>
                <w:sz w:val="18"/>
                <w:szCs w:val="18"/>
                <w:color w:val="0000FF"/>
              </w:rPr>
            </w:pPr>
            <w:hyperlink r:id="rId287">
              <w:r>
                <w:rPr>
                  <w:rFonts w:ascii="Calibri" w:cs="Calibri" w:eastAsia="Calibri" w:hAnsi="Calibri"/>
                  <w:sz w:val="18"/>
                  <w:szCs w:val="18"/>
                  <w:color w:val="0000FF"/>
                </w:rPr>
                <w:t>Partners VII, L.P., Crescent Mezzanine Partners VII</w:t>
              </w:r>
            </w:hyperlink>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80" w:type="dxa"/>
            <w:vAlign w:val="bottom"/>
            <w:tcBorders>
              <w:top w:val="single" w:sz="8" w:color="0000FF"/>
            </w:tcBorders>
            <w:gridSpan w:val="21"/>
          </w:tcPr>
          <w:p>
            <w:pPr>
              <w:spacing w:after="0" w:line="169" w:lineRule="exact"/>
              <w:rPr>
                <w:rFonts w:ascii="Calibri" w:cs="Calibri" w:eastAsia="Calibri" w:hAnsi="Calibri"/>
                <w:sz w:val="18"/>
                <w:szCs w:val="18"/>
                <w:color w:val="0000FF"/>
              </w:rPr>
            </w:pPr>
            <w:hyperlink r:id="rId287">
              <w:r>
                <w:rPr>
                  <w:rFonts w:ascii="Calibri" w:cs="Calibri" w:eastAsia="Calibri" w:hAnsi="Calibri"/>
                  <w:sz w:val="18"/>
                  <w:szCs w:val="18"/>
                  <w:color w:val="0000FF"/>
                </w:rPr>
                <w:t>(LTL), L.P., CBDC Universal Equity, Inc., Crescent</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60" w:type="dxa"/>
            <w:vAlign w:val="bottom"/>
            <w:tcBorders>
              <w:top w:val="single" w:sz="8" w:color="0000FF"/>
            </w:tcBorders>
            <w:gridSpan w:val="15"/>
          </w:tcPr>
          <w:p>
            <w:pPr>
              <w:spacing w:after="0" w:line="169" w:lineRule="exact"/>
              <w:rPr>
                <w:rFonts w:ascii="Calibri" w:cs="Calibri" w:eastAsia="Calibri" w:hAnsi="Calibri"/>
                <w:sz w:val="18"/>
                <w:szCs w:val="18"/>
                <w:color w:val="0000FF"/>
              </w:rPr>
            </w:pPr>
            <w:hyperlink r:id="rId287">
              <w:r>
                <w:rPr>
                  <w:rFonts w:ascii="Calibri" w:cs="Calibri" w:eastAsia="Calibri" w:hAnsi="Calibri"/>
                  <w:sz w:val="18"/>
                  <w:szCs w:val="18"/>
                  <w:color w:val="0000FF"/>
                </w:rPr>
                <w:t>Capital Group, LP and Horizon Acquisiton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80" w:type="dxa"/>
            <w:vAlign w:val="bottom"/>
            <w:tcBorders>
              <w:top w:val="single" w:sz="8" w:color="0000FF"/>
            </w:tcBorders>
            <w:gridSpan w:val="9"/>
          </w:tcPr>
          <w:p>
            <w:pPr>
              <w:spacing w:after="0" w:line="169" w:lineRule="exact"/>
              <w:rPr>
                <w:rFonts w:ascii="Calibri" w:cs="Calibri" w:eastAsia="Calibri" w:hAnsi="Calibri"/>
                <w:sz w:val="18"/>
                <w:szCs w:val="18"/>
                <w:color w:val="0000FF"/>
              </w:rPr>
            </w:pPr>
            <w:hyperlink r:id="rId287">
              <w:r>
                <w:rPr>
                  <w:rFonts w:ascii="Calibri" w:cs="Calibri" w:eastAsia="Calibri" w:hAnsi="Calibri"/>
                  <w:sz w:val="18"/>
                  <w:szCs w:val="18"/>
                  <w:color w:val="0000FF"/>
                </w:rPr>
                <w:t>Corporaton</w:t>
              </w:r>
            </w:hyperlink>
          </w:p>
        </w:tc>
        <w:tc>
          <w:tcPr>
            <w:tcW w:w="36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920" w:type="dxa"/>
            <w:vAlign w:val="bottom"/>
          </w:tcPr>
          <w:p>
            <w:pPr>
              <w:ind w:left="20"/>
              <w:spacing w:after="0" w:line="183" w:lineRule="exact"/>
              <w:rPr>
                <w:sz w:val="20"/>
                <w:szCs w:val="20"/>
                <w:color w:val="auto"/>
              </w:rPr>
            </w:pPr>
            <w:r>
              <w:rPr>
                <w:rFonts w:ascii="Calibri" w:cs="Calibri" w:eastAsia="Calibri" w:hAnsi="Calibri"/>
                <w:sz w:val="18"/>
                <w:szCs w:val="18"/>
                <w:color w:val="auto"/>
              </w:rPr>
              <w:t>2.3</w:t>
            </w:r>
          </w:p>
        </w:tc>
        <w:tc>
          <w:tcPr>
            <w:tcW w:w="3340" w:type="dxa"/>
            <w:vAlign w:val="bottom"/>
            <w:tcBorders>
              <w:bottom w:val="single" w:sz="8" w:color="0000FF"/>
            </w:tcBorders>
            <w:gridSpan w:val="14"/>
          </w:tcPr>
          <w:p>
            <w:pPr>
              <w:spacing w:after="0" w:line="183" w:lineRule="exact"/>
              <w:rPr>
                <w:rFonts w:ascii="Calibri" w:cs="Calibri" w:eastAsia="Calibri" w:hAnsi="Calibri"/>
                <w:sz w:val="18"/>
                <w:szCs w:val="18"/>
                <w:color w:val="0000FF"/>
                <w:w w:val="97"/>
              </w:rPr>
            </w:pPr>
            <w:hyperlink r:id="rId288">
              <w:r>
                <w:rPr>
                  <w:rFonts w:ascii="Calibri" w:cs="Calibri" w:eastAsia="Calibri" w:hAnsi="Calibri"/>
                  <w:sz w:val="18"/>
                  <w:szCs w:val="18"/>
                  <w:color w:val="0000FF"/>
                  <w:w w:val="97"/>
                </w:rPr>
                <w:t>Plan of Merger dated October 18, 2021 among</w:t>
              </w:r>
            </w:hyperlink>
          </w:p>
        </w:tc>
        <w:tc>
          <w:tcPr>
            <w:tcW w:w="420" w:type="dxa"/>
            <w:vAlign w:val="bottom"/>
            <w:gridSpan w:val="16"/>
          </w:tcPr>
          <w:p>
            <w:pPr>
              <w:spacing w:after="0"/>
              <w:rPr>
                <w:sz w:val="15"/>
                <w:szCs w:val="15"/>
                <w:color w:val="auto"/>
              </w:rPr>
            </w:pPr>
          </w:p>
        </w:tc>
        <w:tc>
          <w:tcPr>
            <w:tcW w:w="880" w:type="dxa"/>
            <w:vAlign w:val="bottom"/>
          </w:tcPr>
          <w:p>
            <w:pPr>
              <w:spacing w:after="0" w:line="183" w:lineRule="exact"/>
              <w:rPr>
                <w:sz w:val="20"/>
                <w:szCs w:val="20"/>
                <w:color w:val="auto"/>
              </w:rPr>
            </w:pPr>
            <w:r>
              <w:rPr>
                <w:rFonts w:ascii="Calibri" w:cs="Calibri" w:eastAsia="Calibri" w:hAnsi="Calibri"/>
                <w:sz w:val="18"/>
                <w:szCs w:val="18"/>
                <w:color w:val="auto"/>
              </w:rPr>
              <w:t>10-Q</w:t>
            </w:r>
          </w:p>
        </w:tc>
        <w:tc>
          <w:tcPr>
            <w:tcW w:w="1040" w:type="dxa"/>
            <w:vAlign w:val="bottom"/>
          </w:tcPr>
          <w:p>
            <w:pPr>
              <w:ind w:left="180"/>
              <w:spacing w:after="0" w:line="183" w:lineRule="exact"/>
              <w:rPr>
                <w:sz w:val="20"/>
                <w:szCs w:val="20"/>
                <w:color w:val="auto"/>
              </w:rPr>
            </w:pPr>
            <w:r>
              <w:rPr>
                <w:rFonts w:ascii="Calibri" w:cs="Calibri" w:eastAsia="Calibri" w:hAnsi="Calibri"/>
                <w:sz w:val="18"/>
                <w:szCs w:val="18"/>
                <w:color w:val="auto"/>
              </w:rPr>
              <w:t>2.3</w:t>
            </w:r>
          </w:p>
        </w:tc>
        <w:tc>
          <w:tcPr>
            <w:tcW w:w="1420" w:type="dxa"/>
            <w:vAlign w:val="bottom"/>
          </w:tcPr>
          <w:p>
            <w:pPr>
              <w:ind w:left="120"/>
              <w:spacing w:after="0" w:line="183" w:lineRule="exact"/>
              <w:rPr>
                <w:sz w:val="20"/>
                <w:szCs w:val="20"/>
                <w:color w:val="auto"/>
              </w:rPr>
            </w:pPr>
            <w:r>
              <w:rPr>
                <w:rFonts w:ascii="Calibri" w:cs="Calibri" w:eastAsia="Calibri" w:hAnsi="Calibri"/>
                <w:sz w:val="18"/>
                <w:szCs w:val="18"/>
                <w:color w:val="auto"/>
              </w:rPr>
              <w:t>11/15/2021</w:t>
            </w: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760" w:type="dxa"/>
            <w:vAlign w:val="bottom"/>
            <w:gridSpan w:val="30"/>
          </w:tcPr>
          <w:p>
            <w:pPr>
              <w:spacing w:after="0" w:line="169" w:lineRule="exact"/>
              <w:rPr>
                <w:rFonts w:ascii="Calibri" w:cs="Calibri" w:eastAsia="Calibri" w:hAnsi="Calibri"/>
                <w:sz w:val="18"/>
                <w:szCs w:val="18"/>
                <w:color w:val="0000FF"/>
              </w:rPr>
            </w:pPr>
            <w:hyperlink r:id="rId288">
              <w:r>
                <w:rPr>
                  <w:rFonts w:ascii="Calibri" w:cs="Calibri" w:eastAsia="Calibri" w:hAnsi="Calibri"/>
                  <w:sz w:val="18"/>
                  <w:szCs w:val="18"/>
                  <w:color w:val="0000FF"/>
                </w:rPr>
                <w:t>Horizon Acquisiton Corporaton, Horizon Sponsor,</w:t>
              </w:r>
            </w:hyperlink>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20" w:type="dxa"/>
            <w:vAlign w:val="bottom"/>
            <w:tcBorders>
              <w:top w:val="single" w:sz="8" w:color="0000FF"/>
            </w:tcBorders>
            <w:gridSpan w:val="23"/>
          </w:tcPr>
          <w:p>
            <w:pPr>
              <w:spacing w:after="0" w:line="169" w:lineRule="exact"/>
              <w:rPr>
                <w:rFonts w:ascii="Calibri" w:cs="Calibri" w:eastAsia="Calibri" w:hAnsi="Calibri"/>
                <w:sz w:val="18"/>
                <w:szCs w:val="18"/>
                <w:color w:val="0000FF"/>
                <w:w w:val="98"/>
              </w:rPr>
            </w:pPr>
            <w:hyperlink r:id="rId288">
              <w:r>
                <w:rPr>
                  <w:rFonts w:ascii="Calibri" w:cs="Calibri" w:eastAsia="Calibri" w:hAnsi="Calibri"/>
                  <w:sz w:val="18"/>
                  <w:szCs w:val="18"/>
                  <w:color w:val="0000FF"/>
                  <w:w w:val="98"/>
                </w:rPr>
                <w:t>LLC, Hoya Topco, LLC, Hoya Intermediate, LLC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Borders>
              <w:top w:val="single" w:sz="8" w:color="0000FF"/>
              <w:bottom w:val="single" w:sz="8" w:color="0000FF"/>
            </w:tcBorders>
            <w:gridSpan w:val="3"/>
          </w:tcPr>
          <w:p>
            <w:pPr>
              <w:spacing w:after="0" w:line="169" w:lineRule="exact"/>
              <w:rPr>
                <w:rFonts w:ascii="Calibri" w:cs="Calibri" w:eastAsia="Calibri" w:hAnsi="Calibri"/>
                <w:sz w:val="18"/>
                <w:szCs w:val="18"/>
                <w:color w:val="0000FF"/>
                <w:w w:val="95"/>
              </w:rPr>
            </w:pPr>
            <w:hyperlink r:id="rId288">
              <w:r>
                <w:rPr>
                  <w:rFonts w:ascii="Calibri" w:cs="Calibri" w:eastAsia="Calibri" w:hAnsi="Calibri"/>
                  <w:sz w:val="18"/>
                  <w:szCs w:val="18"/>
                  <w:color w:val="0000FF"/>
                  <w:w w:val="95"/>
                </w:rPr>
                <w:t>Vivid Seats Inc.</w:t>
              </w:r>
            </w:hyperlink>
          </w:p>
        </w:tc>
        <w:tc>
          <w:tcPr>
            <w:tcW w:w="20" w:type="dxa"/>
            <w:vAlign w:val="bottom"/>
            <w:tcBorders>
              <w:top w:val="single" w:sz="8" w:color="0000FF"/>
              <w:bottom w:val="single" w:sz="8" w:color="0000EE"/>
            </w:tcBorders>
          </w:tcPr>
          <w:p>
            <w:pPr>
              <w:spacing w:after="0"/>
              <w:rPr>
                <w:sz w:val="14"/>
                <w:szCs w:val="14"/>
                <w:color w:val="auto"/>
              </w:rPr>
            </w:pPr>
          </w:p>
        </w:tc>
        <w:tc>
          <w:tcPr>
            <w:tcW w:w="2460" w:type="dxa"/>
            <w:vAlign w:val="bottom"/>
            <w:tcBorders>
              <w:top w:val="single" w:sz="8" w:color="0000FF"/>
            </w:tcBorders>
            <w:gridSpan w:val="15"/>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920" w:type="dxa"/>
            <w:vAlign w:val="bottom"/>
          </w:tcPr>
          <w:p>
            <w:pPr>
              <w:ind w:left="20"/>
              <w:spacing w:after="0" w:line="183" w:lineRule="exact"/>
              <w:rPr>
                <w:sz w:val="20"/>
                <w:szCs w:val="20"/>
                <w:color w:val="auto"/>
              </w:rPr>
            </w:pPr>
            <w:r>
              <w:rPr>
                <w:rFonts w:ascii="Calibri" w:cs="Calibri" w:eastAsia="Calibri" w:hAnsi="Calibri"/>
                <w:sz w:val="18"/>
                <w:szCs w:val="18"/>
                <w:color w:val="auto"/>
              </w:rPr>
              <w:t>3.1</w:t>
            </w:r>
          </w:p>
        </w:tc>
        <w:tc>
          <w:tcPr>
            <w:tcW w:w="3640" w:type="dxa"/>
            <w:vAlign w:val="bottom"/>
            <w:tcBorders>
              <w:bottom w:val="single" w:sz="8" w:color="0000FF"/>
            </w:tcBorders>
            <w:gridSpan w:val="24"/>
          </w:tcPr>
          <w:p>
            <w:pPr>
              <w:spacing w:after="0" w:line="183" w:lineRule="exact"/>
              <w:rPr>
                <w:rFonts w:ascii="Calibri" w:cs="Calibri" w:eastAsia="Calibri" w:hAnsi="Calibri"/>
                <w:sz w:val="18"/>
                <w:szCs w:val="18"/>
                <w:color w:val="0000FF"/>
                <w:w w:val="99"/>
              </w:rPr>
            </w:pPr>
            <w:hyperlink r:id="rId289">
              <w:r>
                <w:rPr>
                  <w:rFonts w:ascii="Calibri" w:cs="Calibri" w:eastAsia="Calibri" w:hAnsi="Calibri"/>
                  <w:sz w:val="18"/>
                  <w:szCs w:val="18"/>
                  <w:color w:val="0000FF"/>
                  <w:w w:val="99"/>
                </w:rPr>
                <w:t>Amended and Restated Certfcate of Incorporaton</w:t>
              </w:r>
            </w:hyperlink>
          </w:p>
        </w:tc>
        <w:tc>
          <w:tcPr>
            <w:tcW w:w="40" w:type="dxa"/>
            <w:vAlign w:val="bottom"/>
            <w:tcBorders>
              <w:bottom w:val="single" w:sz="8" w:color="0000EE"/>
            </w:tcBorders>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880" w:type="dxa"/>
            <w:vAlign w:val="bottom"/>
          </w:tcPr>
          <w:p>
            <w:pPr>
              <w:spacing w:after="0" w:line="183" w:lineRule="exact"/>
              <w:rPr>
                <w:sz w:val="20"/>
                <w:szCs w:val="20"/>
                <w:color w:val="auto"/>
              </w:rPr>
            </w:pPr>
            <w:r>
              <w:rPr>
                <w:rFonts w:ascii="Calibri" w:cs="Calibri" w:eastAsia="Calibri" w:hAnsi="Calibri"/>
                <w:sz w:val="18"/>
                <w:szCs w:val="18"/>
                <w:color w:val="auto"/>
              </w:rPr>
              <w:t>8-K</w:t>
            </w:r>
          </w:p>
        </w:tc>
        <w:tc>
          <w:tcPr>
            <w:tcW w:w="1040" w:type="dxa"/>
            <w:vAlign w:val="bottom"/>
          </w:tcPr>
          <w:p>
            <w:pPr>
              <w:ind w:left="180"/>
              <w:spacing w:after="0" w:line="183" w:lineRule="exact"/>
              <w:rPr>
                <w:sz w:val="20"/>
                <w:szCs w:val="20"/>
                <w:color w:val="auto"/>
              </w:rPr>
            </w:pPr>
            <w:r>
              <w:rPr>
                <w:rFonts w:ascii="Calibri" w:cs="Calibri" w:eastAsia="Calibri" w:hAnsi="Calibri"/>
                <w:sz w:val="18"/>
                <w:szCs w:val="18"/>
                <w:color w:val="auto"/>
              </w:rPr>
              <w:t>3.1</w:t>
            </w:r>
          </w:p>
        </w:tc>
        <w:tc>
          <w:tcPr>
            <w:tcW w:w="1420" w:type="dxa"/>
            <w:vAlign w:val="bottom"/>
          </w:tcPr>
          <w:p>
            <w:pPr>
              <w:ind w:left="120"/>
              <w:spacing w:after="0" w:line="183" w:lineRule="exact"/>
              <w:rPr>
                <w:sz w:val="20"/>
                <w:szCs w:val="20"/>
                <w:color w:val="auto"/>
              </w:rPr>
            </w:pPr>
            <w:r>
              <w:rPr>
                <w:rFonts w:ascii="Calibri" w:cs="Calibri" w:eastAsia="Calibri" w:hAnsi="Calibri"/>
                <w:sz w:val="18"/>
                <w:szCs w:val="18"/>
                <w:color w:val="auto"/>
              </w:rPr>
              <w:t>10/22/2021</w:t>
            </w: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920" w:type="dxa"/>
            <w:vAlign w:val="bottom"/>
          </w:tcPr>
          <w:p>
            <w:pPr>
              <w:ind w:left="20"/>
              <w:spacing w:after="0" w:line="183" w:lineRule="exact"/>
              <w:rPr>
                <w:sz w:val="20"/>
                <w:szCs w:val="20"/>
                <w:color w:val="auto"/>
              </w:rPr>
            </w:pPr>
            <w:r>
              <w:rPr>
                <w:rFonts w:ascii="Calibri" w:cs="Calibri" w:eastAsia="Calibri" w:hAnsi="Calibri"/>
                <w:sz w:val="18"/>
                <w:szCs w:val="18"/>
                <w:color w:val="auto"/>
              </w:rPr>
              <w:t>3.2</w:t>
            </w:r>
          </w:p>
        </w:tc>
        <w:tc>
          <w:tcPr>
            <w:tcW w:w="3680" w:type="dxa"/>
            <w:vAlign w:val="bottom"/>
            <w:tcBorders>
              <w:bottom w:val="single" w:sz="8" w:color="0000FF"/>
            </w:tcBorders>
            <w:gridSpan w:val="26"/>
          </w:tcPr>
          <w:p>
            <w:pPr>
              <w:spacing w:after="0" w:line="183" w:lineRule="exact"/>
              <w:rPr>
                <w:rFonts w:ascii="Calibri" w:cs="Calibri" w:eastAsia="Calibri" w:hAnsi="Calibri"/>
                <w:sz w:val="18"/>
                <w:szCs w:val="18"/>
                <w:color w:val="0000FF"/>
                <w:w w:val="97"/>
              </w:rPr>
            </w:pPr>
            <w:hyperlink r:id="rId290">
              <w:r>
                <w:rPr>
                  <w:rFonts w:ascii="Calibri" w:cs="Calibri" w:eastAsia="Calibri" w:hAnsi="Calibri"/>
                  <w:sz w:val="18"/>
                  <w:szCs w:val="18"/>
                  <w:color w:val="0000FF"/>
                  <w:w w:val="97"/>
                </w:rPr>
                <w:t>First Amendment to Amended and Restated Bylaws</w:t>
              </w:r>
            </w:hyperlink>
          </w:p>
        </w:tc>
        <w:tc>
          <w:tcPr>
            <w:tcW w:w="80" w:type="dxa"/>
            <w:vAlign w:val="bottom"/>
            <w:gridSpan w:val="4"/>
          </w:tcPr>
          <w:p>
            <w:pPr>
              <w:spacing w:after="0"/>
              <w:rPr>
                <w:sz w:val="15"/>
                <w:szCs w:val="15"/>
                <w:color w:val="auto"/>
              </w:rPr>
            </w:pPr>
          </w:p>
        </w:tc>
        <w:tc>
          <w:tcPr>
            <w:tcW w:w="880" w:type="dxa"/>
            <w:vAlign w:val="bottom"/>
          </w:tcPr>
          <w:p>
            <w:pPr>
              <w:spacing w:after="0" w:line="183" w:lineRule="exact"/>
              <w:rPr>
                <w:sz w:val="20"/>
                <w:szCs w:val="20"/>
                <w:color w:val="auto"/>
              </w:rPr>
            </w:pPr>
            <w:r>
              <w:rPr>
                <w:rFonts w:ascii="Calibri" w:cs="Calibri" w:eastAsia="Calibri" w:hAnsi="Calibri"/>
                <w:sz w:val="18"/>
                <w:szCs w:val="18"/>
                <w:color w:val="auto"/>
              </w:rPr>
              <w:t>10-Q</w:t>
            </w:r>
          </w:p>
        </w:tc>
        <w:tc>
          <w:tcPr>
            <w:tcW w:w="1040" w:type="dxa"/>
            <w:vAlign w:val="bottom"/>
          </w:tcPr>
          <w:p>
            <w:pPr>
              <w:ind w:left="180"/>
              <w:spacing w:after="0" w:line="183" w:lineRule="exact"/>
              <w:rPr>
                <w:sz w:val="20"/>
                <w:szCs w:val="20"/>
                <w:color w:val="auto"/>
              </w:rPr>
            </w:pPr>
            <w:r>
              <w:rPr>
                <w:rFonts w:ascii="Calibri" w:cs="Calibri" w:eastAsia="Calibri" w:hAnsi="Calibri"/>
                <w:sz w:val="18"/>
                <w:szCs w:val="18"/>
                <w:color w:val="auto"/>
              </w:rPr>
              <w:t>3.2</w:t>
            </w:r>
          </w:p>
        </w:tc>
        <w:tc>
          <w:tcPr>
            <w:tcW w:w="1420" w:type="dxa"/>
            <w:vAlign w:val="bottom"/>
          </w:tcPr>
          <w:p>
            <w:pPr>
              <w:ind w:left="120"/>
              <w:spacing w:after="0" w:line="183" w:lineRule="exact"/>
              <w:rPr>
                <w:sz w:val="20"/>
                <w:szCs w:val="20"/>
                <w:color w:val="auto"/>
              </w:rPr>
            </w:pPr>
            <w:r>
              <w:rPr>
                <w:rFonts w:ascii="Calibri" w:cs="Calibri" w:eastAsia="Calibri" w:hAnsi="Calibri"/>
                <w:sz w:val="18"/>
                <w:szCs w:val="18"/>
                <w:color w:val="auto"/>
              </w:rPr>
              <w:t>5/10/2022</w:t>
            </w: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920" w:type="dxa"/>
            <w:vAlign w:val="bottom"/>
          </w:tcPr>
          <w:p>
            <w:pPr>
              <w:ind w:left="20"/>
              <w:spacing w:after="0" w:line="183" w:lineRule="exact"/>
              <w:rPr>
                <w:sz w:val="20"/>
                <w:szCs w:val="20"/>
                <w:color w:val="auto"/>
              </w:rPr>
            </w:pPr>
            <w:r>
              <w:rPr>
                <w:rFonts w:ascii="Calibri" w:cs="Calibri" w:eastAsia="Calibri" w:hAnsi="Calibri"/>
                <w:sz w:val="18"/>
                <w:szCs w:val="18"/>
                <w:color w:val="auto"/>
              </w:rPr>
              <w:t>3.3</w:t>
            </w:r>
          </w:p>
        </w:tc>
        <w:tc>
          <w:tcPr>
            <w:tcW w:w="3760" w:type="dxa"/>
            <w:vAlign w:val="bottom"/>
            <w:gridSpan w:val="30"/>
          </w:tcPr>
          <w:p>
            <w:pPr>
              <w:spacing w:after="0" w:line="183" w:lineRule="exact"/>
              <w:rPr>
                <w:rFonts w:ascii="Calibri" w:cs="Calibri" w:eastAsia="Calibri" w:hAnsi="Calibri"/>
                <w:sz w:val="18"/>
                <w:szCs w:val="18"/>
                <w:color w:val="0000FF"/>
              </w:rPr>
            </w:pPr>
            <w:hyperlink r:id="rId291">
              <w:r>
                <w:rPr>
                  <w:rFonts w:ascii="Calibri" w:cs="Calibri" w:eastAsia="Calibri" w:hAnsi="Calibri"/>
                  <w:sz w:val="18"/>
                  <w:szCs w:val="18"/>
                  <w:color w:val="0000FF"/>
                </w:rPr>
                <w:t>Amended and Restated Bylaws</w:t>
              </w:r>
            </w:hyperlink>
          </w:p>
        </w:tc>
        <w:tc>
          <w:tcPr>
            <w:tcW w:w="880" w:type="dxa"/>
            <w:vAlign w:val="bottom"/>
          </w:tcPr>
          <w:p>
            <w:pPr>
              <w:spacing w:after="0" w:line="183" w:lineRule="exact"/>
              <w:rPr>
                <w:sz w:val="20"/>
                <w:szCs w:val="20"/>
                <w:color w:val="auto"/>
              </w:rPr>
            </w:pPr>
            <w:r>
              <w:rPr>
                <w:rFonts w:ascii="Calibri" w:cs="Calibri" w:eastAsia="Calibri" w:hAnsi="Calibri"/>
                <w:sz w:val="18"/>
                <w:szCs w:val="18"/>
                <w:color w:val="auto"/>
              </w:rPr>
              <w:t>8-K</w:t>
            </w:r>
          </w:p>
        </w:tc>
        <w:tc>
          <w:tcPr>
            <w:tcW w:w="1040" w:type="dxa"/>
            <w:vAlign w:val="bottom"/>
          </w:tcPr>
          <w:p>
            <w:pPr>
              <w:ind w:left="180"/>
              <w:spacing w:after="0" w:line="183" w:lineRule="exact"/>
              <w:rPr>
                <w:sz w:val="20"/>
                <w:szCs w:val="20"/>
                <w:color w:val="auto"/>
              </w:rPr>
            </w:pPr>
            <w:r>
              <w:rPr>
                <w:rFonts w:ascii="Calibri" w:cs="Calibri" w:eastAsia="Calibri" w:hAnsi="Calibri"/>
                <w:sz w:val="18"/>
                <w:szCs w:val="18"/>
                <w:color w:val="auto"/>
              </w:rPr>
              <w:t>3.2</w:t>
            </w:r>
          </w:p>
        </w:tc>
        <w:tc>
          <w:tcPr>
            <w:tcW w:w="1420" w:type="dxa"/>
            <w:vAlign w:val="bottom"/>
          </w:tcPr>
          <w:p>
            <w:pPr>
              <w:ind w:left="120"/>
              <w:spacing w:after="0" w:line="183" w:lineRule="exact"/>
              <w:rPr>
                <w:sz w:val="20"/>
                <w:szCs w:val="20"/>
                <w:color w:val="auto"/>
              </w:rPr>
            </w:pPr>
            <w:r>
              <w:rPr>
                <w:rFonts w:ascii="Calibri" w:cs="Calibri" w:eastAsia="Calibri" w:hAnsi="Calibri"/>
                <w:sz w:val="18"/>
                <w:szCs w:val="18"/>
                <w:color w:val="auto"/>
              </w:rPr>
              <w:t>10/22/2021</w:t>
            </w: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EE"/>
            </w:tcBorders>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920" w:type="dxa"/>
            <w:vAlign w:val="bottom"/>
          </w:tcPr>
          <w:p>
            <w:pPr>
              <w:ind w:left="20"/>
              <w:spacing w:after="0" w:line="183" w:lineRule="exact"/>
              <w:rPr>
                <w:sz w:val="20"/>
                <w:szCs w:val="20"/>
                <w:color w:val="auto"/>
              </w:rPr>
            </w:pPr>
            <w:r>
              <w:rPr>
                <w:rFonts w:ascii="Calibri" w:cs="Calibri" w:eastAsia="Calibri" w:hAnsi="Calibri"/>
                <w:sz w:val="18"/>
                <w:szCs w:val="18"/>
                <w:color w:val="auto"/>
              </w:rPr>
              <w:t>4.1</w:t>
            </w:r>
          </w:p>
        </w:tc>
        <w:tc>
          <w:tcPr>
            <w:tcW w:w="3760" w:type="dxa"/>
            <w:vAlign w:val="bottom"/>
            <w:gridSpan w:val="30"/>
          </w:tcPr>
          <w:p>
            <w:pPr>
              <w:spacing w:after="0" w:line="183" w:lineRule="exact"/>
              <w:rPr>
                <w:rFonts w:ascii="Calibri" w:cs="Calibri" w:eastAsia="Calibri" w:hAnsi="Calibri"/>
                <w:sz w:val="18"/>
                <w:szCs w:val="18"/>
                <w:color w:val="0000FF"/>
              </w:rPr>
            </w:pPr>
            <w:hyperlink r:id="rId292">
              <w:r>
                <w:rPr>
                  <w:rFonts w:ascii="Calibri" w:cs="Calibri" w:eastAsia="Calibri" w:hAnsi="Calibri"/>
                  <w:sz w:val="18"/>
                  <w:szCs w:val="18"/>
                  <w:color w:val="0000FF"/>
                </w:rPr>
                <w:t>Amended and Restated Warrant Agreement dated</w:t>
              </w:r>
            </w:hyperlink>
          </w:p>
        </w:tc>
        <w:tc>
          <w:tcPr>
            <w:tcW w:w="880" w:type="dxa"/>
            <w:vAlign w:val="bottom"/>
          </w:tcPr>
          <w:p>
            <w:pPr>
              <w:spacing w:after="0" w:line="183" w:lineRule="exact"/>
              <w:rPr>
                <w:sz w:val="20"/>
                <w:szCs w:val="20"/>
                <w:color w:val="auto"/>
              </w:rPr>
            </w:pPr>
            <w:r>
              <w:rPr>
                <w:rFonts w:ascii="Calibri" w:cs="Calibri" w:eastAsia="Calibri" w:hAnsi="Calibri"/>
                <w:sz w:val="18"/>
                <w:szCs w:val="18"/>
                <w:color w:val="auto"/>
              </w:rPr>
              <w:t>8-K</w:t>
            </w:r>
          </w:p>
        </w:tc>
        <w:tc>
          <w:tcPr>
            <w:tcW w:w="1040" w:type="dxa"/>
            <w:vAlign w:val="bottom"/>
          </w:tcPr>
          <w:p>
            <w:pPr>
              <w:ind w:left="180"/>
              <w:spacing w:after="0" w:line="183" w:lineRule="exact"/>
              <w:rPr>
                <w:sz w:val="20"/>
                <w:szCs w:val="20"/>
                <w:color w:val="auto"/>
              </w:rPr>
            </w:pPr>
            <w:r>
              <w:rPr>
                <w:rFonts w:ascii="Calibri" w:cs="Calibri" w:eastAsia="Calibri" w:hAnsi="Calibri"/>
                <w:sz w:val="18"/>
                <w:szCs w:val="18"/>
                <w:color w:val="auto"/>
              </w:rPr>
              <w:t>10.7</w:t>
            </w:r>
          </w:p>
        </w:tc>
        <w:tc>
          <w:tcPr>
            <w:tcW w:w="1420" w:type="dxa"/>
            <w:vAlign w:val="bottom"/>
          </w:tcPr>
          <w:p>
            <w:pPr>
              <w:ind w:left="120"/>
              <w:spacing w:after="0" w:line="183" w:lineRule="exact"/>
              <w:rPr>
                <w:sz w:val="20"/>
                <w:szCs w:val="20"/>
                <w:color w:val="auto"/>
              </w:rPr>
            </w:pPr>
            <w:r>
              <w:rPr>
                <w:rFonts w:ascii="Calibri" w:cs="Calibri" w:eastAsia="Calibri" w:hAnsi="Calibri"/>
                <w:sz w:val="18"/>
                <w:szCs w:val="18"/>
                <w:color w:val="auto"/>
              </w:rPr>
              <w:t>10/22/2021</w:t>
            </w: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80" w:type="dxa"/>
            <w:vAlign w:val="bottom"/>
            <w:tcBorders>
              <w:top w:val="single" w:sz="8" w:color="0000FF"/>
              <w:bottom w:val="single" w:sz="8" w:color="0000FF"/>
            </w:tcBorders>
            <w:gridSpan w:val="16"/>
          </w:tcPr>
          <w:p>
            <w:pPr>
              <w:spacing w:after="0" w:line="169" w:lineRule="exact"/>
              <w:rPr>
                <w:rFonts w:ascii="Calibri" w:cs="Calibri" w:eastAsia="Calibri" w:hAnsi="Calibri"/>
                <w:sz w:val="18"/>
                <w:szCs w:val="18"/>
                <w:color w:val="0000FF"/>
                <w:w w:val="99"/>
              </w:rPr>
            </w:pPr>
            <w:hyperlink r:id="rId292">
              <w:r>
                <w:rPr>
                  <w:rFonts w:ascii="Calibri" w:cs="Calibri" w:eastAsia="Calibri" w:hAnsi="Calibri"/>
                  <w:sz w:val="18"/>
                  <w:szCs w:val="18"/>
                  <w:color w:val="0000FF"/>
                  <w:w w:val="99"/>
                </w:rPr>
                <w:t>October 14, 2021 between Horizon Acquisiton</w:t>
              </w:r>
            </w:hyperlink>
          </w:p>
        </w:tc>
        <w:tc>
          <w:tcPr>
            <w:tcW w:w="260" w:type="dxa"/>
            <w:vAlign w:val="bottom"/>
            <w:tcBorders>
              <w:top w:val="single" w:sz="8" w:color="0000FF"/>
            </w:tcBorders>
            <w:gridSpan w:val="8"/>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760" w:type="dxa"/>
            <w:vAlign w:val="bottom"/>
            <w:gridSpan w:val="30"/>
          </w:tcPr>
          <w:p>
            <w:pPr>
              <w:spacing w:after="0" w:line="169" w:lineRule="exact"/>
              <w:rPr>
                <w:rFonts w:ascii="Calibri" w:cs="Calibri" w:eastAsia="Calibri" w:hAnsi="Calibri"/>
                <w:sz w:val="18"/>
                <w:szCs w:val="18"/>
                <w:color w:val="0000FF"/>
              </w:rPr>
            </w:pPr>
            <w:hyperlink r:id="rId292">
              <w:r>
                <w:rPr>
                  <w:rFonts w:ascii="Calibri" w:cs="Calibri" w:eastAsia="Calibri" w:hAnsi="Calibri"/>
                  <w:sz w:val="18"/>
                  <w:szCs w:val="18"/>
                  <w:color w:val="0000FF"/>
                </w:rPr>
                <w:t>Corporaton and Contnental Stock Transfer &amp; Trust</w:t>
              </w:r>
            </w:hyperlink>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80" w:type="dxa"/>
            <w:vAlign w:val="bottom"/>
            <w:tcBorders>
              <w:top w:val="single" w:sz="8" w:color="0000FF"/>
            </w:tcBorders>
            <w:gridSpan w:val="26"/>
          </w:tcPr>
          <w:p>
            <w:pPr>
              <w:spacing w:after="0" w:line="169" w:lineRule="exact"/>
              <w:rPr>
                <w:rFonts w:ascii="Calibri" w:cs="Calibri" w:eastAsia="Calibri" w:hAnsi="Calibri"/>
                <w:sz w:val="18"/>
                <w:szCs w:val="18"/>
                <w:color w:val="0000FF"/>
              </w:rPr>
            </w:pPr>
            <w:hyperlink r:id="rId292">
              <w:r>
                <w:rPr>
                  <w:rFonts w:ascii="Calibri" w:cs="Calibri" w:eastAsia="Calibri" w:hAnsi="Calibri"/>
                  <w:sz w:val="18"/>
                  <w:szCs w:val="18"/>
                  <w:color w:val="0000FF"/>
                </w:rPr>
                <w:t>Company</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920" w:type="dxa"/>
            <w:vAlign w:val="bottom"/>
          </w:tcPr>
          <w:p>
            <w:pPr>
              <w:ind w:left="20"/>
              <w:spacing w:after="0" w:line="183" w:lineRule="exact"/>
              <w:rPr>
                <w:sz w:val="20"/>
                <w:szCs w:val="20"/>
                <w:color w:val="auto"/>
              </w:rPr>
            </w:pPr>
            <w:r>
              <w:rPr>
                <w:rFonts w:ascii="Calibri" w:cs="Calibri" w:eastAsia="Calibri" w:hAnsi="Calibri"/>
                <w:sz w:val="18"/>
                <w:szCs w:val="18"/>
                <w:color w:val="auto"/>
              </w:rPr>
              <w:t>4.2</w:t>
            </w:r>
          </w:p>
        </w:tc>
        <w:tc>
          <w:tcPr>
            <w:tcW w:w="3760" w:type="dxa"/>
            <w:vAlign w:val="bottom"/>
            <w:gridSpan w:val="30"/>
          </w:tcPr>
          <w:p>
            <w:pPr>
              <w:spacing w:after="0" w:line="183" w:lineRule="exact"/>
              <w:rPr>
                <w:rFonts w:ascii="Calibri" w:cs="Calibri" w:eastAsia="Calibri" w:hAnsi="Calibri"/>
                <w:sz w:val="18"/>
                <w:szCs w:val="18"/>
                <w:color w:val="0000FF"/>
              </w:rPr>
            </w:pPr>
            <w:hyperlink r:id="rId293">
              <w:r>
                <w:rPr>
                  <w:rFonts w:ascii="Calibri" w:cs="Calibri" w:eastAsia="Calibri" w:hAnsi="Calibri"/>
                  <w:sz w:val="18"/>
                  <w:szCs w:val="18"/>
                  <w:color w:val="0000FF"/>
                </w:rPr>
                <w:t>Specimen Class A Common Stock Certfcate of Vivid</w:t>
              </w:r>
            </w:hyperlink>
          </w:p>
        </w:tc>
        <w:tc>
          <w:tcPr>
            <w:tcW w:w="880" w:type="dxa"/>
            <w:vAlign w:val="bottom"/>
          </w:tcPr>
          <w:p>
            <w:pPr>
              <w:spacing w:after="0" w:line="183" w:lineRule="exact"/>
              <w:rPr>
                <w:sz w:val="20"/>
                <w:szCs w:val="20"/>
                <w:color w:val="auto"/>
              </w:rPr>
            </w:pPr>
            <w:r>
              <w:rPr>
                <w:rFonts w:ascii="Calibri" w:cs="Calibri" w:eastAsia="Calibri" w:hAnsi="Calibri"/>
                <w:sz w:val="18"/>
                <w:szCs w:val="18"/>
                <w:color w:val="auto"/>
              </w:rPr>
              <w:t>10-K</w:t>
            </w:r>
          </w:p>
        </w:tc>
        <w:tc>
          <w:tcPr>
            <w:tcW w:w="1040" w:type="dxa"/>
            <w:vAlign w:val="bottom"/>
          </w:tcPr>
          <w:p>
            <w:pPr>
              <w:ind w:left="180"/>
              <w:spacing w:after="0" w:line="183" w:lineRule="exact"/>
              <w:rPr>
                <w:sz w:val="20"/>
                <w:szCs w:val="20"/>
                <w:color w:val="auto"/>
              </w:rPr>
            </w:pPr>
            <w:r>
              <w:rPr>
                <w:rFonts w:ascii="Calibri" w:cs="Calibri" w:eastAsia="Calibri" w:hAnsi="Calibri"/>
                <w:sz w:val="18"/>
                <w:szCs w:val="18"/>
                <w:color w:val="auto"/>
              </w:rPr>
              <w:t>4.2</w:t>
            </w:r>
          </w:p>
        </w:tc>
        <w:tc>
          <w:tcPr>
            <w:tcW w:w="1420" w:type="dxa"/>
            <w:vAlign w:val="bottom"/>
          </w:tcPr>
          <w:p>
            <w:pPr>
              <w:ind w:left="120"/>
              <w:spacing w:after="0" w:line="183" w:lineRule="exact"/>
              <w:rPr>
                <w:sz w:val="20"/>
                <w:szCs w:val="20"/>
                <w:color w:val="auto"/>
              </w:rPr>
            </w:pPr>
            <w:r>
              <w:rPr>
                <w:rFonts w:ascii="Calibri" w:cs="Calibri" w:eastAsia="Calibri" w:hAnsi="Calibri"/>
                <w:sz w:val="18"/>
                <w:szCs w:val="18"/>
                <w:color w:val="auto"/>
              </w:rPr>
              <w:t>3/15/2022</w:t>
            </w: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Borders>
              <w:top w:val="single" w:sz="8" w:color="0000FF"/>
              <w:bottom w:val="single" w:sz="8" w:color="0000FF"/>
            </w:tcBorders>
          </w:tcPr>
          <w:p>
            <w:pPr>
              <w:spacing w:after="0" w:line="169" w:lineRule="exact"/>
              <w:rPr>
                <w:rFonts w:ascii="Calibri" w:cs="Calibri" w:eastAsia="Calibri" w:hAnsi="Calibri"/>
                <w:sz w:val="18"/>
                <w:szCs w:val="18"/>
                <w:color w:val="0000FF"/>
                <w:w w:val="95"/>
              </w:rPr>
            </w:pPr>
            <w:hyperlink r:id="rId293">
              <w:r>
                <w:rPr>
                  <w:rFonts w:ascii="Calibri" w:cs="Calibri" w:eastAsia="Calibri" w:hAnsi="Calibri"/>
                  <w:sz w:val="18"/>
                  <w:szCs w:val="18"/>
                  <w:color w:val="0000FF"/>
                  <w:w w:val="95"/>
                </w:rPr>
                <w:t>Seats Inc.</w:t>
              </w:r>
            </w:hyperlink>
          </w:p>
        </w:tc>
        <w:tc>
          <w:tcPr>
            <w:tcW w:w="3040" w:type="dxa"/>
            <w:vAlign w:val="bottom"/>
            <w:tcBorders>
              <w:top w:val="single" w:sz="8" w:color="0000FF"/>
            </w:tcBorders>
            <w:gridSpan w:val="28"/>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920" w:type="dxa"/>
            <w:vAlign w:val="bottom"/>
          </w:tcPr>
          <w:p>
            <w:pPr>
              <w:ind w:left="20"/>
              <w:spacing w:after="0" w:line="183" w:lineRule="exact"/>
              <w:rPr>
                <w:sz w:val="20"/>
                <w:szCs w:val="20"/>
                <w:color w:val="auto"/>
              </w:rPr>
            </w:pPr>
            <w:r>
              <w:rPr>
                <w:rFonts w:ascii="Calibri" w:cs="Calibri" w:eastAsia="Calibri" w:hAnsi="Calibri"/>
                <w:sz w:val="18"/>
                <w:szCs w:val="18"/>
                <w:color w:val="auto"/>
              </w:rPr>
              <w:t>4.3</w:t>
            </w:r>
          </w:p>
        </w:tc>
        <w:tc>
          <w:tcPr>
            <w:tcW w:w="3380" w:type="dxa"/>
            <w:vAlign w:val="bottom"/>
            <w:tcBorders>
              <w:bottom w:val="single" w:sz="8" w:color="0000FF"/>
            </w:tcBorders>
            <w:gridSpan w:val="16"/>
          </w:tcPr>
          <w:p>
            <w:pPr>
              <w:spacing w:after="0" w:line="183" w:lineRule="exact"/>
              <w:rPr>
                <w:rFonts w:ascii="Calibri" w:cs="Calibri" w:eastAsia="Calibri" w:hAnsi="Calibri"/>
                <w:sz w:val="18"/>
                <w:szCs w:val="18"/>
                <w:color w:val="0000FF"/>
                <w:w w:val="98"/>
              </w:rPr>
            </w:pPr>
            <w:hyperlink r:id="rId294">
              <w:r>
                <w:rPr>
                  <w:rFonts w:ascii="Calibri" w:cs="Calibri" w:eastAsia="Calibri" w:hAnsi="Calibri"/>
                  <w:sz w:val="18"/>
                  <w:szCs w:val="18"/>
                  <w:color w:val="0000FF"/>
                  <w:w w:val="98"/>
                </w:rPr>
                <w:t>Specimen Warrant Certfcate of Vivid Seats Inc.</w:t>
              </w:r>
            </w:hyperlink>
          </w:p>
        </w:tc>
        <w:tc>
          <w:tcPr>
            <w:tcW w:w="20" w:type="dxa"/>
            <w:vAlign w:val="bottom"/>
            <w:tcBorders>
              <w:bottom w:val="single" w:sz="8" w:color="0000EE"/>
            </w:tcBorders>
          </w:tcPr>
          <w:p>
            <w:pPr>
              <w:spacing w:after="0"/>
              <w:rPr>
                <w:sz w:val="15"/>
                <w:szCs w:val="15"/>
                <w:color w:val="auto"/>
              </w:rPr>
            </w:pPr>
          </w:p>
        </w:tc>
        <w:tc>
          <w:tcPr>
            <w:tcW w:w="360" w:type="dxa"/>
            <w:vAlign w:val="bottom"/>
            <w:gridSpan w:val="13"/>
          </w:tcPr>
          <w:p>
            <w:pPr>
              <w:spacing w:after="0"/>
              <w:rPr>
                <w:sz w:val="15"/>
                <w:szCs w:val="15"/>
                <w:color w:val="auto"/>
              </w:rPr>
            </w:pPr>
          </w:p>
        </w:tc>
        <w:tc>
          <w:tcPr>
            <w:tcW w:w="880" w:type="dxa"/>
            <w:vAlign w:val="bottom"/>
          </w:tcPr>
          <w:p>
            <w:pPr>
              <w:spacing w:after="0" w:line="183" w:lineRule="exact"/>
              <w:rPr>
                <w:sz w:val="20"/>
                <w:szCs w:val="20"/>
                <w:color w:val="auto"/>
              </w:rPr>
            </w:pPr>
            <w:r>
              <w:rPr>
                <w:rFonts w:ascii="Calibri" w:cs="Calibri" w:eastAsia="Calibri" w:hAnsi="Calibri"/>
                <w:sz w:val="18"/>
                <w:szCs w:val="18"/>
                <w:color w:val="auto"/>
              </w:rPr>
              <w:t>10-K</w:t>
            </w:r>
          </w:p>
        </w:tc>
        <w:tc>
          <w:tcPr>
            <w:tcW w:w="1040" w:type="dxa"/>
            <w:vAlign w:val="bottom"/>
          </w:tcPr>
          <w:p>
            <w:pPr>
              <w:ind w:left="180"/>
              <w:spacing w:after="0" w:line="183" w:lineRule="exact"/>
              <w:rPr>
                <w:sz w:val="20"/>
                <w:szCs w:val="20"/>
                <w:color w:val="auto"/>
              </w:rPr>
            </w:pPr>
            <w:r>
              <w:rPr>
                <w:rFonts w:ascii="Calibri" w:cs="Calibri" w:eastAsia="Calibri" w:hAnsi="Calibri"/>
                <w:sz w:val="18"/>
                <w:szCs w:val="18"/>
                <w:color w:val="auto"/>
              </w:rPr>
              <w:t>4.3</w:t>
            </w:r>
          </w:p>
        </w:tc>
        <w:tc>
          <w:tcPr>
            <w:tcW w:w="1420" w:type="dxa"/>
            <w:vAlign w:val="bottom"/>
          </w:tcPr>
          <w:p>
            <w:pPr>
              <w:ind w:left="120"/>
              <w:spacing w:after="0" w:line="183" w:lineRule="exact"/>
              <w:rPr>
                <w:sz w:val="20"/>
                <w:szCs w:val="20"/>
                <w:color w:val="auto"/>
              </w:rPr>
            </w:pPr>
            <w:r>
              <w:rPr>
                <w:rFonts w:ascii="Calibri" w:cs="Calibri" w:eastAsia="Calibri" w:hAnsi="Calibri"/>
                <w:sz w:val="18"/>
                <w:szCs w:val="18"/>
                <w:color w:val="auto"/>
              </w:rPr>
              <w:t>3/15/2022</w:t>
            </w: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920" w:type="dxa"/>
            <w:vAlign w:val="bottom"/>
          </w:tcPr>
          <w:p>
            <w:pPr>
              <w:ind w:left="20"/>
              <w:spacing w:after="0" w:line="183" w:lineRule="exact"/>
              <w:rPr>
                <w:sz w:val="20"/>
                <w:szCs w:val="20"/>
                <w:color w:val="auto"/>
              </w:rPr>
            </w:pPr>
            <w:r>
              <w:rPr>
                <w:rFonts w:ascii="Calibri" w:cs="Calibri" w:eastAsia="Calibri" w:hAnsi="Calibri"/>
                <w:sz w:val="18"/>
                <w:szCs w:val="18"/>
                <w:color w:val="auto"/>
              </w:rPr>
              <w:t>31.1</w:t>
            </w:r>
          </w:p>
        </w:tc>
        <w:tc>
          <w:tcPr>
            <w:tcW w:w="3760" w:type="dxa"/>
            <w:vAlign w:val="bottom"/>
            <w:gridSpan w:val="30"/>
          </w:tcPr>
          <w:p>
            <w:pPr>
              <w:spacing w:after="0" w:line="183" w:lineRule="exact"/>
              <w:rPr>
                <w:sz w:val="20"/>
                <w:szCs w:val="20"/>
                <w:color w:val="auto"/>
              </w:rPr>
            </w:pPr>
            <w:r>
              <w:rPr>
                <w:rFonts w:ascii="Calibri" w:cs="Calibri" w:eastAsia="Calibri" w:hAnsi="Calibri"/>
                <w:sz w:val="18"/>
                <w:szCs w:val="18"/>
                <w:color w:val="0000FF"/>
              </w:rPr>
              <w:t>Certfcaton of Principal Executve Ofcer Pursuant</w:t>
            </w:r>
          </w:p>
        </w:tc>
        <w:tc>
          <w:tcPr>
            <w:tcW w:w="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jc w:val="center"/>
              <w:spacing w:after="0" w:line="183" w:lineRule="exact"/>
              <w:rPr>
                <w:sz w:val="20"/>
                <w:szCs w:val="20"/>
                <w:color w:val="auto"/>
              </w:rPr>
            </w:pPr>
            <w:r>
              <w:rPr>
                <w:rFonts w:ascii="Calibri" w:cs="Calibri" w:eastAsia="Calibri" w:hAnsi="Calibri"/>
                <w:sz w:val="18"/>
                <w:szCs w:val="18"/>
                <w:color w:val="auto"/>
                <w:w w:val="88"/>
              </w:rPr>
              <w:t>*</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80" w:type="dxa"/>
            <w:vAlign w:val="bottom"/>
            <w:tcBorders>
              <w:top w:val="single" w:sz="8" w:color="0000FF"/>
              <w:bottom w:val="single" w:sz="8" w:color="0000FF"/>
            </w:tcBorders>
            <w:gridSpan w:val="7"/>
          </w:tcPr>
          <w:p>
            <w:pPr>
              <w:spacing w:after="0" w:line="169" w:lineRule="exact"/>
              <w:rPr>
                <w:sz w:val="20"/>
                <w:szCs w:val="20"/>
                <w:color w:val="auto"/>
              </w:rPr>
            </w:pPr>
            <w:r>
              <w:rPr>
                <w:rFonts w:ascii="Calibri" w:cs="Calibri" w:eastAsia="Calibri" w:hAnsi="Calibri"/>
                <w:sz w:val="18"/>
                <w:szCs w:val="18"/>
                <w:color w:val="0000FF"/>
                <w:w w:val="96"/>
              </w:rPr>
              <w:t>to Rules 13a-14(a) and 15d-14(a).</w:t>
            </w:r>
          </w:p>
        </w:tc>
        <w:tc>
          <w:tcPr>
            <w:tcW w:w="1320" w:type="dxa"/>
            <w:vAlign w:val="bottom"/>
            <w:tcBorders>
              <w:top w:val="single" w:sz="8" w:color="0000FF"/>
            </w:tcBorders>
            <w:gridSpan w:val="20"/>
          </w:tcPr>
          <w:p>
            <w:pPr>
              <w:spacing w:after="0"/>
              <w:rPr>
                <w:sz w:val="14"/>
                <w:szCs w:val="14"/>
                <w:color w:val="auto"/>
              </w:rPr>
            </w:pPr>
          </w:p>
        </w:tc>
        <w:tc>
          <w:tcPr>
            <w:tcW w:w="60" w:type="dxa"/>
            <w:vAlign w:val="bottom"/>
            <w:gridSpan w:val="3"/>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9"/>
        </w:trPr>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40" w:type="dxa"/>
            <w:vAlign w:val="bottom"/>
            <w:gridSpan w:val="31"/>
          </w:tcPr>
          <w:p>
            <w:pPr>
              <w:ind w:left="3660"/>
              <w:spacing w:after="0"/>
              <w:rPr>
                <w:sz w:val="20"/>
                <w:szCs w:val="20"/>
                <w:color w:val="auto"/>
              </w:rPr>
            </w:pPr>
            <w:r>
              <w:rPr>
                <w:rFonts w:ascii="Calibri" w:cs="Calibri" w:eastAsia="Calibri" w:hAnsi="Calibri"/>
                <w:sz w:val="18"/>
                <w:szCs w:val="18"/>
                <w:color w:val="auto"/>
              </w:rPr>
              <w:t>40</w:t>
            </w: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96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2" w:name="page43"/>
    <w:bookmarkEnd w:id="42"/>
    <w:tbl>
      <w:tblPr>
        <w:tblLayout w:type="fixed"/>
        <w:tblInd w:w="980" w:type="dxa"/>
        <w:tblCellMar>
          <w:top w:w="0" w:type="dxa"/>
          <w:left w:w="0" w:type="dxa"/>
          <w:bottom w:w="0" w:type="dxa"/>
          <w:right w:w="0" w:type="dxa"/>
        </w:tblCellMar>
      </w:tblPr>
      <w:tr>
        <w:trPr>
          <w:trHeight w:val="220"/>
        </w:trPr>
        <w:tc>
          <w:tcPr>
            <w:tcW w:w="900" w:type="dxa"/>
            <w:vAlign w:val="bottom"/>
          </w:tcPr>
          <w:p>
            <w:pPr>
              <w:spacing w:after="0"/>
              <w:rPr>
                <w:sz w:val="20"/>
                <w:szCs w:val="20"/>
                <w:color w:val="auto"/>
              </w:rPr>
            </w:pPr>
            <w:r>
              <w:rPr>
                <w:rFonts w:ascii="Calibri" w:cs="Calibri" w:eastAsia="Calibri" w:hAnsi="Calibri"/>
                <w:sz w:val="18"/>
                <w:szCs w:val="18"/>
                <w:color w:val="auto"/>
              </w:rPr>
              <w:t>31.2</w:t>
            </w:r>
          </w:p>
        </w:tc>
        <w:tc>
          <w:tcPr>
            <w:tcW w:w="5680" w:type="dxa"/>
            <w:vAlign w:val="bottom"/>
            <w:gridSpan w:val="7"/>
          </w:tcPr>
          <w:p>
            <w:pPr>
              <w:spacing w:after="0"/>
              <w:rPr>
                <w:sz w:val="20"/>
                <w:szCs w:val="20"/>
                <w:color w:val="auto"/>
              </w:rPr>
            </w:pPr>
            <w:r>
              <w:rPr>
                <w:rFonts w:ascii="Calibri" w:cs="Calibri" w:eastAsia="Calibri" w:hAnsi="Calibri"/>
                <w:sz w:val="18"/>
                <w:szCs w:val="18"/>
                <w:color w:val="0000FF"/>
              </w:rPr>
              <w:t>Certfcaton of Principal Financial Ofcer Pursuant</w:t>
            </w:r>
          </w:p>
        </w:tc>
        <w:tc>
          <w:tcPr>
            <w:tcW w:w="2160" w:type="dxa"/>
            <w:vAlign w:val="bottom"/>
          </w:tcPr>
          <w:p>
            <w:pPr>
              <w:jc w:val="center"/>
              <w:ind w:left="1910"/>
              <w:spacing w:after="0"/>
              <w:rPr>
                <w:sz w:val="20"/>
                <w:szCs w:val="20"/>
                <w:color w:val="auto"/>
              </w:rPr>
            </w:pPr>
            <w:r>
              <w:rPr>
                <w:rFonts w:ascii="Calibri" w:cs="Calibri" w:eastAsia="Calibri" w:hAnsi="Calibri"/>
                <w:sz w:val="18"/>
                <w:szCs w:val="18"/>
                <w:color w:val="auto"/>
                <w:w w:val="88"/>
              </w:rPr>
              <w:t>*</w:t>
            </w:r>
          </w:p>
        </w:tc>
      </w:tr>
      <w:tr>
        <w:trPr>
          <w:trHeight w:val="169"/>
        </w:trPr>
        <w:tc>
          <w:tcPr>
            <w:tcW w:w="900" w:type="dxa"/>
            <w:vAlign w:val="bottom"/>
          </w:tcPr>
          <w:p>
            <w:pPr>
              <w:spacing w:after="0"/>
              <w:rPr>
                <w:sz w:val="14"/>
                <w:szCs w:val="14"/>
                <w:color w:val="auto"/>
              </w:rPr>
            </w:pPr>
          </w:p>
        </w:tc>
        <w:tc>
          <w:tcPr>
            <w:tcW w:w="2380" w:type="dxa"/>
            <w:vAlign w:val="bottom"/>
            <w:tcBorders>
              <w:top w:val="single" w:sz="8" w:color="0000FF"/>
              <w:bottom w:val="single" w:sz="8" w:color="0000FF"/>
            </w:tcBorders>
            <w:gridSpan w:val="3"/>
          </w:tcPr>
          <w:p>
            <w:pPr>
              <w:spacing w:after="0" w:line="169" w:lineRule="exact"/>
              <w:rPr>
                <w:sz w:val="20"/>
                <w:szCs w:val="20"/>
                <w:color w:val="auto"/>
              </w:rPr>
            </w:pPr>
            <w:r>
              <w:rPr>
                <w:rFonts w:ascii="Calibri" w:cs="Calibri" w:eastAsia="Calibri" w:hAnsi="Calibri"/>
                <w:sz w:val="18"/>
                <w:szCs w:val="18"/>
                <w:color w:val="0000FF"/>
                <w:w w:val="96"/>
              </w:rPr>
              <w:t>to Rules 13a-14(a) and 15d-14(a).</w:t>
            </w:r>
          </w:p>
        </w:tc>
        <w:tc>
          <w:tcPr>
            <w:tcW w:w="20" w:type="dxa"/>
            <w:vAlign w:val="bottom"/>
            <w:tcBorders>
              <w:top w:val="single" w:sz="8" w:color="0000FF"/>
              <w:bottom w:val="single" w:sz="8" w:color="0000EE"/>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83"/>
        </w:trPr>
        <w:tc>
          <w:tcPr>
            <w:tcW w:w="900" w:type="dxa"/>
            <w:vAlign w:val="bottom"/>
          </w:tcPr>
          <w:p>
            <w:pPr>
              <w:spacing w:after="0" w:line="183" w:lineRule="exact"/>
              <w:rPr>
                <w:sz w:val="20"/>
                <w:szCs w:val="20"/>
                <w:color w:val="auto"/>
              </w:rPr>
            </w:pPr>
            <w:r>
              <w:rPr>
                <w:rFonts w:ascii="Calibri" w:cs="Calibri" w:eastAsia="Calibri" w:hAnsi="Calibri"/>
                <w:sz w:val="18"/>
                <w:szCs w:val="18"/>
                <w:color w:val="auto"/>
              </w:rPr>
              <w:t>32.1</w:t>
            </w:r>
          </w:p>
        </w:tc>
        <w:tc>
          <w:tcPr>
            <w:tcW w:w="5680" w:type="dxa"/>
            <w:vAlign w:val="bottom"/>
            <w:gridSpan w:val="7"/>
          </w:tcPr>
          <w:p>
            <w:pPr>
              <w:spacing w:after="0" w:line="183" w:lineRule="exact"/>
              <w:rPr>
                <w:sz w:val="20"/>
                <w:szCs w:val="20"/>
                <w:color w:val="auto"/>
              </w:rPr>
            </w:pPr>
            <w:r>
              <w:rPr>
                <w:rFonts w:ascii="Calibri" w:cs="Calibri" w:eastAsia="Calibri" w:hAnsi="Calibri"/>
                <w:sz w:val="18"/>
                <w:szCs w:val="18"/>
                <w:color w:val="0000FF"/>
              </w:rPr>
              <w:t>Certfcaton of Principal Executve Ofcer Pursuant</w:t>
            </w:r>
          </w:p>
        </w:tc>
        <w:tc>
          <w:tcPr>
            <w:tcW w:w="2160" w:type="dxa"/>
            <w:vAlign w:val="bottom"/>
          </w:tcPr>
          <w:p>
            <w:pPr>
              <w:jc w:val="center"/>
              <w:ind w:left="1890"/>
              <w:spacing w:after="0" w:line="183" w:lineRule="exact"/>
              <w:rPr>
                <w:sz w:val="20"/>
                <w:szCs w:val="20"/>
                <w:color w:val="auto"/>
              </w:rPr>
            </w:pPr>
            <w:r>
              <w:rPr>
                <w:rFonts w:ascii="Calibri" w:cs="Calibri" w:eastAsia="Calibri" w:hAnsi="Calibri"/>
                <w:sz w:val="18"/>
                <w:szCs w:val="18"/>
                <w:color w:val="auto"/>
              </w:rPr>
              <w:t>**</w:t>
            </w:r>
          </w:p>
        </w:tc>
      </w:tr>
      <w:tr>
        <w:trPr>
          <w:trHeight w:val="169"/>
        </w:trPr>
        <w:tc>
          <w:tcPr>
            <w:tcW w:w="900" w:type="dxa"/>
            <w:vAlign w:val="bottom"/>
          </w:tcPr>
          <w:p>
            <w:pPr>
              <w:spacing w:after="0"/>
              <w:rPr>
                <w:sz w:val="14"/>
                <w:szCs w:val="14"/>
                <w:color w:val="auto"/>
              </w:rPr>
            </w:pPr>
          </w:p>
        </w:tc>
        <w:tc>
          <w:tcPr>
            <w:tcW w:w="1820" w:type="dxa"/>
            <w:vAlign w:val="bottom"/>
            <w:tcBorders>
              <w:top w:val="single" w:sz="8" w:color="0000FF"/>
              <w:bottom w:val="single" w:sz="8" w:color="0000FF"/>
            </w:tcBorders>
          </w:tcPr>
          <w:p>
            <w:pPr>
              <w:spacing w:after="0" w:line="169" w:lineRule="exact"/>
              <w:rPr>
                <w:sz w:val="20"/>
                <w:szCs w:val="20"/>
                <w:color w:val="auto"/>
              </w:rPr>
            </w:pPr>
            <w:r>
              <w:rPr>
                <w:rFonts w:ascii="Calibri" w:cs="Calibri" w:eastAsia="Calibri" w:hAnsi="Calibri"/>
                <w:sz w:val="18"/>
                <w:szCs w:val="18"/>
                <w:color w:val="0000FF"/>
                <w:w w:val="97"/>
              </w:rPr>
              <w:t>to 18 U.S.C. Secton 1350.</w:t>
            </w:r>
          </w:p>
        </w:tc>
        <w:tc>
          <w:tcPr>
            <w:tcW w:w="20" w:type="dxa"/>
            <w:vAlign w:val="bottom"/>
            <w:tcBorders>
              <w:top w:val="single" w:sz="8" w:color="0000FF"/>
              <w:bottom w:val="single" w:sz="8" w:color="0000EE"/>
            </w:tcBorders>
          </w:tcPr>
          <w:p>
            <w:pPr>
              <w:spacing w:after="0"/>
              <w:rPr>
                <w:sz w:val="14"/>
                <w:szCs w:val="14"/>
                <w:color w:val="auto"/>
              </w:rPr>
            </w:pPr>
          </w:p>
        </w:tc>
        <w:tc>
          <w:tcPr>
            <w:tcW w:w="1800" w:type="dxa"/>
            <w:vAlign w:val="bottom"/>
            <w:tcBorders>
              <w:top w:val="single" w:sz="8" w:color="0000FF"/>
            </w:tcBorders>
            <w:gridSpan w:val="4"/>
          </w:tcPr>
          <w:p>
            <w:pPr>
              <w:spacing w:after="0"/>
              <w:rPr>
                <w:sz w:val="14"/>
                <w:szCs w:val="14"/>
                <w:color w:val="auto"/>
              </w:rPr>
            </w:pPr>
          </w:p>
        </w:tc>
        <w:tc>
          <w:tcPr>
            <w:tcW w:w="204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83"/>
        </w:trPr>
        <w:tc>
          <w:tcPr>
            <w:tcW w:w="900" w:type="dxa"/>
            <w:vAlign w:val="bottom"/>
          </w:tcPr>
          <w:p>
            <w:pPr>
              <w:spacing w:after="0" w:line="183" w:lineRule="exact"/>
              <w:rPr>
                <w:sz w:val="20"/>
                <w:szCs w:val="20"/>
                <w:color w:val="auto"/>
              </w:rPr>
            </w:pPr>
            <w:r>
              <w:rPr>
                <w:rFonts w:ascii="Calibri" w:cs="Calibri" w:eastAsia="Calibri" w:hAnsi="Calibri"/>
                <w:sz w:val="18"/>
                <w:szCs w:val="18"/>
                <w:color w:val="auto"/>
              </w:rPr>
              <w:t>32.2</w:t>
            </w:r>
          </w:p>
        </w:tc>
        <w:tc>
          <w:tcPr>
            <w:tcW w:w="5680" w:type="dxa"/>
            <w:vAlign w:val="bottom"/>
            <w:gridSpan w:val="7"/>
          </w:tcPr>
          <w:p>
            <w:pPr>
              <w:spacing w:after="0" w:line="183" w:lineRule="exact"/>
              <w:rPr>
                <w:sz w:val="20"/>
                <w:szCs w:val="20"/>
                <w:color w:val="auto"/>
              </w:rPr>
            </w:pPr>
            <w:r>
              <w:rPr>
                <w:rFonts w:ascii="Calibri" w:cs="Calibri" w:eastAsia="Calibri" w:hAnsi="Calibri"/>
                <w:sz w:val="18"/>
                <w:szCs w:val="18"/>
                <w:color w:val="0000FF"/>
              </w:rPr>
              <w:t>Certfcaton of Principal Financial Ofcer Pursuant</w:t>
            </w:r>
          </w:p>
        </w:tc>
        <w:tc>
          <w:tcPr>
            <w:tcW w:w="2160" w:type="dxa"/>
            <w:vAlign w:val="bottom"/>
          </w:tcPr>
          <w:p>
            <w:pPr>
              <w:jc w:val="center"/>
              <w:ind w:left="1890"/>
              <w:spacing w:after="0" w:line="183" w:lineRule="exact"/>
              <w:rPr>
                <w:sz w:val="20"/>
                <w:szCs w:val="20"/>
                <w:color w:val="auto"/>
              </w:rPr>
            </w:pPr>
            <w:r>
              <w:rPr>
                <w:rFonts w:ascii="Calibri" w:cs="Calibri" w:eastAsia="Calibri" w:hAnsi="Calibri"/>
                <w:sz w:val="18"/>
                <w:szCs w:val="18"/>
                <w:color w:val="auto"/>
              </w:rPr>
              <w:t>**</w:t>
            </w:r>
          </w:p>
        </w:tc>
      </w:tr>
      <w:tr>
        <w:trPr>
          <w:trHeight w:val="169"/>
        </w:trPr>
        <w:tc>
          <w:tcPr>
            <w:tcW w:w="900" w:type="dxa"/>
            <w:vAlign w:val="bottom"/>
          </w:tcPr>
          <w:p>
            <w:pPr>
              <w:spacing w:after="0"/>
              <w:rPr>
                <w:sz w:val="14"/>
                <w:szCs w:val="14"/>
                <w:color w:val="auto"/>
              </w:rPr>
            </w:pPr>
          </w:p>
        </w:tc>
        <w:tc>
          <w:tcPr>
            <w:tcW w:w="1820" w:type="dxa"/>
            <w:vAlign w:val="bottom"/>
            <w:tcBorders>
              <w:top w:val="single" w:sz="8" w:color="0000FF"/>
              <w:bottom w:val="single" w:sz="8" w:color="0000FF"/>
            </w:tcBorders>
          </w:tcPr>
          <w:p>
            <w:pPr>
              <w:spacing w:after="0" w:line="169" w:lineRule="exact"/>
              <w:rPr>
                <w:sz w:val="20"/>
                <w:szCs w:val="20"/>
                <w:color w:val="auto"/>
              </w:rPr>
            </w:pPr>
            <w:r>
              <w:rPr>
                <w:rFonts w:ascii="Calibri" w:cs="Calibri" w:eastAsia="Calibri" w:hAnsi="Calibri"/>
                <w:sz w:val="18"/>
                <w:szCs w:val="18"/>
                <w:color w:val="0000FF"/>
                <w:w w:val="97"/>
              </w:rPr>
              <w:t>to 18 U.S.C. Secton 1350.</w:t>
            </w:r>
          </w:p>
        </w:tc>
        <w:tc>
          <w:tcPr>
            <w:tcW w:w="20" w:type="dxa"/>
            <w:vAlign w:val="bottom"/>
            <w:tcBorders>
              <w:top w:val="single" w:sz="8" w:color="0000FF"/>
              <w:bottom w:val="single" w:sz="8" w:color="0000EE"/>
            </w:tcBorders>
          </w:tcPr>
          <w:p>
            <w:pPr>
              <w:spacing w:after="0"/>
              <w:rPr>
                <w:sz w:val="14"/>
                <w:szCs w:val="14"/>
                <w:color w:val="auto"/>
              </w:rPr>
            </w:pPr>
          </w:p>
        </w:tc>
        <w:tc>
          <w:tcPr>
            <w:tcW w:w="1760" w:type="dxa"/>
            <w:vAlign w:val="bottom"/>
            <w:tcBorders>
              <w:top w:val="single" w:sz="8" w:color="0000FF"/>
            </w:tcBorders>
            <w:gridSpan w:val="3"/>
          </w:tcPr>
          <w:p>
            <w:pPr>
              <w:spacing w:after="0"/>
              <w:rPr>
                <w:sz w:val="14"/>
                <w:szCs w:val="14"/>
                <w:color w:val="auto"/>
              </w:rPr>
            </w:pPr>
          </w:p>
        </w:tc>
        <w:tc>
          <w:tcPr>
            <w:tcW w:w="2080" w:type="dxa"/>
            <w:vAlign w:val="bottom"/>
            <w:gridSpan w:val="2"/>
          </w:tcPr>
          <w:p>
            <w:pPr>
              <w:spacing w:after="0"/>
              <w:rPr>
                <w:sz w:val="14"/>
                <w:szCs w:val="14"/>
                <w:color w:val="auto"/>
              </w:rPr>
            </w:pPr>
          </w:p>
        </w:tc>
        <w:tc>
          <w:tcPr>
            <w:tcW w:w="2160" w:type="dxa"/>
            <w:vAlign w:val="bottom"/>
          </w:tcPr>
          <w:p>
            <w:pPr>
              <w:spacing w:after="0"/>
              <w:rPr>
                <w:sz w:val="14"/>
                <w:szCs w:val="14"/>
                <w:color w:val="auto"/>
              </w:rPr>
            </w:pPr>
          </w:p>
        </w:tc>
      </w:tr>
      <w:tr>
        <w:trPr>
          <w:trHeight w:val="187"/>
        </w:trPr>
        <w:tc>
          <w:tcPr>
            <w:tcW w:w="900" w:type="dxa"/>
            <w:vAlign w:val="bottom"/>
          </w:tcPr>
          <w:p>
            <w:pPr>
              <w:spacing w:after="0" w:line="187" w:lineRule="exact"/>
              <w:rPr>
                <w:sz w:val="20"/>
                <w:szCs w:val="20"/>
                <w:color w:val="auto"/>
              </w:rPr>
            </w:pPr>
            <w:r>
              <w:rPr>
                <w:rFonts w:ascii="Calibri" w:cs="Calibri" w:eastAsia="Calibri" w:hAnsi="Calibri"/>
                <w:sz w:val="18"/>
                <w:szCs w:val="18"/>
                <w:color w:val="auto"/>
              </w:rPr>
              <w:t>101.INS</w:t>
            </w:r>
          </w:p>
        </w:tc>
        <w:tc>
          <w:tcPr>
            <w:tcW w:w="5680" w:type="dxa"/>
            <w:vAlign w:val="bottom"/>
            <w:gridSpan w:val="7"/>
          </w:tcPr>
          <w:p>
            <w:pPr>
              <w:spacing w:after="0" w:line="187" w:lineRule="exact"/>
              <w:rPr>
                <w:sz w:val="20"/>
                <w:szCs w:val="20"/>
                <w:color w:val="auto"/>
              </w:rPr>
            </w:pPr>
            <w:r>
              <w:rPr>
                <w:rFonts w:ascii="Calibri" w:cs="Calibri" w:eastAsia="Calibri" w:hAnsi="Calibri"/>
                <w:sz w:val="18"/>
                <w:szCs w:val="18"/>
                <w:color w:val="auto"/>
              </w:rPr>
              <w:t>Inline XBRL Instance Document – the instance</w:t>
            </w:r>
          </w:p>
        </w:tc>
        <w:tc>
          <w:tcPr>
            <w:tcW w:w="2160" w:type="dxa"/>
            <w:vAlign w:val="bottom"/>
          </w:tcPr>
          <w:p>
            <w:pPr>
              <w:jc w:val="center"/>
              <w:ind w:left="1910"/>
              <w:spacing w:after="0" w:line="187" w:lineRule="exact"/>
              <w:rPr>
                <w:sz w:val="20"/>
                <w:szCs w:val="20"/>
                <w:color w:val="auto"/>
              </w:rPr>
            </w:pPr>
            <w:r>
              <w:rPr>
                <w:rFonts w:ascii="Calibri" w:cs="Calibri" w:eastAsia="Calibri" w:hAnsi="Calibri"/>
                <w:sz w:val="18"/>
                <w:szCs w:val="18"/>
                <w:color w:val="auto"/>
                <w:w w:val="88"/>
              </w:rPr>
              <w:t>*</w:t>
            </w:r>
          </w:p>
        </w:tc>
      </w:tr>
      <w:tr>
        <w:trPr>
          <w:trHeight w:val="189"/>
        </w:trPr>
        <w:tc>
          <w:tcPr>
            <w:tcW w:w="900" w:type="dxa"/>
            <w:vAlign w:val="bottom"/>
          </w:tcPr>
          <w:p>
            <w:pPr>
              <w:spacing w:after="0"/>
              <w:rPr>
                <w:sz w:val="16"/>
                <w:szCs w:val="16"/>
                <w:color w:val="auto"/>
              </w:rPr>
            </w:pPr>
          </w:p>
        </w:tc>
        <w:tc>
          <w:tcPr>
            <w:tcW w:w="5680" w:type="dxa"/>
            <w:vAlign w:val="bottom"/>
            <w:gridSpan w:val="7"/>
          </w:tcPr>
          <w:p>
            <w:pPr>
              <w:spacing w:after="0" w:line="189" w:lineRule="exact"/>
              <w:rPr>
                <w:sz w:val="20"/>
                <w:szCs w:val="20"/>
                <w:color w:val="auto"/>
              </w:rPr>
            </w:pPr>
            <w:r>
              <w:rPr>
                <w:rFonts w:ascii="Calibri" w:cs="Calibri" w:eastAsia="Calibri" w:hAnsi="Calibri"/>
                <w:sz w:val="18"/>
                <w:szCs w:val="18"/>
                <w:color w:val="auto"/>
              </w:rPr>
              <w:t>document does not appear in the Interactve Data</w:t>
            </w:r>
          </w:p>
        </w:tc>
        <w:tc>
          <w:tcPr>
            <w:tcW w:w="2160" w:type="dxa"/>
            <w:vAlign w:val="bottom"/>
          </w:tcPr>
          <w:p>
            <w:pPr>
              <w:spacing w:after="0"/>
              <w:rPr>
                <w:sz w:val="16"/>
                <w:szCs w:val="16"/>
                <w:color w:val="auto"/>
              </w:rPr>
            </w:pPr>
          </w:p>
        </w:tc>
      </w:tr>
      <w:tr>
        <w:trPr>
          <w:trHeight w:val="189"/>
        </w:trPr>
        <w:tc>
          <w:tcPr>
            <w:tcW w:w="900" w:type="dxa"/>
            <w:vAlign w:val="bottom"/>
          </w:tcPr>
          <w:p>
            <w:pPr>
              <w:spacing w:after="0"/>
              <w:rPr>
                <w:sz w:val="16"/>
                <w:szCs w:val="16"/>
                <w:color w:val="auto"/>
              </w:rPr>
            </w:pPr>
          </w:p>
        </w:tc>
        <w:tc>
          <w:tcPr>
            <w:tcW w:w="5680" w:type="dxa"/>
            <w:vAlign w:val="bottom"/>
            <w:gridSpan w:val="7"/>
          </w:tcPr>
          <w:p>
            <w:pPr>
              <w:spacing w:after="0" w:line="189" w:lineRule="exact"/>
              <w:rPr>
                <w:sz w:val="20"/>
                <w:szCs w:val="20"/>
                <w:color w:val="auto"/>
              </w:rPr>
            </w:pPr>
            <w:r>
              <w:rPr>
                <w:rFonts w:ascii="Calibri" w:cs="Calibri" w:eastAsia="Calibri" w:hAnsi="Calibri"/>
                <w:sz w:val="18"/>
                <w:szCs w:val="18"/>
                <w:color w:val="auto"/>
              </w:rPr>
              <w:t>File because XBRL tags are embedded within the</w:t>
            </w:r>
          </w:p>
        </w:tc>
        <w:tc>
          <w:tcPr>
            <w:tcW w:w="2160" w:type="dxa"/>
            <w:vAlign w:val="bottom"/>
          </w:tcPr>
          <w:p>
            <w:pPr>
              <w:spacing w:after="0"/>
              <w:rPr>
                <w:sz w:val="16"/>
                <w:szCs w:val="16"/>
                <w:color w:val="auto"/>
              </w:rPr>
            </w:pPr>
          </w:p>
        </w:tc>
      </w:tr>
      <w:tr>
        <w:trPr>
          <w:trHeight w:val="203"/>
        </w:trPr>
        <w:tc>
          <w:tcPr>
            <w:tcW w:w="900" w:type="dxa"/>
            <w:vAlign w:val="bottom"/>
          </w:tcPr>
          <w:p>
            <w:pPr>
              <w:spacing w:after="0"/>
              <w:rPr>
                <w:sz w:val="17"/>
                <w:szCs w:val="17"/>
                <w:color w:val="auto"/>
              </w:rPr>
            </w:pPr>
          </w:p>
        </w:tc>
        <w:tc>
          <w:tcPr>
            <w:tcW w:w="5680" w:type="dxa"/>
            <w:vAlign w:val="bottom"/>
            <w:gridSpan w:val="7"/>
          </w:tcPr>
          <w:p>
            <w:pPr>
              <w:spacing w:after="0" w:line="203" w:lineRule="exact"/>
              <w:rPr>
                <w:sz w:val="20"/>
                <w:szCs w:val="20"/>
                <w:color w:val="auto"/>
              </w:rPr>
            </w:pPr>
            <w:r>
              <w:rPr>
                <w:rFonts w:ascii="Calibri" w:cs="Calibri" w:eastAsia="Calibri" w:hAnsi="Calibri"/>
                <w:sz w:val="18"/>
                <w:szCs w:val="18"/>
                <w:color w:val="auto"/>
              </w:rPr>
              <w:t>Inline XBRL document.</w:t>
            </w:r>
          </w:p>
        </w:tc>
        <w:tc>
          <w:tcPr>
            <w:tcW w:w="216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alibri" w:cs="Calibri" w:eastAsia="Calibri" w:hAnsi="Calibri"/>
                <w:sz w:val="18"/>
                <w:szCs w:val="18"/>
                <w:color w:val="auto"/>
              </w:rPr>
              <w:t>101.SCH</w:t>
            </w:r>
          </w:p>
        </w:tc>
        <w:tc>
          <w:tcPr>
            <w:tcW w:w="5680" w:type="dxa"/>
            <w:vAlign w:val="bottom"/>
            <w:gridSpan w:val="7"/>
          </w:tcPr>
          <w:p>
            <w:pPr>
              <w:spacing w:after="0" w:line="203" w:lineRule="exact"/>
              <w:rPr>
                <w:sz w:val="20"/>
                <w:szCs w:val="20"/>
                <w:color w:val="auto"/>
              </w:rPr>
            </w:pPr>
            <w:r>
              <w:rPr>
                <w:rFonts w:ascii="Calibri" w:cs="Calibri" w:eastAsia="Calibri" w:hAnsi="Calibri"/>
                <w:sz w:val="18"/>
                <w:szCs w:val="18"/>
                <w:color w:val="auto"/>
              </w:rPr>
              <w:t>Inline XBRL Taxonomy Extension Schema Document</w:t>
            </w:r>
          </w:p>
        </w:tc>
        <w:tc>
          <w:tcPr>
            <w:tcW w:w="2160" w:type="dxa"/>
            <w:vAlign w:val="bottom"/>
          </w:tcPr>
          <w:p>
            <w:pPr>
              <w:jc w:val="center"/>
              <w:ind w:left="1910"/>
              <w:spacing w:after="0" w:line="203" w:lineRule="exact"/>
              <w:rPr>
                <w:sz w:val="20"/>
                <w:szCs w:val="20"/>
                <w:color w:val="auto"/>
              </w:rPr>
            </w:pPr>
            <w:r>
              <w:rPr>
                <w:rFonts w:ascii="Calibri" w:cs="Calibri" w:eastAsia="Calibri" w:hAnsi="Calibri"/>
                <w:sz w:val="18"/>
                <w:szCs w:val="18"/>
                <w:color w:val="auto"/>
                <w:w w:val="88"/>
              </w:rPr>
              <w:t>*</w:t>
            </w:r>
          </w:p>
        </w:tc>
      </w:tr>
      <w:tr>
        <w:trPr>
          <w:trHeight w:val="189"/>
        </w:trPr>
        <w:tc>
          <w:tcPr>
            <w:tcW w:w="900" w:type="dxa"/>
            <w:vAlign w:val="bottom"/>
          </w:tcPr>
          <w:p>
            <w:pPr>
              <w:spacing w:after="0" w:line="189" w:lineRule="exact"/>
              <w:rPr>
                <w:sz w:val="20"/>
                <w:szCs w:val="20"/>
                <w:color w:val="auto"/>
              </w:rPr>
            </w:pPr>
            <w:r>
              <w:rPr>
                <w:rFonts w:ascii="Calibri" w:cs="Calibri" w:eastAsia="Calibri" w:hAnsi="Calibri"/>
                <w:sz w:val="18"/>
                <w:szCs w:val="18"/>
                <w:color w:val="auto"/>
              </w:rPr>
              <w:t>101.CAL</w:t>
            </w:r>
          </w:p>
        </w:tc>
        <w:tc>
          <w:tcPr>
            <w:tcW w:w="5680" w:type="dxa"/>
            <w:vAlign w:val="bottom"/>
            <w:gridSpan w:val="7"/>
          </w:tcPr>
          <w:p>
            <w:pPr>
              <w:spacing w:after="0" w:line="189" w:lineRule="exact"/>
              <w:rPr>
                <w:sz w:val="20"/>
                <w:szCs w:val="20"/>
                <w:color w:val="auto"/>
              </w:rPr>
            </w:pPr>
            <w:r>
              <w:rPr>
                <w:rFonts w:ascii="Calibri" w:cs="Calibri" w:eastAsia="Calibri" w:hAnsi="Calibri"/>
                <w:sz w:val="18"/>
                <w:szCs w:val="18"/>
                <w:color w:val="auto"/>
              </w:rPr>
              <w:t>Inline XBRL Taxonomy Extension Calculaton</w:t>
            </w:r>
          </w:p>
        </w:tc>
        <w:tc>
          <w:tcPr>
            <w:tcW w:w="2160" w:type="dxa"/>
            <w:vAlign w:val="bottom"/>
          </w:tcPr>
          <w:p>
            <w:pPr>
              <w:jc w:val="center"/>
              <w:ind w:left="1910"/>
              <w:spacing w:after="0" w:line="189" w:lineRule="exact"/>
              <w:rPr>
                <w:sz w:val="20"/>
                <w:szCs w:val="20"/>
                <w:color w:val="auto"/>
              </w:rPr>
            </w:pPr>
            <w:r>
              <w:rPr>
                <w:rFonts w:ascii="Calibri" w:cs="Calibri" w:eastAsia="Calibri" w:hAnsi="Calibri"/>
                <w:sz w:val="18"/>
                <w:szCs w:val="18"/>
                <w:color w:val="auto"/>
                <w:w w:val="88"/>
              </w:rPr>
              <w:t>*</w:t>
            </w:r>
          </w:p>
        </w:tc>
      </w:tr>
      <w:tr>
        <w:trPr>
          <w:trHeight w:val="203"/>
        </w:trPr>
        <w:tc>
          <w:tcPr>
            <w:tcW w:w="900" w:type="dxa"/>
            <w:vAlign w:val="bottom"/>
          </w:tcPr>
          <w:p>
            <w:pPr>
              <w:spacing w:after="0"/>
              <w:rPr>
                <w:sz w:val="17"/>
                <w:szCs w:val="17"/>
                <w:color w:val="auto"/>
              </w:rPr>
            </w:pPr>
          </w:p>
        </w:tc>
        <w:tc>
          <w:tcPr>
            <w:tcW w:w="5680" w:type="dxa"/>
            <w:vAlign w:val="bottom"/>
            <w:gridSpan w:val="7"/>
          </w:tcPr>
          <w:p>
            <w:pPr>
              <w:spacing w:after="0" w:line="203" w:lineRule="exact"/>
              <w:rPr>
                <w:sz w:val="20"/>
                <w:szCs w:val="20"/>
                <w:color w:val="auto"/>
              </w:rPr>
            </w:pPr>
            <w:r>
              <w:rPr>
                <w:rFonts w:ascii="Calibri" w:cs="Calibri" w:eastAsia="Calibri" w:hAnsi="Calibri"/>
                <w:sz w:val="18"/>
                <w:szCs w:val="18"/>
                <w:color w:val="auto"/>
              </w:rPr>
              <w:t>Linkbase Document</w:t>
            </w:r>
          </w:p>
        </w:tc>
        <w:tc>
          <w:tcPr>
            <w:tcW w:w="2160" w:type="dxa"/>
            <w:vAlign w:val="bottom"/>
          </w:tcPr>
          <w:p>
            <w:pPr>
              <w:spacing w:after="0"/>
              <w:rPr>
                <w:sz w:val="17"/>
                <w:szCs w:val="17"/>
                <w:color w:val="auto"/>
              </w:rPr>
            </w:pPr>
          </w:p>
        </w:tc>
      </w:tr>
      <w:tr>
        <w:trPr>
          <w:trHeight w:val="189"/>
        </w:trPr>
        <w:tc>
          <w:tcPr>
            <w:tcW w:w="900" w:type="dxa"/>
            <w:vAlign w:val="bottom"/>
          </w:tcPr>
          <w:p>
            <w:pPr>
              <w:spacing w:after="0" w:line="189" w:lineRule="exact"/>
              <w:rPr>
                <w:sz w:val="20"/>
                <w:szCs w:val="20"/>
                <w:color w:val="auto"/>
              </w:rPr>
            </w:pPr>
            <w:r>
              <w:rPr>
                <w:rFonts w:ascii="Calibri" w:cs="Calibri" w:eastAsia="Calibri" w:hAnsi="Calibri"/>
                <w:sz w:val="18"/>
                <w:szCs w:val="18"/>
                <w:color w:val="auto"/>
              </w:rPr>
              <w:t>101.DEF</w:t>
            </w:r>
          </w:p>
        </w:tc>
        <w:tc>
          <w:tcPr>
            <w:tcW w:w="5680" w:type="dxa"/>
            <w:vAlign w:val="bottom"/>
            <w:gridSpan w:val="7"/>
          </w:tcPr>
          <w:p>
            <w:pPr>
              <w:spacing w:after="0" w:line="189" w:lineRule="exact"/>
              <w:rPr>
                <w:sz w:val="20"/>
                <w:szCs w:val="20"/>
                <w:color w:val="auto"/>
              </w:rPr>
            </w:pPr>
            <w:r>
              <w:rPr>
                <w:rFonts w:ascii="Calibri" w:cs="Calibri" w:eastAsia="Calibri" w:hAnsi="Calibri"/>
                <w:sz w:val="18"/>
                <w:szCs w:val="18"/>
                <w:color w:val="auto"/>
              </w:rPr>
              <w:t>Inline XBRL Taxonomy Extension Defniton Linkbase</w:t>
            </w:r>
          </w:p>
        </w:tc>
        <w:tc>
          <w:tcPr>
            <w:tcW w:w="2160" w:type="dxa"/>
            <w:vAlign w:val="bottom"/>
          </w:tcPr>
          <w:p>
            <w:pPr>
              <w:jc w:val="center"/>
              <w:ind w:left="1910"/>
              <w:spacing w:after="0" w:line="189" w:lineRule="exact"/>
              <w:rPr>
                <w:sz w:val="20"/>
                <w:szCs w:val="20"/>
                <w:color w:val="auto"/>
              </w:rPr>
            </w:pPr>
            <w:r>
              <w:rPr>
                <w:rFonts w:ascii="Calibri" w:cs="Calibri" w:eastAsia="Calibri" w:hAnsi="Calibri"/>
                <w:sz w:val="18"/>
                <w:szCs w:val="18"/>
                <w:color w:val="auto"/>
                <w:w w:val="88"/>
              </w:rPr>
              <w:t>*</w:t>
            </w:r>
          </w:p>
        </w:tc>
      </w:tr>
      <w:tr>
        <w:trPr>
          <w:trHeight w:val="203"/>
        </w:trPr>
        <w:tc>
          <w:tcPr>
            <w:tcW w:w="900" w:type="dxa"/>
            <w:vAlign w:val="bottom"/>
          </w:tcPr>
          <w:p>
            <w:pPr>
              <w:spacing w:after="0"/>
              <w:rPr>
                <w:sz w:val="17"/>
                <w:szCs w:val="17"/>
                <w:color w:val="auto"/>
              </w:rPr>
            </w:pPr>
          </w:p>
        </w:tc>
        <w:tc>
          <w:tcPr>
            <w:tcW w:w="5680" w:type="dxa"/>
            <w:vAlign w:val="bottom"/>
            <w:gridSpan w:val="7"/>
          </w:tcPr>
          <w:p>
            <w:pPr>
              <w:spacing w:after="0" w:line="203" w:lineRule="exact"/>
              <w:rPr>
                <w:sz w:val="20"/>
                <w:szCs w:val="20"/>
                <w:color w:val="auto"/>
              </w:rPr>
            </w:pPr>
            <w:r>
              <w:rPr>
                <w:rFonts w:ascii="Calibri" w:cs="Calibri" w:eastAsia="Calibri" w:hAnsi="Calibri"/>
                <w:sz w:val="18"/>
                <w:szCs w:val="18"/>
                <w:color w:val="auto"/>
              </w:rPr>
              <w:t>Document</w:t>
            </w:r>
          </w:p>
        </w:tc>
        <w:tc>
          <w:tcPr>
            <w:tcW w:w="2160" w:type="dxa"/>
            <w:vAlign w:val="bottom"/>
          </w:tcPr>
          <w:p>
            <w:pPr>
              <w:spacing w:after="0"/>
              <w:rPr>
                <w:sz w:val="17"/>
                <w:szCs w:val="17"/>
                <w:color w:val="auto"/>
              </w:rPr>
            </w:pPr>
          </w:p>
        </w:tc>
      </w:tr>
      <w:tr>
        <w:trPr>
          <w:trHeight w:val="189"/>
        </w:trPr>
        <w:tc>
          <w:tcPr>
            <w:tcW w:w="900" w:type="dxa"/>
            <w:vAlign w:val="bottom"/>
          </w:tcPr>
          <w:p>
            <w:pPr>
              <w:spacing w:after="0" w:line="189" w:lineRule="exact"/>
              <w:rPr>
                <w:sz w:val="20"/>
                <w:szCs w:val="20"/>
                <w:color w:val="auto"/>
              </w:rPr>
            </w:pPr>
            <w:r>
              <w:rPr>
                <w:rFonts w:ascii="Calibri" w:cs="Calibri" w:eastAsia="Calibri" w:hAnsi="Calibri"/>
                <w:sz w:val="18"/>
                <w:szCs w:val="18"/>
                <w:color w:val="auto"/>
              </w:rPr>
              <w:t>101.LAB</w:t>
            </w:r>
          </w:p>
        </w:tc>
        <w:tc>
          <w:tcPr>
            <w:tcW w:w="5680" w:type="dxa"/>
            <w:vAlign w:val="bottom"/>
            <w:gridSpan w:val="7"/>
          </w:tcPr>
          <w:p>
            <w:pPr>
              <w:spacing w:after="0" w:line="189" w:lineRule="exact"/>
              <w:rPr>
                <w:sz w:val="20"/>
                <w:szCs w:val="20"/>
                <w:color w:val="auto"/>
              </w:rPr>
            </w:pPr>
            <w:r>
              <w:rPr>
                <w:rFonts w:ascii="Calibri" w:cs="Calibri" w:eastAsia="Calibri" w:hAnsi="Calibri"/>
                <w:sz w:val="18"/>
                <w:szCs w:val="18"/>
                <w:color w:val="auto"/>
              </w:rPr>
              <w:t>Inline XBRL Taxonomy Extension Label Linkbase</w:t>
            </w:r>
          </w:p>
        </w:tc>
        <w:tc>
          <w:tcPr>
            <w:tcW w:w="2160" w:type="dxa"/>
            <w:vAlign w:val="bottom"/>
          </w:tcPr>
          <w:p>
            <w:pPr>
              <w:jc w:val="center"/>
              <w:ind w:left="1910"/>
              <w:spacing w:after="0" w:line="189" w:lineRule="exact"/>
              <w:rPr>
                <w:sz w:val="20"/>
                <w:szCs w:val="20"/>
                <w:color w:val="auto"/>
              </w:rPr>
            </w:pPr>
            <w:r>
              <w:rPr>
                <w:rFonts w:ascii="Calibri" w:cs="Calibri" w:eastAsia="Calibri" w:hAnsi="Calibri"/>
                <w:sz w:val="18"/>
                <w:szCs w:val="18"/>
                <w:color w:val="auto"/>
                <w:w w:val="88"/>
              </w:rPr>
              <w:t>*</w:t>
            </w:r>
          </w:p>
        </w:tc>
      </w:tr>
      <w:tr>
        <w:trPr>
          <w:trHeight w:val="203"/>
        </w:trPr>
        <w:tc>
          <w:tcPr>
            <w:tcW w:w="900" w:type="dxa"/>
            <w:vAlign w:val="bottom"/>
          </w:tcPr>
          <w:p>
            <w:pPr>
              <w:spacing w:after="0"/>
              <w:rPr>
                <w:sz w:val="17"/>
                <w:szCs w:val="17"/>
                <w:color w:val="auto"/>
              </w:rPr>
            </w:pPr>
          </w:p>
        </w:tc>
        <w:tc>
          <w:tcPr>
            <w:tcW w:w="5680" w:type="dxa"/>
            <w:vAlign w:val="bottom"/>
            <w:gridSpan w:val="7"/>
          </w:tcPr>
          <w:p>
            <w:pPr>
              <w:spacing w:after="0" w:line="203" w:lineRule="exact"/>
              <w:rPr>
                <w:sz w:val="20"/>
                <w:szCs w:val="20"/>
                <w:color w:val="auto"/>
              </w:rPr>
            </w:pPr>
            <w:r>
              <w:rPr>
                <w:rFonts w:ascii="Calibri" w:cs="Calibri" w:eastAsia="Calibri" w:hAnsi="Calibri"/>
                <w:sz w:val="18"/>
                <w:szCs w:val="18"/>
                <w:color w:val="auto"/>
              </w:rPr>
              <w:t>Document</w:t>
            </w:r>
          </w:p>
        </w:tc>
        <w:tc>
          <w:tcPr>
            <w:tcW w:w="2160" w:type="dxa"/>
            <w:vAlign w:val="bottom"/>
          </w:tcPr>
          <w:p>
            <w:pPr>
              <w:spacing w:after="0"/>
              <w:rPr>
                <w:sz w:val="17"/>
                <w:szCs w:val="17"/>
                <w:color w:val="auto"/>
              </w:rPr>
            </w:pPr>
          </w:p>
        </w:tc>
      </w:tr>
      <w:tr>
        <w:trPr>
          <w:trHeight w:val="189"/>
        </w:trPr>
        <w:tc>
          <w:tcPr>
            <w:tcW w:w="900" w:type="dxa"/>
            <w:vAlign w:val="bottom"/>
          </w:tcPr>
          <w:p>
            <w:pPr>
              <w:spacing w:after="0" w:line="189" w:lineRule="exact"/>
              <w:rPr>
                <w:sz w:val="20"/>
                <w:szCs w:val="20"/>
                <w:color w:val="auto"/>
              </w:rPr>
            </w:pPr>
            <w:r>
              <w:rPr>
                <w:rFonts w:ascii="Calibri" w:cs="Calibri" w:eastAsia="Calibri" w:hAnsi="Calibri"/>
                <w:sz w:val="18"/>
                <w:szCs w:val="18"/>
                <w:color w:val="auto"/>
              </w:rPr>
              <w:t>101.PRE</w:t>
            </w:r>
          </w:p>
        </w:tc>
        <w:tc>
          <w:tcPr>
            <w:tcW w:w="5680" w:type="dxa"/>
            <w:vAlign w:val="bottom"/>
            <w:gridSpan w:val="7"/>
          </w:tcPr>
          <w:p>
            <w:pPr>
              <w:spacing w:after="0" w:line="189" w:lineRule="exact"/>
              <w:rPr>
                <w:sz w:val="20"/>
                <w:szCs w:val="20"/>
                <w:color w:val="auto"/>
              </w:rPr>
            </w:pPr>
            <w:r>
              <w:rPr>
                <w:rFonts w:ascii="Calibri" w:cs="Calibri" w:eastAsia="Calibri" w:hAnsi="Calibri"/>
                <w:sz w:val="18"/>
                <w:szCs w:val="18"/>
                <w:color w:val="auto"/>
              </w:rPr>
              <w:t>Inline XBRL Taxonomy Extension Presentaton</w:t>
            </w:r>
          </w:p>
        </w:tc>
        <w:tc>
          <w:tcPr>
            <w:tcW w:w="2160" w:type="dxa"/>
            <w:vAlign w:val="bottom"/>
          </w:tcPr>
          <w:p>
            <w:pPr>
              <w:jc w:val="center"/>
              <w:ind w:left="1910"/>
              <w:spacing w:after="0" w:line="189" w:lineRule="exact"/>
              <w:rPr>
                <w:sz w:val="20"/>
                <w:szCs w:val="20"/>
                <w:color w:val="auto"/>
              </w:rPr>
            </w:pPr>
            <w:r>
              <w:rPr>
                <w:rFonts w:ascii="Calibri" w:cs="Calibri" w:eastAsia="Calibri" w:hAnsi="Calibri"/>
                <w:sz w:val="18"/>
                <w:szCs w:val="18"/>
                <w:color w:val="auto"/>
                <w:w w:val="88"/>
              </w:rPr>
              <w:t>*</w:t>
            </w:r>
          </w:p>
        </w:tc>
      </w:tr>
      <w:tr>
        <w:trPr>
          <w:trHeight w:val="203"/>
        </w:trPr>
        <w:tc>
          <w:tcPr>
            <w:tcW w:w="900" w:type="dxa"/>
            <w:vAlign w:val="bottom"/>
          </w:tcPr>
          <w:p>
            <w:pPr>
              <w:spacing w:after="0"/>
              <w:rPr>
                <w:sz w:val="17"/>
                <w:szCs w:val="17"/>
                <w:color w:val="auto"/>
              </w:rPr>
            </w:pPr>
          </w:p>
        </w:tc>
        <w:tc>
          <w:tcPr>
            <w:tcW w:w="5680" w:type="dxa"/>
            <w:vAlign w:val="bottom"/>
            <w:gridSpan w:val="7"/>
          </w:tcPr>
          <w:p>
            <w:pPr>
              <w:spacing w:after="0" w:line="203" w:lineRule="exact"/>
              <w:rPr>
                <w:sz w:val="20"/>
                <w:szCs w:val="20"/>
                <w:color w:val="auto"/>
              </w:rPr>
            </w:pPr>
            <w:r>
              <w:rPr>
                <w:rFonts w:ascii="Calibri" w:cs="Calibri" w:eastAsia="Calibri" w:hAnsi="Calibri"/>
                <w:sz w:val="18"/>
                <w:szCs w:val="18"/>
                <w:color w:val="auto"/>
              </w:rPr>
              <w:t>Linkbase Document</w:t>
            </w:r>
          </w:p>
        </w:tc>
        <w:tc>
          <w:tcPr>
            <w:tcW w:w="2160" w:type="dxa"/>
            <w:vAlign w:val="bottom"/>
          </w:tcPr>
          <w:p>
            <w:pPr>
              <w:spacing w:after="0"/>
              <w:rPr>
                <w:sz w:val="17"/>
                <w:szCs w:val="17"/>
                <w:color w:val="auto"/>
              </w:rPr>
            </w:pPr>
          </w:p>
        </w:tc>
      </w:tr>
      <w:tr>
        <w:trPr>
          <w:trHeight w:val="189"/>
        </w:trPr>
        <w:tc>
          <w:tcPr>
            <w:tcW w:w="900" w:type="dxa"/>
            <w:vAlign w:val="bottom"/>
          </w:tcPr>
          <w:p>
            <w:pPr>
              <w:spacing w:after="0" w:line="189" w:lineRule="exact"/>
              <w:rPr>
                <w:sz w:val="20"/>
                <w:szCs w:val="20"/>
                <w:color w:val="auto"/>
              </w:rPr>
            </w:pPr>
            <w:r>
              <w:rPr>
                <w:rFonts w:ascii="Calibri" w:cs="Calibri" w:eastAsia="Calibri" w:hAnsi="Calibri"/>
                <w:sz w:val="18"/>
                <w:szCs w:val="18"/>
                <w:color w:val="auto"/>
              </w:rPr>
              <w:t>104</w:t>
            </w:r>
          </w:p>
        </w:tc>
        <w:tc>
          <w:tcPr>
            <w:tcW w:w="5680" w:type="dxa"/>
            <w:vAlign w:val="bottom"/>
            <w:gridSpan w:val="7"/>
          </w:tcPr>
          <w:p>
            <w:pPr>
              <w:spacing w:after="0" w:line="189" w:lineRule="exact"/>
              <w:rPr>
                <w:sz w:val="20"/>
                <w:szCs w:val="20"/>
                <w:color w:val="auto"/>
              </w:rPr>
            </w:pPr>
            <w:r>
              <w:rPr>
                <w:rFonts w:ascii="Calibri" w:cs="Calibri" w:eastAsia="Calibri" w:hAnsi="Calibri"/>
                <w:sz w:val="18"/>
                <w:szCs w:val="18"/>
                <w:color w:val="auto"/>
              </w:rPr>
              <w:t>Cover Page Interactve Data File (embedded within</w:t>
            </w:r>
          </w:p>
        </w:tc>
        <w:tc>
          <w:tcPr>
            <w:tcW w:w="2160" w:type="dxa"/>
            <w:vAlign w:val="bottom"/>
          </w:tcPr>
          <w:p>
            <w:pPr>
              <w:jc w:val="center"/>
              <w:ind w:left="1910"/>
              <w:spacing w:after="0" w:line="189" w:lineRule="exact"/>
              <w:rPr>
                <w:sz w:val="20"/>
                <w:szCs w:val="20"/>
                <w:color w:val="auto"/>
              </w:rPr>
            </w:pPr>
            <w:r>
              <w:rPr>
                <w:rFonts w:ascii="Calibri" w:cs="Calibri" w:eastAsia="Calibri" w:hAnsi="Calibri"/>
                <w:sz w:val="18"/>
                <w:szCs w:val="18"/>
                <w:color w:val="auto"/>
                <w:w w:val="88"/>
              </w:rPr>
              <w:t>*</w:t>
            </w:r>
          </w:p>
        </w:tc>
      </w:tr>
      <w:tr>
        <w:trPr>
          <w:trHeight w:val="215"/>
        </w:trPr>
        <w:tc>
          <w:tcPr>
            <w:tcW w:w="900" w:type="dxa"/>
            <w:vAlign w:val="bottom"/>
          </w:tcPr>
          <w:p>
            <w:pPr>
              <w:spacing w:after="0"/>
              <w:rPr>
                <w:sz w:val="18"/>
                <w:szCs w:val="18"/>
                <w:color w:val="auto"/>
              </w:rPr>
            </w:pPr>
          </w:p>
        </w:tc>
        <w:tc>
          <w:tcPr>
            <w:tcW w:w="5680" w:type="dxa"/>
            <w:vAlign w:val="bottom"/>
            <w:gridSpan w:val="7"/>
          </w:tcPr>
          <w:p>
            <w:pPr>
              <w:spacing w:after="0" w:line="215" w:lineRule="exact"/>
              <w:rPr>
                <w:sz w:val="20"/>
                <w:szCs w:val="20"/>
                <w:color w:val="auto"/>
              </w:rPr>
            </w:pPr>
            <w:r>
              <w:rPr>
                <w:rFonts w:ascii="Calibri" w:cs="Calibri" w:eastAsia="Calibri" w:hAnsi="Calibri"/>
                <w:sz w:val="18"/>
                <w:szCs w:val="18"/>
                <w:color w:val="auto"/>
              </w:rPr>
              <w:t>the Inline XBRL document)</w:t>
            </w:r>
          </w:p>
        </w:tc>
        <w:tc>
          <w:tcPr>
            <w:tcW w:w="2160" w:type="dxa"/>
            <w:vAlign w:val="bottom"/>
          </w:tcPr>
          <w:p>
            <w:pPr>
              <w:spacing w:after="0"/>
              <w:rPr>
                <w:sz w:val="18"/>
                <w:szCs w:val="18"/>
                <w:color w:val="auto"/>
              </w:rPr>
            </w:pPr>
          </w:p>
        </w:tc>
      </w:tr>
    </w:tbl>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 Filed herewith.</w:t>
      </w:r>
    </w:p>
    <w:p>
      <w:pPr>
        <w:spacing w:after="0" w:line="221" w:lineRule="auto"/>
        <w:rPr>
          <w:sz w:val="20"/>
          <w:szCs w:val="20"/>
          <w:color w:val="auto"/>
        </w:rPr>
      </w:pPr>
      <w:r>
        <w:rPr>
          <w:rFonts w:ascii="Calibri" w:cs="Calibri" w:eastAsia="Calibri" w:hAnsi="Calibri"/>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40"/>
        <w:spacing w:after="0"/>
        <w:rPr>
          <w:sz w:val="20"/>
          <w:szCs w:val="20"/>
          <w:color w:val="auto"/>
        </w:rPr>
      </w:pPr>
      <w:r>
        <w:rPr>
          <w:rFonts w:ascii="Calibri" w:cs="Calibri" w:eastAsia="Calibri" w:hAnsi="Calibri"/>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71" w:right="1440" w:bottom="1440" w:gutter="0" w:footer="0" w:header="0"/>
        </w:sectPr>
      </w:pPr>
    </w:p>
    <w:bookmarkStart w:id="43" w:name="page44"/>
    <w:bookmarkEnd w:id="43"/>
    <w:p>
      <w:pPr>
        <w:jc w:val="center"/>
        <w:spacing w:after="0"/>
        <w:rPr>
          <w:sz w:val="20"/>
          <w:szCs w:val="20"/>
          <w:color w:val="auto"/>
        </w:rPr>
      </w:pPr>
      <w:r>
        <w:rPr>
          <w:rFonts w:ascii="Calibri" w:cs="Calibri" w:eastAsia="Calibri" w:hAnsi="Calibri"/>
          <w:sz w:val="18"/>
          <w:szCs w:val="18"/>
          <w:b w:val="1"/>
          <w:bCs w:val="1"/>
          <w:color w:val="auto"/>
        </w:rPr>
        <w:t>Signatures</w:t>
      </w:r>
    </w:p>
    <w:p>
      <w:pPr>
        <w:spacing w:after="0" w:line="204" w:lineRule="exact"/>
        <w:rPr>
          <w:sz w:val="20"/>
          <w:szCs w:val="20"/>
          <w:color w:val="auto"/>
        </w:rPr>
      </w:pPr>
    </w:p>
    <w:p>
      <w:pPr>
        <w:spacing w:after="0" w:line="227"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thereunto duly authorized.</w:t>
      </w:r>
    </w:p>
    <w:p>
      <w:pPr>
        <w:spacing w:after="0" w:line="187" w:lineRule="exact"/>
        <w:rPr>
          <w:sz w:val="20"/>
          <w:szCs w:val="20"/>
          <w:color w:val="auto"/>
        </w:rPr>
      </w:pPr>
    </w:p>
    <w:p>
      <w:pPr>
        <w:ind w:left="5680"/>
        <w:spacing w:after="0"/>
        <w:rPr>
          <w:sz w:val="20"/>
          <w:szCs w:val="20"/>
          <w:color w:val="auto"/>
        </w:rPr>
      </w:pPr>
      <w:r>
        <w:rPr>
          <w:rFonts w:ascii="Calibri" w:cs="Calibri" w:eastAsia="Calibri" w:hAnsi="Calibri"/>
          <w:sz w:val="18"/>
          <w:szCs w:val="18"/>
          <w:color w:val="auto"/>
        </w:rPr>
        <w:t>Vivid Seats Inc.</w:t>
      </w:r>
    </w:p>
    <w:p>
      <w:pPr>
        <w:spacing w:after="0" w:line="212" w:lineRule="exact"/>
        <w:rPr>
          <w:sz w:val="20"/>
          <w:szCs w:val="20"/>
          <w:color w:val="auto"/>
        </w:rPr>
      </w:pPr>
    </w:p>
    <w:p>
      <w:pPr>
        <w:ind w:left="5680"/>
        <w:spacing w:after="0"/>
        <w:tabs>
          <w:tab w:leader="none" w:pos="6100" w:val="left"/>
        </w:tabs>
        <w:rPr>
          <w:sz w:val="20"/>
          <w:szCs w:val="20"/>
          <w:color w:val="auto"/>
        </w:rPr>
      </w:pPr>
      <w:r>
        <w:rPr>
          <w:rFonts w:ascii="Calibri" w:cs="Calibri" w:eastAsia="Calibri" w:hAnsi="Calibri"/>
          <w:sz w:val="18"/>
          <w:szCs w:val="18"/>
          <w:color w:val="auto"/>
        </w:rPr>
        <w:t>By:</w:t>
        <w:tab/>
        <w:t>/s/ Stanley Chia</w:t>
      </w:r>
    </w:p>
    <w:p>
      <w:pPr>
        <w:ind w:left="6120"/>
        <w:spacing w:after="0" w:line="235" w:lineRule="auto"/>
        <w:rPr>
          <w:sz w:val="20"/>
          <w:szCs w:val="20"/>
          <w:color w:val="auto"/>
        </w:rPr>
      </w:pPr>
      <w:r>
        <w:rPr>
          <w:rFonts w:ascii="Calibri" w:cs="Calibri" w:eastAsia="Calibri" w:hAnsi="Calibri"/>
          <w:sz w:val="18"/>
          <w:szCs w:val="18"/>
          <w:color w:val="auto"/>
        </w:rPr>
        <w:t>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-121285</wp:posOffset>
            </wp:positionV>
            <wp:extent cx="325755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8">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ind w:left="6120"/>
        <w:spacing w:after="0" w:line="236" w:lineRule="auto"/>
        <w:rPr>
          <w:sz w:val="20"/>
          <w:szCs w:val="20"/>
          <w:color w:val="auto"/>
        </w:rPr>
      </w:pPr>
      <w:r>
        <w:rPr>
          <w:rFonts w:ascii="Calibri" w:cs="Calibri" w:eastAsia="Calibri" w:hAnsi="Calibri"/>
          <w:sz w:val="18"/>
          <w:szCs w:val="18"/>
          <w:color w:val="auto"/>
        </w:rPr>
        <w:t>Chief Executve Ofcer</w:t>
      </w:r>
    </w:p>
    <w:p>
      <w:pPr>
        <w:ind w:left="6120"/>
        <w:spacing w:after="0" w:line="236" w:lineRule="auto"/>
        <w:rPr>
          <w:sz w:val="20"/>
          <w:szCs w:val="20"/>
          <w:color w:val="auto"/>
        </w:rPr>
      </w:pPr>
      <w:r>
        <w:rPr>
          <w:rFonts w:ascii="Calibri" w:cs="Calibri" w:eastAsia="Calibri" w:hAnsi="Calibri"/>
          <w:sz w:val="18"/>
          <w:szCs w:val="18"/>
          <w:color w:val="auto"/>
        </w:rPr>
        <w:t>November 8, 2022</w:t>
      </w:r>
    </w:p>
    <w:p>
      <w:pPr>
        <w:spacing w:after="0" w:line="186" w:lineRule="exact"/>
        <w:rPr>
          <w:sz w:val="20"/>
          <w:szCs w:val="20"/>
          <w:color w:val="auto"/>
        </w:rPr>
      </w:pPr>
    </w:p>
    <w:p>
      <w:pPr>
        <w:ind w:left="5680"/>
        <w:spacing w:after="0"/>
        <w:tabs>
          <w:tab w:leader="none" w:pos="6100" w:val="left"/>
        </w:tabs>
        <w:rPr>
          <w:sz w:val="20"/>
          <w:szCs w:val="20"/>
          <w:color w:val="auto"/>
        </w:rPr>
      </w:pPr>
      <w:r>
        <w:rPr>
          <w:rFonts w:ascii="Calibri" w:cs="Calibri" w:eastAsia="Calibri" w:hAnsi="Calibri"/>
          <w:sz w:val="18"/>
          <w:szCs w:val="18"/>
          <w:color w:val="auto"/>
        </w:rPr>
        <w:t>By:</w:t>
        <w:tab/>
        <w:t>/s/ Lawrence Fey</w:t>
      </w:r>
    </w:p>
    <w:p>
      <w:pPr>
        <w:ind w:left="6120"/>
        <w:spacing w:after="0" w:line="235" w:lineRule="auto"/>
        <w:rPr>
          <w:sz w:val="20"/>
          <w:szCs w:val="20"/>
          <w:color w:val="auto"/>
        </w:rPr>
      </w:pPr>
      <w:r>
        <w:rPr>
          <w:rFonts w:ascii="Calibri" w:cs="Calibri" w:eastAsia="Calibri" w:hAnsi="Calibri"/>
          <w:sz w:val="18"/>
          <w:szCs w:val="18"/>
          <w:color w:val="auto"/>
        </w:rPr>
        <w:t>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-121285</wp:posOffset>
            </wp:positionV>
            <wp:extent cx="325755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9">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ind w:left="6120"/>
        <w:spacing w:after="0" w:line="222" w:lineRule="auto"/>
        <w:rPr>
          <w:sz w:val="20"/>
          <w:szCs w:val="20"/>
          <w:color w:val="auto"/>
        </w:rPr>
      </w:pPr>
      <w:r>
        <w:rPr>
          <w:rFonts w:ascii="Calibri" w:cs="Calibri" w:eastAsia="Calibri" w:hAnsi="Calibri"/>
          <w:sz w:val="18"/>
          <w:szCs w:val="18"/>
          <w:color w:val="auto"/>
        </w:rPr>
        <w:t>Chief Financial Ofcer</w:t>
      </w:r>
    </w:p>
    <w:p>
      <w:pPr>
        <w:ind w:left="6120"/>
        <w:spacing w:after="0" w:line="221" w:lineRule="auto"/>
        <w:rPr>
          <w:sz w:val="20"/>
          <w:szCs w:val="20"/>
          <w:color w:val="auto"/>
        </w:rPr>
      </w:pPr>
      <w:r>
        <w:rPr>
          <w:rFonts w:ascii="Calibri" w:cs="Calibri" w:eastAsia="Calibri" w:hAnsi="Calibri"/>
          <w:sz w:val="18"/>
          <w:szCs w:val="18"/>
          <w:color w:val="auto"/>
        </w:rPr>
        <w:t>November 8, 2022</w:t>
      </w:r>
    </w:p>
    <w:p>
      <w:pPr>
        <w:spacing w:after="0" w:line="19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4" w:name="page45"/>
    <w:bookmarkEnd w:id="44"/>
    <w:p>
      <w:pPr>
        <w:jc w:val="right"/>
        <w:spacing w:after="0"/>
        <w:rPr>
          <w:sz w:val="20"/>
          <w:szCs w:val="20"/>
          <w:color w:val="auto"/>
        </w:rPr>
      </w:pPr>
      <w:r>
        <w:rPr>
          <w:rFonts w:ascii="Calibri" w:cs="Calibri" w:eastAsia="Calibri" w:hAnsi="Calibri"/>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21" w:lineRule="auto"/>
        <w:rPr>
          <w:sz w:val="20"/>
          <w:szCs w:val="20"/>
          <w:color w:val="auto"/>
        </w:rPr>
      </w:pPr>
      <w:r>
        <w:rPr>
          <w:rFonts w:ascii="Calibri" w:cs="Calibri" w:eastAsia="Calibri" w:hAnsi="Calibri"/>
          <w:sz w:val="18"/>
          <w:szCs w:val="18"/>
          <w:b w:val="1"/>
          <w:bCs w:val="1"/>
          <w:color w:val="auto"/>
        </w:rPr>
        <w:t>RULES 13a-14(a) AND 15d-14(a) UNDER THE SECURITIES EXCHANGE ACT OF 1934,</w:t>
      </w:r>
    </w:p>
    <w:p>
      <w:pPr>
        <w:jc w:val="center"/>
        <w:spacing w:after="0" w:line="221" w:lineRule="auto"/>
        <w:rPr>
          <w:sz w:val="20"/>
          <w:szCs w:val="20"/>
          <w:color w:val="auto"/>
        </w:rPr>
      </w:pPr>
      <w:r>
        <w:rPr>
          <w:rFonts w:ascii="Calibri" w:cs="Calibri" w:eastAsia="Calibri" w:hAnsi="Calibri"/>
          <w:sz w:val="18"/>
          <w:szCs w:val="18"/>
          <w:b w:val="1"/>
          <w:bCs w:val="1"/>
          <w:color w:val="auto"/>
        </w:rPr>
        <w:t>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I, Stanley Chia, certfy that:</w:t>
      </w:r>
    </w:p>
    <w:p>
      <w:pPr>
        <w:spacing w:after="0" w:line="212"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I have reviewed this Quarterly Report on Form 10-Q for the quarterly period ended September 30, 2022 of Vivid Seats Inc;</w:t>
      </w:r>
    </w:p>
    <w:p>
      <w:pPr>
        <w:spacing w:after="0" w:line="217" w:lineRule="exact"/>
        <w:rPr>
          <w:rFonts w:ascii="Times New Roman" w:cs="Times New Roman" w:eastAsia="Times New Roman" w:hAnsi="Times New Roman"/>
          <w:sz w:val="18"/>
          <w:szCs w:val="18"/>
          <w:color w:val="auto"/>
        </w:rPr>
      </w:pPr>
    </w:p>
    <w:p>
      <w:pPr>
        <w:jc w:val="both"/>
        <w:ind w:left="520" w:hanging="512"/>
        <w:spacing w:after="0" w:line="230" w:lineRule="auto"/>
        <w:tabs>
          <w:tab w:leader="none" w:pos="5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8" w:lineRule="exact"/>
        <w:rPr>
          <w:rFonts w:ascii="Times New Roman" w:cs="Times New Roman" w:eastAsia="Times New Roman" w:hAnsi="Times New Roman"/>
          <w:sz w:val="18"/>
          <w:szCs w:val="18"/>
          <w:color w:val="auto"/>
        </w:rPr>
      </w:pPr>
    </w:p>
    <w:p>
      <w:pPr>
        <w:ind w:left="520" w:hanging="512"/>
        <w:spacing w:after="0" w:line="227" w:lineRule="auto"/>
        <w:tabs>
          <w:tab w:leader="none" w:pos="5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32" w:lineRule="exact"/>
        <w:rPr>
          <w:rFonts w:ascii="Times New Roman" w:cs="Times New Roman" w:eastAsia="Times New Roman" w:hAnsi="Times New Roman"/>
          <w:sz w:val="18"/>
          <w:szCs w:val="18"/>
          <w:color w:val="auto"/>
        </w:rPr>
      </w:pPr>
    </w:p>
    <w:p>
      <w:pPr>
        <w:ind w:left="520" w:hanging="512"/>
        <w:spacing w:after="0" w:line="227" w:lineRule="auto"/>
        <w:tabs>
          <w:tab w:leader="none" w:pos="5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for the registrant and have:</w:t>
      </w:r>
    </w:p>
    <w:p>
      <w:pPr>
        <w:spacing w:after="0" w:line="218" w:lineRule="exact"/>
        <w:rPr>
          <w:rFonts w:ascii="Times New Roman" w:cs="Times New Roman" w:eastAsia="Times New Roman" w:hAnsi="Times New Roman"/>
          <w:sz w:val="18"/>
          <w:szCs w:val="18"/>
          <w:color w:val="auto"/>
        </w:rPr>
      </w:pPr>
    </w:p>
    <w:p>
      <w:pPr>
        <w:jc w:val="both"/>
        <w:ind w:left="1020" w:hanging="503"/>
        <w:spacing w:after="0" w:line="230" w:lineRule="auto"/>
        <w:tabs>
          <w:tab w:leader="none" w:pos="1020" w:val="left"/>
        </w:tabs>
        <w:numPr>
          <w:ilvl w:val="1"/>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[omited];</w:t>
      </w:r>
    </w:p>
    <w:p>
      <w:pPr>
        <w:spacing w:after="0" w:line="230" w:lineRule="exact"/>
        <w:rPr>
          <w:rFonts w:ascii="Times New Roman" w:cs="Times New Roman" w:eastAsia="Times New Roman" w:hAnsi="Times New Roman"/>
          <w:sz w:val="18"/>
          <w:szCs w:val="18"/>
          <w:color w:val="auto"/>
        </w:rPr>
      </w:pPr>
    </w:p>
    <w:p>
      <w:pPr>
        <w:ind w:left="1020" w:hanging="503"/>
        <w:spacing w:after="0" w:line="227" w:lineRule="auto"/>
        <w:tabs>
          <w:tab w:leader="none" w:pos="1020" w:val="left"/>
        </w:tabs>
        <w:numPr>
          <w:ilvl w:val="1"/>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18" w:lineRule="exact"/>
        <w:rPr>
          <w:rFonts w:ascii="Times New Roman" w:cs="Times New Roman" w:eastAsia="Times New Roman" w:hAnsi="Times New Roman"/>
          <w:sz w:val="18"/>
          <w:szCs w:val="18"/>
          <w:color w:val="auto"/>
        </w:rPr>
      </w:pPr>
    </w:p>
    <w:p>
      <w:pPr>
        <w:jc w:val="both"/>
        <w:ind w:left="1020" w:hanging="503"/>
        <w:spacing w:after="0" w:line="230" w:lineRule="auto"/>
        <w:tabs>
          <w:tab w:leader="none" w:pos="1020" w:val="left"/>
        </w:tabs>
        <w:numPr>
          <w:ilvl w:val="1"/>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18" w:lineRule="exact"/>
        <w:rPr>
          <w:rFonts w:ascii="Times New Roman" w:cs="Times New Roman" w:eastAsia="Times New Roman" w:hAnsi="Times New Roman"/>
          <w:sz w:val="18"/>
          <w:szCs w:val="18"/>
          <w:color w:val="auto"/>
        </w:rPr>
      </w:pPr>
    </w:p>
    <w:p>
      <w:pPr>
        <w:ind w:left="520" w:hanging="512"/>
        <w:spacing w:after="0" w:line="235" w:lineRule="auto"/>
        <w:tabs>
          <w:tab w:leader="none" w:pos="5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217" w:lineRule="exact"/>
        <w:rPr>
          <w:rFonts w:ascii="Times New Roman" w:cs="Times New Roman" w:eastAsia="Times New Roman" w:hAnsi="Times New Roman"/>
          <w:sz w:val="18"/>
          <w:szCs w:val="18"/>
          <w:color w:val="auto"/>
        </w:rPr>
      </w:pPr>
    </w:p>
    <w:p>
      <w:pPr>
        <w:ind w:left="1020" w:hanging="503"/>
        <w:spacing w:after="0" w:line="227" w:lineRule="auto"/>
        <w:tabs>
          <w:tab w:leader="none" w:pos="1020" w:val="left"/>
        </w:tabs>
        <w:numPr>
          <w:ilvl w:val="1"/>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18"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1"/>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172" w:lineRule="exact"/>
        <w:rPr>
          <w:sz w:val="20"/>
          <w:szCs w:val="20"/>
          <w:color w:val="auto"/>
        </w:rPr>
      </w:pPr>
    </w:p>
    <w:p>
      <w:pPr>
        <w:ind w:left="20"/>
        <w:spacing w:after="0"/>
        <w:tabs>
          <w:tab w:leader="none" w:pos="5660" w:val="left"/>
          <w:tab w:leader="none" w:pos="8040" w:val="left"/>
        </w:tabs>
        <w:rPr>
          <w:sz w:val="20"/>
          <w:szCs w:val="20"/>
          <w:color w:val="auto"/>
        </w:rPr>
      </w:pPr>
      <w:r>
        <w:rPr>
          <w:rFonts w:ascii="Calibri" w:cs="Calibri" w:eastAsia="Calibri" w:hAnsi="Calibri"/>
          <w:sz w:val="18"/>
          <w:szCs w:val="18"/>
          <w:color w:val="auto"/>
        </w:rPr>
        <w:t>Date: November 8, 2022</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Stanley Chia</w:t>
      </w:r>
    </w:p>
    <w:p>
      <w:pPr>
        <w:spacing w:after="0" w:line="10"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jc w:val="center"/>
        <w:ind w:left="5980"/>
        <w:spacing w:after="0" w:line="235" w:lineRule="auto"/>
        <w:rPr>
          <w:sz w:val="20"/>
          <w:szCs w:val="20"/>
          <w:color w:val="auto"/>
        </w:rPr>
      </w:pPr>
      <w:r>
        <w:rPr>
          <w:rFonts w:ascii="Calibri" w:cs="Calibri" w:eastAsia="Calibri" w:hAnsi="Calibri"/>
          <w:sz w:val="18"/>
          <w:szCs w:val="18"/>
          <w:b w:val="1"/>
          <w:bCs w:val="1"/>
          <w:color w:val="auto"/>
        </w:rPr>
        <w:t>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5" w:name="page46"/>
    <w:bookmarkEnd w:id="45"/>
    <w:p>
      <w:pPr>
        <w:jc w:val="right"/>
        <w:spacing w:after="0"/>
        <w:rPr>
          <w:sz w:val="20"/>
          <w:szCs w:val="20"/>
          <w:color w:val="auto"/>
        </w:rPr>
      </w:pPr>
      <w:r>
        <w:rPr>
          <w:rFonts w:ascii="Calibri" w:cs="Calibri" w:eastAsia="Calibri" w:hAnsi="Calibri"/>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21" w:lineRule="auto"/>
        <w:rPr>
          <w:sz w:val="20"/>
          <w:szCs w:val="20"/>
          <w:color w:val="auto"/>
        </w:rPr>
      </w:pPr>
      <w:r>
        <w:rPr>
          <w:rFonts w:ascii="Calibri" w:cs="Calibri" w:eastAsia="Calibri" w:hAnsi="Calibri"/>
          <w:sz w:val="18"/>
          <w:szCs w:val="18"/>
          <w:b w:val="1"/>
          <w:bCs w:val="1"/>
          <w:color w:val="auto"/>
        </w:rPr>
        <w:t>RULES 13a-14(a) AND 15d-14(a) UNDER THE SECURITIES EXCHANGE ACT OF 1934,</w:t>
      </w:r>
    </w:p>
    <w:p>
      <w:pPr>
        <w:jc w:val="center"/>
        <w:spacing w:after="0" w:line="221" w:lineRule="auto"/>
        <w:rPr>
          <w:sz w:val="20"/>
          <w:szCs w:val="20"/>
          <w:color w:val="auto"/>
        </w:rPr>
      </w:pPr>
      <w:r>
        <w:rPr>
          <w:rFonts w:ascii="Calibri" w:cs="Calibri" w:eastAsia="Calibri" w:hAnsi="Calibri"/>
          <w:sz w:val="18"/>
          <w:szCs w:val="18"/>
          <w:b w:val="1"/>
          <w:bCs w:val="1"/>
          <w:color w:val="auto"/>
        </w:rPr>
        <w:t>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I, Lawrence Fey, certfy that:</w:t>
      </w:r>
    </w:p>
    <w:p>
      <w:pPr>
        <w:spacing w:after="0" w:line="212"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I have reviewed this Quarterly Report on Form 10-Q for the quarterly period ended September 30, 2022 of Vivid Seats Inc;</w:t>
      </w:r>
    </w:p>
    <w:p>
      <w:pPr>
        <w:spacing w:after="0" w:line="217" w:lineRule="exact"/>
        <w:rPr>
          <w:rFonts w:ascii="Times New Roman" w:cs="Times New Roman" w:eastAsia="Times New Roman" w:hAnsi="Times New Roman"/>
          <w:sz w:val="18"/>
          <w:szCs w:val="18"/>
          <w:color w:val="auto"/>
        </w:rPr>
      </w:pPr>
    </w:p>
    <w:p>
      <w:pPr>
        <w:jc w:val="both"/>
        <w:ind w:left="520" w:hanging="512"/>
        <w:spacing w:after="0" w:line="230" w:lineRule="auto"/>
        <w:tabs>
          <w:tab w:leader="none" w:pos="5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8" w:lineRule="exact"/>
        <w:rPr>
          <w:rFonts w:ascii="Times New Roman" w:cs="Times New Roman" w:eastAsia="Times New Roman" w:hAnsi="Times New Roman"/>
          <w:sz w:val="18"/>
          <w:szCs w:val="18"/>
          <w:color w:val="auto"/>
        </w:rPr>
      </w:pPr>
    </w:p>
    <w:p>
      <w:pPr>
        <w:ind w:left="520" w:hanging="512"/>
        <w:spacing w:after="0" w:line="227" w:lineRule="auto"/>
        <w:tabs>
          <w:tab w:leader="none" w:pos="5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32" w:lineRule="exact"/>
        <w:rPr>
          <w:rFonts w:ascii="Times New Roman" w:cs="Times New Roman" w:eastAsia="Times New Roman" w:hAnsi="Times New Roman"/>
          <w:sz w:val="18"/>
          <w:szCs w:val="18"/>
          <w:color w:val="auto"/>
        </w:rPr>
      </w:pPr>
    </w:p>
    <w:p>
      <w:pPr>
        <w:ind w:left="520" w:hanging="512"/>
        <w:spacing w:after="0" w:line="227" w:lineRule="auto"/>
        <w:tabs>
          <w:tab w:leader="none" w:pos="5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for the registrant and have:</w:t>
      </w:r>
    </w:p>
    <w:p>
      <w:pPr>
        <w:spacing w:after="0" w:line="218" w:lineRule="exact"/>
        <w:rPr>
          <w:rFonts w:ascii="Times New Roman" w:cs="Times New Roman" w:eastAsia="Times New Roman" w:hAnsi="Times New Roman"/>
          <w:sz w:val="18"/>
          <w:szCs w:val="18"/>
          <w:color w:val="auto"/>
        </w:rPr>
      </w:pPr>
    </w:p>
    <w:p>
      <w:pPr>
        <w:jc w:val="both"/>
        <w:ind w:left="1020" w:hanging="503"/>
        <w:spacing w:after="0" w:line="230" w:lineRule="auto"/>
        <w:tabs>
          <w:tab w:leader="none" w:pos="1020" w:val="left"/>
        </w:tabs>
        <w:numPr>
          <w:ilvl w:val="1"/>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[omited];</w:t>
      </w:r>
    </w:p>
    <w:p>
      <w:pPr>
        <w:spacing w:after="0" w:line="230" w:lineRule="exact"/>
        <w:rPr>
          <w:rFonts w:ascii="Times New Roman" w:cs="Times New Roman" w:eastAsia="Times New Roman" w:hAnsi="Times New Roman"/>
          <w:sz w:val="18"/>
          <w:szCs w:val="18"/>
          <w:color w:val="auto"/>
        </w:rPr>
      </w:pPr>
    </w:p>
    <w:p>
      <w:pPr>
        <w:ind w:left="1020" w:hanging="503"/>
        <w:spacing w:after="0" w:line="227" w:lineRule="auto"/>
        <w:tabs>
          <w:tab w:leader="none" w:pos="1020" w:val="left"/>
        </w:tabs>
        <w:numPr>
          <w:ilvl w:val="1"/>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18" w:lineRule="exact"/>
        <w:rPr>
          <w:rFonts w:ascii="Times New Roman" w:cs="Times New Roman" w:eastAsia="Times New Roman" w:hAnsi="Times New Roman"/>
          <w:sz w:val="18"/>
          <w:szCs w:val="18"/>
          <w:color w:val="auto"/>
        </w:rPr>
      </w:pPr>
    </w:p>
    <w:p>
      <w:pPr>
        <w:jc w:val="both"/>
        <w:ind w:left="1020" w:hanging="503"/>
        <w:spacing w:after="0" w:line="230" w:lineRule="auto"/>
        <w:tabs>
          <w:tab w:leader="none" w:pos="1020" w:val="left"/>
        </w:tabs>
        <w:numPr>
          <w:ilvl w:val="1"/>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18" w:lineRule="exact"/>
        <w:rPr>
          <w:rFonts w:ascii="Times New Roman" w:cs="Times New Roman" w:eastAsia="Times New Roman" w:hAnsi="Times New Roman"/>
          <w:sz w:val="18"/>
          <w:szCs w:val="18"/>
          <w:color w:val="auto"/>
        </w:rPr>
      </w:pPr>
    </w:p>
    <w:p>
      <w:pPr>
        <w:ind w:left="520" w:hanging="512"/>
        <w:spacing w:after="0" w:line="235" w:lineRule="auto"/>
        <w:tabs>
          <w:tab w:leader="none" w:pos="5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217" w:lineRule="exact"/>
        <w:rPr>
          <w:rFonts w:ascii="Times New Roman" w:cs="Times New Roman" w:eastAsia="Times New Roman" w:hAnsi="Times New Roman"/>
          <w:sz w:val="18"/>
          <w:szCs w:val="18"/>
          <w:color w:val="auto"/>
        </w:rPr>
      </w:pPr>
    </w:p>
    <w:p>
      <w:pPr>
        <w:ind w:left="1020" w:hanging="503"/>
        <w:spacing w:after="0" w:line="227" w:lineRule="auto"/>
        <w:tabs>
          <w:tab w:leader="none" w:pos="1020" w:val="left"/>
        </w:tabs>
        <w:numPr>
          <w:ilvl w:val="1"/>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18"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1"/>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172" w:lineRule="exact"/>
        <w:rPr>
          <w:sz w:val="20"/>
          <w:szCs w:val="20"/>
          <w:color w:val="auto"/>
        </w:rPr>
      </w:pPr>
    </w:p>
    <w:p>
      <w:pPr>
        <w:ind w:left="20"/>
        <w:spacing w:after="0"/>
        <w:tabs>
          <w:tab w:leader="none" w:pos="5660" w:val="left"/>
          <w:tab w:leader="none" w:pos="8000" w:val="left"/>
        </w:tabs>
        <w:rPr>
          <w:sz w:val="20"/>
          <w:szCs w:val="20"/>
          <w:color w:val="auto"/>
        </w:rPr>
      </w:pPr>
      <w:r>
        <w:rPr>
          <w:rFonts w:ascii="Calibri" w:cs="Calibri" w:eastAsia="Calibri" w:hAnsi="Calibri"/>
          <w:sz w:val="18"/>
          <w:szCs w:val="18"/>
          <w:color w:val="auto"/>
        </w:rPr>
        <w:t>Date: November 8, 2022</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Lawrence Fey</w:t>
      </w:r>
    </w:p>
    <w:p>
      <w:pPr>
        <w:spacing w:after="0" w:line="10"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jc w:val="center"/>
        <w:ind w:left="5980"/>
        <w:spacing w:after="0" w:line="235" w:lineRule="auto"/>
        <w:rPr>
          <w:sz w:val="20"/>
          <w:szCs w:val="20"/>
          <w:color w:val="auto"/>
        </w:rPr>
      </w:pPr>
      <w:r>
        <w:rPr>
          <w:rFonts w:ascii="Calibri" w:cs="Calibri" w:eastAsia="Calibri" w:hAnsi="Calibri"/>
          <w:sz w:val="18"/>
          <w:szCs w:val="18"/>
          <w:b w:val="1"/>
          <w:bCs w:val="1"/>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6" w:name="page47"/>
    <w:bookmarkEnd w:id="46"/>
    <w:p>
      <w:pPr>
        <w:jc w:val="right"/>
        <w:spacing w:after="0"/>
        <w:rPr>
          <w:sz w:val="20"/>
          <w:szCs w:val="20"/>
          <w:color w:val="auto"/>
        </w:rPr>
      </w:pPr>
      <w:r>
        <w:rPr>
          <w:rFonts w:ascii="Calibri" w:cs="Calibri" w:eastAsia="Calibri" w:hAnsi="Calibri"/>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ind w:left="3720"/>
        <w:spacing w:after="0" w:line="221" w:lineRule="auto"/>
        <w:rPr>
          <w:sz w:val="20"/>
          <w:szCs w:val="20"/>
          <w:color w:val="auto"/>
        </w:rPr>
      </w:pPr>
      <w:r>
        <w:rPr>
          <w:rFonts w:ascii="Calibri" w:cs="Calibri" w:eastAsia="Calibri" w:hAnsi="Calibri"/>
          <w:sz w:val="18"/>
          <w:szCs w:val="18"/>
          <w:b w:val="1"/>
          <w:bCs w:val="1"/>
          <w:color w:val="auto"/>
        </w:rPr>
        <w:t>18 U.S.C. SECTION 1350, AS ADOPTED PURSUANT TO</w:t>
      </w:r>
    </w:p>
    <w:p>
      <w:pPr>
        <w:ind w:left="3740"/>
        <w:spacing w:after="0" w:line="221"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217" w:lineRule="exact"/>
        <w:rPr>
          <w:sz w:val="20"/>
          <w:szCs w:val="20"/>
          <w:color w:val="auto"/>
        </w:rPr>
      </w:pPr>
    </w:p>
    <w:p>
      <w:pPr>
        <w:jc w:val="both"/>
        <w:ind w:firstLine="509"/>
        <w:spacing w:after="0" w:line="225" w:lineRule="auto"/>
        <w:rPr>
          <w:sz w:val="20"/>
          <w:szCs w:val="20"/>
          <w:color w:val="auto"/>
        </w:rPr>
      </w:pPr>
      <w:r>
        <w:rPr>
          <w:rFonts w:ascii="Calibri" w:cs="Calibri" w:eastAsia="Calibri" w:hAnsi="Calibri"/>
          <w:sz w:val="18"/>
          <w:szCs w:val="18"/>
          <w:color w:val="auto"/>
        </w:rPr>
        <w:t>In connecton with the Quarterly Report of Vivid Seats Inc. (the “Company”) on Form 10-Q for the period ending September 30, 2022 as fled with the Securites and Exchange Commission on the date hereof (the “Report”), I, Stanley Chia, Chief Executve Ofcer, certfy, pursuant to 18 U.S.C. § 1350, as adopted pursuant to § 906 of the Sarbanes-Oxley Act of 2002, that:</w:t>
      </w:r>
    </w:p>
    <w:p>
      <w:pPr>
        <w:spacing w:after="0" w:line="228"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217" w:lineRule="exact"/>
        <w:rPr>
          <w:rFonts w:ascii="Times New Roman" w:cs="Times New Roman" w:eastAsia="Times New Roman" w:hAnsi="Times New Roman"/>
          <w:sz w:val="18"/>
          <w:szCs w:val="18"/>
          <w:color w:val="auto"/>
        </w:rPr>
      </w:pPr>
    </w:p>
    <w:p>
      <w:pPr>
        <w:ind w:left="1020" w:hanging="503"/>
        <w:spacing w:after="0" w:line="227" w:lineRule="auto"/>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 of operatons of the Company.</w:t>
      </w:r>
    </w:p>
    <w:p>
      <w:pPr>
        <w:spacing w:after="0" w:line="187" w:lineRule="exact"/>
        <w:rPr>
          <w:sz w:val="20"/>
          <w:szCs w:val="20"/>
          <w:color w:val="auto"/>
        </w:rPr>
      </w:pPr>
    </w:p>
    <w:p>
      <w:pPr>
        <w:ind w:left="20"/>
        <w:spacing w:after="0"/>
        <w:tabs>
          <w:tab w:leader="none" w:pos="5660" w:val="left"/>
          <w:tab w:leader="none" w:pos="8040" w:val="left"/>
        </w:tabs>
        <w:rPr>
          <w:sz w:val="20"/>
          <w:szCs w:val="20"/>
          <w:color w:val="auto"/>
        </w:rPr>
      </w:pPr>
      <w:r>
        <w:rPr>
          <w:rFonts w:ascii="Calibri" w:cs="Calibri" w:eastAsia="Calibri" w:hAnsi="Calibri"/>
          <w:sz w:val="18"/>
          <w:szCs w:val="18"/>
          <w:color w:val="auto"/>
        </w:rPr>
        <w:t>Date: November 8, 2022</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Stanley Chia</w:t>
      </w:r>
    </w:p>
    <w:p>
      <w:pPr>
        <w:spacing w:after="0" w:line="10"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jc w:val="center"/>
        <w:ind w:left="5980"/>
        <w:spacing w:after="0" w:line="235" w:lineRule="auto"/>
        <w:rPr>
          <w:sz w:val="20"/>
          <w:szCs w:val="20"/>
          <w:color w:val="auto"/>
        </w:rPr>
      </w:pPr>
      <w:r>
        <w:rPr>
          <w:rFonts w:ascii="Calibri" w:cs="Calibri" w:eastAsia="Calibri" w:hAnsi="Calibri"/>
          <w:sz w:val="18"/>
          <w:szCs w:val="18"/>
          <w:b w:val="1"/>
          <w:bCs w:val="1"/>
          <w:color w:val="auto"/>
        </w:rPr>
        <w:t>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7" w:name="page48"/>
    <w:bookmarkEnd w:id="47"/>
    <w:p>
      <w:pPr>
        <w:jc w:val="right"/>
        <w:spacing w:after="0"/>
        <w:rPr>
          <w:sz w:val="20"/>
          <w:szCs w:val="20"/>
          <w:color w:val="auto"/>
        </w:rPr>
      </w:pPr>
      <w:r>
        <w:rPr>
          <w:rFonts w:ascii="Calibri" w:cs="Calibri" w:eastAsia="Calibri" w:hAnsi="Calibri"/>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ind w:left="3720"/>
        <w:spacing w:after="0" w:line="221" w:lineRule="auto"/>
        <w:rPr>
          <w:sz w:val="20"/>
          <w:szCs w:val="20"/>
          <w:color w:val="auto"/>
        </w:rPr>
      </w:pPr>
      <w:r>
        <w:rPr>
          <w:rFonts w:ascii="Calibri" w:cs="Calibri" w:eastAsia="Calibri" w:hAnsi="Calibri"/>
          <w:sz w:val="18"/>
          <w:szCs w:val="18"/>
          <w:b w:val="1"/>
          <w:bCs w:val="1"/>
          <w:color w:val="auto"/>
        </w:rPr>
        <w:t>18 U.S.C. SECTION 1350, AS ADOPTED PURSUANT TO</w:t>
      </w:r>
    </w:p>
    <w:p>
      <w:pPr>
        <w:ind w:left="3740"/>
        <w:spacing w:after="0" w:line="221"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217" w:lineRule="exact"/>
        <w:rPr>
          <w:sz w:val="20"/>
          <w:szCs w:val="20"/>
          <w:color w:val="auto"/>
        </w:rPr>
      </w:pPr>
    </w:p>
    <w:p>
      <w:pPr>
        <w:jc w:val="both"/>
        <w:ind w:firstLine="509"/>
        <w:spacing w:after="0" w:line="225" w:lineRule="auto"/>
        <w:rPr>
          <w:sz w:val="20"/>
          <w:szCs w:val="20"/>
          <w:color w:val="auto"/>
        </w:rPr>
      </w:pPr>
      <w:r>
        <w:rPr>
          <w:rFonts w:ascii="Calibri" w:cs="Calibri" w:eastAsia="Calibri" w:hAnsi="Calibri"/>
          <w:sz w:val="18"/>
          <w:szCs w:val="18"/>
          <w:color w:val="auto"/>
        </w:rPr>
        <w:t>In connecton with the Quarterly Report of Vivid Seats Inc. (the “Company”) on Form 10-Q for the period ending September 30, 2022 as fled with the Securites and Exchange Commission on the date hereof (the “Report”), I, Lawrence Fey, Chief Financial Ofcer, certfy, pursuant to 18 U.S.C. § 1350, as adopted pursuant to § 906 of the Sarbanes-Oxley Act of 2002, that:</w:t>
      </w:r>
    </w:p>
    <w:p>
      <w:pPr>
        <w:spacing w:after="0" w:line="228"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217" w:lineRule="exact"/>
        <w:rPr>
          <w:rFonts w:ascii="Times New Roman" w:cs="Times New Roman" w:eastAsia="Times New Roman" w:hAnsi="Times New Roman"/>
          <w:sz w:val="18"/>
          <w:szCs w:val="18"/>
          <w:color w:val="auto"/>
        </w:rPr>
      </w:pPr>
    </w:p>
    <w:p>
      <w:pPr>
        <w:ind w:left="1020" w:hanging="503"/>
        <w:spacing w:after="0" w:line="227" w:lineRule="auto"/>
        <w:tabs>
          <w:tab w:leader="none" w:pos="10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 of operatons of the Company.</w:t>
      </w:r>
    </w:p>
    <w:p>
      <w:pPr>
        <w:spacing w:after="0" w:line="187" w:lineRule="exact"/>
        <w:rPr>
          <w:sz w:val="20"/>
          <w:szCs w:val="20"/>
          <w:color w:val="auto"/>
        </w:rPr>
      </w:pPr>
    </w:p>
    <w:p>
      <w:pPr>
        <w:ind w:left="20"/>
        <w:spacing w:after="0"/>
        <w:tabs>
          <w:tab w:leader="none" w:pos="5660" w:val="left"/>
          <w:tab w:leader="none" w:pos="8000" w:val="left"/>
        </w:tabs>
        <w:rPr>
          <w:sz w:val="20"/>
          <w:szCs w:val="20"/>
          <w:color w:val="auto"/>
        </w:rPr>
      </w:pPr>
      <w:r>
        <w:rPr>
          <w:rFonts w:ascii="Calibri" w:cs="Calibri" w:eastAsia="Calibri" w:hAnsi="Calibri"/>
          <w:sz w:val="18"/>
          <w:szCs w:val="18"/>
          <w:color w:val="auto"/>
        </w:rPr>
        <w:t>Date: November 8, 2022</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Lawrence Fey</w:t>
      </w:r>
    </w:p>
    <w:p>
      <w:pPr>
        <w:spacing w:after="0" w:line="10"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jc w:val="center"/>
        <w:ind w:left="5980"/>
        <w:spacing w:after="0" w:line="235" w:lineRule="auto"/>
        <w:rPr>
          <w:sz w:val="20"/>
          <w:szCs w:val="20"/>
          <w:color w:val="auto"/>
        </w:rPr>
      </w:pPr>
      <w:r>
        <w:rPr>
          <w:rFonts w:ascii="Calibri" w:cs="Calibri" w:eastAsia="Calibri" w:hAnsi="Calibri"/>
          <w:sz w:val="18"/>
          <w:szCs w:val="18"/>
          <w:b w:val="1"/>
          <w:bCs w:val="1"/>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o"/>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2"/>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2"/>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95" Type="http://schemas.openxmlformats.org/officeDocument/2006/relationships/image" Target="media/image279.png"/><Relationship Id="rId296" Type="http://schemas.openxmlformats.org/officeDocument/2006/relationships/image" Target="media/image280.png"/><Relationship Id="rId297" Type="http://schemas.openxmlformats.org/officeDocument/2006/relationships/image" Target="media/image281.png"/><Relationship Id="rId298" Type="http://schemas.openxmlformats.org/officeDocument/2006/relationships/image" Target="media/image282.png"/><Relationship Id="rId299" Type="http://schemas.openxmlformats.org/officeDocument/2006/relationships/image" Target="media/image283.png"/><Relationship Id="rId300" Type="http://schemas.openxmlformats.org/officeDocument/2006/relationships/image" Target="media/image284.png"/><Relationship Id="rId301" Type="http://schemas.openxmlformats.org/officeDocument/2006/relationships/image" Target="media/image285.png"/><Relationship Id="rId302" Type="http://schemas.openxmlformats.org/officeDocument/2006/relationships/image" Target="media/image286.png"/><Relationship Id="rId303" Type="http://schemas.openxmlformats.org/officeDocument/2006/relationships/image" Target="media/image287.png"/><Relationship Id="rId304" Type="http://schemas.openxmlformats.org/officeDocument/2006/relationships/image" Target="media/image288.png"/><Relationship Id="rId305" Type="http://schemas.openxmlformats.org/officeDocument/2006/relationships/image" Target="media/image289.png"/><Relationship Id="rId306" Type="http://schemas.openxmlformats.org/officeDocument/2006/relationships/image" Target="media/image290.png"/><Relationship Id="rId307" Type="http://schemas.openxmlformats.org/officeDocument/2006/relationships/image" Target="media/image291.png"/><Relationship Id="rId308" Type="http://schemas.openxmlformats.org/officeDocument/2006/relationships/image" Target="media/image292.png"/><Relationship Id="rId286" Type="http://schemas.openxmlformats.org/officeDocument/2006/relationships/hyperlink" Target="https://www.sec.gov/Archives/edgar/data/0001856031/000119312521175583/d447259ds4.htm#ii447259_10" TargetMode="External"/><Relationship Id="rId287" Type="http://schemas.openxmlformats.org/officeDocument/2006/relationships/hyperlink" Target="https://www.sec.gov/Archives/edgar/data/1856031/000119312521175583/d447259dex22.htm" TargetMode="External"/><Relationship Id="rId288" Type="http://schemas.openxmlformats.org/officeDocument/2006/relationships/hyperlink" Target="https://www.sec.gov/Archives/edgar/data/0001856031/000095017021004585/seat-ex2_3.htm" TargetMode="External"/><Relationship Id="rId289" Type="http://schemas.openxmlformats.org/officeDocument/2006/relationships/hyperlink" Target="https://www.sec.gov/Archives/edgar/data/0001856031/000119312521305506/d216055dex31.htm" TargetMode="External"/><Relationship Id="rId290" Type="http://schemas.openxmlformats.org/officeDocument/2006/relationships/hyperlink" Target="https://www.sec.gov/Archives/edgar/data/1856031/000095017022008705/seat-ex3_2.htm" TargetMode="External"/><Relationship Id="rId291" Type="http://schemas.openxmlformats.org/officeDocument/2006/relationships/hyperlink" Target="https://www.sec.gov/Archives/edgar/data/0001856031/000119312521305506/d216055dex32.htm" TargetMode="External"/><Relationship Id="rId292" Type="http://schemas.openxmlformats.org/officeDocument/2006/relationships/hyperlink" Target="https://www.sec.gov/Archives/edgar/data/0001856031/000119312521305506/d216055dex107.htm" TargetMode="External"/><Relationship Id="rId293" Type="http://schemas.openxmlformats.org/officeDocument/2006/relationships/hyperlink" Target="https://www.sec.gov/Archives/edgar/data/1856031/000095017022003749/seat-ex4_2.htm" TargetMode="External"/><Relationship Id="rId294" Type="http://schemas.openxmlformats.org/officeDocument/2006/relationships/hyperlink" Target="https://www.sec.gov/Archives/edgar/data/1856031/000095017022003749/seat-ex4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2022-11-08T05:59:56Z</dcterms:created>
  <dcterms:modified xsi:type="dcterms:W3CDTF">2022-11-08T05:59:56Z</dcterms:modified>
</cp:coreProperties>
</file>